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FF5" w:rsidRPr="00B40DC1" w:rsidRDefault="00F07A6D" w:rsidP="001A0B61">
      <w:pPr>
        <w:ind w:rightChars="-55" w:right="-143"/>
        <w:jc w:val="right"/>
      </w:pPr>
      <w:bookmarkStart w:id="0" w:name="top"/>
      <w:bookmarkStart w:id="1" w:name="_GoBack"/>
      <w:bookmarkEnd w:id="0"/>
      <w:bookmarkEnd w:id="1"/>
      <w:r>
        <w:rPr>
          <w:noProof/>
          <w:color w:val="808000"/>
          <w:sz w:val="22"/>
          <w:szCs w:val="22"/>
        </w:rPr>
        <w:drawing>
          <wp:inline distT="0" distB="0" distL="0" distR="0" wp14:anchorId="1235F572" wp14:editId="3B15C4A5">
            <wp:extent cx="5206696" cy="610235"/>
            <wp:effectExtent l="0" t="0" r="0" b="0"/>
            <wp:docPr id="11" name="圖片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5633714" cy="660282"/>
                    </a:xfrm>
                    <a:prstGeom prst="rect">
                      <a:avLst/>
                    </a:prstGeom>
                  </pic:spPr>
                </pic:pic>
              </a:graphicData>
            </a:graphic>
          </wp:inline>
        </w:drawing>
      </w:r>
    </w:p>
    <w:p w:rsidR="00E55FF5" w:rsidRPr="000D26BB" w:rsidRDefault="00E55FF5" w:rsidP="001A0B61">
      <w:pPr>
        <w:ind w:rightChars="0" w:right="-1"/>
        <w:jc w:val="right"/>
        <w:rPr>
          <w:color w:val="808000"/>
          <w:sz w:val="20"/>
        </w:rPr>
      </w:pPr>
      <w:r w:rsidRPr="000D26BB">
        <w:rPr>
          <w:rFonts w:hint="eastAsia"/>
          <w:color w:val="808000"/>
          <w:sz w:val="20"/>
        </w:rPr>
        <w:t>（建議使用工具列--〉檢視--〉文件引導模式/功能窗格）</w:t>
      </w:r>
    </w:p>
    <w:p w:rsidR="00E55FF5" w:rsidRPr="00B40DC1" w:rsidRDefault="00E55FF5" w:rsidP="000D26BB"/>
    <w:p w:rsidR="000D26BB" w:rsidRPr="000D26BB" w:rsidRDefault="00B40DC1" w:rsidP="000D26BB">
      <w:pPr>
        <w:jc w:val="center"/>
        <w:rPr>
          <w:color w:val="990000"/>
          <w:sz w:val="36"/>
          <w:szCs w:val="32"/>
        </w:rPr>
      </w:pPr>
      <w:r w:rsidRPr="00205E80">
        <w:rPr>
          <w:rFonts w:hint="eastAsia"/>
          <w:b/>
          <w:color w:val="990000"/>
          <w:sz w:val="36"/>
          <w:szCs w:val="32"/>
        </w:rPr>
        <w:t>臺灣邁向世界強國與富國之捷徑：</w:t>
      </w:r>
    </w:p>
    <w:p w:rsidR="00E55FF5" w:rsidRPr="00205E80" w:rsidRDefault="00B40DC1" w:rsidP="000D26BB">
      <w:pPr>
        <w:jc w:val="center"/>
        <w:rPr>
          <w:b/>
          <w:color w:val="990000"/>
          <w:sz w:val="36"/>
          <w:szCs w:val="32"/>
        </w:rPr>
      </w:pPr>
      <w:r w:rsidRPr="00205E80">
        <w:rPr>
          <w:rFonts w:hint="eastAsia"/>
          <w:b/>
          <w:color w:val="990000"/>
          <w:sz w:val="36"/>
          <w:szCs w:val="32"/>
        </w:rPr>
        <w:t>從建構優質之移民政策與法制出發</w:t>
      </w:r>
    </w:p>
    <w:p w:rsidR="00E55FF5" w:rsidRPr="00B40DC1" w:rsidRDefault="00E55FF5" w:rsidP="000D26BB">
      <w:pPr>
        <w:jc w:val="center"/>
      </w:pPr>
    </w:p>
    <w:p w:rsidR="000D26BB" w:rsidRPr="00205E80" w:rsidRDefault="000D26BB" w:rsidP="000D26BB">
      <w:pPr>
        <w:jc w:val="center"/>
        <w:rPr>
          <w:b/>
        </w:rPr>
      </w:pPr>
      <w:r w:rsidRPr="00205E80">
        <w:rPr>
          <w:b/>
        </w:rPr>
        <w:t>柯雨瑞 孟維德 蔡政杰 李佳樺著</w:t>
      </w:r>
    </w:p>
    <w:p w:rsidR="000D26BB" w:rsidRDefault="000D26BB" w:rsidP="000D26BB">
      <w:pPr>
        <w:jc w:val="center"/>
      </w:pPr>
      <w:r w:rsidRPr="000D26BB">
        <w:t>中華民國107年06月出版</w:t>
      </w:r>
    </w:p>
    <w:p w:rsidR="000D26BB" w:rsidRPr="00205E80" w:rsidRDefault="000D26BB" w:rsidP="000D26BB">
      <w:pPr>
        <w:jc w:val="center"/>
        <w:rPr>
          <w:sz w:val="24"/>
        </w:rPr>
      </w:pPr>
      <w:r w:rsidRPr="00205E80">
        <w:rPr>
          <w:sz w:val="24"/>
        </w:rPr>
        <w:t>(初版)</w:t>
      </w:r>
    </w:p>
    <w:p w:rsidR="000D26BB" w:rsidRPr="00205E80" w:rsidRDefault="000D26BB" w:rsidP="000D26BB">
      <w:pPr>
        <w:jc w:val="center"/>
        <w:rPr>
          <w:sz w:val="24"/>
        </w:rPr>
      </w:pPr>
      <w:r w:rsidRPr="00205E80">
        <w:rPr>
          <w:sz w:val="24"/>
        </w:rPr>
        <w:t>ISBN：9789574357376</w:t>
      </w:r>
    </w:p>
    <w:p w:rsidR="0008714D" w:rsidRDefault="0008714D" w:rsidP="000D26BB">
      <w:pPr>
        <w:jc w:val="center"/>
      </w:pPr>
    </w:p>
    <w:p w:rsidR="00992AB6" w:rsidRPr="000D26BB" w:rsidRDefault="00992AB6" w:rsidP="000D26BB">
      <w:pPr>
        <w:jc w:val="center"/>
      </w:pPr>
    </w:p>
    <w:p w:rsidR="00CC4D07" w:rsidRPr="00B662A4" w:rsidRDefault="00587E93" w:rsidP="00B662A4">
      <w:pPr>
        <w:pStyle w:val="11"/>
      </w:pPr>
      <w:bookmarkStart w:id="2" w:name="a目次"/>
      <w:bookmarkEnd w:id="2"/>
      <w:r w:rsidRPr="00B662A4">
        <w:rPr>
          <w:rFonts w:hint="eastAsia"/>
        </w:rPr>
        <w:t>【</w:t>
      </w:r>
      <w:r w:rsidR="0049577B" w:rsidRPr="00B662A4">
        <w:t>目次</w:t>
      </w:r>
      <w:r w:rsidR="00DC26EE" w:rsidRPr="00B662A4">
        <w:rPr>
          <w:rFonts w:hint="eastAsia"/>
        </w:rPr>
        <w:t>】</w:t>
      </w:r>
    </w:p>
    <w:p w:rsidR="00CC4D07" w:rsidRPr="00496946" w:rsidRDefault="00340832" w:rsidP="00CC4D07">
      <w:pPr>
        <w:ind w:leftChars="0" w:left="142"/>
        <w:rPr>
          <w:color w:val="990000"/>
          <w:kern w:val="36"/>
        </w:rPr>
      </w:pPr>
      <w:hyperlink w:anchor="_【作者簡介】" w:history="1">
        <w:r w:rsidR="00CC4D07" w:rsidRPr="00881F68">
          <w:rPr>
            <w:rStyle w:val="a7"/>
            <w:rFonts w:cs="Times New Roman" w:hint="eastAsia"/>
            <w:kern w:val="36"/>
            <w:lang w:eastAsia="zh-TW"/>
          </w:rPr>
          <w:t>作者簡介</w:t>
        </w:r>
      </w:hyperlink>
    </w:p>
    <w:p w:rsidR="00CC4D07" w:rsidRPr="00496946" w:rsidRDefault="00340832" w:rsidP="00CC4D07">
      <w:pPr>
        <w:ind w:leftChars="0" w:left="142"/>
        <w:rPr>
          <w:color w:val="990000"/>
          <w:kern w:val="36"/>
        </w:rPr>
      </w:pPr>
      <w:hyperlink w:anchor="_【柯雨瑞_教授】" w:history="1">
        <w:r w:rsidR="00CC4D07" w:rsidRPr="00881F68">
          <w:rPr>
            <w:rStyle w:val="a7"/>
            <w:rFonts w:cs="Times New Roman" w:hint="eastAsia"/>
            <w:kern w:val="36"/>
            <w:lang w:eastAsia="zh-TW"/>
          </w:rPr>
          <w:t>柯雨瑞</w:t>
        </w:r>
        <w:r w:rsidR="00CC4D07" w:rsidRPr="00881F68">
          <w:rPr>
            <w:rStyle w:val="a7"/>
            <w:rFonts w:cs="Times New Roman"/>
            <w:kern w:val="36"/>
            <w:lang w:eastAsia="zh-TW"/>
          </w:rPr>
          <w:t xml:space="preserve"> 教授</w:t>
        </w:r>
      </w:hyperlink>
    </w:p>
    <w:p w:rsidR="00CC4D07" w:rsidRPr="00496946" w:rsidRDefault="00340832" w:rsidP="00CC4D07">
      <w:pPr>
        <w:ind w:leftChars="0" w:left="142"/>
        <w:rPr>
          <w:color w:val="990000"/>
          <w:kern w:val="36"/>
        </w:rPr>
      </w:pPr>
      <w:hyperlink w:anchor="_【孟維德_教授】" w:history="1">
        <w:r w:rsidR="00CC4D07" w:rsidRPr="00881F68">
          <w:rPr>
            <w:rStyle w:val="a7"/>
            <w:rFonts w:cs="Times New Roman" w:hint="eastAsia"/>
            <w:kern w:val="36"/>
            <w:lang w:eastAsia="zh-TW"/>
          </w:rPr>
          <w:t>孟維德</w:t>
        </w:r>
        <w:r w:rsidR="00CC4D07" w:rsidRPr="00881F68">
          <w:rPr>
            <w:rStyle w:val="a7"/>
            <w:rFonts w:cs="Times New Roman"/>
            <w:kern w:val="36"/>
            <w:lang w:eastAsia="zh-TW"/>
          </w:rPr>
          <w:t xml:space="preserve"> 教授</w:t>
        </w:r>
      </w:hyperlink>
    </w:p>
    <w:p w:rsidR="00CC4D07" w:rsidRPr="00496946" w:rsidRDefault="00340832" w:rsidP="00CC4D07">
      <w:pPr>
        <w:ind w:leftChars="0" w:left="142"/>
        <w:rPr>
          <w:color w:val="990000"/>
          <w:kern w:val="36"/>
        </w:rPr>
      </w:pPr>
      <w:hyperlink w:anchor="_【蔡政杰_講師】" w:history="1">
        <w:r w:rsidR="00CC4D07" w:rsidRPr="00881F68">
          <w:rPr>
            <w:rStyle w:val="a7"/>
            <w:rFonts w:cs="Times New Roman" w:hint="eastAsia"/>
            <w:kern w:val="36"/>
            <w:lang w:eastAsia="zh-TW"/>
          </w:rPr>
          <w:t>蔡政杰</w:t>
        </w:r>
        <w:r w:rsidR="00CC4D07" w:rsidRPr="00881F68">
          <w:rPr>
            <w:rStyle w:val="a7"/>
            <w:rFonts w:cs="Times New Roman"/>
            <w:kern w:val="36"/>
            <w:lang w:eastAsia="zh-TW"/>
          </w:rPr>
          <w:t xml:space="preserve"> 講師</w:t>
        </w:r>
      </w:hyperlink>
    </w:p>
    <w:p w:rsidR="00CC4D07" w:rsidRPr="00496946" w:rsidRDefault="00340832" w:rsidP="00CC4D07">
      <w:pPr>
        <w:ind w:leftChars="0" w:left="142"/>
        <w:rPr>
          <w:color w:val="990000"/>
          <w:kern w:val="36"/>
        </w:rPr>
      </w:pPr>
      <w:hyperlink w:anchor="_【李佳樺_巡官】" w:history="1">
        <w:r w:rsidR="00CC4D07" w:rsidRPr="00881F68">
          <w:rPr>
            <w:rStyle w:val="a7"/>
            <w:rFonts w:cs="Times New Roman" w:hint="eastAsia"/>
            <w:kern w:val="36"/>
            <w:lang w:eastAsia="zh-TW"/>
          </w:rPr>
          <w:t>李佳樺</w:t>
        </w:r>
        <w:r w:rsidR="00CC4D07" w:rsidRPr="00881F68">
          <w:rPr>
            <w:rStyle w:val="a7"/>
            <w:rFonts w:cs="Times New Roman"/>
            <w:kern w:val="36"/>
            <w:lang w:eastAsia="zh-TW"/>
          </w:rPr>
          <w:t xml:space="preserve"> 巡官</w:t>
        </w:r>
      </w:hyperlink>
    </w:p>
    <w:p w:rsidR="00CC4D07" w:rsidRPr="00496946" w:rsidRDefault="00340832" w:rsidP="00CC4D07">
      <w:pPr>
        <w:ind w:leftChars="0" w:left="142"/>
        <w:rPr>
          <w:color w:val="990000"/>
          <w:kern w:val="36"/>
        </w:rPr>
      </w:pPr>
      <w:hyperlink w:anchor="_【作者自序文】" w:history="1">
        <w:r w:rsidR="00CC4D07" w:rsidRPr="00881F68">
          <w:rPr>
            <w:rStyle w:val="a7"/>
            <w:rFonts w:cs="Times New Roman" w:hint="eastAsia"/>
            <w:kern w:val="36"/>
            <w:lang w:eastAsia="zh-TW"/>
          </w:rPr>
          <w:t>作者自序文</w:t>
        </w:r>
      </w:hyperlink>
    </w:p>
    <w:p w:rsidR="00CC4D07" w:rsidRPr="00496946" w:rsidRDefault="00340832" w:rsidP="00CC4D07">
      <w:pPr>
        <w:ind w:leftChars="0" w:left="142"/>
        <w:rPr>
          <w:color w:val="990000"/>
          <w:kern w:val="36"/>
        </w:rPr>
      </w:pPr>
      <w:hyperlink w:anchor="_【2018年6月常律老和尚_推薦序】台灣外勞聘用之迷思" w:history="1">
        <w:r w:rsidR="00CC4D07" w:rsidRPr="00881F68">
          <w:rPr>
            <w:rStyle w:val="a7"/>
            <w:rFonts w:cs="Times New Roman" w:hint="eastAsia"/>
            <w:kern w:val="36"/>
            <w:lang w:eastAsia="zh-TW"/>
          </w:rPr>
          <w:t>常律老和尚</w:t>
        </w:r>
        <w:r w:rsidR="00CC4D07" w:rsidRPr="00881F68">
          <w:rPr>
            <w:rStyle w:val="a7"/>
            <w:rFonts w:cs="Times New Roman"/>
            <w:kern w:val="36"/>
            <w:lang w:eastAsia="zh-TW"/>
          </w:rPr>
          <w:t xml:space="preserve"> 推薦序---台灣外勞聘用之迷思</w:t>
        </w:r>
      </w:hyperlink>
    </w:p>
    <w:p w:rsidR="00CC4D07" w:rsidRPr="00496946" w:rsidRDefault="00340832" w:rsidP="00CC4D07">
      <w:pPr>
        <w:ind w:leftChars="0" w:left="142"/>
        <w:rPr>
          <w:color w:val="990000"/>
          <w:kern w:val="36"/>
        </w:rPr>
      </w:pPr>
      <w:hyperlink w:anchor="_【釋從慈上人(和尚)_推薦序】" w:history="1">
        <w:r w:rsidR="00CC4D07" w:rsidRPr="00881F68">
          <w:rPr>
            <w:rStyle w:val="a7"/>
            <w:rFonts w:cs="Times New Roman" w:hint="eastAsia"/>
            <w:kern w:val="36"/>
            <w:lang w:eastAsia="zh-TW"/>
          </w:rPr>
          <w:t>釋從慈上人</w:t>
        </w:r>
        <w:r w:rsidR="00CC4D07" w:rsidRPr="00881F68">
          <w:rPr>
            <w:rStyle w:val="a7"/>
            <w:rFonts w:cs="Times New Roman"/>
            <w:kern w:val="36"/>
            <w:lang w:eastAsia="zh-TW"/>
          </w:rPr>
          <w:t>(和尚)推薦序</w:t>
        </w:r>
      </w:hyperlink>
    </w:p>
    <w:p w:rsidR="00CC4D07" w:rsidRPr="00496946" w:rsidRDefault="00340832" w:rsidP="00CC4D07">
      <w:pPr>
        <w:ind w:leftChars="0" w:left="142"/>
        <w:rPr>
          <w:color w:val="990000"/>
          <w:kern w:val="36"/>
        </w:rPr>
      </w:pPr>
      <w:hyperlink w:anchor="_【陳明傳教授推薦序】為《臺灣邁向世界強國與富國之捷徑》一書序" w:history="1">
        <w:r w:rsidR="00CC4D07" w:rsidRPr="00881F68">
          <w:rPr>
            <w:rStyle w:val="a7"/>
            <w:rFonts w:cs="Times New Roman" w:hint="eastAsia"/>
            <w:kern w:val="36"/>
            <w:lang w:eastAsia="zh-TW"/>
          </w:rPr>
          <w:t>陳明傳教授推薦序</w:t>
        </w:r>
        <w:r w:rsidR="00CC4D07" w:rsidRPr="00881F68">
          <w:rPr>
            <w:rStyle w:val="a7"/>
            <w:rFonts w:cs="Times New Roman"/>
            <w:kern w:val="36"/>
            <w:lang w:eastAsia="zh-TW"/>
          </w:rPr>
          <w:t>---為《臺灣邁向世界強國與富國之捷徑》一書序</w:t>
        </w:r>
      </w:hyperlink>
    </w:p>
    <w:p w:rsidR="00CC4D07" w:rsidRPr="00496946" w:rsidRDefault="00340832" w:rsidP="00CC4D07">
      <w:pPr>
        <w:ind w:leftChars="0" w:left="142"/>
        <w:rPr>
          <w:color w:val="990000"/>
          <w:kern w:val="36"/>
        </w:rPr>
      </w:pPr>
      <w:hyperlink w:anchor="_【內政部移民署前署長_何榮村推薦序】" w:history="1">
        <w:r w:rsidR="00CC4D07" w:rsidRPr="00881F68">
          <w:rPr>
            <w:rStyle w:val="a7"/>
            <w:rFonts w:cs="Times New Roman" w:hint="eastAsia"/>
            <w:kern w:val="36"/>
            <w:lang w:eastAsia="zh-TW"/>
          </w:rPr>
          <w:t>內政部移民署前署長</w:t>
        </w:r>
        <w:r w:rsidR="00CC4D07" w:rsidRPr="00881F68">
          <w:rPr>
            <w:rStyle w:val="a7"/>
            <w:rFonts w:cs="Times New Roman"/>
            <w:kern w:val="36"/>
            <w:lang w:eastAsia="zh-TW"/>
          </w:rPr>
          <w:t xml:space="preserve"> 何榮村推薦序</w:t>
        </w:r>
      </w:hyperlink>
    </w:p>
    <w:p w:rsidR="00CC4D07" w:rsidRPr="00496946" w:rsidRDefault="00CC4D07" w:rsidP="00CC4D07">
      <w:pPr>
        <w:ind w:leftChars="0" w:left="142"/>
        <w:rPr>
          <w:color w:val="990000"/>
          <w:kern w:val="36"/>
        </w:rPr>
      </w:pPr>
      <w:bookmarkStart w:id="3" w:name="a目次1"/>
      <w:bookmarkEnd w:id="3"/>
      <w:r w:rsidRPr="00496946">
        <w:rPr>
          <w:rFonts w:hint="eastAsia"/>
          <w:color w:val="990000"/>
          <w:kern w:val="36"/>
        </w:rPr>
        <w:t>第一章</w:t>
      </w:r>
      <w:r w:rsidR="00AA03F8" w:rsidRPr="00496946">
        <w:rPr>
          <w:rFonts w:hint="eastAsia"/>
          <w:color w:val="990000"/>
          <w:kern w:val="36"/>
        </w:rPr>
        <w:t>、</w:t>
      </w:r>
      <w:hyperlink w:anchor="_第一章_從憲法高度探討外來人口人權保障之法律規範機制之困境與對策" w:history="1">
        <w:r w:rsidRPr="00AA03F8">
          <w:rPr>
            <w:rStyle w:val="a7"/>
            <w:rFonts w:cs="Times New Roman"/>
            <w:kern w:val="36"/>
            <w:lang w:eastAsia="zh-TW"/>
          </w:rPr>
          <w:t>從憲法高度探討外來人口人權保障之法律規範機制之困境與對策</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壹、</w:t>
      </w:r>
      <w:hyperlink w:anchor="_壹、前言" w:history="1">
        <w:r w:rsidR="00CC4D07" w:rsidRPr="00AA03F8">
          <w:rPr>
            <w:rStyle w:val="a7"/>
            <w:rFonts w:cs="Times New Roman" w:hint="eastAsia"/>
            <w:kern w:val="36"/>
            <w:lang w:eastAsia="zh-TW"/>
          </w:rPr>
          <w:t>前言</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貳、</w:t>
      </w:r>
      <w:hyperlink w:anchor="_貳、憲法與外來人口出入國、居留、遷徙自由、選擇住所自由及不遭受違法驅逐" w:history="1">
        <w:r w:rsidR="00CC4D07" w:rsidRPr="00AA03F8">
          <w:rPr>
            <w:rStyle w:val="a7"/>
            <w:rFonts w:cs="Times New Roman" w:hint="eastAsia"/>
            <w:kern w:val="36"/>
            <w:lang w:eastAsia="zh-TW"/>
          </w:rPr>
          <w:t>憲法與外來人口出入國、居留、遷徙自由、選擇住所自由及不遭受違法驅逐出國之權利</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參、</w:t>
      </w:r>
      <w:hyperlink w:anchor="_參、憲法與外來人口人身自由權" w:history="1">
        <w:r w:rsidR="00CC4D07" w:rsidRPr="00701592">
          <w:rPr>
            <w:rStyle w:val="a7"/>
            <w:rFonts w:cs="Times New Roman" w:hint="eastAsia"/>
            <w:kern w:val="36"/>
            <w:lang w:eastAsia="zh-TW"/>
          </w:rPr>
          <w:t>憲法與外來人口人身自由權</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肆、</w:t>
      </w:r>
      <w:hyperlink w:anchor="_肆、憲法與外來人口「政治庇護權」(Right_of_asylum)" w:history="1">
        <w:r w:rsidR="00CC4D07" w:rsidRPr="00B662A4">
          <w:rPr>
            <w:rStyle w:val="a7"/>
            <w:rFonts w:cs="Times New Roman" w:hint="eastAsia"/>
            <w:kern w:val="36"/>
            <w:lang w:eastAsia="zh-TW" w:bidi="ar-SA"/>
          </w:rPr>
          <w:t>憲法與外來人口「政治庇護權」</w:t>
        </w:r>
        <w:r w:rsidR="00CC4D07" w:rsidRPr="00B662A4">
          <w:rPr>
            <w:rStyle w:val="a7"/>
            <w:rFonts w:cs="Times New Roman"/>
            <w:kern w:val="36"/>
            <w:lang w:eastAsia="zh-TW" w:bidi="ar-SA"/>
          </w:rPr>
          <w:t>(Right of asylum)</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伍、</w:t>
      </w:r>
      <w:hyperlink w:anchor="_伍、憲法與外來人口所享有之權利與應盡之義務" w:history="1">
        <w:r w:rsidR="00CC4D07" w:rsidRPr="00C9725A">
          <w:rPr>
            <w:rStyle w:val="a7"/>
            <w:rFonts w:cs="Times New Roman" w:hint="eastAsia"/>
            <w:kern w:val="36"/>
            <w:lang w:eastAsia="zh-TW" w:bidi="ar-SA"/>
          </w:rPr>
          <w:t>憲法與外來人口所享有之權利與應盡之義務</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陸、</w:t>
      </w:r>
      <w:hyperlink w:anchor="_陸、憲法與外來人口政治上之選舉權與任公職權利" w:history="1">
        <w:r w:rsidR="00CC4D07" w:rsidRPr="00C9725A">
          <w:rPr>
            <w:rStyle w:val="a7"/>
            <w:rFonts w:cs="Times New Roman" w:hint="eastAsia"/>
            <w:kern w:val="36"/>
            <w:lang w:eastAsia="zh-TW" w:bidi="ar-SA"/>
          </w:rPr>
          <w:t>憲法與外來人口政治上之選舉權與任公職權利</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柒、</w:t>
      </w:r>
      <w:hyperlink w:anchor="_柒、憲法與外來人口生命權(含人身自由權)之保障----以廢止死刑、無期" w:history="1">
        <w:r w:rsidR="00CC4D07" w:rsidRPr="00C9725A">
          <w:rPr>
            <w:rStyle w:val="a7"/>
            <w:rFonts w:cs="Times New Roman" w:hint="eastAsia"/>
            <w:kern w:val="36"/>
            <w:lang w:eastAsia="zh-TW" w:bidi="ar-SA"/>
          </w:rPr>
          <w:t>憲法與外來人口生命權</w:t>
        </w:r>
        <w:r w:rsidR="00CC4D07" w:rsidRPr="00C9725A">
          <w:rPr>
            <w:rStyle w:val="a7"/>
            <w:rFonts w:cs="Times New Roman"/>
            <w:kern w:val="36"/>
            <w:lang w:eastAsia="zh-TW" w:bidi="ar-SA"/>
          </w:rPr>
          <w:t>(含人身自由權)之保障----以廢止死刑、無期徒刑為核心</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捌、</w:t>
      </w:r>
      <w:hyperlink w:anchor="_捌、建議" w:history="1">
        <w:r w:rsidR="00CC4D07" w:rsidRPr="00AF69C2">
          <w:rPr>
            <w:rStyle w:val="a7"/>
            <w:rFonts w:cs="Times New Roman" w:hint="eastAsia"/>
            <w:kern w:val="36"/>
            <w:lang w:eastAsia="zh-TW" w:bidi="ar-SA"/>
          </w:rPr>
          <w:t>建議</w:t>
        </w:r>
      </w:hyperlink>
    </w:p>
    <w:p w:rsidR="00CC4D07" w:rsidRPr="00496946" w:rsidRDefault="00CC4D07" w:rsidP="00CC4D07">
      <w:pPr>
        <w:ind w:leftChars="0" w:left="142"/>
        <w:rPr>
          <w:color w:val="990000"/>
          <w:kern w:val="36"/>
        </w:rPr>
      </w:pPr>
      <w:bookmarkStart w:id="4" w:name="a目次2"/>
      <w:bookmarkEnd w:id="4"/>
      <w:r w:rsidRPr="00496946">
        <w:rPr>
          <w:rFonts w:hint="eastAsia"/>
          <w:color w:val="990000"/>
          <w:kern w:val="36"/>
        </w:rPr>
        <w:t>第二章</w:t>
      </w:r>
      <w:r w:rsidR="00AA03F8" w:rsidRPr="00496946">
        <w:rPr>
          <w:rFonts w:hint="eastAsia"/>
          <w:color w:val="990000"/>
          <w:kern w:val="36"/>
        </w:rPr>
        <w:t>、</w:t>
      </w:r>
      <w:hyperlink w:anchor="_第二章_評點制技術移民政策之研究──以加拿大、紐西蘭與澳洲為核心" w:history="1">
        <w:r w:rsidRPr="0080033A">
          <w:rPr>
            <w:rStyle w:val="a7"/>
            <w:rFonts w:cs="Times New Roman"/>
            <w:kern w:val="36"/>
            <w:lang w:eastAsia="zh-TW" w:bidi="ar-SA"/>
          </w:rPr>
          <w:t>評點制技術移民政策之研究──以加拿大、紐西蘭與澳洲為核心</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壹、</w:t>
      </w:r>
      <w:hyperlink w:anchor="_壹、研究動機與目的" w:history="1">
        <w:r w:rsidR="00CC4D07" w:rsidRPr="00E30C8F">
          <w:rPr>
            <w:rStyle w:val="a7"/>
            <w:rFonts w:hint="eastAsia"/>
            <w:lang w:eastAsia="zh-TW"/>
          </w:rPr>
          <w:t>研究動機與目的</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貳、</w:t>
      </w:r>
      <w:hyperlink w:anchor="_貳、相關重要名詞之定義與界定" w:history="1">
        <w:r w:rsidR="00CC4D07" w:rsidRPr="00E30C8F">
          <w:rPr>
            <w:rStyle w:val="a7"/>
            <w:rFonts w:cs="Times New Roman" w:hint="eastAsia"/>
            <w:kern w:val="36"/>
            <w:lang w:eastAsia="zh-TW" w:bidi="ar-SA"/>
          </w:rPr>
          <w:t>相關重要名詞之定義與界定</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參、</w:t>
      </w:r>
      <w:hyperlink w:anchor="_參、加拿大評點制技術移民政策之剖析" w:history="1">
        <w:r w:rsidR="00CC4D07" w:rsidRPr="00394C1A">
          <w:rPr>
            <w:rStyle w:val="a7"/>
            <w:rFonts w:cs="Times New Roman" w:hint="eastAsia"/>
            <w:kern w:val="36"/>
            <w:lang w:eastAsia="zh-TW" w:bidi="ar-SA"/>
          </w:rPr>
          <w:t>加拿大評點制技術移民政策之剖析</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肆、</w:t>
      </w:r>
      <w:hyperlink w:anchor="_肆、紐西蘭評點制技術移民政策之剖析" w:history="1">
        <w:r w:rsidR="00CC4D07" w:rsidRPr="00394C1A">
          <w:rPr>
            <w:rStyle w:val="a7"/>
            <w:rFonts w:cs="Times New Roman" w:hint="eastAsia"/>
            <w:kern w:val="36"/>
            <w:lang w:eastAsia="zh-TW" w:bidi="ar-SA"/>
          </w:rPr>
          <w:t>紐西蘭評點制技術移民政策之剖析</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伍、</w:t>
      </w:r>
      <w:hyperlink w:anchor="_伍、澳洲評點制技術移民政策之剖析" w:history="1">
        <w:r w:rsidR="00CC4D07" w:rsidRPr="00394C1A">
          <w:rPr>
            <w:rStyle w:val="a7"/>
            <w:rFonts w:cs="Times New Roman" w:hint="eastAsia"/>
            <w:kern w:val="36"/>
            <w:lang w:eastAsia="zh-TW" w:bidi="ar-SA"/>
          </w:rPr>
          <w:t>澳洲評點制技術移民政策之剖析</w:t>
        </w:r>
      </w:hyperlink>
    </w:p>
    <w:p w:rsidR="00CC4D07" w:rsidRPr="00496946" w:rsidRDefault="00587E93" w:rsidP="00CC4D07">
      <w:pPr>
        <w:ind w:leftChars="0" w:left="142"/>
        <w:rPr>
          <w:color w:val="990000"/>
          <w:kern w:val="36"/>
        </w:rPr>
      </w:pPr>
      <w:r w:rsidRPr="00587E93">
        <w:rPr>
          <w:rFonts w:hint="eastAsia"/>
          <w:color w:val="990000"/>
          <w:kern w:val="36"/>
        </w:rPr>
        <w:lastRenderedPageBreak/>
        <w:t>》</w:t>
      </w:r>
      <w:r w:rsidR="00CC4D07" w:rsidRPr="00496946">
        <w:rPr>
          <w:rFonts w:hint="eastAsia"/>
          <w:color w:val="990000"/>
          <w:kern w:val="36"/>
        </w:rPr>
        <w:t>陸、</w:t>
      </w:r>
      <w:hyperlink w:anchor="_陸、加拿大、紐西蘭與澳洲之評點制技術移民政策之比較" w:history="1">
        <w:r w:rsidR="00CC4D07" w:rsidRPr="00394C1A">
          <w:rPr>
            <w:rStyle w:val="a7"/>
            <w:rFonts w:cs="Times New Roman" w:hint="eastAsia"/>
            <w:kern w:val="36"/>
            <w:lang w:eastAsia="zh-TW" w:bidi="ar-SA"/>
          </w:rPr>
          <w:t>加拿大、紐西蘭與澳洲之評點制技術移民政策之比較</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柒、</w:t>
      </w:r>
      <w:hyperlink w:anchor="_柒、加拿大、紐西蘭與澳洲之評點制技術移民政策之優點與缺點" w:history="1">
        <w:r w:rsidR="00CC4D07" w:rsidRPr="00394C1A">
          <w:rPr>
            <w:rStyle w:val="a7"/>
            <w:rFonts w:cs="Times New Roman" w:hint="eastAsia"/>
            <w:kern w:val="36"/>
            <w:lang w:eastAsia="zh-TW" w:bidi="ar-SA"/>
          </w:rPr>
          <w:t>加拿大、紐西蘭與澳洲之評點制技術移民政策之優點與缺點</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捌、</w:t>
      </w:r>
      <w:hyperlink w:anchor="_捌、加拿大、紐西蘭與澳洲之評點制技術移民政策對我國之啟示" w:history="1">
        <w:r w:rsidR="00CC4D07" w:rsidRPr="00394C1A">
          <w:rPr>
            <w:rStyle w:val="a7"/>
            <w:rFonts w:cs="Times New Roman" w:hint="eastAsia"/>
            <w:kern w:val="36"/>
            <w:lang w:eastAsia="zh-TW" w:bidi="ar-SA"/>
          </w:rPr>
          <w:t>加拿大、紐西蘭與澳洲之評點制技術移民政策對我國之啟示</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玖、</w:t>
      </w:r>
      <w:hyperlink w:anchor="_玖、結論與建議" w:history="1">
        <w:r w:rsidR="00CC4D07" w:rsidRPr="00394C1A">
          <w:rPr>
            <w:rStyle w:val="a7"/>
            <w:rFonts w:cs="Times New Roman" w:hint="eastAsia"/>
            <w:kern w:val="36"/>
            <w:lang w:eastAsia="zh-TW" w:bidi="ar-SA"/>
          </w:rPr>
          <w:t>結論與建議</w:t>
        </w:r>
      </w:hyperlink>
    </w:p>
    <w:p w:rsidR="00CC4D07" w:rsidRPr="00496946" w:rsidRDefault="00CC4D07" w:rsidP="00CC4D07">
      <w:pPr>
        <w:ind w:leftChars="0" w:left="142"/>
        <w:rPr>
          <w:color w:val="990000"/>
          <w:kern w:val="36"/>
        </w:rPr>
      </w:pPr>
      <w:bookmarkStart w:id="5" w:name="a目次3"/>
      <w:bookmarkEnd w:id="5"/>
      <w:r w:rsidRPr="00496946">
        <w:rPr>
          <w:rFonts w:hint="eastAsia"/>
          <w:color w:val="990000"/>
          <w:kern w:val="36"/>
        </w:rPr>
        <w:t>第三章</w:t>
      </w:r>
      <w:r w:rsidR="00AA03F8" w:rsidRPr="00496946">
        <w:rPr>
          <w:rFonts w:hint="eastAsia"/>
          <w:color w:val="990000"/>
          <w:kern w:val="36"/>
        </w:rPr>
        <w:t>、</w:t>
      </w:r>
      <w:hyperlink w:anchor="_第三章、臺灣評點制技術移民政策之現況、問題與可行之對策" w:history="1">
        <w:r w:rsidRPr="00FA0216">
          <w:rPr>
            <w:rStyle w:val="a7"/>
            <w:rFonts w:cs="Times New Roman"/>
            <w:kern w:val="36"/>
            <w:lang w:eastAsia="zh-TW" w:bidi="ar-SA"/>
          </w:rPr>
          <w:t>臺灣評點制技術移民政策之現況、問題與可行之對策</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壹、</w:t>
      </w:r>
      <w:hyperlink w:anchor="_壹、研究動機與目的_1" w:history="1">
        <w:r w:rsidR="00CC4D07" w:rsidRPr="00A35933">
          <w:rPr>
            <w:rStyle w:val="a7"/>
            <w:rFonts w:cs="Times New Roman" w:hint="eastAsia"/>
            <w:kern w:val="36"/>
            <w:lang w:eastAsia="zh-TW" w:bidi="ar-SA"/>
          </w:rPr>
          <w:t>研究動機與目的</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貳、</w:t>
      </w:r>
      <w:hyperlink w:anchor="_貳、重要名詞之定義" w:history="1">
        <w:r w:rsidR="00CC4D07" w:rsidRPr="00A35933">
          <w:rPr>
            <w:rStyle w:val="a7"/>
            <w:rFonts w:cs="Times New Roman" w:hint="eastAsia"/>
            <w:kern w:val="36"/>
            <w:lang w:eastAsia="zh-TW" w:bidi="ar-SA"/>
          </w:rPr>
          <w:t>重要名詞之定義</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參、</w:t>
      </w:r>
      <w:hyperlink w:anchor="_參、研究設計與實施" w:history="1">
        <w:r w:rsidR="00CC4D07" w:rsidRPr="00A35933">
          <w:rPr>
            <w:rStyle w:val="a7"/>
            <w:rFonts w:cs="Times New Roman" w:hint="eastAsia"/>
            <w:kern w:val="36"/>
            <w:lang w:eastAsia="zh-TW" w:bidi="ar-SA"/>
          </w:rPr>
          <w:t>研究設計與實施</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肆、</w:t>
      </w:r>
      <w:hyperlink w:anchor="_肆、我國技術移民政策之現況、優勢與困境" w:history="1">
        <w:r w:rsidR="00CC4D07" w:rsidRPr="00A35933">
          <w:rPr>
            <w:rStyle w:val="a7"/>
            <w:rFonts w:cs="Times New Roman" w:hint="eastAsia"/>
            <w:kern w:val="36"/>
            <w:lang w:eastAsia="zh-TW" w:bidi="ar-SA"/>
          </w:rPr>
          <w:t>我國技術移民政策之現況、優勢與困境</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伍、</w:t>
      </w:r>
      <w:hyperlink w:anchor="_伍、僑外生留臺計畫評點制之現況與困境" w:history="1">
        <w:r w:rsidR="00CC4D07" w:rsidRPr="003E18C8">
          <w:rPr>
            <w:rStyle w:val="a7"/>
            <w:rFonts w:cs="Times New Roman" w:hint="eastAsia"/>
            <w:kern w:val="36"/>
            <w:lang w:eastAsia="zh-TW" w:bidi="ar-SA"/>
          </w:rPr>
          <w:t>僑外生留臺計畫評點制之現況與困境</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陸、</w:t>
      </w:r>
      <w:hyperlink w:anchor="_陸、我國評點制技術移民政策尚待解決之問題與未來可行發展之方向" w:history="1">
        <w:r w:rsidR="00CC4D07" w:rsidRPr="003E18C8">
          <w:rPr>
            <w:rStyle w:val="a7"/>
            <w:rFonts w:cs="Times New Roman" w:hint="eastAsia"/>
            <w:kern w:val="36"/>
            <w:lang w:eastAsia="zh-TW" w:bidi="ar-SA"/>
          </w:rPr>
          <w:t>我國評點制技術移民政策尚待解決之問題與未來可行發展之方向</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柒、</w:t>
      </w:r>
      <w:hyperlink w:anchor="_柒、結論與建議" w:history="1">
        <w:r w:rsidR="00CC4D07" w:rsidRPr="003E18C8">
          <w:rPr>
            <w:rStyle w:val="a7"/>
            <w:rFonts w:cs="Times New Roman" w:hint="eastAsia"/>
            <w:kern w:val="36"/>
            <w:lang w:eastAsia="zh-TW" w:bidi="ar-SA"/>
          </w:rPr>
          <w:t>結論與建議</w:t>
        </w:r>
      </w:hyperlink>
    </w:p>
    <w:p w:rsidR="00CC4D07" w:rsidRPr="00496946" w:rsidRDefault="00CC4D07" w:rsidP="00CC4D07">
      <w:pPr>
        <w:ind w:leftChars="0" w:left="142"/>
        <w:rPr>
          <w:color w:val="990000"/>
          <w:kern w:val="36"/>
        </w:rPr>
      </w:pPr>
      <w:bookmarkStart w:id="6" w:name="a目次4"/>
      <w:bookmarkEnd w:id="6"/>
      <w:r w:rsidRPr="00496946">
        <w:rPr>
          <w:rFonts w:hint="eastAsia"/>
          <w:color w:val="990000"/>
          <w:kern w:val="36"/>
        </w:rPr>
        <w:t>第四章</w:t>
      </w:r>
      <w:r w:rsidR="00AA03F8" w:rsidRPr="00496946">
        <w:rPr>
          <w:rFonts w:hint="eastAsia"/>
          <w:color w:val="990000"/>
          <w:kern w:val="36"/>
        </w:rPr>
        <w:t>、</w:t>
      </w:r>
      <w:hyperlink w:anchor="_第四章、不同國籍新移民生活適應與需求的實證分析" w:history="1">
        <w:r w:rsidRPr="00AF69C2">
          <w:rPr>
            <w:rStyle w:val="a7"/>
            <w:rFonts w:cs="Times New Roman"/>
            <w:kern w:val="36"/>
            <w:lang w:eastAsia="zh-TW" w:bidi="ar-SA"/>
          </w:rPr>
          <w:t>不同國籍新移民生活適應與需求的實證分析</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壹、</w:t>
      </w:r>
      <w:hyperlink w:anchor="_壹、前言_1" w:history="1">
        <w:r w:rsidR="00CC4D07" w:rsidRPr="003E18C8">
          <w:rPr>
            <w:rStyle w:val="a7"/>
            <w:rFonts w:cs="Times New Roman" w:hint="eastAsia"/>
            <w:kern w:val="36"/>
            <w:lang w:eastAsia="zh-TW" w:bidi="ar-SA"/>
          </w:rPr>
          <w:t>前言</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貳、</w:t>
      </w:r>
      <w:hyperlink w:anchor="_貳、文獻探討" w:history="1">
        <w:r w:rsidR="00CC4D07" w:rsidRPr="003E18C8">
          <w:rPr>
            <w:rStyle w:val="a7"/>
            <w:rFonts w:cs="Times New Roman" w:hint="eastAsia"/>
            <w:kern w:val="36"/>
            <w:lang w:eastAsia="zh-TW" w:bidi="ar-SA"/>
          </w:rPr>
          <w:t>文獻探討</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參、</w:t>
      </w:r>
      <w:hyperlink w:anchor="_參、研究方法" w:history="1">
        <w:r w:rsidR="00CC4D07" w:rsidRPr="003E18C8">
          <w:rPr>
            <w:rStyle w:val="a7"/>
            <w:rFonts w:cs="Times New Roman" w:hint="eastAsia"/>
            <w:kern w:val="36"/>
            <w:lang w:eastAsia="zh-TW" w:bidi="ar-SA"/>
          </w:rPr>
          <w:t>研究方法</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肆、</w:t>
      </w:r>
      <w:hyperlink w:anchor="_肆、資料分析" w:history="1">
        <w:r w:rsidR="00CC4D07" w:rsidRPr="003E18C8">
          <w:rPr>
            <w:rStyle w:val="a7"/>
            <w:rFonts w:cs="Times New Roman" w:hint="eastAsia"/>
            <w:kern w:val="36"/>
            <w:lang w:eastAsia="zh-TW" w:bidi="ar-SA"/>
          </w:rPr>
          <w:t>資料分析</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伍、</w:t>
      </w:r>
      <w:hyperlink w:anchor="_伍、結論與建議_1" w:history="1">
        <w:r w:rsidR="00CC4D07" w:rsidRPr="00042127">
          <w:rPr>
            <w:rStyle w:val="a7"/>
            <w:rFonts w:cs="Times New Roman" w:hint="eastAsia"/>
            <w:kern w:val="36"/>
            <w:lang w:eastAsia="zh-TW" w:bidi="ar-SA"/>
          </w:rPr>
          <w:t>結論與建議</w:t>
        </w:r>
      </w:hyperlink>
    </w:p>
    <w:p w:rsidR="00CC4D07" w:rsidRPr="00496946" w:rsidRDefault="00CC4D07" w:rsidP="00CC4D07">
      <w:pPr>
        <w:ind w:leftChars="0" w:left="142"/>
        <w:rPr>
          <w:color w:val="990000"/>
          <w:kern w:val="36"/>
        </w:rPr>
      </w:pPr>
      <w:bookmarkStart w:id="7" w:name="a目次5"/>
      <w:bookmarkEnd w:id="7"/>
      <w:r w:rsidRPr="00496946">
        <w:rPr>
          <w:rFonts w:hint="eastAsia"/>
          <w:color w:val="990000"/>
          <w:kern w:val="36"/>
        </w:rPr>
        <w:t>第五章</w:t>
      </w:r>
      <w:r w:rsidR="00AA03F8" w:rsidRPr="00496946">
        <w:rPr>
          <w:rFonts w:hint="eastAsia"/>
          <w:color w:val="990000"/>
          <w:kern w:val="36"/>
        </w:rPr>
        <w:t>、</w:t>
      </w:r>
      <w:hyperlink w:anchor="_第五章、新住民配偶來臺之法令規範及生活權益平等權之探討：含實例分析" w:history="1">
        <w:r w:rsidRPr="00AF69C2">
          <w:rPr>
            <w:rStyle w:val="a7"/>
            <w:rFonts w:cs="Times New Roman"/>
            <w:kern w:val="36"/>
            <w:lang w:eastAsia="zh-TW" w:bidi="ar-SA"/>
          </w:rPr>
          <w:t>新住民配偶來臺之法令規範及生活權益平等權之探討：含實例分析</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壹、</w:t>
      </w:r>
      <w:hyperlink w:anchor="_壹、前言_2" w:history="1">
        <w:r w:rsidR="00CC4D07" w:rsidRPr="00857650">
          <w:rPr>
            <w:rStyle w:val="a7"/>
            <w:rFonts w:cs="Times New Roman" w:hint="eastAsia"/>
            <w:kern w:val="36"/>
            <w:lang w:eastAsia="zh-TW" w:bidi="ar-SA"/>
          </w:rPr>
          <w:t>前言</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貳、</w:t>
      </w:r>
      <w:hyperlink w:anchor="_貳、新住民配偶來台之規範探討" w:history="1">
        <w:r w:rsidR="00CC4D07" w:rsidRPr="00857650">
          <w:rPr>
            <w:rStyle w:val="a7"/>
            <w:rFonts w:cs="Times New Roman" w:hint="eastAsia"/>
            <w:kern w:val="36"/>
            <w:lang w:eastAsia="zh-TW" w:bidi="ar-SA"/>
          </w:rPr>
          <w:t>新住民配偶來台之規範探討</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參、</w:t>
      </w:r>
      <w:hyperlink w:anchor="_參、平等權之探討" w:history="1">
        <w:r w:rsidR="00CC4D07" w:rsidRPr="00857650">
          <w:rPr>
            <w:rStyle w:val="a7"/>
            <w:rFonts w:cs="Times New Roman" w:hint="eastAsia"/>
            <w:kern w:val="36"/>
            <w:lang w:eastAsia="zh-TW" w:bidi="ar-SA"/>
          </w:rPr>
          <w:t>平等權之探討</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肆、</w:t>
      </w:r>
      <w:hyperlink w:anchor="_肆、新住民配偶來臺生活權益平等問題之實例探討" w:history="1">
        <w:r w:rsidR="00CC4D07" w:rsidRPr="00857650">
          <w:rPr>
            <w:rStyle w:val="a7"/>
            <w:rFonts w:cs="Times New Roman" w:hint="eastAsia"/>
            <w:kern w:val="36"/>
            <w:lang w:eastAsia="zh-TW" w:bidi="ar-SA"/>
          </w:rPr>
          <w:t>新住民配偶來臺生活權益平等問題之實例探討</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伍、</w:t>
      </w:r>
      <w:hyperlink w:anchor="_伍、結論與建議" w:history="1">
        <w:r w:rsidR="00CC4D07" w:rsidRPr="00857650">
          <w:rPr>
            <w:rStyle w:val="a7"/>
            <w:rFonts w:cs="Times New Roman" w:hint="eastAsia"/>
            <w:kern w:val="36"/>
            <w:lang w:eastAsia="zh-TW" w:bidi="ar-SA"/>
          </w:rPr>
          <w:t>結論與建議</w:t>
        </w:r>
      </w:hyperlink>
    </w:p>
    <w:p w:rsidR="00CC4D07" w:rsidRPr="00496946" w:rsidRDefault="00CC4D07" w:rsidP="00CC4D07">
      <w:pPr>
        <w:ind w:leftChars="0" w:left="142"/>
        <w:rPr>
          <w:color w:val="990000"/>
          <w:kern w:val="36"/>
        </w:rPr>
      </w:pPr>
      <w:bookmarkStart w:id="8" w:name="a目次6"/>
      <w:bookmarkEnd w:id="8"/>
      <w:r w:rsidRPr="00496946">
        <w:rPr>
          <w:rFonts w:hint="eastAsia"/>
          <w:color w:val="990000"/>
          <w:kern w:val="36"/>
        </w:rPr>
        <w:t>第六章</w:t>
      </w:r>
      <w:r w:rsidR="00AA03F8" w:rsidRPr="00496946">
        <w:rPr>
          <w:rFonts w:hint="eastAsia"/>
          <w:color w:val="990000"/>
          <w:kern w:val="36"/>
        </w:rPr>
        <w:t>、</w:t>
      </w:r>
      <w:hyperlink w:anchor="_第六章、從源頭安全管理觀點探討大陸地區人民來台之管控機制：兼論兩岸跨境" w:history="1">
        <w:r w:rsidRPr="00AF69C2">
          <w:rPr>
            <w:rStyle w:val="a7"/>
            <w:rFonts w:cs="Times New Roman"/>
            <w:kern w:val="36"/>
            <w:lang w:eastAsia="zh-TW" w:bidi="ar-SA"/>
          </w:rPr>
          <w:t>從源頭安全管理觀點探討大陸地區人民來台之管控機制：兼論兩岸跨境人流管理可行之合作機制</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壹、</w:t>
      </w:r>
      <w:hyperlink w:anchor="_壹、前言_3" w:history="1">
        <w:r w:rsidR="00CC4D07" w:rsidRPr="00857650">
          <w:rPr>
            <w:rStyle w:val="a7"/>
            <w:rFonts w:cs="Times New Roman" w:hint="eastAsia"/>
            <w:kern w:val="36"/>
            <w:lang w:eastAsia="zh-TW" w:bidi="ar-SA"/>
          </w:rPr>
          <w:t>前言</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貳、</w:t>
      </w:r>
      <w:hyperlink w:anchor="_貳、源頭安全管理概論" w:history="1">
        <w:r w:rsidR="00CC4D07" w:rsidRPr="00857650">
          <w:rPr>
            <w:rStyle w:val="a7"/>
            <w:rFonts w:cs="Times New Roman" w:hint="eastAsia"/>
            <w:kern w:val="36"/>
            <w:lang w:eastAsia="zh-TW" w:bidi="ar-SA"/>
          </w:rPr>
          <w:t>源頭安全管理概論</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參、</w:t>
      </w:r>
      <w:hyperlink w:anchor="_參、兩岸關係淺析" w:history="1">
        <w:r w:rsidR="00CC4D07" w:rsidRPr="00857650">
          <w:rPr>
            <w:rStyle w:val="a7"/>
            <w:rFonts w:cs="Times New Roman" w:hint="eastAsia"/>
            <w:kern w:val="36"/>
            <w:lang w:eastAsia="zh-TW" w:bidi="ar-SA"/>
          </w:rPr>
          <w:t>兩岸關係淺析</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肆、</w:t>
      </w:r>
      <w:hyperlink w:anchor="_肆、大陸人民來台現況概述" w:history="1">
        <w:r w:rsidR="00CC4D07" w:rsidRPr="00857650">
          <w:rPr>
            <w:rStyle w:val="a7"/>
            <w:rFonts w:cs="Times New Roman" w:hint="eastAsia"/>
            <w:kern w:val="36"/>
            <w:lang w:eastAsia="zh-TW" w:bidi="ar-SA"/>
          </w:rPr>
          <w:t>大陸人民來台現況概述</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伍、</w:t>
      </w:r>
      <w:hyperlink w:anchor="_伍、大陸地區人民來台之源頭安全管理之實務探討與分析" w:history="1">
        <w:r w:rsidR="00CC4D07" w:rsidRPr="00857650">
          <w:rPr>
            <w:rStyle w:val="a7"/>
            <w:rFonts w:cs="Times New Roman" w:hint="eastAsia"/>
            <w:kern w:val="36"/>
            <w:lang w:eastAsia="zh-TW" w:bidi="ar-SA"/>
          </w:rPr>
          <w:t>大陸地區人民來台之源頭安全管理之實務探討與分析</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陸、</w:t>
      </w:r>
      <w:hyperlink w:anchor="_陸、兩岸互設辦事處進行源頭安全管理可行性之初探" w:history="1">
        <w:r w:rsidR="00CC4D07" w:rsidRPr="00857650">
          <w:rPr>
            <w:rStyle w:val="a7"/>
            <w:rFonts w:cs="Times New Roman" w:hint="eastAsia"/>
            <w:kern w:val="36"/>
            <w:lang w:eastAsia="zh-TW" w:bidi="ar-SA"/>
          </w:rPr>
          <w:t>兩岸互設辦事處進行源頭安全管理可行性之初探</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柒、</w:t>
      </w:r>
      <w:hyperlink w:anchor="_柒、結論與建議_1" w:history="1">
        <w:r w:rsidR="00CC4D07" w:rsidRPr="00857650">
          <w:rPr>
            <w:rStyle w:val="a7"/>
            <w:rFonts w:cs="Times New Roman" w:hint="eastAsia"/>
            <w:kern w:val="36"/>
            <w:lang w:eastAsia="zh-TW" w:bidi="ar-SA"/>
          </w:rPr>
          <w:t>結論與建議</w:t>
        </w:r>
      </w:hyperlink>
    </w:p>
    <w:p w:rsidR="00CC4D07" w:rsidRPr="00496946" w:rsidRDefault="00CC4D07" w:rsidP="00CC4D07">
      <w:pPr>
        <w:ind w:leftChars="0" w:left="142"/>
        <w:rPr>
          <w:color w:val="990000"/>
          <w:kern w:val="36"/>
        </w:rPr>
      </w:pPr>
      <w:bookmarkStart w:id="9" w:name="a目次7"/>
      <w:bookmarkEnd w:id="9"/>
      <w:r w:rsidRPr="00496946">
        <w:rPr>
          <w:rFonts w:hint="eastAsia"/>
          <w:color w:val="990000"/>
          <w:kern w:val="36"/>
        </w:rPr>
        <w:t>第七章</w:t>
      </w:r>
      <w:r w:rsidR="00AA03F8" w:rsidRPr="00496946">
        <w:rPr>
          <w:rFonts w:hint="eastAsia"/>
          <w:color w:val="990000"/>
          <w:kern w:val="36"/>
        </w:rPr>
        <w:t>、</w:t>
      </w:r>
      <w:hyperlink w:anchor="_第七章__結論與建議" w:history="1">
        <w:r w:rsidRPr="00AA03F8">
          <w:rPr>
            <w:rStyle w:val="a7"/>
            <w:lang w:eastAsia="zh-TW"/>
          </w:rPr>
          <w:t>結論與建議</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壹、</w:t>
      </w:r>
      <w:hyperlink w:anchor="_壹、結論" w:history="1">
        <w:r w:rsidR="00CC4D07" w:rsidRPr="00AF69C2">
          <w:rPr>
            <w:rStyle w:val="a7"/>
            <w:rFonts w:cs="Times New Roman" w:hint="eastAsia"/>
            <w:kern w:val="36"/>
            <w:lang w:eastAsia="zh-TW" w:bidi="ar-SA"/>
          </w:rPr>
          <w:t>結論</w:t>
        </w:r>
      </w:hyperlink>
    </w:p>
    <w:p w:rsidR="00CC4D07" w:rsidRPr="00496946" w:rsidRDefault="00587E93" w:rsidP="00CC4D07">
      <w:pPr>
        <w:ind w:leftChars="0" w:left="142"/>
        <w:rPr>
          <w:color w:val="990000"/>
          <w:kern w:val="36"/>
        </w:rPr>
      </w:pPr>
      <w:r w:rsidRPr="00587E93">
        <w:rPr>
          <w:rFonts w:hint="eastAsia"/>
          <w:color w:val="990000"/>
          <w:kern w:val="36"/>
        </w:rPr>
        <w:t>》</w:t>
      </w:r>
      <w:r w:rsidR="00CC4D07" w:rsidRPr="00496946">
        <w:rPr>
          <w:rFonts w:hint="eastAsia"/>
          <w:color w:val="990000"/>
          <w:kern w:val="36"/>
        </w:rPr>
        <w:t>貳、</w:t>
      </w:r>
      <w:hyperlink w:anchor="_貳、建議" w:history="1">
        <w:r w:rsidR="00CC4D07" w:rsidRPr="003E18C8">
          <w:rPr>
            <w:rStyle w:val="a7"/>
            <w:rFonts w:cs="Times New Roman" w:hint="eastAsia"/>
            <w:kern w:val="36"/>
            <w:lang w:eastAsia="zh-TW" w:bidi="ar-SA"/>
          </w:rPr>
          <w:t>建議</w:t>
        </w:r>
      </w:hyperlink>
    </w:p>
    <w:p w:rsidR="00CC4D07" w:rsidRDefault="00587E93" w:rsidP="00CC4D07">
      <w:pPr>
        <w:ind w:leftChars="0" w:left="142"/>
        <w:rPr>
          <w:color w:val="990000"/>
        </w:rPr>
      </w:pPr>
      <w:r w:rsidRPr="00881F68">
        <w:rPr>
          <w:color w:val="990000"/>
        </w:rPr>
        <w:t>【</w:t>
      </w:r>
      <w:hyperlink w:anchor="_參考文獻" w:history="1">
        <w:r w:rsidR="00CC4D07" w:rsidRPr="00881F68">
          <w:rPr>
            <w:rStyle w:val="a7"/>
            <w:rFonts w:cs="Times New Roman" w:hint="eastAsia"/>
            <w:kern w:val="36"/>
            <w:lang w:eastAsia="zh-TW"/>
          </w:rPr>
          <w:t>參考文獻</w:t>
        </w:r>
      </w:hyperlink>
      <w:r w:rsidRPr="00881F68">
        <w:rPr>
          <w:color w:val="990000"/>
        </w:rPr>
        <w:t>】</w:t>
      </w:r>
    </w:p>
    <w:p w:rsidR="001A0B61" w:rsidRDefault="001A0B61" w:rsidP="00CC4D07">
      <w:pPr>
        <w:ind w:leftChars="0" w:left="142"/>
        <w:rPr>
          <w:color w:val="990000"/>
          <w:kern w:val="36"/>
        </w:rPr>
      </w:pPr>
    </w:p>
    <w:p w:rsidR="001A0B61" w:rsidRDefault="001A0B61" w:rsidP="00CC4D07">
      <w:pPr>
        <w:ind w:leftChars="0" w:left="142"/>
        <w:rPr>
          <w:color w:val="990000"/>
          <w:kern w:val="36"/>
        </w:rPr>
      </w:pPr>
    </w:p>
    <w:p w:rsidR="001A0B61" w:rsidRDefault="001A0B61" w:rsidP="00CC4D07">
      <w:pPr>
        <w:ind w:leftChars="0" w:left="142"/>
        <w:rPr>
          <w:color w:val="990000"/>
          <w:kern w:val="36"/>
        </w:rPr>
      </w:pPr>
    </w:p>
    <w:p w:rsidR="001A0B61" w:rsidRPr="00881F68" w:rsidRDefault="001A0B61" w:rsidP="00CC4D07">
      <w:pPr>
        <w:ind w:leftChars="0" w:left="142"/>
        <w:rPr>
          <w:color w:val="990000"/>
          <w:kern w:val="36"/>
        </w:rPr>
      </w:pPr>
    </w:p>
    <w:p w:rsidR="00CC4D07" w:rsidRPr="00CC4D07" w:rsidRDefault="003E18C8" w:rsidP="0008714D">
      <w:pPr>
        <w:ind w:leftChars="0"/>
        <w:jc w:val="right"/>
        <w:rPr>
          <w:kern w:val="36"/>
        </w:rPr>
      </w:pPr>
      <w:r w:rsidRPr="00D45AD2">
        <w:rPr>
          <w:rFonts w:hint="eastAsia"/>
          <w:sz w:val="22"/>
        </w:rPr>
        <w:t>。。。。。。。。。。。。。。。。。。</w:t>
      </w:r>
      <w:hyperlink w:anchor="a目次" w:history="1">
        <w:r>
          <w:rPr>
            <w:rStyle w:val="a7"/>
            <w:sz w:val="22"/>
            <w:lang w:eastAsia="zh-TW"/>
          </w:rPr>
          <w:t>回總目次</w:t>
        </w:r>
      </w:hyperlink>
      <w:r w:rsidRPr="00D45AD2">
        <w:rPr>
          <w:color w:val="808000"/>
          <w:sz w:val="22"/>
        </w:rPr>
        <w:t>〉〉</w:t>
      </w:r>
    </w:p>
    <w:p w:rsidR="0049577B" w:rsidRPr="00B40DC1" w:rsidRDefault="0049577B" w:rsidP="000D26BB">
      <w:pPr>
        <w:rPr>
          <w:sz w:val="24"/>
        </w:rPr>
      </w:pPr>
    </w:p>
    <w:p w:rsidR="0049577B" w:rsidRPr="00DC26EE" w:rsidRDefault="00DC26EE" w:rsidP="00B662A4">
      <w:pPr>
        <w:pStyle w:val="11"/>
      </w:pPr>
      <w:bookmarkStart w:id="10" w:name="_【作者簡介】"/>
      <w:bookmarkEnd w:id="10"/>
      <w:r w:rsidRPr="00DC26EE">
        <w:rPr>
          <w:rFonts w:hint="eastAsia"/>
        </w:rPr>
        <w:lastRenderedPageBreak/>
        <w:t>【</w:t>
      </w:r>
      <w:r w:rsidR="0049577B" w:rsidRPr="00DC26EE">
        <w:t>作者簡介</w:t>
      </w:r>
      <w:r w:rsidRPr="00DC26EE">
        <w:rPr>
          <w:rFonts w:hint="eastAsia"/>
        </w:rPr>
        <w:t>】</w:t>
      </w:r>
    </w:p>
    <w:p w:rsidR="0049577B" w:rsidRPr="007D602F" w:rsidRDefault="00FF6603" w:rsidP="00B662A4">
      <w:pPr>
        <w:pStyle w:val="11"/>
      </w:pPr>
      <w:bookmarkStart w:id="11" w:name="_【柯雨瑞_教授】"/>
      <w:bookmarkEnd w:id="11"/>
      <w:r w:rsidRPr="00FF6603">
        <w:rPr>
          <w:rFonts w:hint="eastAsia"/>
        </w:rPr>
        <w:t>【</w:t>
      </w:r>
      <w:r w:rsidR="0049577B" w:rsidRPr="007D602F">
        <w:t>柯雨瑞 教授</w:t>
      </w:r>
      <w:r w:rsidRPr="00DC26EE">
        <w:rPr>
          <w:rFonts w:hint="eastAsia"/>
        </w:rPr>
        <w:t>】</w:t>
      </w:r>
    </w:p>
    <w:p w:rsidR="0050642D" w:rsidRPr="0050642D" w:rsidRDefault="0050642D" w:rsidP="00DC26EE">
      <w:pPr>
        <w:ind w:leftChars="0" w:left="0" w:rightChars="0" w:right="0"/>
      </w:pPr>
      <w:r w:rsidRPr="0050642D">
        <w:rPr>
          <w:rFonts w:hint="eastAsia"/>
        </w:rPr>
        <w:t>【現任】</w:t>
      </w:r>
    </w:p>
    <w:p w:rsidR="0050642D" w:rsidRPr="0050642D" w:rsidRDefault="0050642D" w:rsidP="00DC26EE">
      <w:pPr>
        <w:ind w:leftChars="0" w:left="0" w:rightChars="0" w:right="0"/>
      </w:pPr>
      <w:r w:rsidRPr="0050642D">
        <w:rPr>
          <w:rFonts w:hint="eastAsia"/>
        </w:rPr>
        <w:t xml:space="preserve">　　</w:t>
      </w:r>
      <w:r w:rsidRPr="0050642D">
        <w:t>1.中央警察大學國境警察學系專任教授（民國102年07月24日教育部教字第020461號教授證書;Professor Certificate , REG.NO: 020461，教育部部長：蔣偉寧）；</w:t>
      </w:r>
    </w:p>
    <w:p w:rsidR="0050642D" w:rsidRPr="0050642D" w:rsidRDefault="0050642D" w:rsidP="00DC26EE">
      <w:pPr>
        <w:ind w:leftChars="0" w:left="0" w:rightChars="0" w:right="0"/>
      </w:pPr>
      <w:r w:rsidRPr="0050642D">
        <w:rPr>
          <w:rFonts w:hint="eastAsia"/>
        </w:rPr>
        <w:t xml:space="preserve">　　</w:t>
      </w:r>
      <w:r w:rsidRPr="0050642D">
        <w:t>2.中央警察大學國境警察學系教師評審會委員；</w:t>
      </w:r>
    </w:p>
    <w:p w:rsidR="0050642D" w:rsidRPr="0050642D" w:rsidRDefault="0050642D" w:rsidP="00DC26EE">
      <w:pPr>
        <w:ind w:leftChars="0" w:left="0" w:rightChars="0" w:right="0"/>
      </w:pPr>
      <w:r w:rsidRPr="0050642D">
        <w:rPr>
          <w:rFonts w:hint="eastAsia"/>
        </w:rPr>
        <w:t xml:space="preserve">　　</w:t>
      </w:r>
      <w:r w:rsidRPr="0050642D">
        <w:t>3.中央警察大學國境警察學系課程會委員；</w:t>
      </w:r>
    </w:p>
    <w:p w:rsidR="0050642D" w:rsidRPr="0050642D" w:rsidRDefault="0050642D" w:rsidP="00DC26EE">
      <w:pPr>
        <w:ind w:leftChars="0" w:left="0" w:rightChars="0" w:right="0"/>
      </w:pPr>
      <w:r w:rsidRPr="0050642D">
        <w:rPr>
          <w:rFonts w:hint="eastAsia"/>
        </w:rPr>
        <w:t xml:space="preserve">　　</w:t>
      </w:r>
      <w:r w:rsidRPr="0050642D">
        <w:t>4.中央警察大學電子公文節能減紙執行小組工作成員；</w:t>
      </w:r>
    </w:p>
    <w:p w:rsidR="0050642D" w:rsidRPr="0050642D" w:rsidRDefault="0050642D" w:rsidP="00DC26EE">
      <w:pPr>
        <w:ind w:leftChars="0" w:left="0" w:rightChars="0" w:right="0"/>
      </w:pPr>
      <w:r w:rsidRPr="0050642D">
        <w:rPr>
          <w:rFonts w:hint="eastAsia"/>
        </w:rPr>
        <w:t xml:space="preserve">　　</w:t>
      </w:r>
      <w:r w:rsidRPr="0050642D">
        <w:t>5.中華國土安全研究協會理事；</w:t>
      </w:r>
    </w:p>
    <w:p w:rsidR="0050642D" w:rsidRPr="0050642D" w:rsidRDefault="0050642D" w:rsidP="00DC26EE">
      <w:pPr>
        <w:ind w:leftChars="0" w:left="0" w:rightChars="0" w:right="0"/>
      </w:pPr>
      <w:r w:rsidRPr="0050642D">
        <w:rPr>
          <w:rFonts w:hint="eastAsia"/>
        </w:rPr>
        <w:t xml:space="preserve">　　</w:t>
      </w:r>
      <w:r w:rsidRPr="0050642D">
        <w:t>6.桃園市「毒品危害防制中心推動委員會」委員</w:t>
      </w:r>
    </w:p>
    <w:p w:rsidR="0050642D" w:rsidRPr="0050642D" w:rsidRDefault="0050642D" w:rsidP="00DC26EE">
      <w:pPr>
        <w:ind w:leftChars="0" w:left="0" w:rightChars="0" w:right="0"/>
      </w:pPr>
      <w:r w:rsidRPr="0050642D">
        <w:rPr>
          <w:rFonts w:hint="eastAsia"/>
        </w:rPr>
        <w:t xml:space="preserve">　　</w:t>
      </w:r>
      <w:r w:rsidRPr="0050642D">
        <w:t>7.中央警察大學（土地公廟）誠園福德管理委員會委員</w:t>
      </w:r>
    </w:p>
    <w:p w:rsidR="0050642D" w:rsidRPr="0050642D" w:rsidRDefault="0050642D" w:rsidP="00DC26EE">
      <w:pPr>
        <w:ind w:leftChars="0" w:left="0" w:rightChars="0" w:right="0"/>
      </w:pPr>
      <w:r w:rsidRPr="0050642D">
        <w:rPr>
          <w:rFonts w:hint="eastAsia"/>
        </w:rPr>
        <w:t>【學歷】</w:t>
      </w:r>
    </w:p>
    <w:p w:rsidR="0050642D" w:rsidRPr="0050642D" w:rsidRDefault="0050642D" w:rsidP="00DC26EE">
      <w:pPr>
        <w:ind w:leftChars="0" w:left="0" w:rightChars="0" w:right="0"/>
      </w:pPr>
      <w:r w:rsidRPr="0050642D">
        <w:rPr>
          <w:rFonts w:hint="eastAsia"/>
        </w:rPr>
        <w:t xml:space="preserve">　　</w:t>
      </w:r>
      <w:r w:rsidRPr="0050642D">
        <w:t>1.中央警察大學行政警察學系法學學士（民國74-78年）（民國78年06月28日內政部台警本字第008號畢業證書，校長：顏世錫，內政部部長：許水德）；</w:t>
      </w:r>
    </w:p>
    <w:p w:rsidR="0050642D" w:rsidRPr="0050642D" w:rsidRDefault="0050642D" w:rsidP="00DC26EE">
      <w:pPr>
        <w:ind w:leftChars="0" w:left="0" w:rightChars="0" w:right="0"/>
      </w:pPr>
      <w:r w:rsidRPr="0050642D">
        <w:rPr>
          <w:rFonts w:hint="eastAsia"/>
        </w:rPr>
        <w:t xml:space="preserve">　　</w:t>
      </w:r>
      <w:r w:rsidRPr="0050642D">
        <w:t>2.中央警察大學行政警察研究所法學碩士（民國81-83年）（民國83年06月中央警官學校（83）碩字第045號畢業證書，所長：許春金；校長：顏世錫）；</w:t>
      </w:r>
    </w:p>
    <w:p w:rsidR="0050642D" w:rsidRPr="0050642D" w:rsidRDefault="0050642D" w:rsidP="00DC26EE">
      <w:pPr>
        <w:ind w:leftChars="0" w:left="0" w:rightChars="0" w:right="0"/>
      </w:pPr>
      <w:r w:rsidRPr="0050642D">
        <w:rPr>
          <w:rFonts w:hint="eastAsia"/>
        </w:rPr>
        <w:t xml:space="preserve">　　</w:t>
      </w:r>
      <w:r w:rsidRPr="0050642D">
        <w:t>3.中央警察大學犯罪防治研究所法學博士（民國88-96年）（民國96年01月中央警察大學（96）博證字第2號博士學位證書，所長：謝文彥；校長：謝銀黨）</w:t>
      </w:r>
    </w:p>
    <w:p w:rsidR="0050642D" w:rsidRPr="0050642D" w:rsidRDefault="0050642D" w:rsidP="00DC26EE">
      <w:pPr>
        <w:ind w:leftChars="0" w:left="0" w:rightChars="0" w:right="0"/>
      </w:pPr>
      <w:r w:rsidRPr="0050642D">
        <w:rPr>
          <w:rFonts w:hint="eastAsia"/>
        </w:rPr>
        <w:t>【經歷】</w:t>
      </w:r>
    </w:p>
    <w:p w:rsidR="0050642D" w:rsidRPr="0050642D" w:rsidRDefault="0050642D" w:rsidP="00DC26EE">
      <w:pPr>
        <w:ind w:leftChars="0" w:left="0" w:rightChars="0" w:right="0"/>
      </w:pPr>
      <w:r w:rsidRPr="0050642D">
        <w:rPr>
          <w:rFonts w:hint="eastAsia"/>
        </w:rPr>
        <w:t xml:space="preserve">　　</w:t>
      </w:r>
      <w:r w:rsidRPr="0050642D">
        <w:t>1.內政部警政署台灣省保安警察第三總隊第六中隊（基隆）分隊長（民國78年12月13日台灣省政府警務處令警人甲字第2941號，官等：警佐三至一階，兼處長：于春艷；民國78年12月18日台灣省保安警察第三總隊令（78）保三警人字第16027號，官等：警佐三至一階，總隊長：馬鑫昌）</w:t>
      </w:r>
    </w:p>
    <w:p w:rsidR="0050642D" w:rsidRPr="0050642D" w:rsidRDefault="0050642D" w:rsidP="00DC26EE">
      <w:pPr>
        <w:ind w:leftChars="0" w:left="0" w:rightChars="0" w:right="0"/>
      </w:pPr>
      <w:r w:rsidRPr="0050642D">
        <w:rPr>
          <w:rFonts w:hint="eastAsia"/>
        </w:rPr>
        <w:t xml:space="preserve">　　</w:t>
      </w:r>
      <w:r w:rsidRPr="0050642D">
        <w:t>2.內政部警政署保安警察第三總隊第二大隊（基隆）第三中隊分隊長</w:t>
      </w:r>
    </w:p>
    <w:p w:rsidR="0050642D" w:rsidRPr="0050642D" w:rsidRDefault="0050642D" w:rsidP="00DC26EE">
      <w:pPr>
        <w:ind w:leftChars="0" w:left="0" w:rightChars="0" w:right="0"/>
      </w:pPr>
      <w:r w:rsidRPr="0050642D">
        <w:rPr>
          <w:rFonts w:hint="eastAsia"/>
        </w:rPr>
        <w:t xml:space="preserve">　　</w:t>
      </w:r>
      <w:r w:rsidRPr="0050642D">
        <w:t>3.內政部警政署保安警察第三總隊第一大隊（台北）第一中隊警務員（民國80年9月27日內政部警政署令（80）警署人甲字第935號，官等：警佐一階，署長：莊亨岱；民國80年10月29日內政部警政署保安警察第三總隊令（80）保三警人字第12800號，官等：警佐一階，總隊長：翁錦魁）</w:t>
      </w:r>
    </w:p>
    <w:p w:rsidR="0050642D" w:rsidRPr="0050642D" w:rsidRDefault="0050642D" w:rsidP="00DC26EE">
      <w:pPr>
        <w:ind w:leftChars="0" w:left="0" w:rightChars="0" w:right="0"/>
      </w:pPr>
      <w:r w:rsidRPr="0050642D">
        <w:rPr>
          <w:rFonts w:hint="eastAsia"/>
        </w:rPr>
        <w:t xml:space="preserve">　　</w:t>
      </w:r>
      <w:r w:rsidRPr="0050642D">
        <w:t>4.中央警察大學國境警察學系助教（民國83年09月23日教育部助字第39707號助教證書，教育部部長：郭為藩）；</w:t>
      </w:r>
    </w:p>
    <w:p w:rsidR="0050642D" w:rsidRPr="0050642D" w:rsidRDefault="0050642D" w:rsidP="00DC26EE">
      <w:pPr>
        <w:ind w:leftChars="0" w:left="0" w:rightChars="0" w:right="0"/>
      </w:pPr>
      <w:r w:rsidRPr="0050642D">
        <w:rPr>
          <w:rFonts w:hint="eastAsia"/>
        </w:rPr>
        <w:t xml:space="preserve">　　</w:t>
      </w:r>
      <w:r w:rsidRPr="0050642D">
        <w:t>5.中央警察大學國境警察學系講師（民國88年02月11日教育部講字第056102號講師證書，教育部部長：林清江）</w:t>
      </w:r>
    </w:p>
    <w:p w:rsidR="0050642D" w:rsidRPr="0050642D" w:rsidRDefault="0050642D" w:rsidP="00DC26EE">
      <w:pPr>
        <w:ind w:leftChars="0" w:left="0" w:rightChars="0" w:right="0"/>
      </w:pPr>
      <w:r w:rsidRPr="0050642D">
        <w:rPr>
          <w:rFonts w:hint="eastAsia"/>
        </w:rPr>
        <w:t xml:space="preserve">　　</w:t>
      </w:r>
      <w:r w:rsidRPr="0050642D">
        <w:t>6.中央警察大學國境警察學系副教授（民國96年11月23日教育部副字第035947號副教授證書，教育部部長：杜正勝）</w:t>
      </w:r>
    </w:p>
    <w:p w:rsidR="0050642D" w:rsidRPr="0050642D" w:rsidRDefault="0050642D" w:rsidP="00DC26EE">
      <w:pPr>
        <w:ind w:leftChars="0" w:left="0" w:rightChars="0" w:right="0"/>
      </w:pPr>
      <w:r w:rsidRPr="0050642D">
        <w:rPr>
          <w:rFonts w:hint="eastAsia"/>
        </w:rPr>
        <w:t xml:space="preserve">　　</w:t>
      </w:r>
      <w:r w:rsidRPr="0050642D">
        <w:t>7.中央警察大學外事警察學系教師評審會（教評會）委員；</w:t>
      </w:r>
    </w:p>
    <w:p w:rsidR="0050642D" w:rsidRPr="0050642D" w:rsidRDefault="0050642D" w:rsidP="00DC26EE">
      <w:pPr>
        <w:ind w:leftChars="0" w:left="0" w:rightChars="0" w:right="0"/>
      </w:pPr>
      <w:r w:rsidRPr="0050642D">
        <w:rPr>
          <w:rFonts w:hint="eastAsia"/>
        </w:rPr>
        <w:t xml:space="preserve">　　</w:t>
      </w:r>
      <w:r w:rsidRPr="0050642D">
        <w:t>8.中央警察大學訓育委員會（訓委會）委員；</w:t>
      </w:r>
    </w:p>
    <w:p w:rsidR="0050642D" w:rsidRPr="0050642D" w:rsidRDefault="0050642D" w:rsidP="00DC26EE">
      <w:pPr>
        <w:ind w:leftChars="0" w:left="0" w:rightChars="0" w:right="0"/>
      </w:pPr>
      <w:r w:rsidRPr="0050642D">
        <w:rPr>
          <w:rFonts w:hint="eastAsia"/>
        </w:rPr>
        <w:t xml:space="preserve">　　</w:t>
      </w:r>
      <w:r w:rsidRPr="0050642D">
        <w:t>9.中央警察大學移民研究中心執行秘書；</w:t>
      </w:r>
    </w:p>
    <w:p w:rsidR="0050642D" w:rsidRPr="0050642D" w:rsidRDefault="0050642D" w:rsidP="00DC26EE">
      <w:pPr>
        <w:ind w:leftChars="0" w:left="0" w:rightChars="0" w:right="0"/>
      </w:pPr>
      <w:r w:rsidRPr="0050642D">
        <w:rPr>
          <w:rFonts w:hint="eastAsia"/>
        </w:rPr>
        <w:t xml:space="preserve">　　</w:t>
      </w:r>
      <w:r w:rsidRPr="0050642D">
        <w:t>10.中央警察大學圖書諮詢委員會委員；</w:t>
      </w:r>
    </w:p>
    <w:p w:rsidR="0050642D" w:rsidRPr="0050642D" w:rsidRDefault="0050642D" w:rsidP="00DC26EE">
      <w:pPr>
        <w:ind w:leftChars="0" w:left="0" w:rightChars="0" w:right="0"/>
      </w:pPr>
      <w:r w:rsidRPr="0050642D">
        <w:rPr>
          <w:rFonts w:hint="eastAsia"/>
        </w:rPr>
        <w:t xml:space="preserve">　　</w:t>
      </w:r>
      <w:r w:rsidRPr="0050642D">
        <w:t>11.中央警察大學電話禮貌抽測小組工作委（成）員；</w:t>
      </w:r>
    </w:p>
    <w:p w:rsidR="0050642D" w:rsidRPr="0050642D" w:rsidRDefault="0050642D" w:rsidP="00DC26EE">
      <w:pPr>
        <w:ind w:leftChars="0" w:left="0" w:rightChars="0" w:right="0"/>
      </w:pPr>
      <w:r w:rsidRPr="0050642D">
        <w:rPr>
          <w:rFonts w:hint="eastAsia"/>
        </w:rPr>
        <w:t xml:space="preserve">　　</w:t>
      </w:r>
      <w:r w:rsidRPr="0050642D">
        <w:t>12.中央警察大學警政管理學院課程會委員；</w:t>
      </w:r>
    </w:p>
    <w:p w:rsidR="0050642D" w:rsidRPr="0050642D" w:rsidRDefault="0050642D" w:rsidP="00DC26EE">
      <w:pPr>
        <w:ind w:leftChars="0" w:left="0" w:rightChars="0" w:right="0"/>
      </w:pPr>
      <w:r w:rsidRPr="0050642D">
        <w:rPr>
          <w:rFonts w:hint="eastAsia"/>
        </w:rPr>
        <w:t xml:space="preserve">　　</w:t>
      </w:r>
      <w:r w:rsidRPr="0050642D">
        <w:t>13.中央警察大學警政管理學院教師評審會（教評會）委員；</w:t>
      </w:r>
    </w:p>
    <w:p w:rsidR="0050642D" w:rsidRPr="0050642D" w:rsidRDefault="0050642D" w:rsidP="00DC26EE">
      <w:pPr>
        <w:ind w:leftChars="0" w:left="0" w:rightChars="0" w:right="0"/>
      </w:pPr>
      <w:r w:rsidRPr="0050642D">
        <w:rPr>
          <w:rFonts w:hint="eastAsia"/>
        </w:rPr>
        <w:t xml:space="preserve">　　</w:t>
      </w:r>
      <w:r w:rsidRPr="0050642D">
        <w:t>14.中央警察大學國境警察學系大學部68期1隊、74期1隊、79期1隊導師</w:t>
      </w:r>
    </w:p>
    <w:p w:rsidR="0050642D" w:rsidRPr="0050642D" w:rsidRDefault="0050642D" w:rsidP="00DC26EE">
      <w:pPr>
        <w:ind w:leftChars="0" w:left="0" w:rightChars="0" w:right="0"/>
      </w:pPr>
      <w:r w:rsidRPr="0050642D">
        <w:rPr>
          <w:rFonts w:hint="eastAsia"/>
        </w:rPr>
        <w:lastRenderedPageBreak/>
        <w:t xml:space="preserve">　　</w:t>
      </w:r>
      <w:r w:rsidRPr="0050642D">
        <w:t>15.台灣警察專科學校兼任講師；</w:t>
      </w:r>
    </w:p>
    <w:p w:rsidR="0050642D" w:rsidRPr="0050642D" w:rsidRDefault="0050642D" w:rsidP="00DC26EE">
      <w:pPr>
        <w:ind w:leftChars="0" w:left="0" w:rightChars="0" w:right="0"/>
      </w:pPr>
      <w:r w:rsidRPr="0050642D">
        <w:rPr>
          <w:rFonts w:hint="eastAsia"/>
        </w:rPr>
        <w:t xml:space="preserve">　　</w:t>
      </w:r>
      <w:r w:rsidRPr="0050642D">
        <w:t>16.民國97年行政院人事行政局人力評鑑服務團訪視兩岸週末包機各直航航空站之評鑑委員；</w:t>
      </w:r>
    </w:p>
    <w:p w:rsidR="0050642D" w:rsidRPr="0050642D" w:rsidRDefault="0050642D" w:rsidP="00DC26EE">
      <w:pPr>
        <w:ind w:leftChars="0" w:left="0" w:rightChars="0" w:right="0"/>
      </w:pPr>
      <w:r w:rsidRPr="0050642D">
        <w:rPr>
          <w:rFonts w:hint="eastAsia"/>
        </w:rPr>
        <w:t xml:space="preserve">　　</w:t>
      </w:r>
      <w:r w:rsidRPr="0050642D">
        <w:t>17.中國國民黨北區知識青年第60黨部分部8小組之小組長；</w:t>
      </w:r>
    </w:p>
    <w:p w:rsidR="0050642D" w:rsidRPr="0050642D" w:rsidRDefault="0050642D" w:rsidP="00DC26EE">
      <w:pPr>
        <w:ind w:leftChars="0" w:left="0" w:rightChars="0" w:right="0"/>
      </w:pPr>
      <w:r w:rsidRPr="0050642D">
        <w:rPr>
          <w:rFonts w:hint="eastAsia"/>
        </w:rPr>
        <w:t xml:space="preserve">　　</w:t>
      </w:r>
      <w:r w:rsidRPr="0050642D">
        <w:t>18.考選部公務人員特種考試二等移民特考命題委員；</w:t>
      </w:r>
    </w:p>
    <w:p w:rsidR="0050642D" w:rsidRPr="0050642D" w:rsidRDefault="0050642D" w:rsidP="00DC26EE">
      <w:pPr>
        <w:ind w:leftChars="0" w:left="0" w:rightChars="0" w:right="0"/>
      </w:pPr>
      <w:r w:rsidRPr="0050642D">
        <w:rPr>
          <w:rFonts w:hint="eastAsia"/>
        </w:rPr>
        <w:t xml:space="preserve">　　</w:t>
      </w:r>
      <w:r w:rsidRPr="0050642D">
        <w:t>19.考選部公務人員特種考試二等移民特考閱卷委員</w:t>
      </w:r>
    </w:p>
    <w:p w:rsidR="0050642D" w:rsidRPr="0050642D" w:rsidRDefault="0050642D" w:rsidP="00DC26EE">
      <w:pPr>
        <w:ind w:leftChars="0" w:left="0" w:rightChars="0" w:right="0"/>
      </w:pPr>
      <w:r w:rsidRPr="0050642D">
        <w:rPr>
          <w:rFonts w:hint="eastAsia"/>
        </w:rPr>
        <w:t xml:space="preserve">　　</w:t>
      </w:r>
      <w:r w:rsidRPr="0050642D">
        <w:t>20.考選部公務人員特種考試三等移民特考典試委員；</w:t>
      </w:r>
    </w:p>
    <w:p w:rsidR="0050642D" w:rsidRPr="0050642D" w:rsidRDefault="0050642D" w:rsidP="00DC26EE">
      <w:pPr>
        <w:ind w:leftChars="0" w:left="0" w:rightChars="0" w:right="0"/>
      </w:pPr>
      <w:r w:rsidRPr="0050642D">
        <w:rPr>
          <w:rFonts w:hint="eastAsia"/>
        </w:rPr>
        <w:t xml:space="preserve">　　</w:t>
      </w:r>
      <w:r w:rsidRPr="0050642D">
        <w:t>21.考選部公務人員特種考試三等移民特考命題委員</w:t>
      </w:r>
    </w:p>
    <w:p w:rsidR="0050642D" w:rsidRPr="0050642D" w:rsidRDefault="0050642D" w:rsidP="00DC26EE">
      <w:pPr>
        <w:ind w:leftChars="0" w:left="0" w:rightChars="0" w:right="0"/>
      </w:pPr>
      <w:r w:rsidRPr="0050642D">
        <w:rPr>
          <w:rFonts w:hint="eastAsia"/>
        </w:rPr>
        <w:t xml:space="preserve">　　</w:t>
      </w:r>
      <w:r w:rsidRPr="0050642D">
        <w:t>22.考選部公務人員特種考試三等移民特考閱卷委員</w:t>
      </w:r>
    </w:p>
    <w:p w:rsidR="0050642D" w:rsidRPr="0050642D" w:rsidRDefault="0050642D" w:rsidP="00DC26EE">
      <w:pPr>
        <w:ind w:leftChars="0" w:left="0" w:rightChars="0" w:right="0"/>
      </w:pPr>
      <w:r w:rsidRPr="0050642D">
        <w:rPr>
          <w:rFonts w:hint="eastAsia"/>
        </w:rPr>
        <w:t xml:space="preserve">　　</w:t>
      </w:r>
      <w:r w:rsidRPr="0050642D">
        <w:t>23.考選部公務人員特種考試四等移民特考命題委員；</w:t>
      </w:r>
    </w:p>
    <w:p w:rsidR="0050642D" w:rsidRPr="0050642D" w:rsidRDefault="0050642D" w:rsidP="00DC26EE">
      <w:pPr>
        <w:ind w:leftChars="0" w:left="0" w:rightChars="0" w:right="0"/>
      </w:pPr>
      <w:r w:rsidRPr="0050642D">
        <w:rPr>
          <w:rFonts w:hint="eastAsia"/>
        </w:rPr>
        <w:t xml:space="preserve">　　</w:t>
      </w:r>
      <w:r w:rsidRPr="0050642D">
        <w:t>24.考選部公務人員特種考試四等移民特考閱卷委員；</w:t>
      </w:r>
    </w:p>
    <w:p w:rsidR="0050642D" w:rsidRPr="0050642D" w:rsidRDefault="0050642D" w:rsidP="00DC26EE">
      <w:pPr>
        <w:ind w:leftChars="0" w:left="0" w:rightChars="0" w:right="0"/>
      </w:pPr>
      <w:r w:rsidRPr="0050642D">
        <w:rPr>
          <w:rFonts w:hint="eastAsia"/>
        </w:rPr>
        <w:t xml:space="preserve">　　</w:t>
      </w:r>
      <w:r w:rsidRPr="0050642D">
        <w:t>25.考選部公務人員特種考試三等警察特考命題委員；</w:t>
      </w:r>
    </w:p>
    <w:p w:rsidR="0050642D" w:rsidRPr="0050642D" w:rsidRDefault="0050642D" w:rsidP="00DC26EE">
      <w:pPr>
        <w:ind w:leftChars="0" w:left="0" w:rightChars="0" w:right="0"/>
      </w:pPr>
      <w:r w:rsidRPr="0050642D">
        <w:rPr>
          <w:rFonts w:hint="eastAsia"/>
        </w:rPr>
        <w:t xml:space="preserve">　　</w:t>
      </w:r>
      <w:r w:rsidRPr="0050642D">
        <w:t>26.考選部公務人員特種考試三等警察特考閱卷委員</w:t>
      </w:r>
    </w:p>
    <w:p w:rsidR="0050642D" w:rsidRPr="0050642D" w:rsidRDefault="0050642D" w:rsidP="00DC26EE">
      <w:pPr>
        <w:ind w:leftChars="0" w:left="0" w:rightChars="0" w:right="0"/>
      </w:pPr>
      <w:r w:rsidRPr="0050642D">
        <w:rPr>
          <w:rFonts w:hint="eastAsia"/>
        </w:rPr>
        <w:t xml:space="preserve">　　</w:t>
      </w:r>
      <w:r w:rsidRPr="0050642D">
        <w:t>27.考選部公務人員普通考試（普考）戶政類命題委員；</w:t>
      </w:r>
    </w:p>
    <w:p w:rsidR="0050642D" w:rsidRPr="0050642D" w:rsidRDefault="0050642D" w:rsidP="00DC26EE">
      <w:pPr>
        <w:ind w:leftChars="0" w:left="0" w:rightChars="0" w:right="0"/>
      </w:pPr>
      <w:r w:rsidRPr="0050642D">
        <w:rPr>
          <w:rFonts w:hint="eastAsia"/>
        </w:rPr>
        <w:t xml:space="preserve">　　</w:t>
      </w:r>
      <w:r w:rsidRPr="0050642D">
        <w:t>28.考選部公務人員普通考試（普考）戶政類閱卷委員</w:t>
      </w:r>
    </w:p>
    <w:p w:rsidR="0050642D" w:rsidRPr="0050642D" w:rsidRDefault="0050642D" w:rsidP="00DC26EE">
      <w:pPr>
        <w:ind w:leftChars="0" w:left="0" w:rightChars="0" w:right="0"/>
      </w:pPr>
      <w:r w:rsidRPr="0050642D">
        <w:rPr>
          <w:rFonts w:hint="eastAsia"/>
        </w:rPr>
        <w:t xml:space="preserve">　　</w:t>
      </w:r>
      <w:r w:rsidRPr="0050642D">
        <w:t>29.考選部公務人員升官等考試戶政類命題委員；</w:t>
      </w:r>
    </w:p>
    <w:p w:rsidR="0050642D" w:rsidRPr="0050642D" w:rsidRDefault="0050642D" w:rsidP="00DC26EE">
      <w:pPr>
        <w:ind w:leftChars="0" w:left="0" w:rightChars="0" w:right="0"/>
      </w:pPr>
      <w:r w:rsidRPr="0050642D">
        <w:rPr>
          <w:rFonts w:hint="eastAsia"/>
        </w:rPr>
        <w:t xml:space="preserve">　　</w:t>
      </w:r>
      <w:r w:rsidRPr="0050642D">
        <w:t>30.考選部公務人員升官等考試戶政類閱卷委員</w:t>
      </w:r>
    </w:p>
    <w:p w:rsidR="0050642D" w:rsidRPr="0050642D" w:rsidRDefault="0050642D" w:rsidP="00DC26EE">
      <w:pPr>
        <w:ind w:leftChars="0" w:left="0" w:rightChars="0" w:right="0"/>
      </w:pPr>
      <w:r w:rsidRPr="0050642D">
        <w:rPr>
          <w:rFonts w:hint="eastAsia"/>
        </w:rPr>
        <w:t xml:space="preserve">　　</w:t>
      </w:r>
      <w:r w:rsidRPr="0050642D">
        <w:t>31.考選部公務人員特種考試三等海岸巡防人員特考口試委員</w:t>
      </w:r>
    </w:p>
    <w:p w:rsidR="0050642D" w:rsidRPr="0050642D" w:rsidRDefault="0050642D" w:rsidP="00DC26EE">
      <w:pPr>
        <w:ind w:leftChars="0" w:left="0" w:rightChars="0" w:right="0"/>
      </w:pPr>
      <w:r w:rsidRPr="0050642D">
        <w:rPr>
          <w:rFonts w:hint="eastAsia"/>
        </w:rPr>
        <w:t xml:space="preserve">　　</w:t>
      </w:r>
      <w:r w:rsidRPr="0050642D">
        <w:t>32.中央警察大學外事警察研究所國境組碩士班入學考試（入學考）、畢業資格考試（資格考）之命題委員、閱卷委員</w:t>
      </w:r>
    </w:p>
    <w:p w:rsidR="0050642D" w:rsidRPr="0050642D" w:rsidRDefault="0050642D" w:rsidP="00DC26EE">
      <w:pPr>
        <w:ind w:leftChars="0" w:left="0" w:rightChars="0" w:right="0"/>
      </w:pPr>
      <w:r w:rsidRPr="0050642D">
        <w:rPr>
          <w:rFonts w:hint="eastAsia"/>
        </w:rPr>
        <w:t xml:space="preserve">　　</w:t>
      </w:r>
      <w:r w:rsidRPr="0050642D">
        <w:t>33.台北縣財團法人樹林市海明禪寺（董事長：悟明長老）民國89年、民國91年傳戒法會（五戒、菩薩戒）之護戒委員</w:t>
      </w:r>
    </w:p>
    <w:p w:rsidR="0050642D" w:rsidRPr="0050642D" w:rsidRDefault="0050642D" w:rsidP="00DC26EE">
      <w:pPr>
        <w:ind w:leftChars="0" w:left="0" w:rightChars="0" w:right="0"/>
      </w:pPr>
      <w:r w:rsidRPr="0050642D">
        <w:rPr>
          <w:rFonts w:hint="eastAsia"/>
        </w:rPr>
        <w:t xml:space="preserve">　　</w:t>
      </w:r>
      <w:r w:rsidRPr="0050642D">
        <w:t>34.民國85年參與佛光山短期出家修道會，剃度出家（短期），乞受沙彌戒（法名：本田；得戒和尚：星雲大和尚；依止和尚：心定大和尚；沙彌戒受戒證書字號：佛光山佛戒修字第850009號）</w:t>
      </w:r>
    </w:p>
    <w:p w:rsidR="0050642D" w:rsidRPr="0050642D" w:rsidRDefault="0050642D" w:rsidP="00DC26EE">
      <w:pPr>
        <w:ind w:leftChars="0" w:left="0" w:rightChars="0" w:right="0"/>
      </w:pPr>
      <w:r w:rsidRPr="0050642D">
        <w:rPr>
          <w:rFonts w:hint="eastAsia"/>
        </w:rPr>
        <w:t xml:space="preserve">　　</w:t>
      </w:r>
      <w:r w:rsidRPr="0050642D">
        <w:t>35.民國85年於台北縣財團法人樹林市海明禪寺（董事長：悟明長老）求受優婆塞戒（菩薩戒）（羯摩阿闍黎：廣元長老；得戒本師和尚：悟明長老；說戒和尚：淨心長老；教授阿闍黎：聖雄大法師；開堂和尚：本覺大法師；優婆塞戒之受戒證書字號：中國佛教會戒牒（85）中佛優戒字第0096號）</w:t>
      </w:r>
    </w:p>
    <w:p w:rsidR="0050642D" w:rsidRPr="0050642D" w:rsidRDefault="0050642D" w:rsidP="00DC26EE">
      <w:pPr>
        <w:ind w:leftChars="0" w:left="0" w:rightChars="0" w:right="0"/>
      </w:pPr>
      <w:r w:rsidRPr="0050642D">
        <w:rPr>
          <w:rFonts w:hint="eastAsia"/>
        </w:rPr>
        <w:t xml:space="preserve">　　</w:t>
      </w:r>
      <w:r w:rsidRPr="0050642D">
        <w:t>36.民國85年8月11日於桃園縣中壢市圓光禪寺求受五戒（法名菩偉；得戒本師和尚：如悟大和尚）</w:t>
      </w:r>
    </w:p>
    <w:p w:rsidR="0050642D" w:rsidRPr="0050642D" w:rsidRDefault="0050642D" w:rsidP="00DC26EE">
      <w:pPr>
        <w:ind w:leftChars="0" w:left="0" w:rightChars="0" w:right="0"/>
      </w:pPr>
      <w:r w:rsidRPr="0050642D">
        <w:rPr>
          <w:rFonts w:hint="eastAsia"/>
        </w:rPr>
        <w:t xml:space="preserve">　　</w:t>
      </w:r>
      <w:r w:rsidRPr="0050642D">
        <w:t>37.移民署二等移民特考專業訓練班講座；</w:t>
      </w:r>
    </w:p>
    <w:p w:rsidR="0050642D" w:rsidRPr="0050642D" w:rsidRDefault="0050642D" w:rsidP="00DC26EE">
      <w:pPr>
        <w:ind w:leftChars="0" w:left="0" w:rightChars="0" w:right="0"/>
      </w:pPr>
      <w:r w:rsidRPr="0050642D">
        <w:rPr>
          <w:rFonts w:hint="eastAsia"/>
        </w:rPr>
        <w:t xml:space="preserve">　　</w:t>
      </w:r>
      <w:r w:rsidRPr="0050642D">
        <w:t>38.移民署四等移民特考專業訓練班講座；</w:t>
      </w:r>
    </w:p>
    <w:p w:rsidR="0050642D" w:rsidRPr="0050642D" w:rsidRDefault="0050642D" w:rsidP="00DC26EE">
      <w:pPr>
        <w:ind w:leftChars="0" w:left="0" w:rightChars="0" w:right="0"/>
      </w:pPr>
      <w:r w:rsidRPr="0050642D">
        <w:rPr>
          <w:rFonts w:hint="eastAsia"/>
        </w:rPr>
        <w:t xml:space="preserve">　　</w:t>
      </w:r>
      <w:r w:rsidRPr="0050642D">
        <w:t>39.教育部人權教育諮詢暨資源中心網站電子報編輯諮詢顧問；</w:t>
      </w:r>
    </w:p>
    <w:p w:rsidR="0050642D" w:rsidRPr="0050642D" w:rsidRDefault="0050642D" w:rsidP="00DC26EE">
      <w:pPr>
        <w:ind w:leftChars="0" w:left="0" w:rightChars="0" w:right="0"/>
      </w:pPr>
      <w:r w:rsidRPr="0050642D">
        <w:rPr>
          <w:rFonts w:hint="eastAsia"/>
        </w:rPr>
        <w:t xml:space="preserve">　　</w:t>
      </w:r>
      <w:r w:rsidRPr="0050642D">
        <w:t>40.「行政院與所屬中央及地方各機關建立參與及建議制度」建議案之審查委員；</w:t>
      </w:r>
    </w:p>
    <w:p w:rsidR="0050642D" w:rsidRPr="0050642D" w:rsidRDefault="0050642D" w:rsidP="00DC26EE">
      <w:pPr>
        <w:ind w:leftChars="0" w:left="0" w:rightChars="0" w:right="0"/>
      </w:pPr>
      <w:r w:rsidRPr="0050642D">
        <w:rPr>
          <w:rFonts w:hint="eastAsia"/>
        </w:rPr>
        <w:t xml:space="preserve">　　</w:t>
      </w:r>
      <w:r w:rsidRPr="0050642D">
        <w:t>41.中央警察大學「警學叢刊」學術期刊論文之審查委員、</w:t>
      </w:r>
    </w:p>
    <w:p w:rsidR="0050642D" w:rsidRPr="0050642D" w:rsidRDefault="0050642D" w:rsidP="00DC26EE">
      <w:pPr>
        <w:ind w:leftChars="0" w:left="0" w:rightChars="0" w:right="0"/>
      </w:pPr>
      <w:r w:rsidRPr="0050642D">
        <w:rPr>
          <w:rFonts w:hint="eastAsia"/>
        </w:rPr>
        <w:t xml:space="preserve">　　</w:t>
      </w:r>
      <w:r w:rsidRPr="0050642D">
        <w:t>42.中央警察大學「執法新知論衡」學術期刊論文之審查委員、</w:t>
      </w:r>
    </w:p>
    <w:p w:rsidR="0050642D" w:rsidRPr="0050642D" w:rsidRDefault="0050642D" w:rsidP="00DC26EE">
      <w:pPr>
        <w:ind w:leftChars="0" w:left="0" w:rightChars="0" w:right="0"/>
      </w:pPr>
      <w:r w:rsidRPr="0050642D">
        <w:rPr>
          <w:rFonts w:hint="eastAsia"/>
        </w:rPr>
        <w:t xml:space="preserve">　　</w:t>
      </w:r>
      <w:r w:rsidRPr="0050642D">
        <w:t>43.中央警察大學「國土安全與國境管理學報」學術期刊論文之審查委員、</w:t>
      </w:r>
    </w:p>
    <w:p w:rsidR="0050642D" w:rsidRPr="0050642D" w:rsidRDefault="0050642D" w:rsidP="00DC26EE">
      <w:pPr>
        <w:ind w:leftChars="0" w:left="0" w:rightChars="0" w:right="0"/>
      </w:pPr>
      <w:r w:rsidRPr="0050642D">
        <w:rPr>
          <w:rFonts w:hint="eastAsia"/>
        </w:rPr>
        <w:t xml:space="preserve">　　</w:t>
      </w:r>
      <w:r w:rsidRPr="0050642D">
        <w:t>44.中央警察大學「涉外執法與政策學報」學術期刊論文之審查委員、</w:t>
      </w:r>
    </w:p>
    <w:p w:rsidR="0050642D" w:rsidRPr="0050642D" w:rsidRDefault="0050642D" w:rsidP="00DC26EE">
      <w:pPr>
        <w:ind w:leftChars="0" w:left="0" w:rightChars="0" w:right="0"/>
      </w:pPr>
      <w:r w:rsidRPr="0050642D">
        <w:rPr>
          <w:rFonts w:hint="eastAsia"/>
        </w:rPr>
        <w:t xml:space="preserve">　　</w:t>
      </w:r>
      <w:r w:rsidRPr="0050642D">
        <w:t>45.「航空安全及管理季刊」學術期刊論文之審查委員、</w:t>
      </w:r>
    </w:p>
    <w:p w:rsidR="0050642D" w:rsidRPr="0050642D" w:rsidRDefault="0050642D" w:rsidP="00DC26EE">
      <w:pPr>
        <w:ind w:leftChars="0" w:left="0" w:rightChars="0" w:right="0"/>
      </w:pPr>
      <w:r w:rsidRPr="0050642D">
        <w:rPr>
          <w:rFonts w:hint="eastAsia"/>
        </w:rPr>
        <w:t xml:space="preserve">　　</w:t>
      </w:r>
      <w:r w:rsidRPr="0050642D">
        <w:t>46.「犯罪學期刊」學術期刊論文之審查委員</w:t>
      </w:r>
    </w:p>
    <w:p w:rsidR="0050642D" w:rsidRPr="0050642D" w:rsidRDefault="0050642D" w:rsidP="00DC26EE">
      <w:pPr>
        <w:ind w:leftChars="0" w:left="0" w:rightChars="0" w:right="0"/>
      </w:pPr>
      <w:r w:rsidRPr="0050642D">
        <w:rPr>
          <w:rFonts w:hint="eastAsia"/>
        </w:rPr>
        <w:t xml:space="preserve">　　</w:t>
      </w:r>
      <w:r w:rsidRPr="0050642D">
        <w:t>47.中央警察大學水上警察學報學術期刊論文之審查委員</w:t>
      </w:r>
    </w:p>
    <w:p w:rsidR="0050642D" w:rsidRPr="0050642D" w:rsidRDefault="0050642D" w:rsidP="00DC26EE">
      <w:pPr>
        <w:ind w:leftChars="0" w:left="0" w:rightChars="0" w:right="0"/>
      </w:pPr>
      <w:r w:rsidRPr="0050642D">
        <w:rPr>
          <w:rFonts w:hint="eastAsia"/>
        </w:rPr>
        <w:t xml:space="preserve">　　</w:t>
      </w:r>
      <w:r w:rsidRPr="0050642D">
        <w:t>48.「財團法人台灣民主基金會」政黨申請補助研究計畫案之審查委員</w:t>
      </w:r>
    </w:p>
    <w:p w:rsidR="0050642D" w:rsidRPr="0050642D" w:rsidRDefault="0050642D" w:rsidP="00DC26EE">
      <w:pPr>
        <w:ind w:leftChars="0" w:left="0" w:rightChars="0" w:right="0"/>
      </w:pPr>
      <w:r w:rsidRPr="0050642D">
        <w:rPr>
          <w:rFonts w:hint="eastAsia"/>
        </w:rPr>
        <w:lastRenderedPageBreak/>
        <w:t>【國家考試及格】</w:t>
      </w:r>
    </w:p>
    <w:p w:rsidR="0050642D" w:rsidRPr="0050642D" w:rsidRDefault="0050642D" w:rsidP="00DC26EE">
      <w:pPr>
        <w:ind w:leftChars="0" w:left="0" w:rightChars="0" w:right="0"/>
      </w:pPr>
      <w:r w:rsidRPr="0050642D">
        <w:rPr>
          <w:rFonts w:hint="eastAsia"/>
        </w:rPr>
        <w:t xml:space="preserve">　　</w:t>
      </w:r>
      <w:r w:rsidRPr="0050642D">
        <w:t>1.民國78年行政警察特考乙等考試及格（民國78年考試院（78）特警乙字第87號及格證書，考試院院長：孔德成）</w:t>
      </w:r>
    </w:p>
    <w:p w:rsidR="0050642D" w:rsidRPr="0050642D" w:rsidRDefault="0050642D" w:rsidP="00DC26EE">
      <w:pPr>
        <w:ind w:leftChars="0" w:left="0" w:rightChars="0" w:right="0"/>
      </w:pPr>
      <w:r w:rsidRPr="0050642D">
        <w:rPr>
          <w:rFonts w:hint="eastAsia"/>
        </w:rPr>
        <w:t xml:space="preserve">　　</w:t>
      </w:r>
      <w:r w:rsidRPr="0050642D">
        <w:t>2.民國78年行政警察特考丙等考試及格</w:t>
      </w:r>
    </w:p>
    <w:p w:rsidR="0050642D" w:rsidRPr="0050642D" w:rsidRDefault="0050642D" w:rsidP="00DC26EE">
      <w:pPr>
        <w:ind w:leftChars="0" w:left="0" w:rightChars="0" w:right="0"/>
      </w:pPr>
      <w:r w:rsidRPr="0050642D">
        <w:rPr>
          <w:rFonts w:hint="eastAsia"/>
        </w:rPr>
        <w:t>【學術專長領域】</w:t>
      </w:r>
    </w:p>
    <w:p w:rsidR="0050642D" w:rsidRPr="0050642D" w:rsidRDefault="0050642D" w:rsidP="00DC26EE">
      <w:pPr>
        <w:ind w:leftChars="0" w:left="0" w:rightChars="0" w:right="0"/>
      </w:pPr>
      <w:r w:rsidRPr="0050642D">
        <w:rPr>
          <w:rFonts w:hint="eastAsia"/>
        </w:rPr>
        <w:t xml:space="preserve">　　</w:t>
      </w:r>
      <w:r w:rsidRPr="0050642D">
        <w:t>1.人口販運</w:t>
      </w:r>
    </w:p>
    <w:p w:rsidR="0050642D" w:rsidRPr="0050642D" w:rsidRDefault="0050642D" w:rsidP="00DC26EE">
      <w:pPr>
        <w:ind w:leftChars="0" w:left="0" w:rightChars="0" w:right="0"/>
      </w:pPr>
      <w:r w:rsidRPr="0050642D">
        <w:rPr>
          <w:rFonts w:hint="eastAsia"/>
        </w:rPr>
        <w:t xml:space="preserve">　　</w:t>
      </w:r>
      <w:r w:rsidRPr="0050642D">
        <w:t>2.入出國（境）管理</w:t>
      </w:r>
    </w:p>
    <w:p w:rsidR="0050642D" w:rsidRPr="0050642D" w:rsidRDefault="0050642D" w:rsidP="00DC26EE">
      <w:pPr>
        <w:ind w:leftChars="0" w:left="0" w:rightChars="0" w:right="0"/>
      </w:pPr>
      <w:r w:rsidRPr="0050642D">
        <w:rPr>
          <w:rFonts w:hint="eastAsia"/>
        </w:rPr>
        <w:t xml:space="preserve">　　</w:t>
      </w:r>
      <w:r w:rsidRPr="0050642D">
        <w:t>3.犯罪學</w:t>
      </w:r>
    </w:p>
    <w:p w:rsidR="0050642D" w:rsidRPr="0050642D" w:rsidRDefault="0050642D" w:rsidP="00DC26EE">
      <w:pPr>
        <w:ind w:leftChars="0" w:left="0" w:rightChars="0" w:right="0"/>
      </w:pPr>
      <w:r w:rsidRPr="0050642D">
        <w:rPr>
          <w:rFonts w:hint="eastAsia"/>
        </w:rPr>
        <w:t xml:space="preserve">　　</w:t>
      </w:r>
      <w:r w:rsidRPr="0050642D">
        <w:t>4.刑事政策</w:t>
      </w:r>
    </w:p>
    <w:p w:rsidR="0050642D" w:rsidRPr="0050642D" w:rsidRDefault="0050642D" w:rsidP="00DC26EE">
      <w:pPr>
        <w:ind w:leftChars="0" w:left="0" w:rightChars="0" w:right="0"/>
      </w:pPr>
      <w:r w:rsidRPr="0050642D">
        <w:rPr>
          <w:rFonts w:hint="eastAsia"/>
        </w:rPr>
        <w:t xml:space="preserve">　　</w:t>
      </w:r>
      <w:r w:rsidRPr="0050642D">
        <w:t>5.非法移民</w:t>
      </w:r>
    </w:p>
    <w:p w:rsidR="0050642D" w:rsidRPr="0050642D" w:rsidRDefault="0050642D" w:rsidP="00DC26EE">
      <w:pPr>
        <w:ind w:leftChars="0" w:left="0" w:rightChars="0" w:right="0"/>
      </w:pPr>
      <w:r w:rsidRPr="0050642D">
        <w:rPr>
          <w:rFonts w:hint="eastAsia"/>
        </w:rPr>
        <w:t xml:space="preserve">　　</w:t>
      </w:r>
      <w:r w:rsidRPr="0050642D">
        <w:t>6.毒品犯罪</w:t>
      </w:r>
    </w:p>
    <w:p w:rsidR="0050642D" w:rsidRPr="0050642D" w:rsidRDefault="0050642D" w:rsidP="00DC26EE">
      <w:pPr>
        <w:ind w:leftChars="0" w:left="0" w:rightChars="0" w:right="0"/>
      </w:pPr>
      <w:r w:rsidRPr="0050642D">
        <w:rPr>
          <w:rFonts w:hint="eastAsia"/>
        </w:rPr>
        <w:t xml:space="preserve">　　</w:t>
      </w:r>
      <w:r w:rsidRPr="0050642D">
        <w:t>7.研究方法</w:t>
      </w:r>
    </w:p>
    <w:p w:rsidR="0050642D" w:rsidRPr="0050642D" w:rsidRDefault="0050642D" w:rsidP="00DC26EE">
      <w:pPr>
        <w:ind w:leftChars="0" w:left="0" w:rightChars="0" w:right="0"/>
      </w:pPr>
      <w:r w:rsidRPr="0050642D">
        <w:rPr>
          <w:rFonts w:hint="eastAsia"/>
        </w:rPr>
        <w:t xml:space="preserve">　　</w:t>
      </w:r>
      <w:r w:rsidRPr="0050642D">
        <w:t>8.國境執法</w:t>
      </w:r>
    </w:p>
    <w:p w:rsidR="0050642D" w:rsidRPr="0050642D" w:rsidRDefault="0050642D" w:rsidP="00DC26EE">
      <w:pPr>
        <w:ind w:leftChars="0" w:left="0" w:rightChars="0" w:right="0"/>
      </w:pPr>
      <w:r w:rsidRPr="0050642D">
        <w:rPr>
          <w:rFonts w:hint="eastAsia"/>
        </w:rPr>
        <w:t xml:space="preserve">　　</w:t>
      </w:r>
      <w:r w:rsidRPr="0050642D">
        <w:t>9.移民法制</w:t>
      </w:r>
    </w:p>
    <w:p w:rsidR="0050642D" w:rsidRPr="0050642D" w:rsidRDefault="0050642D" w:rsidP="00DC26EE">
      <w:pPr>
        <w:ind w:leftChars="0" w:left="0" w:rightChars="0" w:right="0"/>
      </w:pPr>
      <w:r w:rsidRPr="0050642D">
        <w:rPr>
          <w:rFonts w:hint="eastAsia"/>
        </w:rPr>
        <w:t xml:space="preserve">　　</w:t>
      </w:r>
      <w:r w:rsidRPr="0050642D">
        <w:t>10.移民政策</w:t>
      </w:r>
    </w:p>
    <w:p w:rsidR="0050642D" w:rsidRPr="0050642D" w:rsidRDefault="0050642D" w:rsidP="00DC26EE">
      <w:pPr>
        <w:ind w:leftChars="0" w:left="0" w:rightChars="0" w:right="0"/>
      </w:pPr>
      <w:r w:rsidRPr="0050642D">
        <w:rPr>
          <w:rFonts w:hint="eastAsia"/>
        </w:rPr>
        <w:t xml:space="preserve">　　</w:t>
      </w:r>
      <w:r w:rsidRPr="0050642D">
        <w:t>11.跨國（境）犯罪</w:t>
      </w:r>
    </w:p>
    <w:p w:rsidR="0050642D" w:rsidRPr="0050642D" w:rsidRDefault="0050642D" w:rsidP="00DC26EE">
      <w:pPr>
        <w:ind w:leftChars="0" w:left="0" w:rightChars="0" w:right="0"/>
      </w:pPr>
      <w:r w:rsidRPr="0050642D">
        <w:rPr>
          <w:rFonts w:hint="eastAsia"/>
        </w:rPr>
        <w:t xml:space="preserve">　　</w:t>
      </w:r>
      <w:r w:rsidRPr="0050642D">
        <w:t>12.憲法</w:t>
      </w:r>
    </w:p>
    <w:p w:rsidR="0050642D" w:rsidRPr="0050642D" w:rsidRDefault="0050642D" w:rsidP="00DC26EE">
      <w:pPr>
        <w:ind w:leftChars="0" w:left="0" w:rightChars="0" w:right="0"/>
      </w:pPr>
      <w:r w:rsidRPr="0050642D">
        <w:rPr>
          <w:rFonts w:hint="eastAsia"/>
        </w:rPr>
        <w:t xml:space="preserve">　　</w:t>
      </w:r>
      <w:r w:rsidRPr="0050642D">
        <w:t>13.警察與犯罪預防</w:t>
      </w:r>
    </w:p>
    <w:p w:rsidR="0050642D" w:rsidRPr="0050642D" w:rsidRDefault="0050642D" w:rsidP="00DC26EE">
      <w:pPr>
        <w:ind w:leftChars="0" w:left="0" w:rightChars="0" w:right="0"/>
      </w:pPr>
      <w:r w:rsidRPr="0050642D">
        <w:rPr>
          <w:rFonts w:hint="eastAsia"/>
        </w:rPr>
        <w:t>【授課課程】曾教授以下課程</w:t>
      </w:r>
      <w:r w:rsidRPr="0050642D">
        <w:t>---</w:t>
      </w:r>
    </w:p>
    <w:p w:rsidR="0050642D" w:rsidRPr="0050642D" w:rsidRDefault="0050642D" w:rsidP="00DC26EE">
      <w:pPr>
        <w:ind w:leftChars="0" w:left="0" w:rightChars="0" w:right="0"/>
      </w:pPr>
      <w:r w:rsidRPr="0050642D">
        <w:rPr>
          <w:rFonts w:hint="eastAsia"/>
        </w:rPr>
        <w:t xml:space="preserve">　　</w:t>
      </w:r>
      <w:r w:rsidRPr="0050642D">
        <w:t>1.人口移動理論與實務</w:t>
      </w:r>
    </w:p>
    <w:p w:rsidR="0050642D" w:rsidRPr="0050642D" w:rsidRDefault="0050642D" w:rsidP="00DC26EE">
      <w:pPr>
        <w:ind w:leftChars="0" w:left="0" w:rightChars="0" w:right="0"/>
      </w:pPr>
      <w:r w:rsidRPr="0050642D">
        <w:rPr>
          <w:rFonts w:hint="eastAsia"/>
        </w:rPr>
        <w:t xml:space="preserve">　　</w:t>
      </w:r>
      <w:r w:rsidRPr="0050642D">
        <w:t>2.人流管理與警察執法</w:t>
      </w:r>
    </w:p>
    <w:p w:rsidR="0050642D" w:rsidRPr="0050642D" w:rsidRDefault="0050642D" w:rsidP="00DC26EE">
      <w:pPr>
        <w:ind w:leftChars="0" w:left="0" w:rightChars="0" w:right="0"/>
      </w:pPr>
      <w:r w:rsidRPr="0050642D">
        <w:rPr>
          <w:rFonts w:hint="eastAsia"/>
        </w:rPr>
        <w:t xml:space="preserve">　　</w:t>
      </w:r>
      <w:r w:rsidRPr="0050642D">
        <w:t>3.入出國管理專題研究</w:t>
      </w:r>
    </w:p>
    <w:p w:rsidR="0050642D" w:rsidRPr="0050642D" w:rsidRDefault="0050642D" w:rsidP="00DC26EE">
      <w:pPr>
        <w:ind w:leftChars="0" w:left="0" w:rightChars="0" w:right="0"/>
      </w:pPr>
      <w:r w:rsidRPr="0050642D">
        <w:rPr>
          <w:rFonts w:hint="eastAsia"/>
        </w:rPr>
        <w:t xml:space="preserve">　　</w:t>
      </w:r>
      <w:r w:rsidRPr="0050642D">
        <w:t>4.主要移入國移民政策與法規</w:t>
      </w:r>
    </w:p>
    <w:p w:rsidR="0050642D" w:rsidRPr="0050642D" w:rsidRDefault="0050642D" w:rsidP="00DC26EE">
      <w:pPr>
        <w:ind w:leftChars="0" w:left="0" w:rightChars="0" w:right="0"/>
      </w:pPr>
      <w:r w:rsidRPr="0050642D">
        <w:rPr>
          <w:rFonts w:hint="eastAsia"/>
        </w:rPr>
        <w:t xml:space="preserve">　　</w:t>
      </w:r>
      <w:r w:rsidRPr="0050642D">
        <w:t>5.外事警察學</w:t>
      </w:r>
    </w:p>
    <w:p w:rsidR="0050642D" w:rsidRPr="0050642D" w:rsidRDefault="0050642D" w:rsidP="00DC26EE">
      <w:pPr>
        <w:ind w:leftChars="0" w:left="0" w:rightChars="0" w:right="0"/>
      </w:pPr>
      <w:r w:rsidRPr="0050642D">
        <w:rPr>
          <w:rFonts w:hint="eastAsia"/>
        </w:rPr>
        <w:t xml:space="preserve">　　</w:t>
      </w:r>
      <w:r w:rsidRPr="0050642D">
        <w:t>6.外籍勞工政策與管理</w:t>
      </w:r>
    </w:p>
    <w:p w:rsidR="0050642D" w:rsidRPr="0050642D" w:rsidRDefault="0050642D" w:rsidP="00DC26EE">
      <w:pPr>
        <w:ind w:leftChars="0" w:left="0" w:rightChars="0" w:right="0"/>
      </w:pPr>
      <w:r w:rsidRPr="0050642D">
        <w:rPr>
          <w:rFonts w:hint="eastAsia"/>
        </w:rPr>
        <w:t xml:space="preserve">　　</w:t>
      </w:r>
      <w:r w:rsidRPr="0050642D">
        <w:t>7.犯罪心理學</w:t>
      </w:r>
    </w:p>
    <w:p w:rsidR="0050642D" w:rsidRPr="0050642D" w:rsidRDefault="0050642D" w:rsidP="00DC26EE">
      <w:pPr>
        <w:ind w:leftChars="0" w:left="0" w:rightChars="0" w:right="0"/>
      </w:pPr>
      <w:r w:rsidRPr="0050642D">
        <w:rPr>
          <w:rFonts w:hint="eastAsia"/>
        </w:rPr>
        <w:t xml:space="preserve">　　</w:t>
      </w:r>
      <w:r w:rsidRPr="0050642D">
        <w:t>8.犯罪預防</w:t>
      </w:r>
    </w:p>
    <w:p w:rsidR="0050642D" w:rsidRPr="0050642D" w:rsidRDefault="0050642D" w:rsidP="00DC26EE">
      <w:pPr>
        <w:ind w:leftChars="0" w:left="0" w:rightChars="0" w:right="0"/>
      </w:pPr>
      <w:r w:rsidRPr="0050642D">
        <w:rPr>
          <w:rFonts w:hint="eastAsia"/>
        </w:rPr>
        <w:t xml:space="preserve">　　</w:t>
      </w:r>
      <w:r w:rsidRPr="0050642D">
        <w:t>9.犯罪學</w:t>
      </w:r>
    </w:p>
    <w:p w:rsidR="0050642D" w:rsidRPr="0050642D" w:rsidRDefault="0050642D" w:rsidP="00DC26EE">
      <w:pPr>
        <w:ind w:leftChars="0" w:left="0" w:rightChars="0" w:right="0"/>
      </w:pPr>
      <w:r w:rsidRPr="0050642D">
        <w:rPr>
          <w:rFonts w:hint="eastAsia"/>
        </w:rPr>
        <w:t xml:space="preserve">　　</w:t>
      </w:r>
      <w:r w:rsidRPr="0050642D">
        <w:t>10.全球化與經濟犯罪</w:t>
      </w:r>
    </w:p>
    <w:p w:rsidR="0050642D" w:rsidRPr="0050642D" w:rsidRDefault="0050642D" w:rsidP="00DC26EE">
      <w:pPr>
        <w:ind w:leftChars="0" w:left="0" w:rightChars="0" w:right="0"/>
      </w:pPr>
      <w:r w:rsidRPr="0050642D">
        <w:rPr>
          <w:rFonts w:hint="eastAsia"/>
        </w:rPr>
        <w:t xml:space="preserve">　　</w:t>
      </w:r>
      <w:r w:rsidRPr="0050642D">
        <w:t>11.刑法總則</w:t>
      </w:r>
    </w:p>
    <w:p w:rsidR="0050642D" w:rsidRPr="0050642D" w:rsidRDefault="0050642D" w:rsidP="00DC26EE">
      <w:pPr>
        <w:ind w:leftChars="0" w:left="0" w:rightChars="0" w:right="0"/>
      </w:pPr>
      <w:r w:rsidRPr="0050642D">
        <w:rPr>
          <w:rFonts w:hint="eastAsia"/>
        </w:rPr>
        <w:t xml:space="preserve">　　</w:t>
      </w:r>
      <w:r w:rsidRPr="0050642D">
        <w:t>12.各國國境安全法規</w:t>
      </w:r>
    </w:p>
    <w:p w:rsidR="0050642D" w:rsidRPr="0050642D" w:rsidRDefault="0050642D" w:rsidP="00DC26EE">
      <w:pPr>
        <w:ind w:leftChars="0" w:left="0" w:rightChars="0" w:right="0"/>
      </w:pPr>
      <w:r w:rsidRPr="0050642D">
        <w:rPr>
          <w:rFonts w:hint="eastAsia"/>
        </w:rPr>
        <w:t xml:space="preserve">　　</w:t>
      </w:r>
      <w:r w:rsidRPr="0050642D">
        <w:t>13.各國移民政策分析</w:t>
      </w:r>
    </w:p>
    <w:p w:rsidR="0050642D" w:rsidRPr="0050642D" w:rsidRDefault="0050642D" w:rsidP="00DC26EE">
      <w:pPr>
        <w:ind w:leftChars="0" w:left="0" w:rightChars="0" w:right="0"/>
      </w:pPr>
      <w:r w:rsidRPr="0050642D">
        <w:rPr>
          <w:rFonts w:hint="eastAsia"/>
        </w:rPr>
        <w:t xml:space="preserve">　　</w:t>
      </w:r>
      <w:r w:rsidRPr="0050642D">
        <w:t>14.各國警察制度</w:t>
      </w:r>
    </w:p>
    <w:p w:rsidR="0050642D" w:rsidRPr="0050642D" w:rsidRDefault="0050642D" w:rsidP="00DC26EE">
      <w:pPr>
        <w:ind w:leftChars="0" w:left="0" w:rightChars="0" w:right="0"/>
      </w:pPr>
      <w:r w:rsidRPr="0050642D">
        <w:rPr>
          <w:rFonts w:hint="eastAsia"/>
        </w:rPr>
        <w:t xml:space="preserve">　　</w:t>
      </w:r>
      <w:r w:rsidRPr="0050642D">
        <w:t>15.兩岸問題研究</w:t>
      </w:r>
    </w:p>
    <w:p w:rsidR="0050642D" w:rsidRPr="0050642D" w:rsidRDefault="0050642D" w:rsidP="00DC26EE">
      <w:pPr>
        <w:ind w:leftChars="0" w:left="0" w:rightChars="0" w:right="0"/>
      </w:pPr>
      <w:r w:rsidRPr="0050642D">
        <w:rPr>
          <w:rFonts w:hint="eastAsia"/>
        </w:rPr>
        <w:t xml:space="preserve">　　</w:t>
      </w:r>
      <w:r w:rsidRPr="0050642D">
        <w:t>16.青少年犯罪</w:t>
      </w:r>
    </w:p>
    <w:p w:rsidR="0050642D" w:rsidRPr="0050642D" w:rsidRDefault="0050642D" w:rsidP="00DC26EE">
      <w:pPr>
        <w:ind w:leftChars="0" w:left="0" w:rightChars="0" w:right="0"/>
      </w:pPr>
      <w:r w:rsidRPr="0050642D">
        <w:rPr>
          <w:rFonts w:hint="eastAsia"/>
        </w:rPr>
        <w:t xml:space="preserve">　　</w:t>
      </w:r>
      <w:r w:rsidRPr="0050642D">
        <w:t>17.非法移民與難民研究</w:t>
      </w:r>
    </w:p>
    <w:p w:rsidR="0050642D" w:rsidRPr="0050642D" w:rsidRDefault="0050642D" w:rsidP="00DC26EE">
      <w:pPr>
        <w:ind w:leftChars="0" w:left="0" w:rightChars="0" w:right="0"/>
      </w:pPr>
      <w:r w:rsidRPr="0050642D">
        <w:rPr>
          <w:rFonts w:hint="eastAsia"/>
        </w:rPr>
        <w:t xml:space="preserve">　　</w:t>
      </w:r>
      <w:r w:rsidRPr="0050642D">
        <w:t>18.研究方法</w:t>
      </w:r>
    </w:p>
    <w:p w:rsidR="0050642D" w:rsidRPr="0050642D" w:rsidRDefault="0050642D" w:rsidP="00DC26EE">
      <w:pPr>
        <w:ind w:leftChars="0" w:left="0" w:rightChars="0" w:right="0"/>
      </w:pPr>
      <w:r w:rsidRPr="0050642D">
        <w:rPr>
          <w:rFonts w:hint="eastAsia"/>
        </w:rPr>
        <w:t xml:space="preserve">　　</w:t>
      </w:r>
      <w:r w:rsidRPr="0050642D">
        <w:t>19.研究方法與統計</w:t>
      </w:r>
    </w:p>
    <w:p w:rsidR="0050642D" w:rsidRPr="0050642D" w:rsidRDefault="0050642D" w:rsidP="00DC26EE">
      <w:pPr>
        <w:ind w:leftChars="0" w:left="0" w:rightChars="0" w:right="0"/>
      </w:pPr>
      <w:r w:rsidRPr="0050642D">
        <w:rPr>
          <w:rFonts w:hint="eastAsia"/>
        </w:rPr>
        <w:t xml:space="preserve">　　</w:t>
      </w:r>
      <w:r w:rsidRPr="0050642D">
        <w:t>20.研究方法與資料處理</w:t>
      </w:r>
    </w:p>
    <w:p w:rsidR="0050642D" w:rsidRPr="0050642D" w:rsidRDefault="0050642D" w:rsidP="00DC26EE">
      <w:pPr>
        <w:ind w:leftChars="0" w:left="0" w:rightChars="0" w:right="0"/>
      </w:pPr>
      <w:r w:rsidRPr="0050642D">
        <w:rPr>
          <w:rFonts w:hint="eastAsia"/>
        </w:rPr>
        <w:t xml:space="preserve">　　</w:t>
      </w:r>
      <w:r w:rsidRPr="0050642D">
        <w:t>21.恐佈活動與組織犯罪</w:t>
      </w:r>
    </w:p>
    <w:p w:rsidR="0050642D" w:rsidRPr="0050642D" w:rsidRDefault="0050642D" w:rsidP="00DC26EE">
      <w:pPr>
        <w:ind w:leftChars="0" w:left="0" w:rightChars="0" w:right="0"/>
      </w:pPr>
      <w:r w:rsidRPr="0050642D">
        <w:rPr>
          <w:rFonts w:hint="eastAsia"/>
        </w:rPr>
        <w:t xml:space="preserve">　　</w:t>
      </w:r>
      <w:r w:rsidRPr="0050642D">
        <w:t>22.國家安全法及安檢法制</w:t>
      </w:r>
    </w:p>
    <w:p w:rsidR="0050642D" w:rsidRPr="0050642D" w:rsidRDefault="0050642D" w:rsidP="00DC26EE">
      <w:pPr>
        <w:ind w:leftChars="0" w:left="0" w:rightChars="0" w:right="0"/>
      </w:pPr>
      <w:r w:rsidRPr="0050642D">
        <w:rPr>
          <w:rFonts w:hint="eastAsia"/>
        </w:rPr>
        <w:t xml:space="preserve">　　</w:t>
      </w:r>
      <w:r w:rsidRPr="0050642D">
        <w:t>23.國境安全實務專題研究</w:t>
      </w:r>
    </w:p>
    <w:p w:rsidR="0050642D" w:rsidRPr="0050642D" w:rsidRDefault="0050642D" w:rsidP="00DC26EE">
      <w:pPr>
        <w:ind w:leftChars="0" w:left="0" w:rightChars="0" w:right="0"/>
      </w:pPr>
      <w:r w:rsidRPr="0050642D">
        <w:rPr>
          <w:rFonts w:hint="eastAsia"/>
        </w:rPr>
        <w:t xml:space="preserve">　　</w:t>
      </w:r>
      <w:r w:rsidRPr="0050642D">
        <w:t>24.國境安全管理政策與實務</w:t>
      </w:r>
    </w:p>
    <w:p w:rsidR="0050642D" w:rsidRPr="0050642D" w:rsidRDefault="0050642D" w:rsidP="00DC26EE">
      <w:pPr>
        <w:ind w:leftChars="0" w:left="0" w:rightChars="0" w:right="0"/>
      </w:pPr>
      <w:r w:rsidRPr="0050642D">
        <w:rPr>
          <w:rFonts w:hint="eastAsia"/>
        </w:rPr>
        <w:lastRenderedPageBreak/>
        <w:t xml:space="preserve">　　</w:t>
      </w:r>
      <w:r w:rsidRPr="0050642D">
        <w:t>25.國境安全檢查專題研究</w:t>
      </w:r>
    </w:p>
    <w:p w:rsidR="0050642D" w:rsidRPr="0050642D" w:rsidRDefault="0050642D" w:rsidP="00DC26EE">
      <w:pPr>
        <w:ind w:leftChars="0" w:left="0" w:rightChars="0" w:right="0"/>
      </w:pPr>
      <w:r w:rsidRPr="0050642D">
        <w:rPr>
          <w:rFonts w:hint="eastAsia"/>
        </w:rPr>
        <w:t xml:space="preserve">　　</w:t>
      </w:r>
      <w:r w:rsidRPr="0050642D">
        <w:t>26.國境安檢法規與實務</w:t>
      </w:r>
    </w:p>
    <w:p w:rsidR="0050642D" w:rsidRPr="0050642D" w:rsidRDefault="0050642D" w:rsidP="00DC26EE">
      <w:pPr>
        <w:ind w:leftChars="0" w:left="0" w:rightChars="0" w:right="0"/>
      </w:pPr>
      <w:r w:rsidRPr="0050642D">
        <w:rPr>
          <w:rFonts w:hint="eastAsia"/>
        </w:rPr>
        <w:t xml:space="preserve">　　</w:t>
      </w:r>
      <w:r w:rsidRPr="0050642D">
        <w:t>27.國境管理理論與實務</w:t>
      </w:r>
    </w:p>
    <w:p w:rsidR="0050642D" w:rsidRPr="0050642D" w:rsidRDefault="0050642D" w:rsidP="00DC26EE">
      <w:pPr>
        <w:ind w:leftChars="0" w:left="0" w:rightChars="0" w:right="0"/>
      </w:pPr>
      <w:r w:rsidRPr="0050642D">
        <w:rPr>
          <w:rFonts w:hint="eastAsia"/>
        </w:rPr>
        <w:t xml:space="preserve">　　</w:t>
      </w:r>
      <w:r w:rsidRPr="0050642D">
        <w:t>28.國境與大眾運輸保安</w:t>
      </w:r>
    </w:p>
    <w:p w:rsidR="0050642D" w:rsidRPr="0050642D" w:rsidRDefault="0050642D" w:rsidP="00DC26EE">
      <w:pPr>
        <w:ind w:leftChars="0" w:left="0" w:rightChars="0" w:right="0"/>
      </w:pPr>
      <w:r w:rsidRPr="0050642D">
        <w:rPr>
          <w:rFonts w:hint="eastAsia"/>
        </w:rPr>
        <w:t xml:space="preserve">　　</w:t>
      </w:r>
      <w:r w:rsidRPr="0050642D">
        <w:t>29.國境警察專題研究1</w:t>
      </w:r>
    </w:p>
    <w:p w:rsidR="0050642D" w:rsidRPr="0050642D" w:rsidRDefault="0050642D" w:rsidP="00DC26EE">
      <w:pPr>
        <w:ind w:leftChars="0" w:left="0" w:rightChars="0" w:right="0"/>
      </w:pPr>
      <w:r w:rsidRPr="0050642D">
        <w:rPr>
          <w:rFonts w:hint="eastAsia"/>
        </w:rPr>
        <w:t xml:space="preserve">　　</w:t>
      </w:r>
      <w:r w:rsidRPr="0050642D">
        <w:t>30.國境警察專題研究2</w:t>
      </w:r>
    </w:p>
    <w:p w:rsidR="0050642D" w:rsidRPr="0050642D" w:rsidRDefault="0050642D" w:rsidP="00DC26EE">
      <w:pPr>
        <w:ind w:leftChars="0" w:left="0" w:rightChars="0" w:right="0"/>
      </w:pPr>
      <w:r w:rsidRPr="0050642D">
        <w:rPr>
          <w:rFonts w:hint="eastAsia"/>
        </w:rPr>
        <w:t xml:space="preserve">　　</w:t>
      </w:r>
      <w:r w:rsidRPr="0050642D">
        <w:t>31.國境警察理論與實務（1）</w:t>
      </w:r>
    </w:p>
    <w:p w:rsidR="0050642D" w:rsidRPr="0050642D" w:rsidRDefault="0050642D" w:rsidP="00DC26EE">
      <w:pPr>
        <w:ind w:leftChars="0" w:left="0" w:rightChars="0" w:right="0"/>
      </w:pPr>
      <w:r w:rsidRPr="0050642D">
        <w:rPr>
          <w:rFonts w:hint="eastAsia"/>
        </w:rPr>
        <w:t xml:space="preserve">　　</w:t>
      </w:r>
      <w:r w:rsidRPr="0050642D">
        <w:t>32.國境警察理論與實務（2）</w:t>
      </w:r>
    </w:p>
    <w:p w:rsidR="0050642D" w:rsidRPr="0050642D" w:rsidRDefault="0050642D" w:rsidP="00DC26EE">
      <w:pPr>
        <w:ind w:leftChars="0" w:left="0" w:rightChars="0" w:right="0"/>
      </w:pPr>
      <w:r w:rsidRPr="0050642D">
        <w:rPr>
          <w:rFonts w:hint="eastAsia"/>
        </w:rPr>
        <w:t xml:space="preserve">　　</w:t>
      </w:r>
      <w:r w:rsidRPr="0050642D">
        <w:t>33.國際公法</w:t>
      </w:r>
    </w:p>
    <w:p w:rsidR="0050642D" w:rsidRPr="0050642D" w:rsidRDefault="0050642D" w:rsidP="00DC26EE">
      <w:pPr>
        <w:ind w:leftChars="0" w:left="0" w:rightChars="0" w:right="0"/>
      </w:pPr>
      <w:r w:rsidRPr="0050642D">
        <w:rPr>
          <w:rFonts w:hint="eastAsia"/>
        </w:rPr>
        <w:t xml:space="preserve">　　</w:t>
      </w:r>
      <w:r w:rsidRPr="0050642D">
        <w:t>34.國際安全組織運作</w:t>
      </w:r>
    </w:p>
    <w:p w:rsidR="0050642D" w:rsidRPr="0050642D" w:rsidRDefault="0050642D" w:rsidP="00DC26EE">
      <w:pPr>
        <w:ind w:leftChars="0" w:left="0" w:rightChars="0" w:right="0"/>
      </w:pPr>
      <w:r w:rsidRPr="0050642D">
        <w:rPr>
          <w:rFonts w:hint="eastAsia"/>
        </w:rPr>
        <w:t xml:space="preserve">　　</w:t>
      </w:r>
      <w:r w:rsidRPr="0050642D">
        <w:t>35.國際政治經濟學</w:t>
      </w:r>
    </w:p>
    <w:p w:rsidR="0050642D" w:rsidRPr="0050642D" w:rsidRDefault="0050642D" w:rsidP="00DC26EE">
      <w:pPr>
        <w:ind w:leftChars="0" w:left="0" w:rightChars="0" w:right="0"/>
      </w:pPr>
      <w:r w:rsidRPr="0050642D">
        <w:rPr>
          <w:rFonts w:hint="eastAsia"/>
        </w:rPr>
        <w:t xml:space="preserve">　　</w:t>
      </w:r>
      <w:r w:rsidRPr="0050642D">
        <w:t>36.國際移民與面談機制研究</w:t>
      </w:r>
    </w:p>
    <w:p w:rsidR="0050642D" w:rsidRPr="0050642D" w:rsidRDefault="0050642D" w:rsidP="00DC26EE">
      <w:pPr>
        <w:ind w:leftChars="0" w:left="0" w:rightChars="0" w:right="0"/>
      </w:pPr>
      <w:r w:rsidRPr="0050642D">
        <w:rPr>
          <w:rFonts w:hint="eastAsia"/>
        </w:rPr>
        <w:t xml:space="preserve">　　</w:t>
      </w:r>
      <w:r w:rsidRPr="0050642D">
        <w:t>37.婦幼安全專題</w:t>
      </w:r>
    </w:p>
    <w:p w:rsidR="0050642D" w:rsidRPr="0050642D" w:rsidRDefault="0050642D" w:rsidP="00DC26EE">
      <w:pPr>
        <w:ind w:leftChars="0" w:left="0" w:rightChars="0" w:right="0"/>
      </w:pPr>
      <w:r w:rsidRPr="0050642D">
        <w:rPr>
          <w:rFonts w:hint="eastAsia"/>
        </w:rPr>
        <w:t xml:space="preserve">　　</w:t>
      </w:r>
      <w:r w:rsidRPr="0050642D">
        <w:t>38.移民犯罪偵查法制與實務</w:t>
      </w:r>
    </w:p>
    <w:p w:rsidR="0050642D" w:rsidRPr="0050642D" w:rsidRDefault="0050642D" w:rsidP="00DC26EE">
      <w:pPr>
        <w:ind w:leftChars="0" w:left="0" w:rightChars="0" w:right="0"/>
      </w:pPr>
      <w:r w:rsidRPr="0050642D">
        <w:rPr>
          <w:rFonts w:hint="eastAsia"/>
        </w:rPr>
        <w:t xml:space="preserve">　　</w:t>
      </w:r>
      <w:r w:rsidRPr="0050642D">
        <w:t>39.移民與人權保障</w:t>
      </w:r>
    </w:p>
    <w:p w:rsidR="0050642D" w:rsidRPr="0050642D" w:rsidRDefault="0050642D" w:rsidP="00DC26EE">
      <w:pPr>
        <w:ind w:leftChars="0" w:left="0" w:rightChars="0" w:right="0"/>
      </w:pPr>
      <w:r w:rsidRPr="0050642D">
        <w:rPr>
          <w:rFonts w:hint="eastAsia"/>
        </w:rPr>
        <w:t xml:space="preserve">　　</w:t>
      </w:r>
      <w:r w:rsidRPr="0050642D">
        <w:t>40.經濟犯罪</w:t>
      </w:r>
    </w:p>
    <w:p w:rsidR="0050642D" w:rsidRPr="0050642D" w:rsidRDefault="0050642D" w:rsidP="00DC26EE">
      <w:pPr>
        <w:ind w:leftChars="0" w:left="0" w:rightChars="0" w:right="0"/>
      </w:pPr>
      <w:r w:rsidRPr="0050642D">
        <w:rPr>
          <w:rFonts w:hint="eastAsia"/>
        </w:rPr>
        <w:t xml:space="preserve">　　</w:t>
      </w:r>
      <w:r w:rsidRPr="0050642D">
        <w:t>41.跨國犯罪</w:t>
      </w:r>
    </w:p>
    <w:p w:rsidR="0050642D" w:rsidRPr="0050642D" w:rsidRDefault="0050642D" w:rsidP="00DC26EE">
      <w:pPr>
        <w:ind w:leftChars="0" w:left="0" w:rightChars="0" w:right="0"/>
      </w:pPr>
      <w:r w:rsidRPr="0050642D">
        <w:rPr>
          <w:rFonts w:hint="eastAsia"/>
        </w:rPr>
        <w:t xml:space="preserve">　　</w:t>
      </w:r>
      <w:r w:rsidRPr="0050642D">
        <w:t>42.跨國境犯罪理論與實踐</w:t>
      </w:r>
    </w:p>
    <w:p w:rsidR="0050642D" w:rsidRPr="0050642D" w:rsidRDefault="0050642D" w:rsidP="00DC26EE">
      <w:pPr>
        <w:ind w:leftChars="0" w:left="0" w:rightChars="0" w:right="0"/>
      </w:pPr>
      <w:r w:rsidRPr="0050642D">
        <w:rPr>
          <w:rFonts w:hint="eastAsia"/>
        </w:rPr>
        <w:t xml:space="preserve">　　</w:t>
      </w:r>
      <w:r w:rsidRPr="0050642D">
        <w:t>43.跨境犯罪</w:t>
      </w:r>
    </w:p>
    <w:p w:rsidR="0050642D" w:rsidRPr="0050642D" w:rsidRDefault="0050642D" w:rsidP="00DC26EE">
      <w:pPr>
        <w:ind w:leftChars="0" w:left="0" w:rightChars="0" w:right="0"/>
      </w:pPr>
      <w:r w:rsidRPr="0050642D">
        <w:rPr>
          <w:rFonts w:hint="eastAsia"/>
        </w:rPr>
        <w:t xml:space="preserve">　　</w:t>
      </w:r>
      <w:r w:rsidRPr="0050642D">
        <w:t>44.跨境犯罪專題研究</w:t>
      </w:r>
    </w:p>
    <w:p w:rsidR="0050642D" w:rsidRPr="0050642D" w:rsidRDefault="0050642D" w:rsidP="00DC26EE">
      <w:pPr>
        <w:ind w:leftChars="0" w:left="0" w:rightChars="0" w:right="0"/>
      </w:pPr>
      <w:r w:rsidRPr="0050642D">
        <w:rPr>
          <w:rFonts w:hint="eastAsia"/>
        </w:rPr>
        <w:t xml:space="preserve">　　</w:t>
      </w:r>
      <w:r w:rsidRPr="0050642D">
        <w:t>45.機場貨櫃安檢法規與實務</w:t>
      </w:r>
    </w:p>
    <w:p w:rsidR="0050642D" w:rsidRPr="0050642D" w:rsidRDefault="0050642D" w:rsidP="00DC26EE">
      <w:pPr>
        <w:ind w:leftChars="0" w:left="0" w:rightChars="0" w:right="0"/>
      </w:pPr>
      <w:r w:rsidRPr="0050642D">
        <w:rPr>
          <w:rFonts w:hint="eastAsia"/>
        </w:rPr>
        <w:t xml:space="preserve">　　</w:t>
      </w:r>
      <w:r w:rsidRPr="0050642D">
        <w:t>46.應用統計學</w:t>
      </w:r>
    </w:p>
    <w:p w:rsidR="0050642D" w:rsidRPr="0050642D" w:rsidRDefault="0050642D" w:rsidP="00DC26EE">
      <w:pPr>
        <w:ind w:leftChars="0" w:left="0" w:rightChars="0" w:right="0"/>
      </w:pPr>
      <w:r w:rsidRPr="0050642D">
        <w:rPr>
          <w:rFonts w:hint="eastAsia"/>
        </w:rPr>
        <w:t xml:space="preserve">　　</w:t>
      </w:r>
      <w:r w:rsidRPr="0050642D">
        <w:t>47.警察行政專題</w:t>
      </w:r>
    </w:p>
    <w:p w:rsidR="0050642D" w:rsidRPr="0050642D" w:rsidRDefault="0050642D" w:rsidP="00DC26EE">
      <w:pPr>
        <w:ind w:leftChars="0" w:left="0" w:rightChars="0" w:right="0"/>
      </w:pPr>
      <w:r w:rsidRPr="0050642D">
        <w:rPr>
          <w:rFonts w:hint="eastAsia"/>
        </w:rPr>
        <w:t xml:space="preserve">　　</w:t>
      </w:r>
      <w:r w:rsidRPr="0050642D">
        <w:t>48.警察學</w:t>
      </w:r>
    </w:p>
    <w:p w:rsidR="0050642D" w:rsidRPr="0050642D" w:rsidRDefault="0050642D" w:rsidP="00DC26EE">
      <w:pPr>
        <w:ind w:leftChars="0" w:left="0" w:rightChars="0" w:right="0"/>
      </w:pPr>
      <w:r w:rsidRPr="0050642D">
        <w:rPr>
          <w:rFonts w:hint="eastAsia"/>
        </w:rPr>
        <w:t>【學術專門著作】合計約</w:t>
      </w:r>
      <w:r w:rsidRPr="0050642D">
        <w:t>138篇</w:t>
      </w:r>
    </w:p>
    <w:p w:rsidR="0050642D" w:rsidRPr="0050642D" w:rsidRDefault="0050642D" w:rsidP="00DC26EE">
      <w:pPr>
        <w:ind w:leftChars="0" w:left="0" w:rightChars="0" w:right="0"/>
      </w:pPr>
      <w:r w:rsidRPr="0050642D">
        <w:rPr>
          <w:rFonts w:hint="eastAsia"/>
        </w:rPr>
        <w:t xml:space="preserve">　　</w:t>
      </w:r>
      <w:r w:rsidRPr="0050642D">
        <w:t>1.專業之學術期刊論文，約55篇；</w:t>
      </w:r>
    </w:p>
    <w:p w:rsidR="0050642D" w:rsidRPr="0050642D" w:rsidRDefault="0050642D" w:rsidP="00DC26EE">
      <w:pPr>
        <w:ind w:leftChars="0" w:left="0" w:rightChars="0" w:right="0"/>
      </w:pPr>
      <w:r w:rsidRPr="0050642D">
        <w:rPr>
          <w:rFonts w:hint="eastAsia"/>
        </w:rPr>
        <w:t xml:space="preserve">　　</w:t>
      </w:r>
      <w:r w:rsidRPr="0050642D">
        <w:t>2.學術專書（專門著作）、收錄於學術專門著作中之專書論文，約23篇；</w:t>
      </w:r>
    </w:p>
    <w:p w:rsidR="0050642D" w:rsidRPr="0050642D" w:rsidRDefault="0050642D" w:rsidP="00DC26EE">
      <w:pPr>
        <w:ind w:leftChars="0" w:left="0" w:rightChars="0" w:right="0"/>
      </w:pPr>
      <w:r w:rsidRPr="0050642D">
        <w:rPr>
          <w:rFonts w:hint="eastAsia"/>
        </w:rPr>
        <w:t xml:space="preserve">　　</w:t>
      </w:r>
      <w:r w:rsidRPr="0050642D">
        <w:t>3.學術研討會所發表之論文，約35篇；</w:t>
      </w:r>
    </w:p>
    <w:p w:rsidR="0050642D" w:rsidRPr="0050642D" w:rsidRDefault="0050642D" w:rsidP="00DC26EE">
      <w:pPr>
        <w:ind w:leftChars="0" w:left="0" w:rightChars="0" w:right="0"/>
      </w:pPr>
      <w:r w:rsidRPr="0050642D">
        <w:rPr>
          <w:rFonts w:hint="eastAsia"/>
        </w:rPr>
        <w:t xml:space="preserve">　　</w:t>
      </w:r>
      <w:r w:rsidRPr="0050642D">
        <w:t>4.參與研究案所撰寫之學術專案成果報告，約25篇。</w:t>
      </w:r>
    </w:p>
    <w:p w:rsidR="0050642D" w:rsidRDefault="0050642D" w:rsidP="00DC26EE">
      <w:pPr>
        <w:ind w:leftChars="0" w:left="0" w:rightChars="0" w:right="0"/>
      </w:pPr>
      <w:r w:rsidRPr="0050642D">
        <w:rPr>
          <w:rFonts w:hint="eastAsia"/>
        </w:rPr>
        <w:t>【指導碩士論文篇數】（擔任研究所碩士生之指導教授）：合計約</w:t>
      </w:r>
      <w:r w:rsidRPr="0050642D">
        <w:t>12篇。</w:t>
      </w:r>
      <w:r w:rsidR="00992AB6" w:rsidRPr="00992AB6">
        <w:rPr>
          <w:rFonts w:hint="eastAsia"/>
          <w:color w:val="FFFFFF" w:themeColor="background1"/>
        </w:rPr>
        <w:t>◇◆</w:t>
      </w:r>
    </w:p>
    <w:p w:rsidR="0050642D" w:rsidRPr="0050642D" w:rsidRDefault="0050642D" w:rsidP="0050642D">
      <w:pPr>
        <w:ind w:leftChars="-109" w:left="-283" w:rightChars="0" w:right="0"/>
      </w:pPr>
    </w:p>
    <w:p w:rsidR="0049577B" w:rsidRPr="00B40DC1" w:rsidRDefault="0049577B" w:rsidP="00960C6D">
      <w:pPr>
        <w:pStyle w:val="affb"/>
        <w:jc w:val="center"/>
      </w:pPr>
      <w:r w:rsidRPr="00B40DC1">
        <w:rPr>
          <w:noProof/>
        </w:rPr>
        <w:lastRenderedPageBreak/>
        <w:drawing>
          <wp:inline distT="0" distB="0" distL="0" distR="0" wp14:anchorId="6666DC8C" wp14:editId="1327CD84">
            <wp:extent cx="5162423" cy="3554655"/>
            <wp:effectExtent l="0" t="0" r="635" b="8255"/>
            <wp:docPr id="9" name="圖片 9" descr="D:\02移民政策與法制專書2018柯孟蔡李\相關照片\831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移民政策與法制專書2018柯孟蔡李\相關照片\831DSC_02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5394" cy="3556701"/>
                    </a:xfrm>
                    <a:prstGeom prst="rect">
                      <a:avLst/>
                    </a:prstGeom>
                    <a:noFill/>
                    <a:ln>
                      <a:noFill/>
                    </a:ln>
                  </pic:spPr>
                </pic:pic>
              </a:graphicData>
            </a:graphic>
          </wp:inline>
        </w:drawing>
      </w:r>
    </w:p>
    <w:p w:rsidR="0049577B" w:rsidRPr="00960C6D" w:rsidRDefault="00DC26EE" w:rsidP="00E736D6">
      <w:pPr>
        <w:pStyle w:val="4"/>
        <w:rPr>
          <w:lang w:eastAsia="zh-TW"/>
        </w:rPr>
      </w:pPr>
      <w:r w:rsidRPr="00960C6D">
        <w:rPr>
          <w:lang w:eastAsia="zh-TW"/>
        </w:rPr>
        <w:t>圖</w:t>
      </w:r>
      <w:r w:rsidR="00AF69C2" w:rsidRPr="003F05BB">
        <w:rPr>
          <w:lang w:eastAsia="zh-TW"/>
        </w:rPr>
        <w:t>、</w:t>
      </w:r>
      <w:r w:rsidR="0049577B" w:rsidRPr="00960C6D">
        <w:rPr>
          <w:lang w:eastAsia="zh-TW"/>
        </w:rPr>
        <w:t>本書作者之一---柯雨瑞教授與其所授課之警大831國境警察學系移民組同學之合照(民國104年下半年)</w:t>
      </w:r>
    </w:p>
    <w:p w:rsidR="0049577B" w:rsidRPr="00B40DC1" w:rsidRDefault="00992AB6" w:rsidP="000D26BB">
      <w:r w:rsidRPr="00992AB6">
        <w:rPr>
          <w:rFonts w:hint="eastAsia"/>
          <w:color w:val="FFFFFF" w:themeColor="background1"/>
        </w:rPr>
        <w:t>◇</w:t>
      </w:r>
    </w:p>
    <w:p w:rsidR="0049577B" w:rsidRPr="00B40DC1" w:rsidRDefault="0049577B" w:rsidP="00960C6D">
      <w:pPr>
        <w:jc w:val="center"/>
      </w:pPr>
      <w:r w:rsidRPr="00B40DC1">
        <w:rPr>
          <w:noProof/>
        </w:rPr>
        <w:drawing>
          <wp:inline distT="0" distB="0" distL="0" distR="0" wp14:anchorId="7903EE95" wp14:editId="26E4BBB9">
            <wp:extent cx="5074615" cy="3654572"/>
            <wp:effectExtent l="0" t="0" r="0" b="3175"/>
            <wp:docPr id="17" name="圖片 17" descr="D:\02移民政策與法制專書2018柯孟蔡李\001專書論文大彙整\7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移民政策與法制專書2018柯孟蔡李\001專書論文大彙整\736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5555" cy="3655249"/>
                    </a:xfrm>
                    <a:prstGeom prst="rect">
                      <a:avLst/>
                    </a:prstGeom>
                    <a:noFill/>
                    <a:ln>
                      <a:noFill/>
                    </a:ln>
                  </pic:spPr>
                </pic:pic>
              </a:graphicData>
            </a:graphic>
          </wp:inline>
        </w:drawing>
      </w:r>
    </w:p>
    <w:p w:rsidR="0049577B" w:rsidRPr="00960C6D" w:rsidRDefault="00DC26EE" w:rsidP="00E736D6">
      <w:pPr>
        <w:pStyle w:val="4"/>
        <w:rPr>
          <w:lang w:eastAsia="zh-TW"/>
        </w:rPr>
      </w:pPr>
      <w:r w:rsidRPr="00960C6D">
        <w:rPr>
          <w:lang w:eastAsia="zh-TW"/>
        </w:rPr>
        <w:t>圖</w:t>
      </w:r>
      <w:r w:rsidR="00AF69C2" w:rsidRPr="003F05BB">
        <w:rPr>
          <w:lang w:eastAsia="zh-TW"/>
        </w:rPr>
        <w:t>、</w:t>
      </w:r>
      <w:r w:rsidR="0049577B" w:rsidRPr="00960C6D">
        <w:rPr>
          <w:lang w:eastAsia="zh-TW"/>
        </w:rPr>
        <w:t>本書作者之一---柯雨瑞教授、內政部移民署國境事務大隊吳嘉弘副大隊長等人、警大831國境警察學系移民組實習同學之合照(民國105年暑假，攝於內政部移民署國境事務大隊之會議室，位於桃園機場之內)</w:t>
      </w:r>
    </w:p>
    <w:p w:rsidR="00DC26EE" w:rsidRPr="00B40DC1" w:rsidRDefault="00DC26EE" w:rsidP="000D26BB"/>
    <w:p w:rsidR="0049577B" w:rsidRPr="00B40DC1" w:rsidRDefault="0049577B" w:rsidP="000D26BB">
      <w:r w:rsidRPr="00B40DC1">
        <w:rPr>
          <w:noProof/>
        </w:rPr>
        <w:lastRenderedPageBreak/>
        <w:drawing>
          <wp:inline distT="0" distB="0" distL="0" distR="0" wp14:anchorId="300269C5" wp14:editId="67A081EE">
            <wp:extent cx="5074616" cy="4066355"/>
            <wp:effectExtent l="0" t="0" r="0" b="0"/>
            <wp:docPr id="18" name="圖片 18" descr="D:\02移民政策與法制專書2018柯孟蔡李\001專書論文大彙整\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移民政策與法制專書2018柯孟蔡李\001專書論文大彙整\DSC_03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5555" cy="4067107"/>
                    </a:xfrm>
                    <a:prstGeom prst="rect">
                      <a:avLst/>
                    </a:prstGeom>
                    <a:noFill/>
                    <a:ln>
                      <a:noFill/>
                    </a:ln>
                  </pic:spPr>
                </pic:pic>
              </a:graphicData>
            </a:graphic>
          </wp:inline>
        </w:drawing>
      </w:r>
      <w:r w:rsidR="00992AB6" w:rsidRPr="00992AB6">
        <w:rPr>
          <w:rFonts w:hint="eastAsia"/>
          <w:color w:val="FFFFFF" w:themeColor="background1"/>
        </w:rPr>
        <w:t>◇</w:t>
      </w:r>
    </w:p>
    <w:p w:rsidR="0049577B" w:rsidRPr="00960C6D" w:rsidRDefault="00DC26EE" w:rsidP="0059552B">
      <w:pPr>
        <w:pStyle w:val="4"/>
        <w:rPr>
          <w:lang w:eastAsia="zh-TW"/>
        </w:rPr>
      </w:pPr>
      <w:r w:rsidRPr="00960C6D">
        <w:rPr>
          <w:lang w:eastAsia="zh-TW"/>
        </w:rPr>
        <w:t>圖</w:t>
      </w:r>
      <w:r w:rsidR="00AF69C2" w:rsidRPr="003F05BB">
        <w:rPr>
          <w:lang w:eastAsia="zh-TW"/>
        </w:rPr>
        <w:t>、</w:t>
      </w:r>
      <w:r w:rsidR="0049577B" w:rsidRPr="00960C6D">
        <w:rPr>
          <w:lang w:eastAsia="zh-TW"/>
        </w:rPr>
        <w:t>本書作者之一---柯雨瑞教授、內政部移民署台北收容所蔡培源所長、張朝和分隊長、警大831國境警察學系移民組實習同學(詹凱安、黎靜)之合照(民國105年暑假，攝於內政部移民署台北收容所1樓)</w:t>
      </w:r>
    </w:p>
    <w:p w:rsidR="0049577B" w:rsidRPr="00B40DC1" w:rsidRDefault="003E18C8" w:rsidP="0008714D">
      <w:pPr>
        <w:jc w:val="right"/>
      </w:pPr>
      <w:r w:rsidRPr="00D45AD2">
        <w:rPr>
          <w:rFonts w:hint="eastAsia"/>
          <w:sz w:val="22"/>
        </w:rPr>
        <w:t>。。。。。。。。。。。。。。。。。。</w:t>
      </w:r>
      <w:hyperlink w:anchor="a目次" w:history="1">
        <w:r>
          <w:rPr>
            <w:rStyle w:val="a7"/>
            <w:sz w:val="22"/>
            <w:lang w:eastAsia="zh-TW"/>
          </w:rPr>
          <w:t>回總目次</w:t>
        </w:r>
      </w:hyperlink>
      <w:r w:rsidRPr="00D45AD2">
        <w:rPr>
          <w:color w:val="808000"/>
          <w:sz w:val="22"/>
        </w:rPr>
        <w:t>〉〉</w:t>
      </w:r>
    </w:p>
    <w:p w:rsidR="003C1792" w:rsidRDefault="00FF6603" w:rsidP="00B662A4">
      <w:pPr>
        <w:pStyle w:val="11"/>
      </w:pPr>
      <w:bookmarkStart w:id="12" w:name="_【孟維德_教授】"/>
      <w:bookmarkEnd w:id="12"/>
      <w:r w:rsidRPr="00FF6603">
        <w:rPr>
          <w:rFonts w:hint="eastAsia"/>
        </w:rPr>
        <w:t>【</w:t>
      </w:r>
      <w:r w:rsidR="0049577B" w:rsidRPr="00B40DC1">
        <w:t>孟維德 教授</w:t>
      </w:r>
      <w:r w:rsidRPr="00DC26EE">
        <w:rPr>
          <w:rFonts w:hint="eastAsia"/>
        </w:rPr>
        <w:t>】</w:t>
      </w:r>
    </w:p>
    <w:p w:rsidR="0049577B" w:rsidRPr="00B40DC1" w:rsidRDefault="0049577B" w:rsidP="000D26BB"/>
    <w:p w:rsidR="0049577B" w:rsidRPr="00B40DC1" w:rsidRDefault="0049577B" w:rsidP="000D26BB">
      <w:r w:rsidRPr="00B40DC1">
        <w:rPr>
          <w:noProof/>
        </w:rPr>
        <w:drawing>
          <wp:inline distT="0" distB="0" distL="0" distR="0" wp14:anchorId="13A57FB9" wp14:editId="4F21A423">
            <wp:extent cx="1807605" cy="2340501"/>
            <wp:effectExtent l="0" t="0" r="2540" b="3175"/>
            <wp:docPr id="10" name="圖片 10" descr="D:\02移民政策與法制專書2018柯孟蔡李\001專書論文大彙整\維德大頭照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移民政策與法制專書2018柯孟蔡李\001專書論文大彙整\維德大頭照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5867" cy="2351199"/>
                    </a:xfrm>
                    <a:prstGeom prst="rect">
                      <a:avLst/>
                    </a:prstGeom>
                    <a:noFill/>
                    <a:ln>
                      <a:noFill/>
                    </a:ln>
                  </pic:spPr>
                </pic:pic>
              </a:graphicData>
            </a:graphic>
          </wp:inline>
        </w:drawing>
      </w:r>
      <w:r w:rsidR="00992AB6" w:rsidRPr="00992AB6">
        <w:rPr>
          <w:rFonts w:hint="eastAsia"/>
          <w:color w:val="FFFFFF" w:themeColor="background1"/>
        </w:rPr>
        <w:t>◇◆</w:t>
      </w:r>
    </w:p>
    <w:p w:rsidR="0049577B" w:rsidRPr="00B40DC1" w:rsidRDefault="00FF6603" w:rsidP="00992AB6">
      <w:pPr>
        <w:spacing w:line="240" w:lineRule="auto"/>
        <w:ind w:leftChars="0" w:left="0" w:rightChars="0" w:right="0"/>
      </w:pPr>
      <w:r w:rsidRPr="0050642D">
        <w:rPr>
          <w:rFonts w:hint="eastAsia"/>
        </w:rPr>
        <w:t>【</w:t>
      </w:r>
      <w:r w:rsidR="0049577B" w:rsidRPr="00B40DC1">
        <w:t>現任</w:t>
      </w:r>
      <w:r w:rsidR="0059552B" w:rsidRPr="0059552B">
        <w:rPr>
          <w:rFonts w:hint="eastAsia"/>
        </w:rPr>
        <w:t>】</w:t>
      </w:r>
      <w:r w:rsidR="0049577B" w:rsidRPr="00B40DC1">
        <w:t>中央警察大學外事警察學系暨研究所專任教授</w:t>
      </w:r>
    </w:p>
    <w:p w:rsidR="00DC26EE" w:rsidRDefault="00FF6603" w:rsidP="00992AB6">
      <w:pPr>
        <w:spacing w:line="240" w:lineRule="auto"/>
        <w:ind w:leftChars="0" w:left="0" w:rightChars="0" w:right="0"/>
      </w:pPr>
      <w:r w:rsidRPr="0050642D">
        <w:rPr>
          <w:rFonts w:hint="eastAsia"/>
        </w:rPr>
        <w:t>【</w:t>
      </w:r>
      <w:r w:rsidR="0049577B" w:rsidRPr="000D26BB">
        <w:t>學歷</w:t>
      </w:r>
      <w:r w:rsidR="0059552B" w:rsidRPr="0059552B">
        <w:rPr>
          <w:rFonts w:hint="eastAsia"/>
        </w:rPr>
        <w:t>】</w:t>
      </w:r>
    </w:p>
    <w:p w:rsidR="00FF6603" w:rsidRDefault="00FF6603" w:rsidP="00992AB6">
      <w:pPr>
        <w:spacing w:line="240" w:lineRule="auto"/>
        <w:ind w:leftChars="0" w:left="0" w:rightChars="0" w:right="0"/>
      </w:pPr>
      <w:r>
        <w:t xml:space="preserve">　　</w:t>
      </w:r>
      <w:r w:rsidR="0049577B" w:rsidRPr="000D26BB">
        <w:t>1.美國史丹福大學胡佛研究所研究（Hoover Institution, Stanford University, 行政院國家科學委員會補助）</w:t>
      </w:r>
    </w:p>
    <w:p w:rsidR="00FF6603" w:rsidRDefault="00FF6603" w:rsidP="00992AB6">
      <w:pPr>
        <w:spacing w:line="240" w:lineRule="auto"/>
        <w:ind w:leftChars="0" w:left="0" w:rightChars="0" w:right="0"/>
      </w:pPr>
      <w:r>
        <w:t xml:space="preserve">　　</w:t>
      </w:r>
      <w:r w:rsidR="0049577B" w:rsidRPr="000D26BB">
        <w:t xml:space="preserve">2.美國加州大學柏克萊分校法學院研究（School of Law, University of </w:t>
      </w:r>
      <w:r w:rsidR="0049577B" w:rsidRPr="000D26BB">
        <w:lastRenderedPageBreak/>
        <w:t>California at Berkeley,行政院國家科學委員會補助）</w:t>
      </w:r>
    </w:p>
    <w:p w:rsidR="00FF6603" w:rsidRDefault="00FF6603" w:rsidP="00992AB6">
      <w:pPr>
        <w:spacing w:line="240" w:lineRule="auto"/>
        <w:ind w:leftChars="0" w:left="0" w:rightChars="0" w:right="0"/>
      </w:pPr>
      <w:r>
        <w:t xml:space="preserve">　　</w:t>
      </w:r>
      <w:r w:rsidR="0049577B" w:rsidRPr="000D26BB">
        <w:t>3.中央警察大學犯罪防治研究所博士</w:t>
      </w:r>
    </w:p>
    <w:p w:rsidR="00FF6603" w:rsidRDefault="00FF6603" w:rsidP="00992AB6">
      <w:pPr>
        <w:spacing w:line="240" w:lineRule="auto"/>
        <w:ind w:leftChars="0" w:left="0" w:rightChars="0" w:right="0"/>
      </w:pPr>
      <w:r>
        <w:t xml:space="preserve">　　</w:t>
      </w:r>
      <w:r w:rsidR="0049577B" w:rsidRPr="000D26BB">
        <w:t>4.美國西伊利諾大學執法行政研究所碩士（Graduate School of Law Enforcement Administration, Western Illinois University,</w:t>
      </w:r>
      <w:r w:rsidR="003C1792">
        <w:t>公</w:t>
      </w:r>
      <w:r w:rsidR="0049577B" w:rsidRPr="000D26BB">
        <w:t>費留學）</w:t>
      </w:r>
    </w:p>
    <w:p w:rsidR="0049577B" w:rsidRPr="000D26BB" w:rsidRDefault="00FF6603" w:rsidP="00992AB6">
      <w:pPr>
        <w:spacing w:line="240" w:lineRule="auto"/>
        <w:ind w:leftChars="0" w:left="0" w:rightChars="0" w:right="0"/>
      </w:pPr>
      <w:r>
        <w:t xml:space="preserve">　　</w:t>
      </w:r>
      <w:r w:rsidR="0049577B" w:rsidRPr="000D26BB">
        <w:t>5.中央警察大學刑事警察學系法學士</w:t>
      </w:r>
    </w:p>
    <w:p w:rsidR="00DC26EE" w:rsidRDefault="0059552B" w:rsidP="00992AB6">
      <w:pPr>
        <w:spacing w:line="240" w:lineRule="auto"/>
        <w:ind w:leftChars="0" w:left="0" w:rightChars="0" w:right="0"/>
      </w:pPr>
      <w:r w:rsidRPr="0059552B">
        <w:rPr>
          <w:rFonts w:hint="eastAsia"/>
        </w:rPr>
        <w:t>【</w:t>
      </w:r>
      <w:r w:rsidR="0049577B" w:rsidRPr="00B40DC1">
        <w:t>經歷</w:t>
      </w:r>
      <w:r w:rsidRPr="0059552B">
        <w:rPr>
          <w:rFonts w:hint="eastAsia"/>
        </w:rPr>
        <w:t>】</w:t>
      </w:r>
    </w:p>
    <w:p w:rsidR="00FF6603" w:rsidRDefault="00FF6603" w:rsidP="00992AB6">
      <w:pPr>
        <w:spacing w:line="240" w:lineRule="auto"/>
        <w:ind w:leftChars="0" w:left="0" w:rightChars="0" w:right="0"/>
      </w:pPr>
      <w:r>
        <w:rPr>
          <w:rFonts w:hint="eastAsia"/>
        </w:rPr>
        <w:t xml:space="preserve">　　</w:t>
      </w:r>
      <w:r>
        <w:t>1.中央警察大學外事警察學系主任暨研究所所長</w:t>
      </w:r>
    </w:p>
    <w:p w:rsidR="00FF6603" w:rsidRDefault="00FF6603" w:rsidP="00992AB6">
      <w:pPr>
        <w:spacing w:line="240" w:lineRule="auto"/>
        <w:ind w:leftChars="0" w:left="0" w:rightChars="0" w:right="0"/>
      </w:pPr>
      <w:r>
        <w:rPr>
          <w:rFonts w:hint="eastAsia"/>
        </w:rPr>
        <w:t xml:space="preserve">　　</w:t>
      </w:r>
      <w:r>
        <w:t>2.亞洲犯罪學學會秘書長</w:t>
      </w:r>
    </w:p>
    <w:p w:rsidR="00FF6603" w:rsidRDefault="00FF6603" w:rsidP="00992AB6">
      <w:pPr>
        <w:spacing w:line="240" w:lineRule="auto"/>
        <w:ind w:leftChars="0" w:left="0" w:rightChars="0" w:right="0"/>
      </w:pPr>
      <w:r>
        <w:rPr>
          <w:rFonts w:hint="eastAsia"/>
        </w:rPr>
        <w:t xml:space="preserve">　　</w:t>
      </w:r>
      <w:r>
        <w:t>3.國立臺北大學法律系及犯罪學研究所兼任教授</w:t>
      </w:r>
    </w:p>
    <w:p w:rsidR="00FF6603" w:rsidRDefault="00FF6603" w:rsidP="00992AB6">
      <w:pPr>
        <w:spacing w:line="240" w:lineRule="auto"/>
        <w:ind w:leftChars="0" w:left="0" w:rightChars="0" w:right="0"/>
      </w:pPr>
      <w:r>
        <w:rPr>
          <w:rFonts w:hint="eastAsia"/>
        </w:rPr>
        <w:t xml:space="preserve">　　</w:t>
      </w:r>
      <w:r>
        <w:t>4.國立中正大學犯罪防治學系兼任教授</w:t>
      </w:r>
    </w:p>
    <w:p w:rsidR="00FF6603" w:rsidRDefault="00FF6603" w:rsidP="00992AB6">
      <w:pPr>
        <w:spacing w:line="240" w:lineRule="auto"/>
        <w:ind w:leftChars="0" w:left="0" w:rightChars="0" w:right="0"/>
      </w:pPr>
      <w:r>
        <w:rPr>
          <w:rFonts w:hint="eastAsia"/>
        </w:rPr>
        <w:t xml:space="preserve">　　</w:t>
      </w:r>
      <w:r>
        <w:t>5.私立東吳大學法律系兼任教授</w:t>
      </w:r>
    </w:p>
    <w:p w:rsidR="00FF6603" w:rsidRDefault="00FF6603" w:rsidP="00992AB6">
      <w:pPr>
        <w:spacing w:line="240" w:lineRule="auto"/>
        <w:ind w:leftChars="0" w:left="0" w:rightChars="0" w:right="0"/>
      </w:pPr>
      <w:r>
        <w:rPr>
          <w:rFonts w:hint="eastAsia"/>
        </w:rPr>
        <w:t xml:space="preserve">　　</w:t>
      </w:r>
      <w:r>
        <w:t>6.私立實踐大學社會工作學系兼任教授</w:t>
      </w:r>
    </w:p>
    <w:p w:rsidR="00FF6603" w:rsidRDefault="00FF6603" w:rsidP="00992AB6">
      <w:pPr>
        <w:spacing w:line="240" w:lineRule="auto"/>
        <w:ind w:leftChars="0" w:left="0" w:rightChars="0" w:right="0"/>
      </w:pPr>
      <w:r>
        <w:rPr>
          <w:rFonts w:hint="eastAsia"/>
        </w:rPr>
        <w:t xml:space="preserve">　　</w:t>
      </w:r>
      <w:r>
        <w:t>7.亞洲警察學會（Asian Association of Police Studies）創會委員</w:t>
      </w:r>
    </w:p>
    <w:p w:rsidR="00FF6603" w:rsidRDefault="00FF6603" w:rsidP="00992AB6">
      <w:pPr>
        <w:spacing w:line="240" w:lineRule="auto"/>
        <w:ind w:leftChars="0" w:left="0" w:rightChars="0" w:right="0"/>
      </w:pPr>
      <w:r>
        <w:t>8‧中華民國犯罪學學會理事</w:t>
      </w:r>
    </w:p>
    <w:p w:rsidR="00FF6603" w:rsidRDefault="00FF6603" w:rsidP="00992AB6">
      <w:pPr>
        <w:spacing w:line="240" w:lineRule="auto"/>
        <w:ind w:leftChars="0" w:left="0" w:rightChars="0" w:right="0"/>
      </w:pPr>
      <w:r>
        <w:rPr>
          <w:rFonts w:hint="eastAsia"/>
        </w:rPr>
        <w:t xml:space="preserve">　　</w:t>
      </w:r>
      <w:r>
        <w:t>9.公務人員特種考試及升等考試命題、閱卷委員</w:t>
      </w:r>
    </w:p>
    <w:p w:rsidR="00FF6603" w:rsidRDefault="00FF6603" w:rsidP="00992AB6">
      <w:pPr>
        <w:spacing w:line="240" w:lineRule="auto"/>
        <w:ind w:leftChars="0" w:left="0" w:rightChars="0" w:right="0"/>
      </w:pPr>
      <w:r>
        <w:rPr>
          <w:rFonts w:hint="eastAsia"/>
        </w:rPr>
        <w:t xml:space="preserve">　　</w:t>
      </w:r>
      <w:r>
        <w:t>10.國家文官培訓所兼任講座</w:t>
      </w:r>
    </w:p>
    <w:p w:rsidR="00FF6603" w:rsidRDefault="00FF6603" w:rsidP="00992AB6">
      <w:pPr>
        <w:spacing w:line="240" w:lineRule="auto"/>
        <w:ind w:leftChars="0" w:left="0" w:rightChars="0" w:right="0"/>
      </w:pPr>
      <w:r>
        <w:rPr>
          <w:rFonts w:hint="eastAsia"/>
        </w:rPr>
        <w:t xml:space="preserve">　　</w:t>
      </w:r>
      <w:r>
        <w:t>11.行政院人事行政局地方行政研習中心兼任講座</w:t>
      </w:r>
    </w:p>
    <w:p w:rsidR="00FF6603" w:rsidRDefault="00FF6603" w:rsidP="00992AB6">
      <w:pPr>
        <w:spacing w:line="240" w:lineRule="auto"/>
        <w:ind w:leftChars="0" w:left="0" w:rightChars="0" w:right="0"/>
      </w:pPr>
      <w:r>
        <w:rPr>
          <w:rFonts w:hint="eastAsia"/>
        </w:rPr>
        <w:t xml:space="preserve">　　</w:t>
      </w:r>
      <w:r>
        <w:t>12.行政院海岸巡防署訓練班兼任講座</w:t>
      </w:r>
    </w:p>
    <w:p w:rsidR="00FF6603" w:rsidRDefault="00FF6603" w:rsidP="00992AB6">
      <w:pPr>
        <w:spacing w:line="240" w:lineRule="auto"/>
        <w:ind w:leftChars="0" w:left="0" w:rightChars="0" w:right="0"/>
      </w:pPr>
      <w:r>
        <w:rPr>
          <w:rFonts w:hint="eastAsia"/>
        </w:rPr>
        <w:t xml:space="preserve">　　</w:t>
      </w:r>
      <w:r>
        <w:t>13.法務部司法官訓練所兼任講座</w:t>
      </w:r>
    </w:p>
    <w:p w:rsidR="00FF6603" w:rsidRDefault="00FF6603" w:rsidP="00992AB6">
      <w:pPr>
        <w:spacing w:line="240" w:lineRule="auto"/>
        <w:ind w:leftChars="0" w:left="0" w:rightChars="0" w:right="0"/>
      </w:pPr>
      <w:r>
        <w:rPr>
          <w:rFonts w:hint="eastAsia"/>
        </w:rPr>
        <w:t xml:space="preserve">　　</w:t>
      </w:r>
      <w:r>
        <w:t>14.法務部調查局幹部訓練所兼任講座</w:t>
      </w:r>
    </w:p>
    <w:p w:rsidR="00FF6603" w:rsidRDefault="00FF6603" w:rsidP="00992AB6">
      <w:pPr>
        <w:spacing w:line="240" w:lineRule="auto"/>
        <w:ind w:leftChars="0" w:left="0" w:rightChars="0" w:right="0"/>
      </w:pPr>
      <w:r>
        <w:rPr>
          <w:rFonts w:hint="eastAsia"/>
        </w:rPr>
        <w:t xml:space="preserve">　　</w:t>
      </w:r>
      <w:r>
        <w:t>15.法務部矯正人員訓練所兼任講座</w:t>
      </w:r>
    </w:p>
    <w:p w:rsidR="00FF6603" w:rsidRDefault="00FF6603" w:rsidP="00992AB6">
      <w:pPr>
        <w:spacing w:line="240" w:lineRule="auto"/>
        <w:ind w:leftChars="0" w:left="0" w:rightChars="0" w:right="0"/>
      </w:pPr>
      <w:r>
        <w:rPr>
          <w:rFonts w:hint="eastAsia"/>
        </w:rPr>
        <w:t xml:space="preserve">　　</w:t>
      </w:r>
      <w:r>
        <w:t>16.警政署治安民意調查諮詢委員</w:t>
      </w:r>
    </w:p>
    <w:p w:rsidR="00FF6603" w:rsidRDefault="00FF6603" w:rsidP="00992AB6">
      <w:pPr>
        <w:spacing w:line="240" w:lineRule="auto"/>
        <w:ind w:leftChars="0" w:left="0" w:rightChars="0" w:right="0"/>
      </w:pPr>
      <w:r>
        <w:rPr>
          <w:rFonts w:hint="eastAsia"/>
        </w:rPr>
        <w:t xml:space="preserve">　　</w:t>
      </w:r>
      <w:r>
        <w:t>17.縣市警察局警察人員在職訓練講座</w:t>
      </w:r>
    </w:p>
    <w:p w:rsidR="00FF6603" w:rsidRDefault="00FF6603" w:rsidP="00992AB6">
      <w:pPr>
        <w:spacing w:line="240" w:lineRule="auto"/>
        <w:ind w:leftChars="0" w:left="0" w:rightChars="0" w:right="0"/>
      </w:pPr>
      <w:r>
        <w:rPr>
          <w:rFonts w:hint="eastAsia"/>
        </w:rPr>
        <w:t xml:space="preserve">　　</w:t>
      </w:r>
      <w:r>
        <w:t>18.桃園縣政府教育局顧問</w:t>
      </w:r>
    </w:p>
    <w:p w:rsidR="0049577B" w:rsidRPr="00B40DC1" w:rsidRDefault="00FF6603" w:rsidP="00992AB6">
      <w:pPr>
        <w:spacing w:line="240" w:lineRule="auto"/>
        <w:ind w:leftChars="0" w:left="0" w:rightChars="0" w:right="0"/>
      </w:pPr>
      <w:r>
        <w:rPr>
          <w:rFonts w:hint="eastAsia"/>
        </w:rPr>
        <w:t xml:space="preserve">　　</w:t>
      </w:r>
      <w:r>
        <w:t>19.香港大學、中國人民公安大學、江蘇省警官學院、廣東省警官學院、南京警校客座教授</w:t>
      </w:r>
    </w:p>
    <w:p w:rsidR="0049577B" w:rsidRPr="00B40DC1" w:rsidRDefault="0059552B" w:rsidP="00992AB6">
      <w:pPr>
        <w:spacing w:line="240" w:lineRule="auto"/>
        <w:ind w:leftChars="0" w:left="0" w:rightChars="0" w:right="0"/>
      </w:pPr>
      <w:r w:rsidRPr="0059552B">
        <w:rPr>
          <w:rFonts w:hint="eastAsia"/>
        </w:rPr>
        <w:t>【</w:t>
      </w:r>
      <w:r w:rsidR="0049577B" w:rsidRPr="00B40DC1">
        <w:t>國家考試及格</w:t>
      </w:r>
      <w:r w:rsidRPr="0059552B">
        <w:rPr>
          <w:rFonts w:hint="eastAsia"/>
        </w:rPr>
        <w:t>】</w:t>
      </w:r>
      <w:r w:rsidR="0049577B" w:rsidRPr="00B40DC1">
        <w:t>民國76年刑事警察特考乙等考試及格</w:t>
      </w:r>
    </w:p>
    <w:p w:rsidR="0049577B" w:rsidRPr="00B40DC1" w:rsidRDefault="0059552B" w:rsidP="00992AB6">
      <w:pPr>
        <w:spacing w:line="240" w:lineRule="auto"/>
        <w:ind w:leftChars="0" w:left="0" w:rightChars="0" w:right="0"/>
      </w:pPr>
      <w:r w:rsidRPr="0059552B">
        <w:rPr>
          <w:rFonts w:hint="eastAsia"/>
        </w:rPr>
        <w:t>【</w:t>
      </w:r>
      <w:r w:rsidR="0049577B" w:rsidRPr="00B40DC1">
        <w:t>學術專長領域</w:t>
      </w:r>
      <w:r w:rsidRPr="0059552B">
        <w:rPr>
          <w:rFonts w:hint="eastAsia"/>
        </w:rPr>
        <w:t>】</w:t>
      </w:r>
    </w:p>
    <w:p w:rsidR="0049577B" w:rsidRPr="00B40DC1" w:rsidRDefault="00FF6603" w:rsidP="00992AB6">
      <w:pPr>
        <w:spacing w:line="240" w:lineRule="auto"/>
        <w:ind w:leftChars="0" w:left="0" w:rightChars="0" w:right="0"/>
      </w:pPr>
      <w:r>
        <w:rPr>
          <w:rFonts w:hint="eastAsia"/>
        </w:rPr>
        <w:t xml:space="preserve">　　</w:t>
      </w:r>
      <w:r w:rsidR="0049577B" w:rsidRPr="00B40DC1">
        <w:t>1.犯罪學與刑事政策</w:t>
      </w:r>
    </w:p>
    <w:p w:rsidR="0049577B" w:rsidRPr="00B40DC1" w:rsidRDefault="00FF6603" w:rsidP="00992AB6">
      <w:pPr>
        <w:spacing w:line="240" w:lineRule="auto"/>
        <w:ind w:leftChars="0" w:left="0" w:rightChars="0" w:right="0"/>
      </w:pPr>
      <w:r>
        <w:rPr>
          <w:rFonts w:hint="eastAsia"/>
        </w:rPr>
        <w:t xml:space="preserve">　　</w:t>
      </w:r>
      <w:r w:rsidR="0049577B" w:rsidRPr="00B40DC1">
        <w:t>2.警察行政</w:t>
      </w:r>
    </w:p>
    <w:p w:rsidR="0049577B" w:rsidRPr="00B40DC1" w:rsidRDefault="00FF6603" w:rsidP="00992AB6">
      <w:pPr>
        <w:spacing w:line="240" w:lineRule="auto"/>
        <w:ind w:leftChars="0" w:left="0" w:rightChars="0" w:right="0"/>
      </w:pPr>
      <w:r>
        <w:rPr>
          <w:rFonts w:hint="eastAsia"/>
        </w:rPr>
        <w:t xml:space="preserve">　　</w:t>
      </w:r>
      <w:r w:rsidR="0049577B" w:rsidRPr="00B40DC1">
        <w:t>3.跨國（境）犯罪</w:t>
      </w:r>
    </w:p>
    <w:p w:rsidR="0049577B" w:rsidRPr="00B40DC1" w:rsidRDefault="00FF6603" w:rsidP="00992AB6">
      <w:pPr>
        <w:spacing w:line="240" w:lineRule="auto"/>
        <w:ind w:leftChars="0" w:left="0" w:rightChars="0" w:right="0"/>
      </w:pPr>
      <w:r>
        <w:rPr>
          <w:rFonts w:hint="eastAsia"/>
        </w:rPr>
        <w:t xml:space="preserve">　　</w:t>
      </w:r>
      <w:r w:rsidR="0049577B" w:rsidRPr="00B40DC1">
        <w:t>4.白領與經濟犯罪</w:t>
      </w:r>
    </w:p>
    <w:p w:rsidR="0049577B" w:rsidRPr="00B40DC1" w:rsidRDefault="00FF6603" w:rsidP="00992AB6">
      <w:pPr>
        <w:spacing w:line="240" w:lineRule="auto"/>
        <w:ind w:leftChars="0" w:left="0" w:rightChars="0" w:right="0"/>
      </w:pPr>
      <w:r>
        <w:rPr>
          <w:rFonts w:hint="eastAsia"/>
        </w:rPr>
        <w:t xml:space="preserve">　　</w:t>
      </w:r>
      <w:r w:rsidR="0049577B" w:rsidRPr="00B40DC1">
        <w:t>5.研究方法</w:t>
      </w:r>
    </w:p>
    <w:p w:rsidR="0049577B" w:rsidRDefault="003E18C8" w:rsidP="0008714D">
      <w:pPr>
        <w:jc w:val="right"/>
        <w:rPr>
          <w:color w:val="808000"/>
          <w:sz w:val="22"/>
        </w:rPr>
      </w:pPr>
      <w:r w:rsidRPr="00D45AD2">
        <w:rPr>
          <w:rFonts w:hint="eastAsia"/>
          <w:sz w:val="22"/>
        </w:rPr>
        <w:t>。。。。。。。。。。。。。。。。。。</w:t>
      </w:r>
      <w:hyperlink w:anchor="a目次" w:history="1">
        <w:r>
          <w:rPr>
            <w:rStyle w:val="a7"/>
            <w:sz w:val="22"/>
            <w:lang w:eastAsia="zh-TW"/>
          </w:rPr>
          <w:t>回總目次</w:t>
        </w:r>
      </w:hyperlink>
      <w:r w:rsidRPr="00D45AD2">
        <w:rPr>
          <w:color w:val="808000"/>
          <w:sz w:val="22"/>
        </w:rPr>
        <w:t>〉〉</w:t>
      </w:r>
    </w:p>
    <w:p w:rsidR="00992AB6" w:rsidRPr="00B40DC1" w:rsidRDefault="00992AB6" w:rsidP="0008714D">
      <w:pPr>
        <w:jc w:val="right"/>
      </w:pPr>
    </w:p>
    <w:p w:rsidR="0049577B" w:rsidRPr="00B40DC1" w:rsidRDefault="00FF6603" w:rsidP="00B662A4">
      <w:pPr>
        <w:pStyle w:val="11"/>
      </w:pPr>
      <w:bookmarkStart w:id="13" w:name="_【蔡政杰_講師】"/>
      <w:bookmarkEnd w:id="13"/>
      <w:r w:rsidRPr="00FF6603">
        <w:rPr>
          <w:rFonts w:hint="eastAsia"/>
        </w:rPr>
        <w:lastRenderedPageBreak/>
        <w:t>【</w:t>
      </w:r>
      <w:r w:rsidR="0049577B" w:rsidRPr="00B40DC1">
        <w:t>蔡政杰 講師</w:t>
      </w:r>
      <w:r w:rsidRPr="00DC26EE">
        <w:rPr>
          <w:rFonts w:hint="eastAsia"/>
        </w:rPr>
        <w:t>】</w:t>
      </w:r>
    </w:p>
    <w:p w:rsidR="0049577B" w:rsidRPr="00B40DC1" w:rsidRDefault="0049577B" w:rsidP="000D26BB">
      <w:r w:rsidRPr="00B40DC1">
        <w:rPr>
          <w:noProof/>
        </w:rPr>
        <w:drawing>
          <wp:anchor distT="0" distB="0" distL="114300" distR="114300" simplePos="0" relativeHeight="251659264" behindDoc="0" locked="0" layoutInCell="1" allowOverlap="1" wp14:anchorId="58A2BAF0" wp14:editId="75EA7C6D">
            <wp:simplePos x="0" y="0"/>
            <wp:positionH relativeFrom="column">
              <wp:posOffset>22860</wp:posOffset>
            </wp:positionH>
            <wp:positionV relativeFrom="paragraph">
              <wp:posOffset>89535</wp:posOffset>
            </wp:positionV>
            <wp:extent cx="1383665" cy="1546860"/>
            <wp:effectExtent l="0" t="0" r="6985"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蔡R 09883590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3665" cy="1546860"/>
                    </a:xfrm>
                    <a:prstGeom prst="rect">
                      <a:avLst/>
                    </a:prstGeom>
                  </pic:spPr>
                </pic:pic>
              </a:graphicData>
            </a:graphic>
            <wp14:sizeRelH relativeFrom="margin">
              <wp14:pctWidth>0</wp14:pctWidth>
            </wp14:sizeRelH>
            <wp14:sizeRelV relativeFrom="margin">
              <wp14:pctHeight>0</wp14:pctHeight>
            </wp14:sizeRelV>
          </wp:anchor>
        </w:drawing>
      </w:r>
    </w:p>
    <w:p w:rsidR="0049577B" w:rsidRPr="00B40DC1" w:rsidRDefault="0049577B" w:rsidP="000D26BB"/>
    <w:p w:rsidR="0049577B" w:rsidRPr="00B40DC1" w:rsidRDefault="0049577B" w:rsidP="000D26BB"/>
    <w:p w:rsidR="0049577B" w:rsidRPr="00B40DC1" w:rsidRDefault="0049577B" w:rsidP="000D26BB"/>
    <w:p w:rsidR="0049577B" w:rsidRPr="00B40DC1" w:rsidRDefault="0049577B" w:rsidP="000D26BB"/>
    <w:p w:rsidR="0049577B" w:rsidRPr="00B40DC1" w:rsidRDefault="0049577B" w:rsidP="000D26BB"/>
    <w:p w:rsidR="0049577B" w:rsidRPr="00B40DC1" w:rsidRDefault="0049577B" w:rsidP="000D26BB"/>
    <w:p w:rsidR="0049577B" w:rsidRPr="00B40DC1" w:rsidRDefault="00992AB6" w:rsidP="000D26BB">
      <w:r w:rsidRPr="00992AB6">
        <w:rPr>
          <w:rFonts w:hint="eastAsia"/>
          <w:color w:val="FFFFFF" w:themeColor="background1"/>
        </w:rPr>
        <w:t>◇◆</w:t>
      </w:r>
    </w:p>
    <w:p w:rsidR="00587E93" w:rsidRDefault="0059552B" w:rsidP="00992AB6">
      <w:pPr>
        <w:spacing w:line="240" w:lineRule="auto"/>
        <w:ind w:leftChars="0" w:left="0" w:rightChars="0" w:right="0"/>
      </w:pPr>
      <w:r w:rsidRPr="0059552B">
        <w:rPr>
          <w:rFonts w:hint="eastAsia"/>
        </w:rPr>
        <w:t>【</w:t>
      </w:r>
      <w:r w:rsidR="00587E93">
        <w:rPr>
          <w:rFonts w:hint="eastAsia"/>
        </w:rPr>
        <w:t>現任</w:t>
      </w:r>
      <w:r w:rsidRPr="0059552B">
        <w:rPr>
          <w:rFonts w:hint="eastAsia"/>
        </w:rPr>
        <w:t>】</w:t>
      </w:r>
    </w:p>
    <w:p w:rsidR="00587E93" w:rsidRDefault="00587E93" w:rsidP="00992AB6">
      <w:pPr>
        <w:spacing w:line="240" w:lineRule="auto"/>
        <w:ind w:leftChars="0" w:left="0" w:rightChars="0" w:right="0"/>
      </w:pPr>
      <w:r>
        <w:rPr>
          <w:rFonts w:hint="eastAsia"/>
        </w:rPr>
        <w:t xml:space="preserve">　　</w:t>
      </w:r>
      <w:r>
        <w:t>1.內政部移民署　薦任九職等　視察</w:t>
      </w:r>
    </w:p>
    <w:p w:rsidR="00587E93" w:rsidRDefault="00587E93" w:rsidP="00992AB6">
      <w:pPr>
        <w:spacing w:line="240" w:lineRule="auto"/>
        <w:ind w:leftChars="0" w:left="0" w:rightChars="0" w:right="0"/>
      </w:pPr>
      <w:r>
        <w:rPr>
          <w:rFonts w:hint="eastAsia"/>
        </w:rPr>
        <w:t xml:space="preserve">　　</w:t>
      </w:r>
      <w:r>
        <w:t>2.中央警察大學國境警察學系　兼任講師(教育部審定)</w:t>
      </w:r>
    </w:p>
    <w:p w:rsidR="00587E93" w:rsidRDefault="0059552B" w:rsidP="00992AB6">
      <w:pPr>
        <w:spacing w:line="240" w:lineRule="auto"/>
        <w:ind w:leftChars="0" w:left="0" w:rightChars="0" w:right="0"/>
      </w:pPr>
      <w:r w:rsidRPr="0059552B">
        <w:rPr>
          <w:rFonts w:hint="eastAsia"/>
        </w:rPr>
        <w:t>【</w:t>
      </w:r>
      <w:r w:rsidR="00587E93">
        <w:rPr>
          <w:rFonts w:hint="eastAsia"/>
        </w:rPr>
        <w:t>學歷</w:t>
      </w:r>
      <w:r w:rsidRPr="0059552B">
        <w:rPr>
          <w:rFonts w:hint="eastAsia"/>
        </w:rPr>
        <w:t>】</w:t>
      </w:r>
    </w:p>
    <w:p w:rsidR="00587E93" w:rsidRDefault="00587E93" w:rsidP="00992AB6">
      <w:pPr>
        <w:spacing w:line="240" w:lineRule="auto"/>
        <w:ind w:leftChars="0" w:left="0" w:rightChars="0" w:right="0"/>
      </w:pPr>
      <w:r>
        <w:rPr>
          <w:rFonts w:hint="eastAsia"/>
        </w:rPr>
        <w:t xml:space="preserve">　　</w:t>
      </w:r>
      <w:r>
        <w:t>1.中國文化大學政治學研究所　博士候選人</w:t>
      </w:r>
    </w:p>
    <w:p w:rsidR="00587E93" w:rsidRDefault="00587E93" w:rsidP="00992AB6">
      <w:pPr>
        <w:spacing w:line="240" w:lineRule="auto"/>
        <w:ind w:leftChars="0" w:left="0" w:rightChars="0" w:right="0"/>
      </w:pPr>
      <w:r>
        <w:rPr>
          <w:rFonts w:hint="eastAsia"/>
        </w:rPr>
        <w:t xml:space="preserve">　　</w:t>
      </w:r>
      <w:r>
        <w:t>2.中央警察大學外事警察研究所（國境組）　法學碩士</w:t>
      </w:r>
    </w:p>
    <w:p w:rsidR="00587E93" w:rsidRDefault="0059552B" w:rsidP="00992AB6">
      <w:pPr>
        <w:spacing w:line="240" w:lineRule="auto"/>
        <w:ind w:leftChars="0" w:left="0" w:rightChars="0" w:right="0"/>
      </w:pPr>
      <w:r w:rsidRPr="0059552B">
        <w:rPr>
          <w:rFonts w:hint="eastAsia"/>
        </w:rPr>
        <w:t>【</w:t>
      </w:r>
      <w:r w:rsidR="00587E93">
        <w:rPr>
          <w:rFonts w:hint="eastAsia"/>
        </w:rPr>
        <w:t>經歷</w:t>
      </w:r>
      <w:r w:rsidRPr="0059552B">
        <w:rPr>
          <w:rFonts w:hint="eastAsia"/>
        </w:rPr>
        <w:t>】</w:t>
      </w:r>
    </w:p>
    <w:p w:rsidR="00587E93" w:rsidRDefault="00587E93" w:rsidP="00992AB6">
      <w:pPr>
        <w:spacing w:line="240" w:lineRule="auto"/>
        <w:ind w:leftChars="0" w:left="0" w:rightChars="0" w:right="0"/>
      </w:pPr>
      <w:r>
        <w:rPr>
          <w:rFonts w:hint="eastAsia"/>
        </w:rPr>
        <w:t xml:space="preserve">　　</w:t>
      </w:r>
      <w:r>
        <w:t>1.內政部移民署　新竹縣專勤隊　視察兼副隊長</w:t>
      </w:r>
    </w:p>
    <w:p w:rsidR="00587E93" w:rsidRDefault="00587E93" w:rsidP="00992AB6">
      <w:pPr>
        <w:spacing w:line="240" w:lineRule="auto"/>
        <w:ind w:leftChars="0" w:left="0" w:rightChars="0" w:right="0"/>
      </w:pPr>
      <w:r>
        <w:rPr>
          <w:rFonts w:hint="eastAsia"/>
        </w:rPr>
        <w:t xml:space="preserve">　　</w:t>
      </w:r>
      <w:r>
        <w:t>2.公務人員特種考試移民行政專業訓練班　輔導員</w:t>
      </w:r>
    </w:p>
    <w:p w:rsidR="00587E93" w:rsidRDefault="00587E93" w:rsidP="00992AB6">
      <w:pPr>
        <w:spacing w:line="240" w:lineRule="auto"/>
        <w:ind w:leftChars="0" w:left="0" w:rightChars="0" w:right="0"/>
      </w:pPr>
      <w:r>
        <w:rPr>
          <w:rFonts w:hint="eastAsia"/>
        </w:rPr>
        <w:t xml:space="preserve">　　</w:t>
      </w:r>
      <w:r>
        <w:t>3.基隆市政府內部控制及內部稽核實務訓練　講座</w:t>
      </w:r>
    </w:p>
    <w:p w:rsidR="00587E93" w:rsidRDefault="00587E93" w:rsidP="00992AB6">
      <w:pPr>
        <w:spacing w:line="240" w:lineRule="auto"/>
        <w:ind w:leftChars="0" w:left="0" w:rightChars="0" w:right="0"/>
      </w:pPr>
      <w:r>
        <w:rPr>
          <w:rFonts w:hint="eastAsia"/>
        </w:rPr>
        <w:t xml:space="preserve">　　</w:t>
      </w:r>
      <w:r>
        <w:t>4.臺中市政府內部控制及內部稽核實務訓練　講座</w:t>
      </w:r>
    </w:p>
    <w:p w:rsidR="00587E93" w:rsidRDefault="00587E93" w:rsidP="00992AB6">
      <w:pPr>
        <w:spacing w:line="240" w:lineRule="auto"/>
        <w:ind w:leftChars="0" w:left="0" w:rightChars="0" w:right="0"/>
      </w:pPr>
      <w:r>
        <w:rPr>
          <w:rFonts w:hint="eastAsia"/>
        </w:rPr>
        <w:t xml:space="preserve">　　</w:t>
      </w:r>
      <w:r>
        <w:t>5.高雄市政府內部控制及內部稽核實務訓練　講座</w:t>
      </w:r>
    </w:p>
    <w:p w:rsidR="00587E93" w:rsidRDefault="00587E93" w:rsidP="00992AB6">
      <w:pPr>
        <w:spacing w:line="240" w:lineRule="auto"/>
        <w:ind w:leftChars="0" w:left="0" w:rightChars="0" w:right="0"/>
      </w:pPr>
      <w:r>
        <w:rPr>
          <w:rFonts w:hint="eastAsia"/>
        </w:rPr>
        <w:t xml:space="preserve">　　</w:t>
      </w:r>
      <w:r>
        <w:t>6.內政部消防署內部控制及內部稽核實務訓練　講座</w:t>
      </w:r>
    </w:p>
    <w:p w:rsidR="00587E93" w:rsidRDefault="00587E93" w:rsidP="00992AB6">
      <w:pPr>
        <w:spacing w:line="240" w:lineRule="auto"/>
        <w:ind w:leftChars="0" w:left="0" w:rightChars="0" w:right="0"/>
      </w:pPr>
      <w:r>
        <w:rPr>
          <w:rFonts w:hint="eastAsia"/>
        </w:rPr>
        <w:t xml:space="preserve">　　</w:t>
      </w:r>
      <w:r>
        <w:t>7.行政院原子能委員會內部控制及內部稽核實務訓練　講座</w:t>
      </w:r>
    </w:p>
    <w:p w:rsidR="00587E93" w:rsidRDefault="00587E93" w:rsidP="00992AB6">
      <w:pPr>
        <w:spacing w:line="240" w:lineRule="auto"/>
        <w:ind w:leftChars="0" w:left="0" w:rightChars="0" w:right="0"/>
      </w:pPr>
      <w:r>
        <w:rPr>
          <w:rFonts w:hint="eastAsia"/>
        </w:rPr>
        <w:t xml:space="preserve">　　</w:t>
      </w:r>
      <w:r>
        <w:t>8.行政院主計總處內部控制工作圈　小組成員</w:t>
      </w:r>
    </w:p>
    <w:p w:rsidR="00587E93" w:rsidRDefault="00587E93" w:rsidP="00992AB6">
      <w:pPr>
        <w:spacing w:line="240" w:lineRule="auto"/>
        <w:ind w:leftChars="0" w:left="0" w:rightChars="0" w:right="0"/>
      </w:pPr>
      <w:r>
        <w:rPr>
          <w:rFonts w:hint="eastAsia"/>
        </w:rPr>
        <w:t xml:space="preserve">　　</w:t>
      </w:r>
      <w:r>
        <w:t>9.台北市旅遊工會　法規訓練　講座</w:t>
      </w:r>
    </w:p>
    <w:p w:rsidR="00587E93" w:rsidRDefault="00587E93" w:rsidP="00992AB6">
      <w:pPr>
        <w:spacing w:line="240" w:lineRule="auto"/>
        <w:ind w:leftChars="0" w:left="0" w:rightChars="0" w:right="0"/>
      </w:pPr>
      <w:r>
        <w:rPr>
          <w:rFonts w:hint="eastAsia"/>
        </w:rPr>
        <w:t xml:space="preserve">　　</w:t>
      </w:r>
      <w:r>
        <w:t>10.交通部觀光局　法規訓練　講座</w:t>
      </w:r>
    </w:p>
    <w:p w:rsidR="00587E93" w:rsidRDefault="00587E93" w:rsidP="00992AB6">
      <w:pPr>
        <w:spacing w:line="240" w:lineRule="auto"/>
        <w:ind w:leftChars="0" w:left="0" w:rightChars="0" w:right="0"/>
      </w:pPr>
      <w:r>
        <w:rPr>
          <w:rFonts w:hint="eastAsia"/>
        </w:rPr>
        <w:t xml:space="preserve">　　</w:t>
      </w:r>
      <w:r>
        <w:t>11.榮民服務處　榮眷輔導教育　講座</w:t>
      </w:r>
    </w:p>
    <w:p w:rsidR="00587E93" w:rsidRDefault="00587E93" w:rsidP="00992AB6">
      <w:pPr>
        <w:spacing w:line="240" w:lineRule="auto"/>
        <w:ind w:leftChars="0" w:left="0" w:rightChars="0" w:right="0"/>
      </w:pPr>
      <w:r>
        <w:rPr>
          <w:rFonts w:hint="eastAsia"/>
        </w:rPr>
        <w:t xml:space="preserve">　　</w:t>
      </w:r>
      <w:r>
        <w:t>12.臺北市政府文山第二分局　保防教育　講座</w:t>
      </w:r>
    </w:p>
    <w:p w:rsidR="00587E93" w:rsidRDefault="00587E93" w:rsidP="00992AB6">
      <w:pPr>
        <w:spacing w:line="240" w:lineRule="auto"/>
        <w:ind w:leftChars="0" w:left="0" w:rightChars="0" w:right="0"/>
      </w:pPr>
      <w:r>
        <w:rPr>
          <w:rFonts w:hint="eastAsia"/>
        </w:rPr>
        <w:t xml:space="preserve">　　</w:t>
      </w:r>
      <w:r>
        <w:t>13.臺灣海峽兩岸觀光旅遊協會　秘書</w:t>
      </w:r>
    </w:p>
    <w:p w:rsidR="003C1792" w:rsidRDefault="0059552B" w:rsidP="00992AB6">
      <w:pPr>
        <w:spacing w:line="240" w:lineRule="auto"/>
        <w:ind w:leftChars="0" w:left="0" w:rightChars="0" w:right="0"/>
      </w:pPr>
      <w:r w:rsidRPr="0059552B">
        <w:rPr>
          <w:rFonts w:hint="eastAsia"/>
        </w:rPr>
        <w:t>【</w:t>
      </w:r>
      <w:r w:rsidR="0049577B" w:rsidRPr="00B40DC1">
        <w:t>國家考試及格</w:t>
      </w:r>
      <w:r w:rsidRPr="0059552B">
        <w:rPr>
          <w:rFonts w:hint="eastAsia"/>
        </w:rPr>
        <w:t>】</w:t>
      </w:r>
      <w:r w:rsidR="0049577B" w:rsidRPr="00B40DC1">
        <w:t>行政警察特考乙等考試及格、行政警察特考丙等考試及格</w:t>
      </w:r>
    </w:p>
    <w:p w:rsidR="0049577B" w:rsidRPr="00B40DC1" w:rsidRDefault="0059552B" w:rsidP="00992AB6">
      <w:pPr>
        <w:spacing w:line="240" w:lineRule="auto"/>
        <w:ind w:leftChars="0" w:left="0" w:rightChars="0" w:right="0"/>
      </w:pPr>
      <w:r w:rsidRPr="0059552B">
        <w:rPr>
          <w:rFonts w:hint="eastAsia"/>
        </w:rPr>
        <w:t>【</w:t>
      </w:r>
      <w:r w:rsidR="0049577B" w:rsidRPr="00B40DC1">
        <w:t>學術專長領域</w:t>
      </w:r>
      <w:r w:rsidRPr="0059552B">
        <w:rPr>
          <w:rFonts w:hint="eastAsia"/>
        </w:rPr>
        <w:t>】</w:t>
      </w:r>
      <w:r w:rsidR="0049577B" w:rsidRPr="00B40DC1">
        <w:t>入出國管理、移民法制、移民政策、警察行政、國境安全及人流管理、大陸事務法規、兩岸人民交流機制研究、移民行政法規</w:t>
      </w:r>
    </w:p>
    <w:p w:rsidR="0049577B" w:rsidRPr="00B40DC1" w:rsidRDefault="0059552B" w:rsidP="00992AB6">
      <w:pPr>
        <w:spacing w:line="240" w:lineRule="auto"/>
        <w:ind w:leftChars="0" w:left="0" w:rightChars="0" w:right="0"/>
        <w:rPr>
          <w:lang w:eastAsia="zh-HK"/>
        </w:rPr>
      </w:pPr>
      <w:r w:rsidRPr="0059552B">
        <w:rPr>
          <w:rFonts w:hint="eastAsia"/>
          <w:lang w:eastAsia="zh-HK"/>
        </w:rPr>
        <w:t>【</w:t>
      </w:r>
      <w:r w:rsidR="0049577B" w:rsidRPr="00B40DC1">
        <w:rPr>
          <w:lang w:eastAsia="zh-HK"/>
        </w:rPr>
        <w:t>學術著作</w:t>
      </w:r>
      <w:r w:rsidRPr="0059552B">
        <w:rPr>
          <w:rFonts w:hint="eastAsia"/>
          <w:lang w:eastAsia="zh-HK"/>
        </w:rPr>
        <w:t>】</w:t>
      </w:r>
    </w:p>
    <w:p w:rsidR="007D602F" w:rsidRDefault="007D602F" w:rsidP="00992AB6">
      <w:pPr>
        <w:spacing w:line="240" w:lineRule="auto"/>
        <w:ind w:leftChars="0" w:left="0" w:rightChars="0" w:right="0"/>
      </w:pPr>
      <w:r>
        <w:rPr>
          <w:rFonts w:hint="eastAsia"/>
        </w:rPr>
        <w:t xml:space="preserve">　　</w:t>
      </w:r>
      <w:r>
        <w:t>1.〈大數據應用於犯罪偵防與隱私權之法制研究〉，《第十二屆兩岸暨香港、澳門警學研討會論文集》，2017年12月</w:t>
      </w:r>
    </w:p>
    <w:p w:rsidR="007D602F" w:rsidRDefault="007D602F" w:rsidP="00992AB6">
      <w:pPr>
        <w:spacing w:line="240" w:lineRule="auto"/>
        <w:ind w:leftChars="0" w:left="0" w:rightChars="0" w:right="0"/>
      </w:pPr>
      <w:r>
        <w:rPr>
          <w:rFonts w:hint="eastAsia"/>
        </w:rPr>
        <w:t xml:space="preserve">　　</w:t>
      </w:r>
      <w:r>
        <w:t>2.〈兩岸大數據應用於犯罪偵防與隱私權之法制研究〉，《移民事務與國境管理』學術研討會論文集》，2017年11月</w:t>
      </w:r>
    </w:p>
    <w:p w:rsidR="007D602F" w:rsidRDefault="007D602F" w:rsidP="00992AB6">
      <w:pPr>
        <w:spacing w:line="240" w:lineRule="auto"/>
        <w:ind w:leftChars="0" w:left="0" w:rightChars="0" w:right="0"/>
      </w:pPr>
      <w:r>
        <w:rPr>
          <w:rFonts w:hint="eastAsia"/>
        </w:rPr>
        <w:t xml:space="preserve">　　</w:t>
      </w:r>
      <w:r>
        <w:t>3.〈從犯罪預防觀點探討兩岸跨境網路犯罪之防治機制〉，《中央警察大學國土安全與國境管理學報》第26期，2016年11月。</w:t>
      </w:r>
    </w:p>
    <w:p w:rsidR="007D602F" w:rsidRDefault="007D602F" w:rsidP="00992AB6">
      <w:pPr>
        <w:spacing w:line="240" w:lineRule="auto"/>
        <w:ind w:leftChars="0" w:left="0" w:rightChars="0" w:right="0"/>
      </w:pPr>
      <w:r>
        <w:rPr>
          <w:rFonts w:hint="eastAsia"/>
        </w:rPr>
        <w:t xml:space="preserve">　　</w:t>
      </w:r>
      <w:r>
        <w:t>4.〈毒品本質與危害之研究：兼論「施用毒品」除罪化面臨之困境〉，《國境管理與執法學術研討會論文集》，2016年11月。</w:t>
      </w:r>
    </w:p>
    <w:p w:rsidR="007D602F" w:rsidRDefault="007D602F" w:rsidP="00992AB6">
      <w:pPr>
        <w:spacing w:line="240" w:lineRule="auto"/>
        <w:ind w:leftChars="0" w:left="0" w:rightChars="0" w:right="0"/>
      </w:pPr>
      <w:r>
        <w:rPr>
          <w:rFonts w:hint="eastAsia"/>
        </w:rPr>
        <w:lastRenderedPageBreak/>
        <w:t xml:space="preserve">　　</w:t>
      </w:r>
      <w:r>
        <w:t>5.〈婚姻移民人權與國境安全管理之折衝與拉址：從平等權探討我國新住民配偶入籍之人權保障機制〉，《國土安全與移民政策》，2016年8月。</w:t>
      </w:r>
    </w:p>
    <w:p w:rsidR="007D602F" w:rsidRDefault="007D602F" w:rsidP="00992AB6">
      <w:pPr>
        <w:spacing w:line="240" w:lineRule="auto"/>
        <w:ind w:leftChars="0" w:left="0" w:rightChars="0" w:right="0"/>
      </w:pPr>
      <w:r>
        <w:rPr>
          <w:rFonts w:hint="eastAsia"/>
        </w:rPr>
        <w:t xml:space="preserve">　　</w:t>
      </w:r>
      <w:r>
        <w:t>6.〈從犯罪預務觀點探討兩岸跨境犯罪之治理〉，《全球化下之國境執法》，2016年7月。</w:t>
      </w:r>
    </w:p>
    <w:p w:rsidR="007D602F" w:rsidRDefault="007D602F" w:rsidP="00992AB6">
      <w:pPr>
        <w:spacing w:line="240" w:lineRule="auto"/>
        <w:ind w:leftChars="0" w:left="0" w:rightChars="0" w:right="0"/>
      </w:pPr>
      <w:r>
        <w:rPr>
          <w:rFonts w:hint="eastAsia"/>
        </w:rPr>
        <w:t xml:space="preserve">　　</w:t>
      </w:r>
      <w:r>
        <w:t>7.〈從「源頭安全管理」觀點探討大陸地區人民來台之「國境人流管理」機制之現況與未來可行之發長對策〉，《全球化下之國境執法》，2016年7月。</w:t>
      </w:r>
    </w:p>
    <w:p w:rsidR="007D602F" w:rsidRDefault="007D602F" w:rsidP="00992AB6">
      <w:pPr>
        <w:spacing w:line="240" w:lineRule="auto"/>
        <w:ind w:leftChars="0" w:left="0" w:rightChars="0" w:right="0"/>
      </w:pPr>
      <w:r>
        <w:rPr>
          <w:rFonts w:hint="eastAsia"/>
        </w:rPr>
        <w:t xml:space="preserve">　　</w:t>
      </w:r>
      <w:r>
        <w:t>8.〈從國境人流管理觀點探討我國對於大陸地區人民來台觀光之管制機制之現況、弱點與未來可行發展之對策〉，《全球化下之國境執法》，2016年7月。</w:t>
      </w:r>
    </w:p>
    <w:p w:rsidR="007D602F" w:rsidRDefault="007D602F" w:rsidP="00992AB6">
      <w:pPr>
        <w:spacing w:line="240" w:lineRule="auto"/>
        <w:ind w:leftChars="0" w:left="0" w:rightChars="0" w:right="0"/>
      </w:pPr>
      <w:r>
        <w:rPr>
          <w:rFonts w:hint="eastAsia"/>
        </w:rPr>
        <w:t xml:space="preserve">　　</w:t>
      </w:r>
      <w:r>
        <w:t>9.〈從國境人流管理觀點探討我國對於大陸地區人民來台觀光之管制機制之現況、弱點與未來可行發展之對策〉，《全球化下之國境執法》，2016年7月。</w:t>
      </w:r>
    </w:p>
    <w:p w:rsidR="007D602F" w:rsidRDefault="007D602F" w:rsidP="00992AB6">
      <w:pPr>
        <w:spacing w:line="240" w:lineRule="auto"/>
        <w:ind w:leftChars="0" w:left="0" w:rightChars="0" w:right="0"/>
      </w:pPr>
      <w:r>
        <w:rPr>
          <w:rFonts w:hint="eastAsia"/>
        </w:rPr>
        <w:t xml:space="preserve">　　</w:t>
      </w:r>
      <w:r>
        <w:t>10.〈從犯罪預防觀點探討兩岸跨境網路犯罪之治理〉，《國境管理與執法學術研討會論文集》，2015年11月</w:t>
      </w:r>
    </w:p>
    <w:p w:rsidR="007D602F" w:rsidRDefault="007D602F" w:rsidP="00992AB6">
      <w:pPr>
        <w:spacing w:line="240" w:lineRule="auto"/>
        <w:ind w:leftChars="0" w:left="0" w:rightChars="0" w:right="0"/>
      </w:pPr>
      <w:r>
        <w:rPr>
          <w:rFonts w:hint="eastAsia"/>
        </w:rPr>
        <w:t xml:space="preserve">　　</w:t>
      </w:r>
      <w:r>
        <w:t>11.〈警察角色演進與「犯罪預防警政」之興起--兼論外來人口犯防之策略〉，《國土安全與國境管理學報》，第23期，2015年5月。</w:t>
      </w:r>
    </w:p>
    <w:p w:rsidR="007D602F" w:rsidRDefault="007D602F" w:rsidP="00992AB6">
      <w:pPr>
        <w:spacing w:line="240" w:lineRule="auto"/>
        <w:ind w:leftChars="0" w:left="0" w:rightChars="0" w:right="0"/>
      </w:pPr>
      <w:r>
        <w:rPr>
          <w:rFonts w:hint="eastAsia"/>
        </w:rPr>
        <w:t xml:space="preserve">　　</w:t>
      </w:r>
      <w:r>
        <w:t>12.〈從「源頭安全管理」觀點探討大陸地區人民來台的「國境人流管理」機制〉，《人口移動與執法學術研討會論文集》，2015年5月。</w:t>
      </w:r>
    </w:p>
    <w:p w:rsidR="007D602F" w:rsidRDefault="007D602F" w:rsidP="00992AB6">
      <w:pPr>
        <w:spacing w:line="240" w:lineRule="auto"/>
        <w:ind w:leftChars="0" w:left="0" w:rightChars="0" w:right="0"/>
      </w:pPr>
      <w:r>
        <w:rPr>
          <w:rFonts w:hint="eastAsia"/>
        </w:rPr>
        <w:t xml:space="preserve">　　</w:t>
      </w:r>
      <w:r>
        <w:t>13.〈人口販運問題之現況與回應對策〉，《國土安全與國境管理學報》，第22期，2014年11月。</w:t>
      </w:r>
    </w:p>
    <w:p w:rsidR="007D602F" w:rsidRDefault="007D602F" w:rsidP="00992AB6">
      <w:pPr>
        <w:spacing w:line="240" w:lineRule="auto"/>
        <w:ind w:leftChars="0" w:left="0" w:rightChars="0" w:right="0"/>
      </w:pPr>
      <w:r>
        <w:rPr>
          <w:rFonts w:hint="eastAsia"/>
        </w:rPr>
        <w:t xml:space="preserve">　　</w:t>
      </w:r>
      <w:r>
        <w:t>14.〈人口販運防治〉，《國境管理與執法學術研討會論文集》，2014年10月。</w:t>
      </w:r>
    </w:p>
    <w:p w:rsidR="007D602F" w:rsidRDefault="007D602F" w:rsidP="00992AB6">
      <w:pPr>
        <w:spacing w:line="240" w:lineRule="auto"/>
        <w:ind w:leftChars="0" w:left="0" w:rightChars="0" w:right="0"/>
      </w:pPr>
      <w:r>
        <w:rPr>
          <w:rFonts w:hint="eastAsia"/>
        </w:rPr>
        <w:t xml:space="preserve">　　</w:t>
      </w:r>
      <w:r>
        <w:t>15.〈論大陸地區人民來台之源頭安全管理〉，《國土安全與國境管理學報》，第21期，2014年5月。</w:t>
      </w:r>
    </w:p>
    <w:p w:rsidR="007D602F" w:rsidRDefault="007D602F" w:rsidP="00992AB6">
      <w:pPr>
        <w:spacing w:line="240" w:lineRule="auto"/>
        <w:ind w:leftChars="0" w:left="0" w:rightChars="0" w:right="0"/>
      </w:pPr>
      <w:r>
        <w:rPr>
          <w:rFonts w:hint="eastAsia"/>
        </w:rPr>
        <w:t xml:space="preserve">　　</w:t>
      </w:r>
      <w:r>
        <w:t>16.〈兩岸跨境人流管理合作機制之初探〉，《第八屆兩岸暨香港、澳門警學研討會論文集》，2013年12月</w:t>
      </w:r>
    </w:p>
    <w:p w:rsidR="007D602F" w:rsidRDefault="007D602F" w:rsidP="00992AB6">
      <w:pPr>
        <w:spacing w:line="240" w:lineRule="auto"/>
        <w:ind w:leftChars="0" w:left="0" w:rightChars="0" w:right="0"/>
      </w:pPr>
      <w:r>
        <w:rPr>
          <w:rFonts w:hint="eastAsia"/>
        </w:rPr>
        <w:t xml:space="preserve">　　</w:t>
      </w:r>
      <w:r>
        <w:t>17.〈從平等權論台灣新住民配偶入籍及生活權益保障〉，《國土安全與國境管理學報》，第18期，2012年12月。</w:t>
      </w:r>
    </w:p>
    <w:p w:rsidR="007D602F" w:rsidRDefault="007D602F" w:rsidP="00992AB6">
      <w:pPr>
        <w:spacing w:line="240" w:lineRule="auto"/>
        <w:ind w:leftChars="0" w:left="0" w:rightChars="0" w:right="0"/>
      </w:pPr>
      <w:r>
        <w:rPr>
          <w:rFonts w:hint="eastAsia"/>
        </w:rPr>
        <w:t xml:space="preserve">　　</w:t>
      </w:r>
      <w:r>
        <w:t>18.〈論外籍及大陸配偶在台入籍規範之權益衡平性-兼論兩者在台生活權益保障之現況及檢討〉，《人口移動與國境執法學術研討會論文集》，2012年11月。</w:t>
      </w:r>
    </w:p>
    <w:p w:rsidR="0049577B" w:rsidRPr="00B40DC1" w:rsidRDefault="007D602F" w:rsidP="00992AB6">
      <w:pPr>
        <w:spacing w:line="240" w:lineRule="auto"/>
        <w:ind w:leftChars="0" w:left="0" w:rightChars="0" w:right="0"/>
      </w:pPr>
      <w:r>
        <w:rPr>
          <w:rFonts w:hint="eastAsia"/>
        </w:rPr>
        <w:t xml:space="preserve">　　</w:t>
      </w:r>
      <w:r>
        <w:t>19.〈論我國對於大陸地區人民來臺觀光之國境人流管理機制之現況與檢討〉，《國土安全與國境管理學報》，第17期，2012年6月。</w:t>
      </w:r>
    </w:p>
    <w:p w:rsidR="00FF6603" w:rsidRPr="00B40DC1" w:rsidRDefault="00336DBD" w:rsidP="0008714D">
      <w:pPr>
        <w:jc w:val="right"/>
      </w:pPr>
      <w:r w:rsidRPr="00D45AD2">
        <w:rPr>
          <w:rFonts w:hint="eastAsia"/>
          <w:sz w:val="22"/>
        </w:rPr>
        <w:t>。。。。。。。。。。。。。。。。。。</w:t>
      </w:r>
      <w:hyperlink w:anchor="a目次" w:history="1">
        <w:r>
          <w:rPr>
            <w:rStyle w:val="a7"/>
            <w:sz w:val="22"/>
            <w:lang w:eastAsia="zh-TW"/>
          </w:rPr>
          <w:t>回總目次</w:t>
        </w:r>
      </w:hyperlink>
      <w:r w:rsidRPr="00D45AD2">
        <w:rPr>
          <w:color w:val="808000"/>
          <w:sz w:val="22"/>
        </w:rPr>
        <w:t>〉〉</w:t>
      </w:r>
    </w:p>
    <w:p w:rsidR="0049577B" w:rsidRPr="00FF6603" w:rsidRDefault="00FF6603" w:rsidP="00B662A4">
      <w:pPr>
        <w:pStyle w:val="11"/>
      </w:pPr>
      <w:bookmarkStart w:id="14" w:name="_【李佳樺_巡官】"/>
      <w:bookmarkEnd w:id="14"/>
      <w:r w:rsidRPr="00FF6603">
        <w:rPr>
          <w:rFonts w:hint="eastAsia"/>
        </w:rPr>
        <w:lastRenderedPageBreak/>
        <w:t>【</w:t>
      </w:r>
      <w:r w:rsidR="0049577B" w:rsidRPr="00FF6603">
        <w:t>李佳樺</w:t>
      </w:r>
      <w:r w:rsidR="0059552B">
        <w:rPr>
          <w:rFonts w:hint="eastAsia"/>
        </w:rPr>
        <w:t xml:space="preserve"> </w:t>
      </w:r>
      <w:r w:rsidR="0049577B" w:rsidRPr="00FF6603">
        <w:t>巡官</w:t>
      </w:r>
      <w:r w:rsidRPr="00DC26EE">
        <w:rPr>
          <w:rFonts w:hint="eastAsia"/>
        </w:rPr>
        <w:t>】</w:t>
      </w:r>
    </w:p>
    <w:tbl>
      <w:tblPr>
        <w:tblStyle w:val="af4"/>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846"/>
      </w:tblGrid>
      <w:tr w:rsidR="0049577B" w:rsidRPr="00B40DC1" w:rsidTr="00992AB6">
        <w:tc>
          <w:tcPr>
            <w:tcW w:w="4219" w:type="dxa"/>
          </w:tcPr>
          <w:p w:rsidR="0049577B" w:rsidRPr="00B40DC1" w:rsidRDefault="0049577B" w:rsidP="000D26BB">
            <w:r w:rsidRPr="00B40DC1">
              <w:rPr>
                <w:noProof/>
              </w:rPr>
              <w:drawing>
                <wp:inline distT="0" distB="0" distL="0" distR="0" wp14:anchorId="3FB44960" wp14:editId="026FB162">
                  <wp:extent cx="2561531" cy="2449502"/>
                  <wp:effectExtent l="0" t="0" r="0" b="8255"/>
                  <wp:docPr id="22" name="圖片 22" descr="D:\02移民政策與法制專書2018柯孟蔡李\001專書論文大彙整\佳樺畢業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移民政策與法制專書2018柯孟蔡李\001專書論文大彙整\佳樺畢業照.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1458" cy="2449432"/>
                          </a:xfrm>
                          <a:prstGeom prst="rect">
                            <a:avLst/>
                          </a:prstGeom>
                          <a:noFill/>
                          <a:ln>
                            <a:noFill/>
                          </a:ln>
                        </pic:spPr>
                      </pic:pic>
                    </a:graphicData>
                  </a:graphic>
                </wp:inline>
              </w:drawing>
            </w:r>
          </w:p>
          <w:p w:rsidR="0049577B" w:rsidRPr="00B40DC1" w:rsidRDefault="0049577B" w:rsidP="000D26BB"/>
        </w:tc>
        <w:tc>
          <w:tcPr>
            <w:tcW w:w="5846" w:type="dxa"/>
          </w:tcPr>
          <w:p w:rsidR="0049577B" w:rsidRPr="00B40DC1" w:rsidRDefault="0049577B" w:rsidP="000D26BB">
            <w:r w:rsidRPr="00B40DC1">
              <w:rPr>
                <w:noProof/>
              </w:rPr>
              <w:drawing>
                <wp:inline distT="0" distB="0" distL="0" distR="0" wp14:anchorId="11F4B759" wp14:editId="742A9464">
                  <wp:extent cx="2413168" cy="2407112"/>
                  <wp:effectExtent l="0" t="0" r="635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341" cy="2407285"/>
                          </a:xfrm>
                          <a:prstGeom prst="rect">
                            <a:avLst/>
                          </a:prstGeom>
                          <a:noFill/>
                          <a:ln>
                            <a:noFill/>
                          </a:ln>
                        </pic:spPr>
                      </pic:pic>
                    </a:graphicData>
                  </a:graphic>
                </wp:inline>
              </w:drawing>
            </w:r>
            <w:r w:rsidR="00992AB6" w:rsidRPr="00992AB6">
              <w:rPr>
                <w:rFonts w:hint="eastAsia"/>
                <w:color w:val="FFFFFF" w:themeColor="background1"/>
              </w:rPr>
              <w:t>◇◆</w:t>
            </w:r>
          </w:p>
        </w:tc>
      </w:tr>
    </w:tbl>
    <w:p w:rsidR="007D602F" w:rsidRDefault="0059552B" w:rsidP="00C9725A">
      <w:pPr>
        <w:spacing w:line="240" w:lineRule="auto"/>
        <w:ind w:leftChars="0" w:left="0" w:rightChars="0" w:right="0"/>
      </w:pPr>
      <w:r w:rsidRPr="0059552B">
        <w:rPr>
          <w:rFonts w:hint="eastAsia"/>
        </w:rPr>
        <w:t>【</w:t>
      </w:r>
      <w:r w:rsidR="007D602F">
        <w:rPr>
          <w:rFonts w:hint="eastAsia"/>
        </w:rPr>
        <w:t>現任</w:t>
      </w:r>
      <w:r w:rsidRPr="00DC26EE">
        <w:rPr>
          <w:rFonts w:hint="eastAsia"/>
        </w:rPr>
        <w:t>】</w:t>
      </w:r>
      <w:r w:rsidR="007D602F">
        <w:rPr>
          <w:rFonts w:hint="eastAsia"/>
        </w:rPr>
        <w:t>內政部警政署高雄市政府警察局左營分局行政組巡官</w:t>
      </w:r>
    </w:p>
    <w:p w:rsidR="007D602F" w:rsidRDefault="0059552B" w:rsidP="00C9725A">
      <w:pPr>
        <w:spacing w:line="240" w:lineRule="auto"/>
        <w:ind w:leftChars="0" w:left="0" w:rightChars="0" w:right="0"/>
      </w:pPr>
      <w:r w:rsidRPr="0059552B">
        <w:rPr>
          <w:rFonts w:hint="eastAsia"/>
        </w:rPr>
        <w:t>【</w:t>
      </w:r>
      <w:r w:rsidR="007D602F">
        <w:rPr>
          <w:rFonts w:hint="eastAsia"/>
        </w:rPr>
        <w:t>學歷</w:t>
      </w:r>
      <w:r w:rsidRPr="00DC26EE">
        <w:rPr>
          <w:rFonts w:hint="eastAsia"/>
        </w:rPr>
        <w:t>】</w:t>
      </w:r>
    </w:p>
    <w:p w:rsidR="007D602F" w:rsidRDefault="007D602F" w:rsidP="00C9725A">
      <w:pPr>
        <w:spacing w:line="240" w:lineRule="auto"/>
        <w:ind w:leftChars="0" w:left="0" w:rightChars="0" w:right="0"/>
      </w:pPr>
      <w:r>
        <w:rPr>
          <w:rFonts w:hint="eastAsia"/>
        </w:rPr>
        <w:t xml:space="preserve">　　</w:t>
      </w:r>
      <w:r>
        <w:t>1.世新大學新聞係國際傳播組學士、</w:t>
      </w:r>
    </w:p>
    <w:p w:rsidR="00992AB6" w:rsidRDefault="007D602F" w:rsidP="00C9725A">
      <w:pPr>
        <w:spacing w:line="240" w:lineRule="auto"/>
        <w:ind w:leftChars="0" w:left="0" w:rightChars="0" w:right="0"/>
      </w:pPr>
      <w:r>
        <w:rPr>
          <w:rFonts w:hint="eastAsia"/>
        </w:rPr>
        <w:t xml:space="preserve">　　</w:t>
      </w:r>
      <w:r>
        <w:t>2.中央警察大學外事警察研究所國境組法學碩士（民國102年至民國104年）</w:t>
      </w:r>
    </w:p>
    <w:p w:rsidR="007D602F" w:rsidRDefault="00992AB6" w:rsidP="00C9725A">
      <w:pPr>
        <w:spacing w:line="240" w:lineRule="auto"/>
        <w:ind w:leftChars="0" w:left="0" w:rightChars="0" w:right="0"/>
      </w:pPr>
      <w:r w:rsidRPr="0059552B">
        <w:rPr>
          <w:rFonts w:hint="eastAsia"/>
        </w:rPr>
        <w:t>【</w:t>
      </w:r>
      <w:r w:rsidR="007D602F">
        <w:t>經歷</w:t>
      </w:r>
      <w:r w:rsidRPr="00DC26EE">
        <w:rPr>
          <w:rFonts w:hint="eastAsia"/>
        </w:rPr>
        <w:t>】</w:t>
      </w:r>
    </w:p>
    <w:p w:rsidR="007D602F" w:rsidRDefault="007D602F" w:rsidP="00C9725A">
      <w:pPr>
        <w:spacing w:line="240" w:lineRule="auto"/>
        <w:ind w:leftChars="0" w:left="0" w:rightChars="0" w:right="0"/>
      </w:pPr>
      <w:r>
        <w:rPr>
          <w:rFonts w:hint="eastAsia"/>
        </w:rPr>
        <w:t xml:space="preserve">　　</w:t>
      </w:r>
      <w:r>
        <w:t>1.高雄市政府警察局岡山分局橋頭分駐所警員</w:t>
      </w:r>
    </w:p>
    <w:p w:rsidR="007D602F" w:rsidRDefault="007D602F" w:rsidP="00C9725A">
      <w:pPr>
        <w:spacing w:line="240" w:lineRule="auto"/>
        <w:ind w:leftChars="0" w:left="0" w:rightChars="0" w:right="0"/>
      </w:pPr>
      <w:r>
        <w:rPr>
          <w:rFonts w:hint="eastAsia"/>
        </w:rPr>
        <w:t xml:space="preserve">　　</w:t>
      </w:r>
      <w:r>
        <w:t>2.高雄市政府警察局楠梓分局戶口組外事警員</w:t>
      </w:r>
    </w:p>
    <w:p w:rsidR="007D602F" w:rsidRDefault="007D602F" w:rsidP="00C9725A">
      <w:pPr>
        <w:spacing w:line="240" w:lineRule="auto"/>
        <w:ind w:leftChars="0" w:left="0" w:rightChars="0" w:right="0"/>
      </w:pPr>
      <w:r>
        <w:rPr>
          <w:rFonts w:hint="eastAsia"/>
        </w:rPr>
        <w:t xml:space="preserve">　　</w:t>
      </w:r>
      <w:r>
        <w:t>3.高雄市政府警察局楠梓分局警備隊警員</w:t>
      </w:r>
    </w:p>
    <w:p w:rsidR="0049577B" w:rsidRPr="00B40DC1" w:rsidRDefault="0059552B" w:rsidP="00C9725A">
      <w:pPr>
        <w:spacing w:line="240" w:lineRule="auto"/>
        <w:ind w:leftChars="0" w:left="0" w:rightChars="0" w:right="0"/>
      </w:pPr>
      <w:r w:rsidRPr="0059552B">
        <w:rPr>
          <w:rFonts w:hint="eastAsia"/>
        </w:rPr>
        <w:t>【</w:t>
      </w:r>
      <w:r w:rsidR="0049577B" w:rsidRPr="00B40DC1">
        <w:t>國家考試及格</w:t>
      </w:r>
      <w:r w:rsidRPr="00DC26EE">
        <w:rPr>
          <w:rFonts w:hint="eastAsia"/>
        </w:rPr>
        <w:t>】</w:t>
      </w:r>
      <w:r w:rsidR="0049577B" w:rsidRPr="00B40DC1">
        <w:t>民國96年基層警察人員4等特考及格</w:t>
      </w:r>
    </w:p>
    <w:p w:rsidR="0049577B" w:rsidRPr="00B40DC1" w:rsidRDefault="0059552B" w:rsidP="00C9725A">
      <w:pPr>
        <w:spacing w:line="240" w:lineRule="auto"/>
        <w:ind w:leftChars="0" w:left="0" w:rightChars="0" w:right="0"/>
      </w:pPr>
      <w:r w:rsidRPr="0059552B">
        <w:rPr>
          <w:rFonts w:hint="eastAsia"/>
        </w:rPr>
        <w:t>【</w:t>
      </w:r>
      <w:r w:rsidR="0049577B" w:rsidRPr="00B40DC1">
        <w:t>學術專長領域</w:t>
      </w:r>
      <w:r w:rsidRPr="00DC26EE">
        <w:rPr>
          <w:rFonts w:hint="eastAsia"/>
        </w:rPr>
        <w:t>】</w:t>
      </w:r>
      <w:r w:rsidR="0049577B" w:rsidRPr="00B40DC1">
        <w:t>入出國管理、移民法制、移民政策、警察行政、犯罪預防</w:t>
      </w:r>
    </w:p>
    <w:p w:rsidR="0049577B" w:rsidRPr="00B40DC1" w:rsidRDefault="0059552B" w:rsidP="00C9725A">
      <w:pPr>
        <w:spacing w:line="240" w:lineRule="auto"/>
        <w:ind w:leftChars="0" w:left="0" w:rightChars="0" w:right="0"/>
      </w:pPr>
      <w:r w:rsidRPr="0059552B">
        <w:rPr>
          <w:rFonts w:hint="eastAsia"/>
        </w:rPr>
        <w:t>【</w:t>
      </w:r>
      <w:r w:rsidR="0049577B" w:rsidRPr="00B40DC1">
        <w:t>學術專門著作</w:t>
      </w:r>
      <w:r w:rsidRPr="00DC26EE">
        <w:rPr>
          <w:rFonts w:hint="eastAsia"/>
        </w:rPr>
        <w:t>】</w:t>
      </w:r>
      <w:r w:rsidR="0049577B" w:rsidRPr="00B40DC1">
        <w:t>專業之學術論文專書、期刊論文，合計約3篇之學術專門著作</w:t>
      </w:r>
    </w:p>
    <w:p w:rsidR="003C1792" w:rsidRDefault="0059552B" w:rsidP="00C9725A">
      <w:pPr>
        <w:spacing w:line="240" w:lineRule="auto"/>
        <w:ind w:leftChars="0" w:left="0" w:rightChars="0" w:right="0"/>
      </w:pPr>
      <w:r w:rsidRPr="0059552B">
        <w:rPr>
          <w:rFonts w:hint="eastAsia"/>
        </w:rPr>
        <w:t>【</w:t>
      </w:r>
      <w:r w:rsidR="0049577B" w:rsidRPr="00B40DC1">
        <w:t>學術專門著作清單</w:t>
      </w:r>
      <w:r w:rsidRPr="00DC26EE">
        <w:rPr>
          <w:rFonts w:hint="eastAsia"/>
        </w:rPr>
        <w:t>】</w:t>
      </w:r>
    </w:p>
    <w:p w:rsidR="0049577B" w:rsidRPr="00B40DC1" w:rsidRDefault="007D602F" w:rsidP="00C9725A">
      <w:pPr>
        <w:spacing w:line="240" w:lineRule="auto"/>
        <w:ind w:leftChars="0" w:left="0" w:rightChars="0" w:right="0"/>
      </w:pPr>
      <w:r>
        <w:t xml:space="preserve">　　</w:t>
      </w:r>
      <w:r w:rsidR="0049577B" w:rsidRPr="00B40DC1">
        <w:t>1.加拿大、紐西蘭、澳洲技術移民政策之研究-以「計分制」作探討，中央警察大學外事警察研究所碩士論文，2015。</w:t>
      </w:r>
    </w:p>
    <w:p w:rsidR="0049577B" w:rsidRPr="00B40DC1" w:rsidRDefault="007D602F" w:rsidP="00C9725A">
      <w:pPr>
        <w:spacing w:line="240" w:lineRule="auto"/>
        <w:ind w:leftChars="0" w:left="0" w:rightChars="0" w:right="0"/>
      </w:pPr>
      <w:r>
        <w:t xml:space="preserve">　　</w:t>
      </w:r>
      <w:r w:rsidR="0049577B" w:rsidRPr="00B40DC1">
        <w:t>2.計分制技術移民政策之研究---以加拿大、紐西蘭與澳洲為核心，中央警察大學國土安全與國境管理學報第24期，2015。</w:t>
      </w:r>
    </w:p>
    <w:p w:rsidR="0049577B" w:rsidRDefault="007D602F" w:rsidP="00C9725A">
      <w:pPr>
        <w:spacing w:line="240" w:lineRule="auto"/>
        <w:ind w:leftChars="0" w:left="0" w:rightChars="0" w:right="0"/>
      </w:pPr>
      <w:r>
        <w:rPr>
          <w:b/>
          <w:bCs/>
        </w:rPr>
        <w:t xml:space="preserve">　　</w:t>
      </w:r>
      <w:r w:rsidR="0049577B" w:rsidRPr="00B40DC1">
        <w:rPr>
          <w:b/>
          <w:bCs/>
        </w:rPr>
        <w:t>3.</w:t>
      </w:r>
      <w:r w:rsidR="0049577B" w:rsidRPr="00B40DC1">
        <w:t>臺灣計分制技術移民政策之現況、問題與可行之對策，中央警察大學國土安全與國境管理學報第25期，2016。</w:t>
      </w:r>
    </w:p>
    <w:p w:rsidR="007D602F" w:rsidRPr="00B40DC1" w:rsidRDefault="003E18C8" w:rsidP="003E18C8">
      <w:pPr>
        <w:jc w:val="right"/>
        <w:rPr>
          <w:bCs/>
        </w:rPr>
      </w:pPr>
      <w:r w:rsidRPr="00D45AD2">
        <w:rPr>
          <w:rFonts w:hint="eastAsia"/>
          <w:sz w:val="22"/>
        </w:rPr>
        <w:t>。。。。。。。。。。。。。。。。。。</w:t>
      </w:r>
      <w:hyperlink w:anchor="a目次" w:history="1">
        <w:r>
          <w:rPr>
            <w:rStyle w:val="a7"/>
            <w:sz w:val="22"/>
            <w:lang w:eastAsia="zh-TW"/>
          </w:rPr>
          <w:t>回總目次</w:t>
        </w:r>
      </w:hyperlink>
      <w:r w:rsidRPr="00D45AD2">
        <w:rPr>
          <w:color w:val="808000"/>
          <w:sz w:val="22"/>
        </w:rPr>
        <w:t>〉〉</w:t>
      </w:r>
    </w:p>
    <w:p w:rsidR="0049577B" w:rsidRPr="00B40DC1" w:rsidRDefault="00FF6603" w:rsidP="00B662A4">
      <w:pPr>
        <w:pStyle w:val="11"/>
      </w:pPr>
      <w:bookmarkStart w:id="15" w:name="_【作者自序文】"/>
      <w:bookmarkEnd w:id="15"/>
      <w:r w:rsidRPr="00FF6603">
        <w:rPr>
          <w:rFonts w:hint="eastAsia"/>
        </w:rPr>
        <w:t>【</w:t>
      </w:r>
      <w:r w:rsidR="0049577B" w:rsidRPr="00B40DC1">
        <w:t>作者自序文</w:t>
      </w:r>
      <w:r w:rsidRPr="00DC26EE">
        <w:rPr>
          <w:rFonts w:hint="eastAsia"/>
        </w:rPr>
        <w:t>】</w:t>
      </w:r>
    </w:p>
    <w:p w:rsidR="0049577B" w:rsidRPr="00B40DC1" w:rsidRDefault="007D602F" w:rsidP="00C9725A">
      <w:pPr>
        <w:spacing w:line="240" w:lineRule="auto"/>
        <w:ind w:leftChars="0" w:left="0" w:rightChars="0" w:right="0"/>
      </w:pPr>
      <w:r>
        <w:t xml:space="preserve">　　</w:t>
      </w:r>
      <w:r w:rsidR="0049577B" w:rsidRPr="00B40DC1">
        <w:t>本書之主要目的，是從建構優質之移民政策與法制出發，欲令台灣成為世界上之強國與富國之一。本書之主要研究方法，共使用以下之研究技術：1.文獻分析法：透過對中外移民之相關政策、法令之分析，瞭解移民政策、法令之作法；並藉由蒐集國內外移民政策、法令之相關資料，包括現行政策措施、法令規定及施行情形，加以歸納整理，進行探討及研究；2.比較研究法；從國內外相關之文獻資料，比較我國與外國之移民政策與法制，從而，提出具體之對策；3、深入訪談法；4、</w:t>
      </w:r>
      <w:r w:rsidR="0049577B" w:rsidRPr="00B40DC1">
        <w:rPr>
          <w:spacing w:val="2"/>
          <w:kern w:val="0"/>
        </w:rPr>
        <w:t>量化次級資料</w:t>
      </w:r>
      <w:r w:rsidR="0049577B" w:rsidRPr="00B40DC1">
        <w:t>統計分析。</w:t>
      </w:r>
    </w:p>
    <w:p w:rsidR="0049577B" w:rsidRPr="00B40DC1" w:rsidRDefault="007D602F" w:rsidP="00C9725A">
      <w:pPr>
        <w:spacing w:line="240" w:lineRule="auto"/>
        <w:ind w:leftChars="0" w:left="0" w:rightChars="0" w:right="0"/>
      </w:pPr>
      <w:r>
        <w:t xml:space="preserve">　　</w:t>
      </w:r>
      <w:r w:rsidR="0049577B" w:rsidRPr="00B40DC1">
        <w:t>本書中之</w:t>
      </w:r>
      <w:hyperlink w:anchor="_第一章_從憲法高度探討外來人口人權保障之法律規範機制之困境與對策" w:history="1">
        <w:r w:rsidR="0049577B" w:rsidRPr="002E4FE0">
          <w:rPr>
            <w:rStyle w:val="a7"/>
            <w:rFonts w:cs="Times New Roman"/>
            <w:lang w:eastAsia="zh-TW" w:bidi="ar-SA"/>
          </w:rPr>
          <w:t>第1章</w:t>
        </w:r>
      </w:hyperlink>
      <w:r w:rsidR="0049577B" w:rsidRPr="00B40DC1">
        <w:t>、</w:t>
      </w:r>
      <w:hyperlink w:anchor="_第七章、結論與建議" w:history="1">
        <w:r w:rsidR="0049577B" w:rsidRPr="002E4FE0">
          <w:rPr>
            <w:rStyle w:val="a7"/>
            <w:rFonts w:cs="Times New Roman"/>
            <w:lang w:eastAsia="zh-TW" w:bidi="ar-SA"/>
          </w:rPr>
          <w:t>第7章</w:t>
        </w:r>
      </w:hyperlink>
      <w:r w:rsidR="0049577B" w:rsidRPr="00B40DC1">
        <w:t>(結論與建議)，由柯雨瑞教授主筆。本書中之</w:t>
      </w:r>
      <w:hyperlink w:anchor="_第四章、不同國籍新移民生活適應與需求的實證分析" w:history="1">
        <w:r w:rsidR="0049577B" w:rsidRPr="002E4FE0">
          <w:rPr>
            <w:rStyle w:val="a7"/>
            <w:rFonts w:cs="Times New Roman"/>
            <w:lang w:eastAsia="zh-TW" w:bidi="ar-SA"/>
          </w:rPr>
          <w:t>第4章</w:t>
        </w:r>
      </w:hyperlink>
      <w:r w:rsidR="0049577B" w:rsidRPr="00B40DC1">
        <w:t>---不</w:t>
      </w:r>
      <w:r w:rsidR="0049577B" w:rsidRPr="00B40DC1">
        <w:lastRenderedPageBreak/>
        <w:t>同國籍新移民生活適應與需求的實證分析，由孟維德教授親自進行分析、繪製表格及主筆撰寫之。本書中之</w:t>
      </w:r>
      <w:hyperlink w:anchor="_第五章、新住民配偶來臺之法令規範及生活權益平等權之探討：含實例分析" w:history="1">
        <w:r w:rsidR="0049577B" w:rsidRPr="002E4FE0">
          <w:rPr>
            <w:rStyle w:val="a7"/>
            <w:rFonts w:cs="Times New Roman"/>
            <w:lang w:eastAsia="zh-TW" w:bidi="ar-SA"/>
          </w:rPr>
          <w:t>第5章</w:t>
        </w:r>
      </w:hyperlink>
      <w:r w:rsidR="0049577B" w:rsidRPr="00B40DC1">
        <w:t>、</w:t>
      </w:r>
      <w:hyperlink w:anchor="_第六章、從源頭安全管理觀點探討大陸地區人民來台之管控機制：兼論兩岸跨境" w:history="1">
        <w:r w:rsidR="0049577B" w:rsidRPr="002E4FE0">
          <w:rPr>
            <w:rStyle w:val="a7"/>
            <w:rFonts w:cs="Times New Roman"/>
            <w:lang w:eastAsia="zh-TW" w:bidi="ar-SA"/>
          </w:rPr>
          <w:t>第6章</w:t>
        </w:r>
      </w:hyperlink>
      <w:r w:rsidR="0049577B" w:rsidRPr="00B40DC1">
        <w:t>，則由內政部移民署蔡政杰視察兼講師主筆，並經由柯雨瑞教授稍作修正與新增之。本書中之</w:t>
      </w:r>
      <w:hyperlink w:anchor="_第二章、評點制技術移民政策之研究──以加拿大、紐西蘭與澳洲為核心" w:history="1">
        <w:r w:rsidR="0049577B" w:rsidRPr="002E4FE0">
          <w:rPr>
            <w:rStyle w:val="a7"/>
            <w:rFonts w:cs="Times New Roman"/>
            <w:lang w:eastAsia="zh-TW" w:bidi="ar-SA"/>
          </w:rPr>
          <w:t>第2章</w:t>
        </w:r>
      </w:hyperlink>
      <w:r w:rsidR="0049577B" w:rsidRPr="00B40DC1">
        <w:t>、</w:t>
      </w:r>
      <w:hyperlink w:anchor="_第三章、臺灣評點制技術移民政策之現況、問題與可行之對策" w:history="1">
        <w:r w:rsidR="0049577B" w:rsidRPr="002E4FE0">
          <w:rPr>
            <w:rStyle w:val="a7"/>
            <w:rFonts w:cs="Times New Roman"/>
            <w:lang w:eastAsia="zh-TW" w:bidi="ar-SA"/>
          </w:rPr>
          <w:t>第3章</w:t>
        </w:r>
      </w:hyperlink>
      <w:r w:rsidR="0049577B" w:rsidRPr="00B40DC1">
        <w:t>，則由李佳樺巡官親自執行深入訪談及主筆撰寫之，並經由蔡政杰講師、柯雨瑞教授再次稍作修正與新增之。</w:t>
      </w:r>
    </w:p>
    <w:p w:rsidR="0049577B" w:rsidRPr="00B40DC1" w:rsidRDefault="007D602F" w:rsidP="00C9725A">
      <w:pPr>
        <w:spacing w:line="240" w:lineRule="auto"/>
        <w:ind w:leftChars="0" w:left="0" w:rightChars="0" w:right="0"/>
      </w:pPr>
      <w:r>
        <w:t xml:space="preserve">　　</w:t>
      </w:r>
      <w:r w:rsidR="0049577B" w:rsidRPr="00B40DC1">
        <w:t>根據國立美國政策基金會（National Foundation for American Policy，NFAP）之研究調查指出，自2000年以來，迄至於2017年止，美國在化學、醫學與物理學3大領域之中，其得到諾貝爾獎的總人數(Nobel Prize Winners in Chemistry, Medicine and Physics Since 2000)，合計為85位</w:t>
      </w:r>
      <w:r w:rsidR="0049577B" w:rsidRPr="00C41545">
        <w:rPr>
          <w:rStyle w:val="af7"/>
          <w:rFonts w:eastAsia="新細明體"/>
          <w:sz w:val="20"/>
        </w:rPr>
        <w:footnoteReference w:id="1"/>
      </w:r>
      <w:r w:rsidR="0049577B" w:rsidRPr="00B40DC1">
        <w:t>；其中，外來移民之人數，共計占33位(33 of 85 American winners have been immigrants)，比例為38.8%。亦即，自從2000年至2017年止，在化學、醫學及物理學3大領域之中，榮獲諾貝爾獎的美國人之中(of the Nobel Prizes won by Americans in Chemistry, Medicine and Physics since 2000)，近約39%是外來移民者(Immigrants have been awarded 39 percent)</w:t>
      </w:r>
      <w:r w:rsidR="0049577B" w:rsidRPr="00C41545">
        <w:rPr>
          <w:rStyle w:val="af7"/>
          <w:rFonts w:eastAsia="新細明體"/>
          <w:sz w:val="20"/>
        </w:rPr>
        <w:footnoteReference w:id="2"/>
      </w:r>
      <w:r w:rsidR="0049577B" w:rsidRPr="00B40DC1">
        <w:t>。從1901年至2017年之中，有23%之諾貝爾獎得主，係為具有猶太血統的人士。在美國，有37%的諾貝爾獎得主，係為猶太人，或具有猶太血統。在全球之中，諾貝爾獎得主最多之民族，即為猶太人。綜上，由於美國成功地吸引諾貝爾獎得主最多之猶太人，以及其他國家之頂尖高專人才來到美國，再加上美國本土之人才未流失，遂能打造美國成為全球國力最強大之國家。</w:t>
      </w:r>
    </w:p>
    <w:p w:rsidR="00E2504E" w:rsidRDefault="00D440E2" w:rsidP="00C9725A">
      <w:pPr>
        <w:spacing w:line="240" w:lineRule="auto"/>
        <w:ind w:leftChars="0" w:left="0" w:rightChars="0" w:right="0"/>
        <w:rPr>
          <w:bCs/>
        </w:rPr>
      </w:pPr>
      <w:r>
        <w:t xml:space="preserve">　　</w:t>
      </w:r>
      <w:r w:rsidR="0049577B" w:rsidRPr="00B40DC1">
        <w:t>可知，外國籍之高技術人才之移民者及頂尖高專之猶太人，絡繹不絕地來到美國，並在此紮根與貢獻，是令美國成為全球超級帝國之核心關鍵部分之一。</w:t>
      </w:r>
      <w:r w:rsidR="0049577B" w:rsidRPr="00B40DC1">
        <w:rPr>
          <w:bCs/>
        </w:rPr>
        <w:t>臺灣如果擬朝向世界強國與富國之方向前進，假若我們有這個企圖心與雄心，則其捷徑係為從建構優質之移民政策與法制出發，或許，有機會達到這個目標。</w:t>
      </w:r>
    </w:p>
    <w:p w:rsidR="0049577B" w:rsidRPr="00B40DC1" w:rsidRDefault="00D440E2" w:rsidP="00C9725A">
      <w:pPr>
        <w:spacing w:line="240" w:lineRule="auto"/>
        <w:ind w:leftChars="0" w:left="0" w:rightChars="0" w:right="0"/>
        <w:rPr>
          <w:rStyle w:val="st1"/>
        </w:rPr>
      </w:pPr>
      <w:r>
        <w:t xml:space="preserve">　　</w:t>
      </w:r>
      <w:r w:rsidR="0049577B" w:rsidRPr="00B40DC1">
        <w:t>我國在吸引外籍人才機制方面，目前，制訂</w:t>
      </w:r>
      <w:r w:rsidR="00654D1D" w:rsidRPr="0065263F">
        <w:rPr>
          <w:sz w:val="24"/>
          <w:szCs w:val="24"/>
        </w:rPr>
        <w:t>「</w:t>
      </w:r>
      <w:hyperlink r:id="rId17" w:history="1">
        <w:r w:rsidR="00654D1D" w:rsidRPr="00654D1D">
          <w:rPr>
            <w:rStyle w:val="a7"/>
            <w:rFonts w:cs="Times New Roman"/>
            <w:sz w:val="24"/>
            <w:szCs w:val="24"/>
            <w:lang w:eastAsia="zh-TW" w:bidi="ar-SA"/>
          </w:rPr>
          <w:t>外國專業人才延攬及僱用法</w:t>
        </w:r>
      </w:hyperlink>
      <w:r w:rsidR="0049577B" w:rsidRPr="00B40DC1">
        <w:rPr>
          <w:rStyle w:val="st1"/>
        </w:rPr>
        <w:t>」，俾利延攬學有專精之外國</w:t>
      </w:r>
      <w:r w:rsidR="0049577B" w:rsidRPr="00B40DC1">
        <w:rPr>
          <w:bCs/>
        </w:rPr>
        <w:t>專業</w:t>
      </w:r>
      <w:r w:rsidR="0049577B" w:rsidRPr="00B40DC1">
        <w:rPr>
          <w:rStyle w:val="st1"/>
        </w:rPr>
        <w:t>人才來台，然而，非常可惜之處，係我國在延攬學有專精之大陸專業人才來台部分，受限於兩岸政治上、軍事上、意識型態上之對立，限制重重，非常不利於大陸專業人才來台工作，此為美中不足之處。本書遂呼籲，宜儘速制訂「大陸地區專業人才延攬及僱用法」，俾利延攬學有專精之大陸專業人才來台，誠可供政府相關部門參考之用。</w:t>
      </w:r>
    </w:p>
    <w:p w:rsidR="0049577B" w:rsidRPr="00B40DC1" w:rsidRDefault="00D440E2" w:rsidP="00C9725A">
      <w:pPr>
        <w:spacing w:line="240" w:lineRule="auto"/>
        <w:ind w:leftChars="0" w:left="0" w:rightChars="0" w:right="0"/>
        <w:rPr>
          <w:rStyle w:val="st1"/>
        </w:rPr>
      </w:pPr>
      <w:r>
        <w:rPr>
          <w:rStyle w:val="st1"/>
        </w:rPr>
        <w:t xml:space="preserve">　　</w:t>
      </w:r>
      <w:r w:rsidR="0049577B" w:rsidRPr="00B40DC1">
        <w:rPr>
          <w:rStyle w:val="st1"/>
        </w:rPr>
        <w:t>另外，值得加以關注者，係</w:t>
      </w:r>
      <w:r w:rsidR="0049577B" w:rsidRPr="00B40DC1">
        <w:t>美國之所以會成為全球國力最強大之國家，主因之一，係美國本土之人才未流失。台灣由於長期之低薪，及不適切之年金改革，導致本土人才之流失，日益惡化，</w:t>
      </w:r>
      <w:r w:rsidR="0049577B" w:rsidRPr="00B40DC1">
        <w:rPr>
          <w:rStyle w:val="st1"/>
        </w:rPr>
        <w:t>誠亦可供政府相關部門多加留意，並提出可行之解決對策。本書認為，或許，可行之道，政府可帶頭對於軍公教人員，大幅度地加薪，並提高其月退俸之所得，始可能帶動民間企業之加薪，俾利改善長期低薪之困境。同時，亦可吸引優秀之本土人才，加入軍公教陣營，提升政府效能及綜合國力。</w:t>
      </w:r>
    </w:p>
    <w:p w:rsidR="0049577B" w:rsidRPr="00B40DC1" w:rsidRDefault="0059552B" w:rsidP="00C9725A">
      <w:pPr>
        <w:spacing w:line="240" w:lineRule="auto"/>
        <w:ind w:leftChars="0" w:left="0" w:rightChars="0" w:right="0"/>
      </w:pPr>
      <w:r>
        <w:lastRenderedPageBreak/>
        <w:t xml:space="preserve">　　</w:t>
      </w:r>
      <w:r w:rsidR="0049577B" w:rsidRPr="00B40DC1">
        <w:t>中央警察大學(簡稱為警大)外事系助教呂倩茹小姐(現就讀於中央警察大學警察政策研究所博士班)，對於本書之主題，亦頗有研究，並惠賜以下之高見，相當值得讀者諸君參考之，呂倩茹博士生表示：「我國人力、人才的老化與流失問題，早已是造成勞動力短缺，而以往</w:t>
      </w:r>
      <w:r w:rsidR="0049577B" w:rsidRPr="00B40DC1">
        <w:rPr>
          <w:spacing w:val="12"/>
        </w:rPr>
        <w:t>主張理想式的勞動政策、人口政策，間接訴諸民族優越感、販賣勞資對抗情緒，其實對於吸引人才助力有限，且</w:t>
      </w:r>
      <w:r w:rsidR="0049577B" w:rsidRPr="00B40DC1">
        <w:t>我國之法制規範制度，亦是移民政策發展的阻礙之一。</w:t>
      </w:r>
    </w:p>
    <w:p w:rsidR="0049577B" w:rsidRPr="00B40DC1" w:rsidRDefault="00D440E2" w:rsidP="00E063B6">
      <w:pPr>
        <w:spacing w:line="240" w:lineRule="auto"/>
        <w:ind w:leftChars="0" w:left="0" w:rightChars="0" w:right="0"/>
      </w:pPr>
      <w:r w:rsidRPr="00E063B6">
        <w:t xml:space="preserve">　　</w:t>
      </w:r>
      <w:r w:rsidR="0049577B" w:rsidRPr="00E063B6">
        <w:t>惟台灣係一淺碟型之海島經濟，須與國際經濟社會交流與貿易，始得以生存與發展，儘管外籍人才法規劃放寬對於外國人取得國籍的種種限制，是值得肯定，然美國之有系統性的留學生、實習生、工作簽證、取得移民資格等，一系列完整的制度，並投入大量資源，這是短中期馬上可以預見，改善台灣目前高、中、低階勞動力短缺困境的有效方</w:t>
      </w:r>
      <w:r w:rsidR="0049577B" w:rsidRPr="00B40DC1">
        <w:t>法</w:t>
      </w:r>
      <w:r w:rsidR="0049577B" w:rsidRPr="0059552B">
        <w:rPr>
          <w:rStyle w:val="af7"/>
          <w:rFonts w:eastAsia="新細明體"/>
          <w:sz w:val="20"/>
          <w:u w:val="single"/>
        </w:rPr>
        <w:footnoteReference w:id="3"/>
      </w:r>
      <w:r w:rsidR="0049577B" w:rsidRPr="00B40DC1">
        <w:t>。</w:t>
      </w:r>
    </w:p>
    <w:p w:rsidR="0049577B" w:rsidRPr="00B40DC1" w:rsidRDefault="00960C6D" w:rsidP="00E063B6">
      <w:pPr>
        <w:spacing w:line="240" w:lineRule="auto"/>
        <w:ind w:leftChars="0" w:left="0" w:rightChars="0" w:right="0"/>
      </w:pPr>
      <w:r>
        <w:t xml:space="preserve">　　</w:t>
      </w:r>
      <w:r w:rsidR="0049577B" w:rsidRPr="00B40DC1">
        <w:t>瑞士洛桑國際管理學院(IMD)發布之2016世界競爭力年報(World Competitiveness Yearbook)，在61個受評比國家，我國競爭力排名第14，較上年退步3名。在亞太地區我國排名維持第3，僅次於香港、新加坡，而國際間均主張法規鬆綁與管制革新，有助於提升經濟成長，過多之管制相互扞格，不檢討精進並鬆綁法制，法制終究會失去其既有功能，故我國不論法規面，抑或制度面，皆不應再侷限於紙上談兵。」</w:t>
      </w:r>
    </w:p>
    <w:p w:rsidR="0049577B" w:rsidRPr="00B40DC1" w:rsidRDefault="00960C6D" w:rsidP="00E063B6">
      <w:pPr>
        <w:spacing w:line="240" w:lineRule="auto"/>
        <w:ind w:leftChars="0" w:left="0" w:rightChars="0" w:right="0"/>
      </w:pPr>
      <w:r>
        <w:t xml:space="preserve">　　</w:t>
      </w:r>
      <w:r w:rsidR="0049577B" w:rsidRPr="00B40DC1">
        <w:t>本書作者之一---柯雨瑞教授，於民國106年下學期(民國107年2月至6月間)，曾於中央警察大學(以下，簡稱為警大)國境警察碩士班(研究所)一下之必修課程之中，開設一門必修課，必修課程名稱為：人口移動與移民法制，筆者並曾多次在該課堂上，與所授課之警大國境警察碩士班(研究所)之研究生們，共同討論台灣應如何吸引更多專業技術移民進入國內之議題，有關於上述警大國境警察碩士班(研究所)研究生們之相關高見與寶貴之看法，玆臚列如下：</w:t>
      </w:r>
    </w:p>
    <w:p w:rsidR="0049577B" w:rsidRPr="00B40DC1" w:rsidRDefault="000C513E" w:rsidP="000C513E">
      <w:pPr>
        <w:jc w:val="right"/>
      </w:pPr>
      <w:r w:rsidRPr="00D45AD2">
        <w:rPr>
          <w:rFonts w:hint="eastAsia"/>
          <w:sz w:val="22"/>
        </w:rPr>
        <w:t>。。。。。。。。。。。。。。。。。。</w:t>
      </w:r>
      <w:hyperlink w:anchor="a目次" w:history="1">
        <w:r>
          <w:rPr>
            <w:rStyle w:val="a7"/>
            <w:sz w:val="22"/>
            <w:lang w:eastAsia="zh-TW"/>
          </w:rPr>
          <w:t>回總目次</w:t>
        </w:r>
      </w:hyperlink>
      <w:r w:rsidRPr="00D45AD2">
        <w:rPr>
          <w:color w:val="808000"/>
          <w:sz w:val="22"/>
        </w:rPr>
        <w:t>〉〉</w:t>
      </w:r>
    </w:p>
    <w:p w:rsidR="0049577B" w:rsidRPr="00B662A4" w:rsidRDefault="0049577B" w:rsidP="00E736D6">
      <w:pPr>
        <w:pStyle w:val="4"/>
        <w:rPr>
          <w:lang w:eastAsia="zh-TW"/>
        </w:rPr>
      </w:pPr>
      <w:r w:rsidRPr="00B662A4">
        <w:rPr>
          <w:lang w:eastAsia="zh-TW"/>
        </w:rPr>
        <w:t>表1、警大國境警察碩士班研究生對於台灣應如何吸引專業技術移民之相關看法一覽表</w:t>
      </w:r>
    </w:p>
    <w:tbl>
      <w:tblPr>
        <w:tblStyle w:val="af4"/>
        <w:tblW w:w="9918" w:type="dxa"/>
        <w:tblLook w:val="04A0" w:firstRow="1" w:lastRow="0" w:firstColumn="1" w:lastColumn="0" w:noHBand="0" w:noVBand="1"/>
      </w:tblPr>
      <w:tblGrid>
        <w:gridCol w:w="2069"/>
        <w:gridCol w:w="7849"/>
      </w:tblGrid>
      <w:tr w:rsidR="0049577B" w:rsidRPr="00B40DC1" w:rsidTr="00394C1A">
        <w:trPr>
          <w:tblHeader/>
        </w:trPr>
        <w:tc>
          <w:tcPr>
            <w:tcW w:w="2069" w:type="dxa"/>
            <w:shd w:val="clear" w:color="auto" w:fill="EFFDFF"/>
            <w:vAlign w:val="center"/>
          </w:tcPr>
          <w:p w:rsidR="0049577B" w:rsidRPr="00E063B6" w:rsidRDefault="0049577B" w:rsidP="00D440E2">
            <w:pPr>
              <w:ind w:leftChars="-42" w:left="-109" w:rightChars="-64" w:right="-166"/>
              <w:jc w:val="center"/>
              <w:rPr>
                <w:sz w:val="24"/>
              </w:rPr>
            </w:pPr>
            <w:r w:rsidRPr="00E063B6">
              <w:rPr>
                <w:sz w:val="24"/>
              </w:rPr>
              <w:t>警大國境警察碩士班研究生之姓名</w:t>
            </w:r>
          </w:p>
        </w:tc>
        <w:tc>
          <w:tcPr>
            <w:tcW w:w="7849" w:type="dxa"/>
            <w:shd w:val="clear" w:color="auto" w:fill="EFFDFF"/>
            <w:vAlign w:val="center"/>
          </w:tcPr>
          <w:p w:rsidR="0049577B" w:rsidRPr="00E063B6" w:rsidRDefault="0049577B" w:rsidP="00D440E2">
            <w:pPr>
              <w:jc w:val="center"/>
              <w:rPr>
                <w:sz w:val="24"/>
              </w:rPr>
            </w:pPr>
            <w:r w:rsidRPr="00E063B6">
              <w:rPr>
                <w:sz w:val="24"/>
              </w:rPr>
              <w:t>對於台灣應如何吸引專業技術移民之相關看法</w:t>
            </w:r>
          </w:p>
        </w:tc>
      </w:tr>
      <w:tr w:rsidR="0049577B" w:rsidRPr="00B40DC1" w:rsidTr="00394C1A">
        <w:tc>
          <w:tcPr>
            <w:tcW w:w="2069" w:type="dxa"/>
          </w:tcPr>
          <w:p w:rsidR="0049577B" w:rsidRPr="00E063B6" w:rsidRDefault="0049577B" w:rsidP="000D26BB">
            <w:pPr>
              <w:rPr>
                <w:sz w:val="24"/>
              </w:rPr>
            </w:pPr>
            <w:r w:rsidRPr="00E063B6">
              <w:rPr>
                <w:sz w:val="24"/>
              </w:rPr>
              <w:t>張貽智上校(國防大學專任教官)</w:t>
            </w:r>
          </w:p>
        </w:tc>
        <w:tc>
          <w:tcPr>
            <w:tcW w:w="7849" w:type="dxa"/>
            <w:tcBorders>
              <w:bottom w:val="single" w:sz="4" w:space="0" w:color="auto"/>
            </w:tcBorders>
          </w:tcPr>
          <w:p w:rsidR="0049577B" w:rsidRPr="00E063B6" w:rsidRDefault="009B39F4" w:rsidP="00960C6D">
            <w:pPr>
              <w:ind w:leftChars="0" w:left="0"/>
              <w:rPr>
                <w:sz w:val="24"/>
              </w:rPr>
            </w:pPr>
            <w:r>
              <w:rPr>
                <w:sz w:val="24"/>
              </w:rPr>
              <w:t xml:space="preserve">　　</w:t>
            </w:r>
            <w:r w:rsidR="0049577B" w:rsidRPr="00E063B6">
              <w:rPr>
                <w:sz w:val="24"/>
              </w:rPr>
              <w:t>「有關於台灣如何延攬高級專業人才來台之課題，根據瑞士洛桑管理學院（IMD）於2017年世界人才報告中指出，我國於63個受評比的國家中，排名23，但是，在「吸引與留住人才」這項指標中，卻顯示整體環境無力留才，甚至僅能夠對外攬才。</w:t>
            </w:r>
            <w:r w:rsidR="0049577B" w:rsidRPr="006B5D0A">
              <w:rPr>
                <w:rStyle w:val="af7"/>
                <w:rFonts w:eastAsia="新細明體"/>
                <w:sz w:val="20"/>
              </w:rPr>
              <w:footnoteReference w:id="4"/>
            </w:r>
          </w:p>
          <w:p w:rsidR="0049577B" w:rsidRPr="00E063B6" w:rsidRDefault="0059552B" w:rsidP="00960C6D">
            <w:pPr>
              <w:ind w:leftChars="0" w:left="0"/>
              <w:rPr>
                <w:sz w:val="24"/>
              </w:rPr>
            </w:pPr>
            <w:r>
              <w:rPr>
                <w:sz w:val="24"/>
              </w:rPr>
              <w:t xml:space="preserve">　　</w:t>
            </w:r>
            <w:r w:rsidR="0049577B" w:rsidRPr="00E063B6">
              <w:rPr>
                <w:sz w:val="24"/>
              </w:rPr>
              <w:t>相較於中國大陸在經濟領域的快速增長，並於今(2018)年2月28日公布了卅一項「關於促進兩岸經濟文化交流合作的若干措施」的惠台政策，其內容除了稅收優惠政策；參與基礎設施建設、政府採購、國有企業、國家職業資格考試、「千人計畫」、「萬人計畫」及多項基金、文化傳承發展工程、加入專業性社團組織、廣播電視節目和電影、電視劇製作</w:t>
            </w:r>
            <w:r w:rsidR="0049577B" w:rsidRPr="00E063B6">
              <w:rPr>
                <w:sz w:val="24"/>
              </w:rPr>
              <w:lastRenderedPageBreak/>
              <w:t>等限制。</w:t>
            </w:r>
            <w:r w:rsidR="0049577B" w:rsidRPr="0059552B">
              <w:rPr>
                <w:rStyle w:val="af7"/>
                <w:rFonts w:eastAsia="新細明體"/>
                <w:sz w:val="20"/>
              </w:rPr>
              <w:footnoteReference w:id="5"/>
            </w:r>
            <w:r w:rsidR="0049577B" w:rsidRPr="00E063B6">
              <w:rPr>
                <w:sz w:val="24"/>
              </w:rPr>
              <w:t>綜上可知，中國大陸已逐步且有計畫性地磁吸台灣專才，並將此措施列為「國家戰略」，藉以提升其內部能量。</w:t>
            </w:r>
          </w:p>
          <w:p w:rsidR="0049577B" w:rsidRPr="00E063B6" w:rsidRDefault="00960C6D" w:rsidP="00960C6D">
            <w:pPr>
              <w:ind w:leftChars="0" w:left="0"/>
              <w:rPr>
                <w:sz w:val="24"/>
              </w:rPr>
            </w:pPr>
            <w:r w:rsidRPr="00E063B6">
              <w:rPr>
                <w:sz w:val="24"/>
              </w:rPr>
              <w:t xml:space="preserve">　　</w:t>
            </w:r>
            <w:r w:rsidR="0049577B" w:rsidRPr="00E063B6">
              <w:rPr>
                <w:sz w:val="24"/>
              </w:rPr>
              <w:t>反觀我國現行政策，雖然為了加強延攬外國專業人才，提升國家競爭力，於107年2月8日開始施行</w:t>
            </w:r>
            <w:r w:rsidR="00654D1D" w:rsidRPr="0065263F">
              <w:rPr>
                <w:sz w:val="24"/>
                <w:szCs w:val="24"/>
              </w:rPr>
              <w:t>「</w:t>
            </w:r>
            <w:hyperlink r:id="rId18" w:history="1">
              <w:r w:rsidR="00654D1D" w:rsidRPr="00654D1D">
                <w:rPr>
                  <w:rStyle w:val="a7"/>
                  <w:rFonts w:cs="Times New Roman"/>
                  <w:sz w:val="24"/>
                  <w:szCs w:val="24"/>
                  <w:lang w:eastAsia="zh-TW" w:bidi="ar-SA"/>
                </w:rPr>
                <w:t>外國專業人才延攬及僱用法</w:t>
              </w:r>
            </w:hyperlink>
            <w:r w:rsidR="0049577B" w:rsidRPr="00E063B6">
              <w:rPr>
                <w:sz w:val="24"/>
              </w:rPr>
              <w:t>」，其內容以鬆綁外國專業人才工作、簽證及居留規定、外國特定專業人才核發「就業金卡」、延長特定專業人才工作許可期間、鬆綁父母配偶及子女停居留規定、提供退休、健保及租稅優惠等。</w:t>
            </w:r>
            <w:r w:rsidR="0049577B" w:rsidRPr="0059552B">
              <w:rPr>
                <w:rStyle w:val="af7"/>
                <w:rFonts w:eastAsia="新細明體"/>
                <w:sz w:val="20"/>
              </w:rPr>
              <w:footnoteReference w:id="6"/>
            </w:r>
            <w:r w:rsidR="0049577B" w:rsidRPr="00E063B6">
              <w:rPr>
                <w:sz w:val="24"/>
              </w:rPr>
              <w:t>惟成效卻未見改善，因此，針對「台灣如何延攬高級專業人才來台」此一議題，提出個人認為仍需精進方面：</w:t>
            </w:r>
          </w:p>
          <w:p w:rsidR="00960C6D" w:rsidRPr="00E063B6" w:rsidRDefault="00960C6D" w:rsidP="00960C6D">
            <w:pPr>
              <w:ind w:leftChars="0" w:left="0"/>
              <w:rPr>
                <w:sz w:val="24"/>
              </w:rPr>
            </w:pPr>
            <w:r w:rsidRPr="00E063B6">
              <w:rPr>
                <w:rFonts w:hint="eastAsia"/>
                <w:sz w:val="24"/>
              </w:rPr>
              <w:t xml:space="preserve">　　</w:t>
            </w:r>
            <w:r w:rsidRPr="00E063B6">
              <w:rPr>
                <w:sz w:val="24"/>
              </w:rPr>
              <w:t>1.薪資待遇、福利的提升與獲利分享待提升。</w:t>
            </w:r>
          </w:p>
          <w:p w:rsidR="00960C6D" w:rsidRPr="00E063B6" w:rsidRDefault="00960C6D" w:rsidP="00960C6D">
            <w:pPr>
              <w:ind w:leftChars="0" w:left="0"/>
              <w:rPr>
                <w:sz w:val="24"/>
              </w:rPr>
            </w:pPr>
            <w:r w:rsidRPr="00E063B6">
              <w:rPr>
                <w:rFonts w:hint="eastAsia"/>
                <w:sz w:val="24"/>
              </w:rPr>
              <w:t xml:space="preserve">　　</w:t>
            </w:r>
            <w:r w:rsidRPr="00E063B6">
              <w:rPr>
                <w:sz w:val="24"/>
              </w:rPr>
              <w:t>2.政府部門效率與資源庫構建待精進。</w:t>
            </w:r>
          </w:p>
          <w:p w:rsidR="00960C6D" w:rsidRPr="00E063B6" w:rsidRDefault="00960C6D" w:rsidP="00960C6D">
            <w:pPr>
              <w:ind w:leftChars="0" w:left="0"/>
              <w:rPr>
                <w:sz w:val="24"/>
              </w:rPr>
            </w:pPr>
            <w:r w:rsidRPr="00E063B6">
              <w:rPr>
                <w:rFonts w:hint="eastAsia"/>
                <w:sz w:val="24"/>
              </w:rPr>
              <w:t xml:space="preserve">　　</w:t>
            </w:r>
            <w:r w:rsidRPr="00E063B6">
              <w:rPr>
                <w:sz w:val="24"/>
              </w:rPr>
              <w:t>3.國家環境與治安影響外國人才來台。</w:t>
            </w:r>
          </w:p>
          <w:p w:rsidR="00960C6D" w:rsidRPr="00E063B6" w:rsidRDefault="00960C6D" w:rsidP="00960C6D">
            <w:pPr>
              <w:ind w:leftChars="0" w:left="0"/>
              <w:rPr>
                <w:sz w:val="24"/>
              </w:rPr>
            </w:pPr>
            <w:r w:rsidRPr="00E063B6">
              <w:rPr>
                <w:rFonts w:hint="eastAsia"/>
                <w:sz w:val="24"/>
              </w:rPr>
              <w:t xml:space="preserve">　　</w:t>
            </w:r>
            <w:r w:rsidRPr="00E063B6">
              <w:rPr>
                <w:sz w:val="24"/>
              </w:rPr>
              <w:t>4.基礎設施投資與建設是否完善。</w:t>
            </w:r>
          </w:p>
          <w:p w:rsidR="00960C6D" w:rsidRPr="00E063B6" w:rsidRDefault="00960C6D" w:rsidP="00960C6D">
            <w:pPr>
              <w:ind w:leftChars="0" w:left="0"/>
              <w:rPr>
                <w:sz w:val="24"/>
              </w:rPr>
            </w:pPr>
            <w:r w:rsidRPr="00E063B6">
              <w:rPr>
                <w:rFonts w:hint="eastAsia"/>
                <w:sz w:val="24"/>
              </w:rPr>
              <w:t xml:space="preserve">　　</w:t>
            </w:r>
            <w:r w:rsidRPr="00E063B6">
              <w:rPr>
                <w:sz w:val="24"/>
              </w:rPr>
              <w:t>5.需成立國際人才招聘專責單位，專門負責在國際市場吸引人才。</w:t>
            </w:r>
          </w:p>
          <w:p w:rsidR="00960C6D" w:rsidRPr="00E063B6" w:rsidRDefault="00960C6D" w:rsidP="00960C6D">
            <w:pPr>
              <w:ind w:leftChars="0" w:left="0"/>
              <w:rPr>
                <w:sz w:val="24"/>
              </w:rPr>
            </w:pPr>
            <w:r w:rsidRPr="00E063B6">
              <w:rPr>
                <w:rFonts w:hint="eastAsia"/>
                <w:sz w:val="24"/>
              </w:rPr>
              <w:t xml:space="preserve">　　</w:t>
            </w:r>
            <w:r w:rsidRPr="00E063B6">
              <w:rPr>
                <w:sz w:val="24"/>
              </w:rPr>
              <w:t>6.需建立多元化吸收人才的網站，充分吸納專業人才來台發展。</w:t>
            </w:r>
          </w:p>
          <w:p w:rsidR="00960C6D" w:rsidRPr="00E063B6" w:rsidRDefault="00960C6D" w:rsidP="00960C6D">
            <w:pPr>
              <w:ind w:leftChars="0" w:left="0"/>
              <w:rPr>
                <w:sz w:val="24"/>
              </w:rPr>
            </w:pPr>
            <w:r w:rsidRPr="00E063B6">
              <w:rPr>
                <w:rFonts w:hint="eastAsia"/>
                <w:sz w:val="24"/>
              </w:rPr>
              <w:t xml:space="preserve">　　</w:t>
            </w:r>
            <w:r w:rsidRPr="00E063B6">
              <w:rPr>
                <w:sz w:val="24"/>
              </w:rPr>
              <w:t>7.政府應確立並提高專利保障與留住高級專業人才的政策方針。</w:t>
            </w:r>
          </w:p>
          <w:p w:rsidR="00960C6D" w:rsidRPr="00E063B6" w:rsidRDefault="00960C6D" w:rsidP="00960C6D">
            <w:pPr>
              <w:ind w:leftChars="0" w:left="0"/>
              <w:rPr>
                <w:sz w:val="24"/>
              </w:rPr>
            </w:pPr>
            <w:r w:rsidRPr="00E063B6">
              <w:rPr>
                <w:rFonts w:hint="eastAsia"/>
                <w:sz w:val="24"/>
              </w:rPr>
              <w:t xml:space="preserve">　　</w:t>
            </w:r>
            <w:r w:rsidRPr="00E063B6">
              <w:rPr>
                <w:sz w:val="24"/>
              </w:rPr>
              <w:t>8.應運用教育訓練政策補助等方式強化企業競爭力和生產力。</w:t>
            </w:r>
          </w:p>
          <w:p w:rsidR="0049577B" w:rsidRPr="00E063B6" w:rsidRDefault="00960C6D" w:rsidP="00960C6D">
            <w:pPr>
              <w:ind w:leftChars="0" w:left="0"/>
              <w:rPr>
                <w:sz w:val="24"/>
              </w:rPr>
            </w:pPr>
            <w:r w:rsidRPr="00E063B6">
              <w:rPr>
                <w:sz w:val="24"/>
              </w:rPr>
              <w:t xml:space="preserve">　　</w:t>
            </w:r>
            <w:r w:rsidR="0049577B" w:rsidRPr="00E063B6">
              <w:rPr>
                <w:sz w:val="24"/>
              </w:rPr>
              <w:t>我國政府應以積極培育國家專業人才為主，並以吸納高級專業人才來台為輔，如此方能提升我國在國際間之競爭實力與經濟發展。」</w:t>
            </w:r>
          </w:p>
        </w:tc>
      </w:tr>
      <w:tr w:rsidR="0049577B" w:rsidRPr="00B40DC1" w:rsidTr="00394C1A">
        <w:tc>
          <w:tcPr>
            <w:tcW w:w="2069" w:type="dxa"/>
          </w:tcPr>
          <w:p w:rsidR="0049577B" w:rsidRPr="00E063B6" w:rsidRDefault="0049577B" w:rsidP="000D26BB">
            <w:pPr>
              <w:rPr>
                <w:sz w:val="24"/>
              </w:rPr>
            </w:pPr>
            <w:r w:rsidRPr="00E063B6">
              <w:rPr>
                <w:sz w:val="24"/>
              </w:rPr>
              <w:lastRenderedPageBreak/>
              <w:t>饒瑞桓中校</w:t>
            </w:r>
          </w:p>
        </w:tc>
        <w:tc>
          <w:tcPr>
            <w:tcW w:w="7849" w:type="dxa"/>
            <w:shd w:val="clear" w:color="auto" w:fill="auto"/>
          </w:tcPr>
          <w:p w:rsidR="0049577B" w:rsidRPr="00E063B6" w:rsidRDefault="0049577B" w:rsidP="00196078">
            <w:pPr>
              <w:ind w:leftChars="0" w:left="0"/>
              <w:rPr>
                <w:b/>
                <w:sz w:val="24"/>
              </w:rPr>
            </w:pPr>
            <w:r w:rsidRPr="00E063B6">
              <w:rPr>
                <w:b/>
                <w:sz w:val="24"/>
              </w:rPr>
              <w:t>台灣高階人才外移之檢討與改善方向之建議</w:t>
            </w:r>
          </w:p>
          <w:p w:rsidR="0049577B" w:rsidRPr="00E063B6" w:rsidRDefault="0059552B" w:rsidP="00196078">
            <w:pPr>
              <w:ind w:leftChars="0" w:left="0"/>
              <w:rPr>
                <w:sz w:val="24"/>
              </w:rPr>
            </w:pPr>
            <w:r>
              <w:rPr>
                <w:sz w:val="24"/>
              </w:rPr>
              <w:t xml:space="preserve">　　</w:t>
            </w:r>
            <w:r w:rsidR="0049577B" w:rsidRPr="00E063B6">
              <w:rPr>
                <w:sz w:val="24"/>
              </w:rPr>
              <w:t>姓名: 饒瑞桓</w:t>
            </w:r>
            <w:r>
              <w:rPr>
                <w:sz w:val="24"/>
              </w:rPr>
              <w:t xml:space="preserve">　　</w:t>
            </w:r>
            <w:r w:rsidR="0049577B" w:rsidRPr="00E063B6">
              <w:rPr>
                <w:sz w:val="24"/>
              </w:rPr>
              <w:t>日期: 107/3/26</w:t>
            </w:r>
          </w:p>
          <w:p w:rsidR="00E2504E" w:rsidRDefault="00960C6D" w:rsidP="00196078">
            <w:pPr>
              <w:ind w:leftChars="0" w:left="0"/>
              <w:rPr>
                <w:sz w:val="24"/>
              </w:rPr>
            </w:pPr>
            <w:r w:rsidRPr="00E063B6">
              <w:rPr>
                <w:sz w:val="24"/>
              </w:rPr>
              <w:t xml:space="preserve">　　</w:t>
            </w:r>
            <w:r w:rsidR="0049577B" w:rsidRPr="00E063B6">
              <w:rPr>
                <w:sz w:val="24"/>
              </w:rPr>
              <w:t>少子化與人口老化，已逐漸形成我國國安問題，加上近十年來，台灣高階人才不斷外移，長時間高出低進的結果，造成台灣人才逆差擴大。內需人力與人才的缺乏，不僅阻礙產業轉型升級、解決低薪困境，更造成台灣的整體危機。</w:t>
            </w:r>
          </w:p>
          <w:p w:rsidR="0049577B" w:rsidRPr="00E063B6" w:rsidRDefault="00960C6D" w:rsidP="00196078">
            <w:pPr>
              <w:ind w:leftChars="0" w:left="0"/>
              <w:rPr>
                <w:sz w:val="24"/>
              </w:rPr>
            </w:pPr>
            <w:r w:rsidRPr="00E063B6">
              <w:rPr>
                <w:sz w:val="24"/>
              </w:rPr>
              <w:t xml:space="preserve">　　</w:t>
            </w:r>
            <w:r w:rsidR="0049577B" w:rsidRPr="00E063B6">
              <w:rPr>
                <w:sz w:val="24"/>
              </w:rPr>
              <w:t>就人才外移而言，依據主計總處之前發佈的「2015年國人赴海外工作人數統計」</w:t>
            </w:r>
            <w:r w:rsidR="0049577B" w:rsidRPr="0059552B">
              <w:rPr>
                <w:rStyle w:val="af7"/>
                <w:rFonts w:eastAsia="新細明體"/>
                <w:b/>
                <w:sz w:val="20"/>
                <w:u w:val="single"/>
              </w:rPr>
              <w:footnoteReference w:id="7"/>
            </w:r>
            <w:r w:rsidR="0049577B" w:rsidRPr="00E063B6">
              <w:rPr>
                <w:sz w:val="24"/>
              </w:rPr>
              <w:t>，赴海外工作者達72萬餘人，較歷年成長約6萬多人；因我國專業人才不斷外流，而進入我國職場的專業人才，則不見起色，慢慢出現人才逆差之狀況。相較於外國專技人才難以輸入我國，我國之現況，則是引進大量藍領外籍移工</w:t>
            </w:r>
            <w:r w:rsidR="0049577B" w:rsidRPr="0059552B">
              <w:rPr>
                <w:rStyle w:val="af7"/>
                <w:rFonts w:eastAsia="新細明體"/>
                <w:sz w:val="20"/>
                <w:u w:val="single"/>
              </w:rPr>
              <w:footnoteReference w:id="8"/>
            </w:r>
            <w:r w:rsidR="0049577B" w:rsidRPr="00E063B6">
              <w:rPr>
                <w:sz w:val="24"/>
              </w:rPr>
              <w:t>。根據勞動部之統計，外籍移工漸漸增加。相較國人赴海外工作者中，男性、大專及以上程度與25至59歲所佔比例為多，台灣高階人才流出，而進入臺灣職場者少的狀況，正不斷惡化之中。除此之外，台灣人才供需落差大 法規落後，根據英國牛津經濟研究院（Oxford Economics）的「全球人才二○二一」</w:t>
            </w:r>
            <w:r w:rsidR="0049577B" w:rsidRPr="0059552B">
              <w:rPr>
                <w:rStyle w:val="af7"/>
                <w:rFonts w:eastAsia="新細明體"/>
                <w:sz w:val="20"/>
              </w:rPr>
              <w:footnoteReference w:id="9"/>
            </w:r>
            <w:r w:rsidR="0049577B" w:rsidRPr="00E063B6">
              <w:rPr>
                <w:sz w:val="24"/>
              </w:rPr>
              <w:t xml:space="preserve">報告（Global </w:t>
            </w:r>
            <w:r w:rsidR="0049577B" w:rsidRPr="00E063B6">
              <w:rPr>
                <w:sz w:val="24"/>
              </w:rPr>
              <w:lastRenderedPageBreak/>
              <w:t>Talent 2021）發現，臺灣被列為2021年全球技術人才供需落差最嚴重國家之一；甚至比中國、日本、南韓之人才供需落差，還要嚴重，值得有關當局深思。瑞士洛桑管理學院（ＩＭＤ）近日公布的「二○一七年世界競爭力年報」</w:t>
            </w:r>
            <w:r w:rsidR="0049577B" w:rsidRPr="0059552B">
              <w:rPr>
                <w:rStyle w:val="af7"/>
                <w:rFonts w:eastAsia="新細明體"/>
                <w:sz w:val="20"/>
              </w:rPr>
              <w:footnoteReference w:id="10"/>
            </w:r>
            <w:r w:rsidR="0049577B" w:rsidRPr="00E063B6">
              <w:rPr>
                <w:sz w:val="24"/>
              </w:rPr>
              <w:t>及「世界數位競爭力評比」也指出，台灣無論在外國人才僱用、人才外流、吸引高階外國人才等排名，都不盡理想，移民法規更是全球後段班（第四十七）</w:t>
            </w:r>
            <w:r w:rsidR="0049577B" w:rsidRPr="0059552B">
              <w:rPr>
                <w:rStyle w:val="af7"/>
                <w:rFonts w:eastAsia="新細明體"/>
                <w:sz w:val="20"/>
              </w:rPr>
              <w:footnoteReference w:id="11"/>
            </w:r>
            <w:r w:rsidR="0049577B" w:rsidRPr="00E063B6">
              <w:rPr>
                <w:sz w:val="24"/>
              </w:rPr>
              <w:t>。</w:t>
            </w:r>
          </w:p>
          <w:p w:rsidR="0049577B" w:rsidRPr="00E063B6" w:rsidRDefault="00960C6D" w:rsidP="00196078">
            <w:pPr>
              <w:ind w:leftChars="0" w:left="0"/>
              <w:rPr>
                <w:sz w:val="24"/>
              </w:rPr>
            </w:pPr>
            <w:r w:rsidRPr="00E063B6">
              <w:rPr>
                <w:sz w:val="24"/>
              </w:rPr>
              <w:t xml:space="preserve">　　</w:t>
            </w:r>
            <w:r w:rsidR="0049577B" w:rsidRPr="00E063B6">
              <w:rPr>
                <w:sz w:val="24"/>
              </w:rPr>
              <w:t>台灣陷入缺才四大危機: 人才逆差擴大、高出低進惡化、工作人口下滑、及人才赤字全球最嚴重。是以，或可以借鏡美國經驗，長期策略性的鼓勵學術研究和創新，以優質之移民政策，延攬高等技術人才，強化國家各面向競爭力，或許可吸引高階人才加入台灣社會；多元的文化環境與刺激亦能產生勞動力人才間的良性競爭與創新力撞擊。惟有自政策面推動多元國際人才延攬及實質的鼓勵高階人才之移民政策，才能產生吸引國際人才移入，及海外台灣高階人才回流的誘因。</w:t>
            </w:r>
          </w:p>
        </w:tc>
      </w:tr>
      <w:tr w:rsidR="0049577B" w:rsidRPr="00B40DC1" w:rsidTr="00394C1A">
        <w:tc>
          <w:tcPr>
            <w:tcW w:w="2069" w:type="dxa"/>
          </w:tcPr>
          <w:p w:rsidR="0049577B" w:rsidRPr="00E063B6" w:rsidRDefault="0049577B" w:rsidP="005606DC">
            <w:pPr>
              <w:spacing w:line="240" w:lineRule="auto"/>
              <w:ind w:leftChars="0" w:left="0" w:rightChars="0" w:right="0"/>
              <w:rPr>
                <w:sz w:val="24"/>
              </w:rPr>
            </w:pPr>
            <w:r w:rsidRPr="00E063B6">
              <w:rPr>
                <w:sz w:val="24"/>
              </w:rPr>
              <w:lastRenderedPageBreak/>
              <w:t>李維志先生(Mr.PROMISE NTSINI，1063179)</w:t>
            </w:r>
          </w:p>
        </w:tc>
        <w:tc>
          <w:tcPr>
            <w:tcW w:w="7849" w:type="dxa"/>
          </w:tcPr>
          <w:p w:rsidR="003C1792" w:rsidRPr="00394C1A" w:rsidRDefault="0049577B" w:rsidP="00394C1A">
            <w:pPr>
              <w:spacing w:line="240" w:lineRule="auto"/>
              <w:ind w:leftChars="0" w:left="0" w:rightChars="0" w:right="0"/>
              <w:rPr>
                <w:b/>
                <w:sz w:val="24"/>
                <w:szCs w:val="24"/>
              </w:rPr>
            </w:pPr>
            <w:r w:rsidRPr="00394C1A">
              <w:rPr>
                <w:b/>
                <w:sz w:val="24"/>
                <w:szCs w:val="24"/>
              </w:rPr>
              <w:t>HOW TO ATTRACT FOREIGN PROFESSIONALS IN TAIWAN</w:t>
            </w:r>
            <w:r w:rsidR="0059552B" w:rsidRPr="00394C1A">
              <w:rPr>
                <w:b/>
                <w:sz w:val="24"/>
                <w:szCs w:val="24"/>
              </w:rPr>
              <w:t xml:space="preserve"> </w:t>
            </w:r>
            <w:r w:rsidRPr="00394C1A">
              <w:rPr>
                <w:b/>
                <w:sz w:val="24"/>
                <w:szCs w:val="24"/>
              </w:rPr>
              <w:t>PROMISE NTSINI</w:t>
            </w:r>
            <w:r w:rsidR="003C1792" w:rsidRPr="00394C1A">
              <w:rPr>
                <w:b/>
                <w:sz w:val="24"/>
                <w:szCs w:val="24"/>
              </w:rPr>
              <w:t>(</w:t>
            </w:r>
            <w:r w:rsidRPr="00394C1A">
              <w:rPr>
                <w:b/>
                <w:sz w:val="24"/>
                <w:szCs w:val="24"/>
              </w:rPr>
              <w:t>1063179)</w:t>
            </w:r>
          </w:p>
          <w:p w:rsidR="003C1792"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「Taiwan is competing with other countries in attracting foreign professionals</w:t>
            </w:r>
            <w:r w:rsidR="003C1792" w:rsidRPr="00394C1A">
              <w:rPr>
                <w:sz w:val="24"/>
                <w:szCs w:val="24"/>
              </w:rPr>
              <w:t>.</w:t>
            </w:r>
            <w:r w:rsidR="0049577B" w:rsidRPr="00394C1A">
              <w:rPr>
                <w:sz w:val="24"/>
                <w:szCs w:val="24"/>
              </w:rPr>
              <w:t>Taiwan’s intelligent citizens are offered lucrative job offers abroad</w:t>
            </w:r>
            <w:r w:rsidR="003C1792" w:rsidRPr="00394C1A">
              <w:rPr>
                <w:sz w:val="24"/>
                <w:szCs w:val="24"/>
              </w:rPr>
              <w:t>.</w:t>
            </w:r>
            <w:r w:rsidR="0049577B" w:rsidRPr="00394C1A">
              <w:rPr>
                <w:sz w:val="24"/>
                <w:szCs w:val="24"/>
              </w:rPr>
              <w:t xml:space="preserve"> Taiwan must follow the methods used by many developed or developing countries to attract young professionals</w:t>
            </w:r>
            <w:r w:rsidR="003C1792" w:rsidRPr="00394C1A">
              <w:rPr>
                <w:sz w:val="24"/>
                <w:szCs w:val="24"/>
              </w:rPr>
              <w:t>.</w:t>
            </w:r>
            <w:r w:rsidR="0049577B" w:rsidRPr="00394C1A">
              <w:rPr>
                <w:sz w:val="24"/>
                <w:szCs w:val="24"/>
              </w:rPr>
              <w:t>The Act for the Recruitment and Employment of Foreign Professionals Talent 2018 lowers Taiwan’s requirements concerning visas, work permits, taxes, insurance, pension and residency for foreign professionals and their families</w:t>
            </w:r>
            <w:r w:rsidR="003C1792" w:rsidRPr="00394C1A">
              <w:rPr>
                <w:sz w:val="24"/>
                <w:szCs w:val="24"/>
              </w:rPr>
              <w:t>.</w:t>
            </w:r>
            <w:r w:rsidR="0049577B" w:rsidRPr="00394C1A">
              <w:rPr>
                <w:sz w:val="24"/>
                <w:szCs w:val="24"/>
              </w:rPr>
              <w:t xml:space="preserve"> The foreign professionals will not have to follow tedious rules and regulations</w:t>
            </w:r>
            <w:r w:rsidR="0049577B" w:rsidRPr="00992AB6">
              <w:rPr>
                <w:rStyle w:val="af7"/>
                <w:rFonts w:eastAsia="新細明體"/>
                <w:sz w:val="20"/>
                <w:szCs w:val="24"/>
              </w:rPr>
              <w:footnoteReference w:id="12"/>
            </w:r>
            <w:r w:rsidR="0049577B" w:rsidRPr="00394C1A">
              <w:rPr>
                <w:sz w:val="24"/>
                <w:szCs w:val="24"/>
              </w:rPr>
              <w:t>.</w:t>
            </w:r>
          </w:p>
          <w:p w:rsidR="003C1792"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The Act for the Recruitment and Employment of Foreign Professionals Talent 2018 provides a visa for foreign professionals looking for jobs in Taiwan</w:t>
            </w:r>
            <w:r w:rsidR="003C1792" w:rsidRPr="00394C1A">
              <w:rPr>
                <w:sz w:val="24"/>
                <w:szCs w:val="24"/>
              </w:rPr>
              <w:t>.</w:t>
            </w:r>
            <w:r w:rsidR="0049577B" w:rsidRPr="00394C1A">
              <w:rPr>
                <w:sz w:val="24"/>
                <w:szCs w:val="24"/>
              </w:rPr>
              <w:t xml:space="preserve">If the foreign professionals fail to get a job within the stipulated time they will be treated as tourist in Taiwan, this helps because while in Taiwan they will be spending money and improving the economy </w:t>
            </w:r>
            <w:r w:rsidR="0049577B" w:rsidRPr="00394C1A">
              <w:rPr>
                <w:sz w:val="24"/>
                <w:szCs w:val="24"/>
              </w:rPr>
              <w:lastRenderedPageBreak/>
              <w:t>of Taiwan</w:t>
            </w:r>
            <w:r w:rsidR="003C1792" w:rsidRPr="00394C1A">
              <w:rPr>
                <w:sz w:val="24"/>
                <w:szCs w:val="24"/>
              </w:rPr>
              <w:t>.</w:t>
            </w:r>
            <w:r w:rsidR="0049577B" w:rsidRPr="00394C1A">
              <w:rPr>
                <w:sz w:val="24"/>
                <w:szCs w:val="24"/>
              </w:rPr>
              <w:t>Providing tax incentives for foreign professionals is one way of attracting foreign talents into Taiwan</w:t>
            </w:r>
            <w:r w:rsidR="0049577B" w:rsidRPr="005606DC">
              <w:rPr>
                <w:rStyle w:val="af7"/>
                <w:rFonts w:eastAsia="新細明體"/>
                <w:sz w:val="20"/>
                <w:szCs w:val="24"/>
              </w:rPr>
              <w:footnoteReference w:id="13"/>
            </w:r>
            <w:r w:rsidR="0049577B" w:rsidRPr="00394C1A">
              <w:rPr>
                <w:sz w:val="24"/>
                <w:szCs w:val="24"/>
              </w:rPr>
              <w:t>.</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Liu Kuan-ting and Ko Lin 2018 reported that, another motivation to attract foreign professional talent in Taiwan is that foreign professionals, their spouses and non-adult kids are immediately granted access to the National Insurance Health System they do not have to worry about medical bills and their children who had stayed in Taiwan legally for more than ten years can work too</w:t>
            </w:r>
            <w:r w:rsidR="003C1792" w:rsidRPr="00394C1A">
              <w:rPr>
                <w:sz w:val="24"/>
                <w:szCs w:val="24"/>
              </w:rPr>
              <w:t>.</w:t>
            </w:r>
            <w:r w:rsidR="0049577B" w:rsidRPr="00394C1A">
              <w:rPr>
                <w:sz w:val="24"/>
                <w:szCs w:val="24"/>
              </w:rPr>
              <w:t>Parents of the professionals will be allowed to visit their kids in Taiwan for up to one year, as the professionals will be busy working here</w:t>
            </w:r>
            <w:r w:rsidR="0049577B" w:rsidRPr="005606DC">
              <w:rPr>
                <w:rStyle w:val="af7"/>
                <w:rFonts w:eastAsia="新細明體"/>
                <w:sz w:val="20"/>
                <w:szCs w:val="24"/>
              </w:rPr>
              <w:footnoteReference w:id="14"/>
            </w:r>
            <w:r w:rsidR="0049577B" w:rsidRPr="00394C1A">
              <w:rPr>
                <w:sz w:val="24"/>
                <w:szCs w:val="24"/>
              </w:rPr>
              <w:t>.</w:t>
            </w:r>
          </w:p>
          <w:p w:rsidR="0049577B" w:rsidRPr="005606DC"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Stude</w:t>
            </w:r>
            <w:r w:rsidR="0049577B" w:rsidRPr="005606DC">
              <w:rPr>
                <w:sz w:val="24"/>
                <w:szCs w:val="24"/>
              </w:rPr>
              <w:t>nts who graduated from the world’s best universities within the past two years internships are covered in The Act for the Recruitment of Foreign Professionals Talent</w:t>
            </w:r>
            <w:r w:rsidR="003C1792" w:rsidRPr="005606DC">
              <w:rPr>
                <w:sz w:val="24"/>
                <w:szCs w:val="24"/>
              </w:rPr>
              <w:t>.</w:t>
            </w:r>
            <w:r w:rsidR="0049577B" w:rsidRPr="005606DC">
              <w:rPr>
                <w:sz w:val="24"/>
                <w:szCs w:val="24"/>
              </w:rPr>
              <w:t>They can intern for up to two years</w:t>
            </w:r>
            <w:r w:rsidR="003C1792" w:rsidRPr="005606DC">
              <w:rPr>
                <w:sz w:val="24"/>
                <w:szCs w:val="24"/>
              </w:rPr>
              <w:t>.</w:t>
            </w:r>
            <w:r w:rsidR="0049577B" w:rsidRPr="005606DC">
              <w:rPr>
                <w:sz w:val="24"/>
                <w:szCs w:val="24"/>
              </w:rPr>
              <w:t>The Taiwan institute an internship system for young people from abroad enables them to acquaint themselves with Taiwan’s working surroundings, society, and culture and in so doing increasing their willingness to later work and live in Taiwan</w:t>
            </w:r>
            <w:r w:rsidR="0049577B" w:rsidRPr="005606DC">
              <w:rPr>
                <w:rStyle w:val="af7"/>
                <w:rFonts w:eastAsia="新細明體"/>
                <w:sz w:val="20"/>
                <w:szCs w:val="24"/>
              </w:rPr>
              <w:footnoteReference w:id="15"/>
            </w:r>
            <w:r w:rsidR="0049577B" w:rsidRPr="005606DC">
              <w:rPr>
                <w:sz w:val="24"/>
                <w:szCs w:val="24"/>
              </w:rPr>
              <w:t>.</w:t>
            </w:r>
          </w:p>
          <w:p w:rsidR="0049577B" w:rsidRPr="005606DC" w:rsidRDefault="00960C6D" w:rsidP="005606DC">
            <w:pPr>
              <w:spacing w:line="240" w:lineRule="auto"/>
              <w:ind w:leftChars="0" w:left="0" w:rightChars="0" w:right="0"/>
              <w:rPr>
                <w:sz w:val="24"/>
                <w:szCs w:val="24"/>
              </w:rPr>
            </w:pPr>
            <w:r w:rsidRPr="005606DC">
              <w:t xml:space="preserve">　　</w:t>
            </w:r>
            <w:r w:rsidR="0049577B" w:rsidRPr="005606DC">
              <w:rPr>
                <w:sz w:val="24"/>
                <w:szCs w:val="24"/>
              </w:rPr>
              <w:t xml:space="preserve"> Providing retirement benefits to foreign professionals who have been approved for permanent residence is important in attracting foreign professionals</w:t>
            </w:r>
            <w:r w:rsidR="003C1792" w:rsidRPr="005606DC">
              <w:rPr>
                <w:sz w:val="24"/>
                <w:szCs w:val="24"/>
              </w:rPr>
              <w:t>.</w:t>
            </w:r>
            <w:r w:rsidR="0049577B" w:rsidRPr="005606DC">
              <w:rPr>
                <w:sz w:val="24"/>
                <w:szCs w:val="24"/>
              </w:rPr>
              <w:t>This is important because they will be assured that even after retirement they will still have an income</w:t>
            </w:r>
            <w:r w:rsidR="0049577B" w:rsidRPr="005606DC">
              <w:rPr>
                <w:rFonts w:ascii="Arial Unicode MS" w:eastAsia="新細明體" w:hAnsi="Arial Unicode MS"/>
                <w:color w:val="FF6600"/>
                <w:sz w:val="20"/>
                <w:szCs w:val="24"/>
              </w:rPr>
              <w:footnoteReference w:id="16"/>
            </w:r>
            <w:r w:rsidR="0049577B" w:rsidRPr="005606DC">
              <w:rPr>
                <w:sz w:val="24"/>
                <w:szCs w:val="24"/>
              </w:rPr>
              <w:t>.</w:t>
            </w:r>
          </w:p>
          <w:p w:rsidR="003C1792" w:rsidRPr="005606DC" w:rsidRDefault="00960C6D" w:rsidP="00394C1A">
            <w:pPr>
              <w:spacing w:line="240" w:lineRule="auto"/>
              <w:ind w:leftChars="0" w:left="0" w:rightChars="0" w:right="0"/>
              <w:rPr>
                <w:sz w:val="24"/>
                <w:szCs w:val="24"/>
              </w:rPr>
            </w:pPr>
            <w:r w:rsidRPr="005606DC">
              <w:rPr>
                <w:sz w:val="24"/>
                <w:szCs w:val="24"/>
              </w:rPr>
              <w:t xml:space="preserve">　　</w:t>
            </w:r>
            <w:r w:rsidR="0049577B" w:rsidRPr="005606DC">
              <w:rPr>
                <w:sz w:val="24"/>
                <w:szCs w:val="24"/>
              </w:rPr>
              <w:t>Another thing that can help in attracting foreign professionals in Taiwan is allowing spouses and children of the foreign professionals to work on part-time jobs</w:t>
            </w:r>
            <w:r w:rsidR="003C1792" w:rsidRPr="005606DC">
              <w:rPr>
                <w:sz w:val="24"/>
                <w:szCs w:val="24"/>
              </w:rPr>
              <w:t>.</w:t>
            </w:r>
            <w:r w:rsidR="0049577B" w:rsidRPr="005606DC">
              <w:rPr>
                <w:sz w:val="24"/>
                <w:szCs w:val="24"/>
              </w:rPr>
              <w:t>This is important in attracting foreign professionals into Taiwan because the spouses of foreign professionals will also be working and making money</w:t>
            </w:r>
            <w:r w:rsidR="003C1792" w:rsidRPr="005606DC">
              <w:rPr>
                <w:sz w:val="24"/>
                <w:szCs w:val="24"/>
              </w:rPr>
              <w:t>.</w:t>
            </w:r>
            <w:r w:rsidR="0049577B" w:rsidRPr="005606DC">
              <w:rPr>
                <w:sz w:val="24"/>
                <w:szCs w:val="24"/>
              </w:rPr>
              <w:t>It will be easy for the spouses to agree to travel with their families to Taiwan</w:t>
            </w:r>
            <w:r w:rsidR="0049577B" w:rsidRPr="005606DC">
              <w:rPr>
                <w:rStyle w:val="af7"/>
                <w:rFonts w:eastAsia="新細明體"/>
                <w:sz w:val="20"/>
                <w:szCs w:val="24"/>
              </w:rPr>
              <w:footnoteReference w:id="17"/>
            </w:r>
            <w:r w:rsidR="0049577B" w:rsidRPr="005606DC">
              <w:rPr>
                <w:sz w:val="24"/>
                <w:szCs w:val="24"/>
              </w:rPr>
              <w:t>.</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Universities must also help in attracting more international professionals by providing scholarships to foreign students</w:t>
            </w:r>
            <w:r w:rsidR="003C1792" w:rsidRPr="00394C1A">
              <w:rPr>
                <w:sz w:val="24"/>
                <w:szCs w:val="24"/>
              </w:rPr>
              <w:t>.</w:t>
            </w:r>
            <w:r w:rsidR="0049577B" w:rsidRPr="00394C1A">
              <w:rPr>
                <w:sz w:val="24"/>
                <w:szCs w:val="24"/>
              </w:rPr>
              <w:t xml:space="preserve">The </w:t>
            </w:r>
            <w:r w:rsidR="0049577B" w:rsidRPr="00394C1A">
              <w:rPr>
                <w:sz w:val="24"/>
                <w:szCs w:val="24"/>
              </w:rPr>
              <w:lastRenderedPageBreak/>
              <w:t>students might decide to stay and work in Taiwan after completing their studies</w:t>
            </w:r>
            <w:r w:rsidR="003C1792" w:rsidRPr="00394C1A">
              <w:rPr>
                <w:sz w:val="24"/>
                <w:szCs w:val="24"/>
              </w:rPr>
              <w:t>.</w:t>
            </w:r>
            <w:r w:rsidR="0049577B" w:rsidRPr="00394C1A">
              <w:rPr>
                <w:sz w:val="24"/>
                <w:szCs w:val="24"/>
              </w:rPr>
              <w:t>While studying at the local universities they become partly acculturated and acquire some proficiency in the Mandarin language</w:t>
            </w:r>
            <w:r w:rsidR="003C1792" w:rsidRPr="00394C1A">
              <w:rPr>
                <w:sz w:val="24"/>
                <w:szCs w:val="24"/>
              </w:rPr>
              <w:t>.</w:t>
            </w:r>
            <w:r w:rsidR="0049577B" w:rsidRPr="00394C1A">
              <w:rPr>
                <w:sz w:val="24"/>
                <w:szCs w:val="24"/>
              </w:rPr>
              <w:t>It also becomes easy for them to adapt to the working environment in Taiwan</w:t>
            </w:r>
            <w:r w:rsidR="003C1792" w:rsidRPr="00394C1A">
              <w:rPr>
                <w:sz w:val="24"/>
                <w:szCs w:val="24"/>
              </w:rPr>
              <w:t>.</w:t>
            </w:r>
            <w:r w:rsidR="0049577B" w:rsidRPr="00394C1A">
              <w:rPr>
                <w:sz w:val="24"/>
                <w:szCs w:val="24"/>
              </w:rPr>
              <w:t>It’s even possible that the students might start families local and end up settling permanently</w:t>
            </w:r>
            <w:r w:rsidR="0049577B" w:rsidRPr="005606DC">
              <w:rPr>
                <w:rStyle w:val="af7"/>
                <w:rFonts w:eastAsia="新細明體"/>
                <w:sz w:val="20"/>
                <w:szCs w:val="24"/>
              </w:rPr>
              <w:footnoteReference w:id="18"/>
            </w:r>
            <w:r w:rsidR="0049577B" w:rsidRPr="00394C1A">
              <w:rPr>
                <w:sz w:val="24"/>
                <w:szCs w:val="24"/>
              </w:rPr>
              <w:t>.」</w:t>
            </w:r>
          </w:p>
        </w:tc>
      </w:tr>
      <w:tr w:rsidR="0049577B" w:rsidRPr="00B40DC1" w:rsidTr="00394C1A">
        <w:tc>
          <w:tcPr>
            <w:tcW w:w="2069" w:type="dxa"/>
          </w:tcPr>
          <w:p w:rsidR="0049577B" w:rsidRPr="00B40DC1" w:rsidRDefault="0049577B" w:rsidP="000D26BB">
            <w:r w:rsidRPr="00B40DC1">
              <w:lastRenderedPageBreak/>
              <w:t>謝宜叡先生(1063143)</w:t>
            </w:r>
          </w:p>
        </w:tc>
        <w:tc>
          <w:tcPr>
            <w:tcW w:w="7849" w:type="dxa"/>
          </w:tcPr>
          <w:p w:rsidR="0049577B" w:rsidRPr="005606DC" w:rsidRDefault="0049577B" w:rsidP="00394C1A">
            <w:pPr>
              <w:spacing w:line="240" w:lineRule="auto"/>
              <w:ind w:leftChars="0" w:left="0" w:rightChars="0" w:right="0"/>
              <w:rPr>
                <w:b/>
                <w:sz w:val="24"/>
                <w:szCs w:val="24"/>
              </w:rPr>
            </w:pPr>
            <w:r w:rsidRPr="005606DC">
              <w:rPr>
                <w:b/>
                <w:sz w:val="24"/>
                <w:szCs w:val="24"/>
              </w:rPr>
              <w:t>台灣如何延攬高級專業人才來台----1063143謝宜叡先生</w:t>
            </w:r>
          </w:p>
          <w:p w:rsidR="0049577B" w:rsidRPr="00394C1A" w:rsidRDefault="00D440E2"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外國專業人才為什麼要來台灣？台灣有什麼東西可以吸引外國專業人才？台灣有什麼在世界上是特別獨一無二的？風景？氣候？民主自由？高薪？未來發展性？良好之外國專業人才家屬在台配套措施，一一探討如下。</w:t>
            </w:r>
          </w:p>
          <w:p w:rsidR="0049577B" w:rsidRPr="00394C1A" w:rsidRDefault="005606DC" w:rsidP="00394C1A">
            <w:pPr>
              <w:spacing w:line="240" w:lineRule="auto"/>
              <w:ind w:leftChars="0" w:left="0" w:rightChars="0" w:right="0"/>
              <w:rPr>
                <w:sz w:val="24"/>
                <w:szCs w:val="24"/>
              </w:rPr>
            </w:pPr>
            <w:r>
              <w:rPr>
                <w:sz w:val="24"/>
                <w:szCs w:val="24"/>
              </w:rPr>
              <w:t xml:space="preserve">　　</w:t>
            </w:r>
            <w:r w:rsidR="0049577B" w:rsidRPr="00394C1A">
              <w:rPr>
                <w:sz w:val="24"/>
                <w:szCs w:val="24"/>
              </w:rPr>
              <w:t>台灣的風景優美聞名世界，國家風景區、北海岸沿海風景、花東深山之美皆為台灣之特色，喜好大自然旅人者必定獨愛台灣，此塊寶地之風景乃上天賦予台灣得天獨厚的資產，外國專業人才也有可能因為此一原因而愛上台灣。台灣的氣候更是得天獨厚，溫度適中，一年四季都適合從事各種戶外活動，冬天太平山、合歡上也偶有雪景，夏天適合在烏石港、墾丁等地方衝浪。</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台灣之民主自由，亦為世界奇景，看看318學運學生佔領台灣國會殿堂，警察被擋在外之奇景，我想除了台灣應該無法在其它國家出現這個畫面，人民的自由高漲到極點，政府公權力已被民意代表所凌駕，這就是政治，什麼才是最重要的，答案就是選票，相較於香港發生之學運衝突，台灣之民主自由乃中國大陸無法比擬，此亦可能成為外國專業人才放棄中國大市場而來台之原因。</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高薪方面台灣目前並無優勢，台灣已長期處在低薪的工作環境，就算真的請到外國專業人才來協助台灣公司企業起飛發展，也不可能會把全部的薪水都給此人才。因此個人判斷薪資應非外國專業人才來台之考量因素。</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對於外國專業人才考量自己之未來發展性，如果我是一個專業人才，我想去的公司一定是能讓我發揮所長，並願意支持我，並讓我能在世界展露才能，走向國際，但台灣蔡政府之對中國之不友善政策，導致中國在世界上處處對台灣打壓，讓台灣無法連結世界，如果真的要擴展此道路，更必需把中國大陸當成通往世界彼岸的橋樑，使外國專業人才得以在台灣看到連結世界之未來發展性。</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一個人要離鄉背景最可怕的不是語言隔閡、文化差異，而是必需與自己的家人分離，如果全家人願意陪著外國專業人才來台，那政府政策對該人才之家屬更必需妥善因應，唯有讓家人在台灣感受到家的感覺，讓家人</w:t>
            </w:r>
            <w:r w:rsidR="0049577B" w:rsidRPr="00394C1A">
              <w:rPr>
                <w:sz w:val="24"/>
                <w:szCs w:val="24"/>
              </w:rPr>
              <w:lastRenderedPageBreak/>
              <w:t>更想留在台灣，才能留住該外國專業人才。</w:t>
            </w:r>
          </w:p>
        </w:tc>
      </w:tr>
      <w:tr w:rsidR="0049577B" w:rsidRPr="00B40DC1" w:rsidTr="00394C1A">
        <w:tc>
          <w:tcPr>
            <w:tcW w:w="2069" w:type="dxa"/>
          </w:tcPr>
          <w:p w:rsidR="0049577B" w:rsidRPr="00B40DC1" w:rsidRDefault="0049577B" w:rsidP="000D26BB">
            <w:r w:rsidRPr="00B40DC1">
              <w:lastRenderedPageBreak/>
              <w:t>孔忻碩先生(Ralph，1063178)</w:t>
            </w:r>
          </w:p>
        </w:tc>
        <w:tc>
          <w:tcPr>
            <w:tcW w:w="7849" w:type="dxa"/>
          </w:tcPr>
          <w:p w:rsidR="0049577B" w:rsidRPr="00394C1A" w:rsidRDefault="0049577B" w:rsidP="00394C1A">
            <w:pPr>
              <w:spacing w:line="240" w:lineRule="auto"/>
              <w:ind w:leftChars="0" w:left="0" w:rightChars="0" w:right="0"/>
              <w:rPr>
                <w:sz w:val="24"/>
                <w:szCs w:val="24"/>
              </w:rPr>
            </w:pPr>
            <w:r w:rsidRPr="00394C1A">
              <w:rPr>
                <w:sz w:val="24"/>
                <w:szCs w:val="24"/>
              </w:rPr>
              <w:t>How can Taiwan Recruit High skilled Professionals</w:t>
            </w:r>
          </w:p>
          <w:p w:rsidR="0049577B" w:rsidRPr="00394C1A" w:rsidRDefault="0049577B" w:rsidP="00394C1A">
            <w:pPr>
              <w:spacing w:line="240" w:lineRule="auto"/>
              <w:ind w:leftChars="0" w:left="0" w:rightChars="0" w:right="0"/>
              <w:rPr>
                <w:sz w:val="24"/>
                <w:szCs w:val="24"/>
              </w:rPr>
            </w:pPr>
            <w:r w:rsidRPr="00394C1A">
              <w:rPr>
                <w:sz w:val="24"/>
                <w:szCs w:val="24"/>
              </w:rPr>
              <w:t>Ralph 孔忻碩 1063178</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Many countries in the world are seeking employees across the globe and these are not just any other employees but those whom are referred as high skilled professionals</w:t>
            </w:r>
            <w:r w:rsidR="003C1792" w:rsidRPr="00394C1A">
              <w:rPr>
                <w:sz w:val="24"/>
                <w:szCs w:val="24"/>
              </w:rPr>
              <w:t>.</w:t>
            </w:r>
            <w:r w:rsidR="0049577B" w:rsidRPr="00394C1A">
              <w:rPr>
                <w:sz w:val="24"/>
                <w:szCs w:val="24"/>
              </w:rPr>
              <w:t>According to the Taiwan Times these are people with expertise or abilities in fields like science and technology, sports and culture, arts or any other rare skill needed by Taiwan</w:t>
            </w:r>
            <w:r w:rsidR="003C1792" w:rsidRPr="00394C1A">
              <w:rPr>
                <w:sz w:val="24"/>
                <w:szCs w:val="24"/>
              </w:rPr>
              <w:t>.</w:t>
            </w:r>
            <w:r w:rsidR="0049577B" w:rsidRPr="00394C1A">
              <w:rPr>
                <w:sz w:val="24"/>
                <w:szCs w:val="24"/>
              </w:rPr>
              <w:t>Skilled professionals are expected to bring about innovation in Taiwan’s industries</w:t>
            </w:r>
            <w:r w:rsidR="003C1792" w:rsidRPr="00394C1A">
              <w:rPr>
                <w:sz w:val="24"/>
                <w:szCs w:val="24"/>
              </w:rPr>
              <w:t>.</w:t>
            </w:r>
            <w:r w:rsidR="0049577B" w:rsidRPr="00394C1A">
              <w:rPr>
                <w:sz w:val="24"/>
                <w:szCs w:val="24"/>
              </w:rPr>
              <w:t>These are the kind of people who will have a complimentary relationship with domestic capital and labor to advance development of technical labor markets through friendly competition with others and to increase efficiency of Taiwan’s labor markets</w:t>
            </w:r>
            <w:r w:rsidR="003C1792" w:rsidRPr="00394C1A">
              <w:rPr>
                <w:sz w:val="24"/>
                <w:szCs w:val="24"/>
              </w:rPr>
              <w:t>.</w:t>
            </w:r>
            <w:r w:rsidR="0049577B" w:rsidRPr="00394C1A">
              <w:rPr>
                <w:sz w:val="24"/>
                <w:szCs w:val="24"/>
              </w:rPr>
              <w:t>According to the Taiwan Development council, recruiting talent is an imperative issue for Taiwan in order to address the escalating shortages of the domestic pool of talented individuals caused by low birth rate that decrease the population of the working population</w:t>
            </w:r>
            <w:r w:rsidR="0049577B" w:rsidRPr="005606DC">
              <w:rPr>
                <w:rStyle w:val="af7"/>
                <w:rFonts w:eastAsia="新細明體"/>
                <w:sz w:val="20"/>
                <w:szCs w:val="24"/>
              </w:rPr>
              <w:footnoteReference w:id="19"/>
            </w:r>
            <w:r w:rsidR="0049577B" w:rsidRPr="00394C1A">
              <w:rPr>
                <w:sz w:val="24"/>
                <w:szCs w:val="24"/>
              </w:rPr>
              <w:t>.</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In its efforts to lure foreign high skilled professionals, Taiwan government should make efforts to facilitate employment of high skilled foreign professionals this will have a positive effect on economic growth and boost Taiwan’s global competitiveness</w:t>
            </w:r>
            <w:r w:rsidR="003C1792" w:rsidRPr="00394C1A">
              <w:rPr>
                <w:sz w:val="24"/>
                <w:szCs w:val="24"/>
              </w:rPr>
              <w:t>.</w:t>
            </w:r>
            <w:r w:rsidR="0049577B" w:rsidRPr="00394C1A">
              <w:rPr>
                <w:sz w:val="24"/>
                <w:szCs w:val="24"/>
              </w:rPr>
              <w:t xml:space="preserve"> Taiwan’s citizens have to be capacitated and this can be done through enacting laws that are flexible when it comes to switching from one job to another, laws that will make obtaining visas easy in order to make the recruitment and employment feasible</w:t>
            </w:r>
            <w:r w:rsidR="003C1792" w:rsidRPr="00394C1A">
              <w:rPr>
                <w:sz w:val="24"/>
                <w:szCs w:val="24"/>
              </w:rPr>
              <w:t>.</w:t>
            </w:r>
            <w:r w:rsidR="0049577B" w:rsidRPr="00394C1A">
              <w:rPr>
                <w:sz w:val="24"/>
                <w:szCs w:val="24"/>
              </w:rPr>
              <w:t>In addition, the laws should also consider waiving of the minimum of stay per year for obtaining permanent residency and more other benefits on retirement packages, on tax and insurance</w:t>
            </w:r>
            <w:r w:rsidR="003C1792" w:rsidRPr="00394C1A">
              <w:rPr>
                <w:sz w:val="24"/>
                <w:szCs w:val="24"/>
              </w:rPr>
              <w:t>.</w:t>
            </w:r>
            <w:r w:rsidR="0049577B" w:rsidRPr="00394C1A">
              <w:rPr>
                <w:sz w:val="24"/>
                <w:szCs w:val="24"/>
              </w:rPr>
              <w:t>Work visas should be obtained without the approval of the potential employer</w:t>
            </w:r>
            <w:r w:rsidR="003C1792" w:rsidRPr="00394C1A">
              <w:rPr>
                <w:sz w:val="24"/>
                <w:szCs w:val="24"/>
              </w:rPr>
              <w:t>.</w:t>
            </w:r>
            <w:r w:rsidR="0049577B" w:rsidRPr="00394C1A">
              <w:rPr>
                <w:sz w:val="24"/>
                <w:szCs w:val="24"/>
              </w:rPr>
              <w:t xml:space="preserve">In this way, Taiwan will therefore be </w:t>
            </w:r>
            <w:r w:rsidR="0049577B" w:rsidRPr="00394C1A">
              <w:rPr>
                <w:sz w:val="24"/>
                <w:szCs w:val="24"/>
              </w:rPr>
              <w:lastRenderedPageBreak/>
              <w:t>viewed by high skilled professionals as the land of milk and honey</w:t>
            </w:r>
            <w:r w:rsidR="0049577B" w:rsidRPr="00394C1A">
              <w:rPr>
                <w:rStyle w:val="af7"/>
                <w:rFonts w:eastAsia="新細明體"/>
                <w:sz w:val="20"/>
                <w:szCs w:val="24"/>
              </w:rPr>
              <w:footnoteReference w:id="20"/>
            </w:r>
            <w:r w:rsidR="0049577B" w:rsidRPr="00394C1A">
              <w:rPr>
                <w:sz w:val="24"/>
                <w:szCs w:val="24"/>
              </w:rPr>
              <w:t>.</w:t>
            </w:r>
          </w:p>
          <w:p w:rsidR="003C1792"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Moreover, when considering the level at which globalization has progressed,it is necessary for Taiwan not to adopt a relatively high standard level for evaluating foreign talents in order to make the country a first preference among competitors other than having professionals turning their backs on the country</w:t>
            </w:r>
            <w:r w:rsidR="003C1792" w:rsidRPr="00394C1A">
              <w:rPr>
                <w:sz w:val="24"/>
                <w:szCs w:val="24"/>
              </w:rPr>
              <w:t>.</w:t>
            </w:r>
            <w:r w:rsidR="0049577B" w:rsidRPr="00394C1A">
              <w:rPr>
                <w:sz w:val="24"/>
                <w:szCs w:val="24"/>
              </w:rPr>
              <w:t>Provisions for spouses and children are also one attractive incentive therefore the government of Taiwan should consider children’s social welfare, education and the job allocation service</w:t>
            </w:r>
            <w:r w:rsidR="003C1792" w:rsidRPr="00394C1A">
              <w:rPr>
                <w:sz w:val="24"/>
                <w:szCs w:val="24"/>
              </w:rPr>
              <w:t>.</w:t>
            </w:r>
            <w:r w:rsidR="0049577B" w:rsidRPr="00394C1A">
              <w:rPr>
                <w:sz w:val="24"/>
                <w:szCs w:val="24"/>
              </w:rPr>
              <w:t>The policies dealing with issues of high skilled human resource should be implemented and further be revised from time to time, to make sure it keeps up to-date with changing global political and economic situations</w:t>
            </w:r>
            <w:r w:rsidR="0049577B" w:rsidRPr="00394C1A">
              <w:rPr>
                <w:rStyle w:val="af7"/>
                <w:rFonts w:eastAsia="新細明體"/>
                <w:sz w:val="20"/>
                <w:szCs w:val="24"/>
              </w:rPr>
              <w:footnoteReference w:id="21"/>
            </w:r>
            <w:r w:rsidR="0049577B" w:rsidRPr="00394C1A">
              <w:rPr>
                <w:sz w:val="24"/>
                <w:szCs w:val="24"/>
              </w:rPr>
              <w:t>.</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Furthermore, taking advantage of the influx of foreign students into the island should also be used to the county’s advantage by opening transition channels for students to get jobs and easily obtaining visas</w:t>
            </w:r>
            <w:r w:rsidR="003C1792" w:rsidRPr="00394C1A">
              <w:rPr>
                <w:sz w:val="24"/>
                <w:szCs w:val="24"/>
              </w:rPr>
              <w:t>.</w:t>
            </w:r>
            <w:r w:rsidR="0049577B" w:rsidRPr="00394C1A">
              <w:rPr>
                <w:sz w:val="24"/>
                <w:szCs w:val="24"/>
              </w:rPr>
              <w:t>Through an integrated effort, the government should embrace talent search proggrammes aimed at recruiting human resource with special skills</w:t>
            </w:r>
            <w:r w:rsidR="003C1792" w:rsidRPr="00394C1A">
              <w:rPr>
                <w:sz w:val="24"/>
                <w:szCs w:val="24"/>
              </w:rPr>
              <w:t>.</w:t>
            </w:r>
            <w:r w:rsidR="0049577B" w:rsidRPr="00394C1A">
              <w:rPr>
                <w:sz w:val="24"/>
                <w:szCs w:val="24"/>
              </w:rPr>
              <w:t>With all that done, government should be careful not to lose native Taiwanese to competitors by offering marketable salaries to people who possess special professional skills, such a move would therefore greatly discourage the exodus of people with specialized skills in Taiwan seeking greener pastures</w:t>
            </w:r>
            <w:r w:rsidR="003C1792" w:rsidRPr="00394C1A">
              <w:rPr>
                <w:sz w:val="24"/>
                <w:szCs w:val="24"/>
              </w:rPr>
              <w:t>.</w:t>
            </w:r>
            <w:r w:rsidR="0049577B" w:rsidRPr="00394C1A">
              <w:rPr>
                <w:sz w:val="24"/>
                <w:szCs w:val="24"/>
              </w:rPr>
              <w:t xml:space="preserve">I for one believes that by comparing what other developed countries do to sustain their global </w:t>
            </w:r>
            <w:r w:rsidR="0049577B" w:rsidRPr="00394C1A">
              <w:rPr>
                <w:sz w:val="24"/>
                <w:szCs w:val="24"/>
              </w:rPr>
              <w:lastRenderedPageBreak/>
              <w:t>economies, Taiwan can keep high skilled human resource and compete globally</w:t>
            </w:r>
            <w:r w:rsidR="0049577B" w:rsidRPr="00394C1A">
              <w:rPr>
                <w:rStyle w:val="af7"/>
                <w:rFonts w:eastAsia="新細明體"/>
                <w:sz w:val="20"/>
                <w:szCs w:val="24"/>
              </w:rPr>
              <w:footnoteReference w:id="22"/>
            </w:r>
            <w:r w:rsidR="0049577B" w:rsidRPr="00394C1A">
              <w:rPr>
                <w:sz w:val="24"/>
                <w:szCs w:val="24"/>
              </w:rPr>
              <w:t>.</w:t>
            </w:r>
          </w:p>
        </w:tc>
      </w:tr>
      <w:tr w:rsidR="0049577B" w:rsidRPr="00B40DC1" w:rsidTr="00394C1A">
        <w:tc>
          <w:tcPr>
            <w:tcW w:w="2069" w:type="dxa"/>
          </w:tcPr>
          <w:p w:rsidR="0049577B" w:rsidRPr="00B40DC1" w:rsidRDefault="0049577B" w:rsidP="000D26BB">
            <w:r w:rsidRPr="00B40DC1">
              <w:lastRenderedPageBreak/>
              <w:t>陳首偉先生(1063138)</w:t>
            </w:r>
          </w:p>
        </w:tc>
        <w:tc>
          <w:tcPr>
            <w:tcW w:w="7849" w:type="dxa"/>
            <w:vAlign w:val="center"/>
          </w:tcPr>
          <w:p w:rsidR="00C73C9C" w:rsidRPr="00394C1A" w:rsidRDefault="0049577B" w:rsidP="00394C1A">
            <w:pPr>
              <w:spacing w:line="240" w:lineRule="auto"/>
              <w:ind w:leftChars="0" w:left="0" w:rightChars="0" w:right="0"/>
              <w:rPr>
                <w:sz w:val="24"/>
                <w:szCs w:val="24"/>
              </w:rPr>
            </w:pPr>
            <w:r w:rsidRPr="00394C1A">
              <w:rPr>
                <w:sz w:val="24"/>
                <w:szCs w:val="24"/>
              </w:rPr>
              <w:t>中央警察大學國境警察研究所 106年碩士班</w:t>
            </w:r>
          </w:p>
          <w:p w:rsidR="0049577B" w:rsidRPr="00394C1A" w:rsidRDefault="00D440E2"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學號：1063138</w:t>
            </w:r>
            <w:r w:rsidR="005606DC">
              <w:rPr>
                <w:sz w:val="24"/>
                <w:szCs w:val="24"/>
              </w:rPr>
              <w:t xml:space="preserve">　</w:t>
            </w:r>
            <w:r w:rsidR="0049577B" w:rsidRPr="00394C1A">
              <w:rPr>
                <w:sz w:val="24"/>
                <w:szCs w:val="24"/>
              </w:rPr>
              <w:t>研究生：陳首偉</w:t>
            </w:r>
          </w:p>
          <w:p w:rsidR="0049577B" w:rsidRPr="00394C1A" w:rsidRDefault="00D440E2" w:rsidP="00394C1A">
            <w:pPr>
              <w:spacing w:line="240" w:lineRule="auto"/>
              <w:ind w:leftChars="0" w:left="0" w:rightChars="0" w:right="0"/>
              <w:rPr>
                <w:b/>
                <w:sz w:val="24"/>
                <w:szCs w:val="24"/>
              </w:rPr>
            </w:pPr>
            <w:r w:rsidRPr="00394C1A">
              <w:rPr>
                <w:b/>
                <w:sz w:val="24"/>
                <w:szCs w:val="24"/>
              </w:rPr>
              <w:t xml:space="preserve">　　</w:t>
            </w:r>
            <w:r w:rsidR="0049577B" w:rsidRPr="00394C1A">
              <w:rPr>
                <w:b/>
                <w:sz w:val="24"/>
                <w:szCs w:val="24"/>
              </w:rPr>
              <w:t>台灣如何延攬高級專業人才來台</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全球化時代下，人流與物流之移動往往能為一國之經濟、產業發展帶來相當之助益。</w:t>
            </w:r>
            <w:r w:rsidR="0049577B" w:rsidRPr="00394C1A">
              <w:rPr>
                <w:sz w:val="24"/>
                <w:szCs w:val="24"/>
                <w:shd w:val="clear" w:color="auto" w:fill="FFFFFF"/>
              </w:rPr>
              <w:t>目前我國面臨工作年齡人口下降之人口結構轉變，而知識經濟下，國際間對專業人才之徵求與延攬，日趨白熱，然我國一則有產業轉型問題尚待解決，二則為面臨中國大陸經濟改革開放帶來磁吸效應，撞球好手吳珈慶轉籍中國便為一例，在我國無法吸引到外來人才，而本國人才又外流之情況下，對我國之經濟與產業絕非好事。因此，政府應該尋思如何如何建立有效之制度與環境來吸引外國專業人才來台，以提升我國競爭力。</w:t>
            </w:r>
            <w:r w:rsidR="0049577B" w:rsidRPr="00394C1A">
              <w:rPr>
                <w:rStyle w:val="af7"/>
                <w:rFonts w:eastAsia="新細明體"/>
                <w:sz w:val="20"/>
                <w:szCs w:val="24"/>
                <w:shd w:val="clear" w:color="auto" w:fill="FFFFFF"/>
              </w:rPr>
              <w:footnoteReference w:id="23"/>
            </w:r>
            <w:r w:rsidR="0049577B" w:rsidRPr="00394C1A">
              <w:rPr>
                <w:sz w:val="24"/>
                <w:szCs w:val="24"/>
              </w:rPr>
              <w:t>以台灣國土面積與自然資源而言，自然不如美國、中國、澳洲等國家般有發展現代產業所需之豐沛資源，故國家生存之道仰賴人才與競爭力。台灣在國際上能夠吸引外國專業人才之優勢，不外乎係自由民主社會、對宗教種族包容性較高、醫療水準高及治安佳等因素，而事實上，根據瑞士洛桑管理學院(IMD)「2017年IMD世界競爭力年報」（IMD World Competitiveness Yearbook），在63個受評比國家，我國排名第14，與上年持平。依據上述之「2017年IMD世界競爭力年報」（IMD World Competitiveness Yearbook），我國排名在亞太地區我國排名保持第3，僅次於香港、新加坡。國家發展委員會指出，IMD世界競爭力排名，可視為對國家經社體質的總體檢，供政府擬訂具體行動策略之參據。國際間相互依存及競爭態勢可謂瞬息萬變，政府部門應該持續關注各國動態並注意我國優勢與劣勢，在政策與執行上不斷作出修正，以因應國際間情勢</w:t>
            </w:r>
            <w:r w:rsidR="0049577B" w:rsidRPr="00394C1A">
              <w:rPr>
                <w:rStyle w:val="af7"/>
                <w:rFonts w:eastAsia="新細明體"/>
                <w:sz w:val="20"/>
                <w:szCs w:val="24"/>
              </w:rPr>
              <w:footnoteReference w:id="24"/>
            </w:r>
            <w:r w:rsidR="0049577B" w:rsidRPr="00394C1A">
              <w:rPr>
                <w:sz w:val="24"/>
                <w:szCs w:val="24"/>
              </w:rPr>
              <w:t>。在63個受評國家，台灣排名第14名，可謂身列Q1前段班行列。</w:t>
            </w:r>
          </w:p>
          <w:p w:rsidR="0049577B" w:rsidRPr="00394C1A" w:rsidRDefault="00960C6D"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然而，台灣在過去仰賴勞力密集之出口製造業，今天勢必面臨產業轉</w:t>
            </w:r>
            <w:r w:rsidR="0049577B" w:rsidRPr="00394C1A">
              <w:rPr>
                <w:sz w:val="24"/>
                <w:szCs w:val="24"/>
              </w:rPr>
              <w:lastRenderedPageBreak/>
              <w:t>型階段之陣痛期，需要產官學的配合，再者，國際間對專業人才之競逐日益高漲，資訊廣泛且快速地流通，更加劇此等競爭態勢，各國亦紛紛釋出善意與利多爭取外國人才前來。我國國發會協同相關部會，研擬</w:t>
            </w:r>
            <w:r w:rsidR="00654D1D" w:rsidRPr="0065263F">
              <w:rPr>
                <w:sz w:val="24"/>
                <w:szCs w:val="24"/>
              </w:rPr>
              <w:t>「</w:t>
            </w:r>
            <w:hyperlink r:id="rId19" w:history="1">
              <w:r w:rsidR="00654D1D" w:rsidRPr="00654D1D">
                <w:rPr>
                  <w:rStyle w:val="a7"/>
                  <w:rFonts w:cs="Times New Roman"/>
                  <w:sz w:val="24"/>
                  <w:szCs w:val="24"/>
                  <w:lang w:eastAsia="zh-TW" w:bidi="ar-SA"/>
                </w:rPr>
                <w:t>外國專業人才延攬及僱用法</w:t>
              </w:r>
            </w:hyperlink>
            <w:r w:rsidR="0049577B" w:rsidRPr="00394C1A">
              <w:rPr>
                <w:sz w:val="24"/>
                <w:szCs w:val="24"/>
              </w:rPr>
              <w:t>」，於民國106年10月31日經立法院三讀通過，總統於同年11月22日公布，並由行政院核定自民國107年2月8日施行，為我國留才攬才立下重要里程碑。其要點有：(一)鬆綁工作、簽證及居留規定、(二)鬆綁父母配偶及子女停居留規定及(三)提供退休、健保及租稅優惠</w:t>
            </w:r>
            <w:r w:rsidR="0049577B" w:rsidRPr="00394C1A">
              <w:rPr>
                <w:rStyle w:val="af7"/>
                <w:rFonts w:eastAsia="新細明體"/>
                <w:sz w:val="20"/>
                <w:szCs w:val="24"/>
              </w:rPr>
              <w:footnoteReference w:id="25"/>
            </w:r>
            <w:r w:rsidR="0049577B" w:rsidRPr="00394C1A">
              <w:rPr>
                <w:sz w:val="24"/>
                <w:szCs w:val="24"/>
              </w:rPr>
              <w:t>，針對工作、家庭團聚、生活條件等給予外國專業人才更具彈性、更便利的優惠。</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誠然，以</w:t>
            </w:r>
            <w:hyperlink r:id="rId20" w:history="1">
              <w:r w:rsidR="0065263F" w:rsidRPr="0065263F">
                <w:rPr>
                  <w:rStyle w:val="a7"/>
                  <w:rFonts w:cs="Times New Roman"/>
                  <w:sz w:val="24"/>
                  <w:lang w:eastAsia="zh-TW" w:bidi="ar-SA"/>
                </w:rPr>
                <w:t>外國專業人才延攬及僱用法</w:t>
              </w:r>
            </w:hyperlink>
            <w:r w:rsidR="0049577B" w:rsidRPr="00394C1A">
              <w:rPr>
                <w:sz w:val="24"/>
                <w:szCs w:val="24"/>
              </w:rPr>
              <w:t>與其子法及配套措施看似相當完善，但個人認為核心問題仍在於台灣是否具有相對應之專業產業存在，方能吸引人才前來。事涉國家產業政策，技術人才與產業無法偏廢，如同2018年之2月底中國大陸國台辦公布31項惠台政策，其中亦包含企業投資優惠與人才優惠待遇。台灣若想吸引延攬外國專業人才，勢必在外資與陸資來台投資相關規定得有所鬆綁，期許引進相對應之專業、高階產業在台落地生根。</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然而，相關開放措施亦關係著國家本身的政策，在台灣與中國大陸兩岸之間之政治關係，仍是處於一種潛在性之敵對狀況</w:t>
            </w:r>
            <w:r w:rsidR="0049577B" w:rsidRPr="00394C1A">
              <w:rPr>
                <w:rStyle w:val="af7"/>
                <w:rFonts w:eastAsia="新細明體"/>
                <w:sz w:val="20"/>
                <w:szCs w:val="24"/>
              </w:rPr>
              <w:footnoteReference w:id="26"/>
            </w:r>
            <w:r w:rsidR="0049577B" w:rsidRPr="00394C1A">
              <w:rPr>
                <w:sz w:val="24"/>
                <w:szCs w:val="24"/>
              </w:rPr>
              <w:t>，外籍與大陸籍人才有適用法規上之差異，若欲延攬到台灣所需求之專業人才，似應往大陸地區人民與外國人平權之政策方向為佳。</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再者，關於外國人在我國從事專業工作者，其停留、居留及永久居留，在本法另外有規定，其專技人員取得我國國籍是否另有較優惠之標準？個人認為，以台灣社會之進步與友善程度，與前述之醫療及治安等因素，對外國人應具有相當吸引力，政府之移民政策宜參酌加拿大、紐、澳、英等國之評點制，訂定配額及依人才需求、學歷、工作經驗、市場需求、技能評估、年齡、語言能力等條件加以評核計分</w:t>
            </w:r>
            <w:r w:rsidR="0049577B" w:rsidRPr="00394C1A">
              <w:rPr>
                <w:rStyle w:val="af7"/>
                <w:rFonts w:eastAsia="新細明體"/>
                <w:sz w:val="20"/>
                <w:szCs w:val="24"/>
              </w:rPr>
              <w:footnoteReference w:id="27"/>
            </w:r>
            <w:r w:rsidR="0049577B" w:rsidRPr="00394C1A">
              <w:rPr>
                <w:sz w:val="24"/>
                <w:szCs w:val="24"/>
              </w:rPr>
              <w:t>。</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最後，面臨國際間激烈競爭，我們國家是否有自己一套生存戰略之道？又譬如解決少子化所造成國家生產力下降之危機，我國是否準備好自動化產業升級來因應？還是流於只給予補助，卻不願正視年輕人不願生之問題來改善社會現況。又面對能源政策，在理想與現實之間，如何取得平衡點，端賴執政者之智慧與能力。建國肇始常常朝不保夕的以色列，面對四周伊斯蘭國家的進逼，在這幾十年的發展與建設之下，各種產業均已成為中東地區最耀眼的新星。生於憂患、死於安樂，大概是最佳的註解。</w:t>
            </w:r>
          </w:p>
        </w:tc>
      </w:tr>
      <w:tr w:rsidR="0049577B" w:rsidRPr="00B40DC1" w:rsidTr="00394C1A">
        <w:tc>
          <w:tcPr>
            <w:tcW w:w="2069" w:type="dxa"/>
          </w:tcPr>
          <w:p w:rsidR="0049577B" w:rsidRPr="00B40DC1" w:rsidRDefault="0049577B" w:rsidP="000D26BB">
            <w:r w:rsidRPr="00B40DC1">
              <w:lastRenderedPageBreak/>
              <w:t>劉謦鋐先生</w:t>
            </w:r>
          </w:p>
        </w:tc>
        <w:tc>
          <w:tcPr>
            <w:tcW w:w="7849" w:type="dxa"/>
          </w:tcPr>
          <w:p w:rsidR="003C1792" w:rsidRPr="00394C1A" w:rsidRDefault="0049577B" w:rsidP="00394C1A">
            <w:pPr>
              <w:spacing w:line="240" w:lineRule="auto"/>
              <w:ind w:leftChars="0" w:left="0" w:rightChars="0" w:right="0"/>
              <w:rPr>
                <w:sz w:val="24"/>
                <w:szCs w:val="24"/>
              </w:rPr>
            </w:pPr>
            <w:r w:rsidRPr="00394C1A">
              <w:rPr>
                <w:b/>
                <w:sz w:val="24"/>
                <w:szCs w:val="24"/>
              </w:rPr>
              <w:t>台灣人如何延攬專業人才來台</w:t>
            </w:r>
            <w:r w:rsidR="00D440E2" w:rsidRPr="00394C1A">
              <w:rPr>
                <w:sz w:val="24"/>
                <w:szCs w:val="24"/>
              </w:rPr>
              <w:t xml:space="preserve">　</w:t>
            </w:r>
            <w:r w:rsidRPr="00394C1A">
              <w:rPr>
                <w:sz w:val="24"/>
                <w:szCs w:val="24"/>
              </w:rPr>
              <w:t xml:space="preserve">劉謦鋐 </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「國外大學祭高薪搶人才，台大副教務長康仕仲以10倍薪被加拿大延攬，消息引起PTT熱議。」</w:t>
            </w:r>
            <w:r w:rsidR="0049577B" w:rsidRPr="005606DC">
              <w:rPr>
                <w:rStyle w:val="af7"/>
                <w:rFonts w:eastAsia="新細明體"/>
                <w:sz w:val="20"/>
                <w:szCs w:val="24"/>
              </w:rPr>
              <w:footnoteReference w:id="28"/>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2018年初，台灣學術圈一陣波瀾，臺灣大學土木學系正教授康仕仲</w:t>
            </w:r>
            <w:r w:rsidR="0049577B" w:rsidRPr="005606DC">
              <w:rPr>
                <w:rStyle w:val="af7"/>
                <w:rFonts w:eastAsia="新細明體"/>
                <w:sz w:val="20"/>
                <w:szCs w:val="24"/>
              </w:rPr>
              <w:footnoteReference w:id="29"/>
            </w:r>
            <w:r w:rsidR="0049577B" w:rsidRPr="00394C1A">
              <w:rPr>
                <w:sz w:val="24"/>
                <w:szCs w:val="24"/>
              </w:rPr>
              <w:t>，身兼該校副教務長，鬆口將接受加拿大亞伯達大學(</w:t>
            </w:r>
            <w:r w:rsidR="0049577B" w:rsidRPr="00394C1A">
              <w:rPr>
                <w:sz w:val="24"/>
                <w:szCs w:val="24"/>
                <w:shd w:val="clear" w:color="auto" w:fill="FFFFFF"/>
              </w:rPr>
              <w:t>University of Alberta</w:t>
            </w:r>
            <w:r w:rsidR="0049577B" w:rsidRPr="00394C1A">
              <w:rPr>
                <w:sz w:val="24"/>
                <w:szCs w:val="24"/>
              </w:rPr>
              <w:t>)的挖角，預計今年前往負笈。</w:t>
            </w:r>
          </w:p>
          <w:p w:rsidR="0049577B" w:rsidRPr="00394C1A" w:rsidRDefault="0049577B" w:rsidP="00394C1A">
            <w:pPr>
              <w:spacing w:line="240" w:lineRule="auto"/>
              <w:ind w:leftChars="0" w:left="0" w:rightChars="0" w:right="0"/>
              <w:rPr>
                <w:sz w:val="24"/>
                <w:szCs w:val="24"/>
              </w:rPr>
            </w:pPr>
            <w:r w:rsidRPr="00394C1A">
              <w:rPr>
                <w:sz w:val="24"/>
                <w:szCs w:val="24"/>
              </w:rPr>
              <w:t>康教授在媒體訪談時表示，類似的聘書邀請，近幾年已婉拒多回，而這次終於下定決心遠赴重洋，主因並非國外的薪資較高，而是台灣研究環境及經費相對窘迫，令許多研究無法實踐，學術能量難以積累。</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除了康教授以外，2017年交通大學林進燈</w:t>
            </w:r>
            <w:r w:rsidR="0049577B" w:rsidRPr="005606DC">
              <w:rPr>
                <w:rStyle w:val="af7"/>
                <w:rFonts w:eastAsia="新細明體"/>
                <w:sz w:val="20"/>
                <w:szCs w:val="24"/>
              </w:rPr>
              <w:footnoteReference w:id="30"/>
            </w:r>
            <w:r w:rsidR="0049577B" w:rsidRPr="00394C1A">
              <w:rPr>
                <w:sz w:val="24"/>
                <w:szCs w:val="24"/>
              </w:rPr>
              <w:t>教授，率團隊前往澳洲大學進行訪問研究；同校黃鎮剛教授也前往香港大學任教。時間再回溯到2006年，巫和懋教授時任教臺灣大學國際企業學系、朱家祥教授任教經濟學系、霍德明教授則任教政治大學金融學系，三人同時出走</w:t>
            </w:r>
            <w:r w:rsidR="0049577B" w:rsidRPr="00394C1A">
              <w:rPr>
                <w:rStyle w:val="af7"/>
                <w:rFonts w:eastAsia="新細明體"/>
                <w:sz w:val="20"/>
                <w:szCs w:val="24"/>
              </w:rPr>
              <w:footnoteReference w:id="31"/>
            </w:r>
            <w:r w:rsidR="0049577B" w:rsidRPr="00394C1A">
              <w:rPr>
                <w:sz w:val="24"/>
                <w:szCs w:val="24"/>
              </w:rPr>
              <w:t>北京大學，當時造成一股轟動。</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諸多台灣頂尖大學的教授，如過江之鯽般出任國外大學，不禁令人省思：台灣高等教育人才的培育，是否出了什麼問題？儘管每位教授出走的原因不盡相同，但不能否認，一定有比留在台灣更好的條件，聘書才會一份一份的簽下。</w:t>
            </w:r>
          </w:p>
          <w:p w:rsidR="0049577B" w:rsidRPr="00394C1A" w:rsidRDefault="0049577B" w:rsidP="00394C1A">
            <w:pPr>
              <w:spacing w:line="240" w:lineRule="auto"/>
              <w:ind w:leftChars="0" w:left="0" w:rightChars="0" w:right="0"/>
              <w:rPr>
                <w:sz w:val="24"/>
                <w:szCs w:val="24"/>
              </w:rPr>
            </w:pPr>
            <w:r w:rsidRPr="00394C1A">
              <w:rPr>
                <w:sz w:val="24"/>
                <w:szCs w:val="24"/>
              </w:rPr>
              <w:t>除了高等教育學者外，我國科技人才屢遭外國挖角，也不是新話題。</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2015年，華亞科董事長暨南亞科總經理高啟全</w:t>
            </w:r>
            <w:r w:rsidR="0049577B" w:rsidRPr="00394C1A">
              <w:rPr>
                <w:rStyle w:val="af7"/>
                <w:rFonts w:eastAsia="新細明體"/>
                <w:sz w:val="20"/>
                <w:szCs w:val="24"/>
              </w:rPr>
              <w:footnoteReference w:id="32"/>
            </w:r>
            <w:r w:rsidR="0049577B" w:rsidRPr="00394C1A">
              <w:rPr>
                <w:sz w:val="24"/>
                <w:szCs w:val="24"/>
              </w:rPr>
              <w:t>被中國半導體「紫光集團」挖角，高董事長也提出與康教授異曲同工的評論：想改變現狀，就得做與現在不同的事，取得更多的資源，創造全球市場的局面。</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以上，短短幾個例子，我認為人才是立國的根本，人才留住了、國家競爭力方有向前的燃料，我國招募外國專業人才來台的同時，首要應思考：如何留住本地人才？才能避免楚材晉用的情節一再發生。</w:t>
            </w:r>
          </w:p>
        </w:tc>
      </w:tr>
      <w:tr w:rsidR="0049577B" w:rsidRPr="00B40DC1" w:rsidTr="00394C1A">
        <w:tc>
          <w:tcPr>
            <w:tcW w:w="2069" w:type="dxa"/>
          </w:tcPr>
          <w:p w:rsidR="0049577B" w:rsidRPr="00B40DC1" w:rsidRDefault="0049577B" w:rsidP="000D26BB">
            <w:r w:rsidRPr="00B40DC1">
              <w:t>吳政和先生</w:t>
            </w:r>
          </w:p>
        </w:tc>
        <w:tc>
          <w:tcPr>
            <w:tcW w:w="7849" w:type="dxa"/>
          </w:tcPr>
          <w:p w:rsidR="0049577B" w:rsidRPr="00394C1A" w:rsidRDefault="0049577B" w:rsidP="00394C1A">
            <w:pPr>
              <w:spacing w:line="240" w:lineRule="auto"/>
              <w:ind w:leftChars="0" w:left="0" w:rightChars="0" w:right="0"/>
              <w:rPr>
                <w:sz w:val="24"/>
                <w:szCs w:val="24"/>
              </w:rPr>
            </w:pPr>
            <w:r w:rsidRPr="00394C1A">
              <w:rPr>
                <w:b/>
                <w:sz w:val="24"/>
                <w:szCs w:val="24"/>
              </w:rPr>
              <w:t>台灣如何延攬高級專業人才來台</w:t>
            </w:r>
            <w:r w:rsidR="00D440E2" w:rsidRPr="00394C1A">
              <w:rPr>
                <w:sz w:val="24"/>
                <w:szCs w:val="24"/>
              </w:rPr>
              <w:t xml:space="preserve">　</w:t>
            </w:r>
            <w:r w:rsidRPr="00394C1A">
              <w:rPr>
                <w:sz w:val="24"/>
                <w:szCs w:val="24"/>
              </w:rPr>
              <w:t>1063144 吳政和</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有夢最美、希望相隨」是多年前的一句總統選戰口號，卻在這道出了此篇文章的重點，想要延攬高級人才來臺工作，最重要的是讓這些人才「有夢」，而且「希望」相隨，讓這些人才看到「有蓬勃發展前景的夢」，與「有著希望薪資」相隨的國度。</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全球化帶來移動成本的降低，導致國際間「人」、「金流」和「資訊流」的頻繁移動，伴隨著知識經濟時代的來臨，全球各國對於國際高階人才求才若渴，無所不用其極的爭相招攬，冀望能網羅國際能人為己所用，以彌</w:t>
            </w:r>
            <w:r w:rsidR="0049577B" w:rsidRPr="00394C1A">
              <w:rPr>
                <w:sz w:val="24"/>
                <w:szCs w:val="24"/>
              </w:rPr>
              <w:lastRenderedPageBreak/>
              <w:t>補因少子化和高級教育政策失策所帶來的產業人才和專精技術缺口，並推動該國企業國際化的再進階，引領這些企業在進階的同時縝密思考如何全球布局，及拓展布局時所應加強的外國政經關係與外交關係，進而增加國人的國際視野及連動著國內企業隨世界的脈動進行向更全面的再提升方向穩步前進。</w:t>
            </w:r>
          </w:p>
          <w:p w:rsidR="0049577B" w:rsidRPr="00394C1A" w:rsidRDefault="00394C1A" w:rsidP="00394C1A">
            <w:pPr>
              <w:spacing w:line="240" w:lineRule="auto"/>
              <w:ind w:leftChars="0" w:left="0" w:rightChars="0" w:right="0"/>
              <w:rPr>
                <w:sz w:val="24"/>
                <w:szCs w:val="24"/>
              </w:rPr>
            </w:pPr>
            <w:r>
              <w:rPr>
                <w:sz w:val="24"/>
                <w:szCs w:val="24"/>
              </w:rPr>
              <w:t xml:space="preserve">　　</w:t>
            </w:r>
            <w:r w:rsidR="0049577B" w:rsidRPr="00394C1A">
              <w:rPr>
                <w:sz w:val="24"/>
                <w:szCs w:val="24"/>
              </w:rPr>
              <w:t>如何作？才能為台灣延攬高級人才呢？以下是個人之看法：</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ㄧ、加強台灣國際形象：</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為什麼列這項為第一要務，在外國，說我來自台灣（Taiwan）時，外國人大多會誤以為是泰國（Thailand），若是說我來自中華民國，外國人會誤以為是中國大陸。依目前聯合國的認定全世界有249個國家和地區，其中有194國家和55地區。想要讓外國人對台灣留下印象，是需要卯足全力在國際宣傳上的，雖然全球化帶來了移動成本大幅降低，但人們還是會限縮於自我所知，去往自己熟悉的國家或地區，因此想吸引國際人才來台灣就必須讓他（她）認識台灣、了解台灣，對台灣有印象才行。</w:t>
            </w:r>
          </w:p>
          <w:p w:rsidR="00C73C9C" w:rsidRPr="00394C1A" w:rsidRDefault="00C73C9C" w:rsidP="00394C1A">
            <w:pPr>
              <w:spacing w:line="240" w:lineRule="auto"/>
              <w:ind w:leftChars="0" w:left="0" w:rightChars="0" w:right="0"/>
              <w:rPr>
                <w:sz w:val="24"/>
                <w:szCs w:val="24"/>
              </w:rPr>
            </w:pPr>
            <w:r w:rsidRPr="00394C1A">
              <w:rPr>
                <w:rFonts w:hint="eastAsia"/>
                <w:sz w:val="24"/>
                <w:szCs w:val="24"/>
              </w:rPr>
              <w:t xml:space="preserve">　　</w:t>
            </w:r>
            <w:r w:rsidRPr="00394C1A">
              <w:rPr>
                <w:sz w:val="24"/>
                <w:szCs w:val="24"/>
              </w:rPr>
              <w:t>1.礙於目前我國的國際政治處境，從官方推展、宣傳我國國際形象這途定是多所制肘，但如果另闢蹊徑由民間從宗教、美景、美食小吃、風土人文，經網路平台介紹至外國，可能阻力較小，也能較為外國人所接受。</w:t>
            </w:r>
          </w:p>
          <w:p w:rsidR="0049577B" w:rsidRPr="00394C1A" w:rsidRDefault="00C73C9C" w:rsidP="00394C1A">
            <w:pPr>
              <w:spacing w:line="240" w:lineRule="auto"/>
              <w:ind w:leftChars="0" w:left="0" w:rightChars="0" w:right="0"/>
              <w:rPr>
                <w:sz w:val="24"/>
                <w:szCs w:val="24"/>
              </w:rPr>
            </w:pPr>
            <w:r w:rsidRPr="00394C1A">
              <w:rPr>
                <w:rFonts w:hint="eastAsia"/>
                <w:sz w:val="24"/>
                <w:szCs w:val="24"/>
              </w:rPr>
              <w:t xml:space="preserve">　　</w:t>
            </w:r>
            <w:r w:rsidRPr="00394C1A">
              <w:rPr>
                <w:sz w:val="24"/>
                <w:szCs w:val="24"/>
              </w:rPr>
              <w:t>2.獎勵或資助介紹台灣特色的網站、部落客或外國藝術家，這些看似沒有生產力或沒有競爭力的人，有可能是外國人認識台灣的關鍵，讓他們運用網路影響力持續為台灣作宣傳，吸引外國人到台灣旅遊，進而瞭解台灣、願意留在台灣打拼，貢獻其ㄧ份心力。</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二、彈性的薪資結構：</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來台灣工作除了被特色的台灣所吸引之外，另外的就是薪資，招募國際人才，薪資絕對是另一個重要誘因，國內想要招攬高級專業人才，薪資方面就要保持彈性。</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1</w:t>
            </w:r>
            <w:r w:rsidR="003C1792" w:rsidRPr="00394C1A">
              <w:rPr>
                <w:sz w:val="24"/>
                <w:szCs w:val="24"/>
              </w:rPr>
              <w:t>.</w:t>
            </w:r>
            <w:r w:rsidR="0049577B" w:rsidRPr="00394C1A">
              <w:rPr>
                <w:sz w:val="24"/>
                <w:szCs w:val="24"/>
              </w:rPr>
              <w:t>政府定立層次清晰、架構明確的產業發展政策，由國內企業研議、羅列所需人才，並委由各種管道如駐外的經貿辦事處、網路平台等幫忙國內企業招募之，但薪資應由企業本身與招募的國際人才洽談以保持薪資本身的彈性，國內企業也應該摒除低成本使用人力資源的觀念偏差，才能讓優秀的國際人才留在台灣。</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2</w:t>
            </w:r>
            <w:r w:rsidR="003C1792" w:rsidRPr="00394C1A">
              <w:rPr>
                <w:sz w:val="24"/>
                <w:szCs w:val="24"/>
              </w:rPr>
              <w:t>.</w:t>
            </w:r>
            <w:r w:rsidR="0049577B" w:rsidRPr="00394C1A">
              <w:rPr>
                <w:sz w:val="24"/>
                <w:szCs w:val="24"/>
              </w:rPr>
              <w:t>再則以目前招聘外國人所謂的「高薪」---月平均新台幣47971，放諸世界其實是不高的，在還可接受的薪資新台幣47971上，是否考慮到這是應領基本薪資呢？還是實領基本薪資？中央主管機關雖已清楚公告保障薪資，但必須盡到嚴格監督之責，才不至於讓某些企業因考量人事成本而巧立名目暗扣這基本薪資，讓原本因相信政府招募公信力而來台灣工作的國際人才吃虧、上當，破壞政府信譽，這點個人覺得很重要。</w:t>
            </w:r>
          </w:p>
          <w:p w:rsidR="0049577B" w:rsidRPr="00394C1A" w:rsidRDefault="00D440E2"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三、便利的申請流程：</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在凡事講求迅速便捷的今天，繁瑣、冗長的申請流程，是阻礙國際人才前進台灣的絆腳石，政府於新修訂的外國專業人才延攬及僱用法的</w:t>
            </w:r>
            <w:hyperlink r:id="rId21" w:anchor="a8" w:history="1">
              <w:r w:rsidR="0049577B" w:rsidRPr="0065263F">
                <w:rPr>
                  <w:rStyle w:val="a7"/>
                  <w:rFonts w:cs="Times New Roman"/>
                  <w:sz w:val="24"/>
                  <w:szCs w:val="24"/>
                  <w:lang w:eastAsia="zh-TW" w:bidi="ar-SA"/>
                </w:rPr>
                <w:t>第8</w:t>
              </w:r>
              <w:r w:rsidR="0049577B" w:rsidRPr="0065263F">
                <w:rPr>
                  <w:rStyle w:val="a7"/>
                  <w:rFonts w:cs="Times New Roman"/>
                  <w:sz w:val="24"/>
                  <w:szCs w:val="24"/>
                  <w:lang w:eastAsia="zh-TW" w:bidi="ar-SA"/>
                </w:rPr>
                <w:lastRenderedPageBreak/>
                <w:t>條</w:t>
              </w:r>
            </w:hyperlink>
            <w:r w:rsidR="0049577B" w:rsidRPr="00394C1A">
              <w:rPr>
                <w:sz w:val="24"/>
                <w:szCs w:val="24"/>
              </w:rPr>
              <w:t>參考新加坡個人化就業准證PEP</w:t>
            </w:r>
            <w:r w:rsidR="003C1792" w:rsidRPr="00394C1A">
              <w:rPr>
                <w:sz w:val="24"/>
                <w:szCs w:val="24"/>
                <w:shd w:val="clear" w:color="auto" w:fill="FFFFFF"/>
              </w:rPr>
              <w:t>（</w:t>
            </w:r>
            <w:r w:rsidR="0049577B" w:rsidRPr="00394C1A">
              <w:rPr>
                <w:sz w:val="24"/>
                <w:szCs w:val="24"/>
                <w:shd w:val="clear" w:color="auto" w:fill="FFFFFF"/>
              </w:rPr>
              <w:t>Personalised Employment Pass）</w:t>
            </w:r>
            <w:r w:rsidR="0049577B" w:rsidRPr="00394C1A">
              <w:rPr>
                <w:sz w:val="24"/>
                <w:szCs w:val="24"/>
              </w:rPr>
              <w:t>制度，已將工作許可、居留簽證、外僑居留證、及重入國許可四證合併成就業金卡，簡化國際申請人的申請流程，節省申請時間及增加在台灣工作的意願，實為留住國際人才的好措施。</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台灣—-ㄧ個曾創造「經濟奇蹟」的國家，現因全球化、少子化、薪資結構失衡、國內高等教育的自由化等諸多原因，導致國內產業人才流失，亟需延攬國際人才為己所用，填補國內人才及技術缺口，並協助國內企業國際化布局，加強與外國之政經關係聯結及經貿外交之拓展，進而促進產業升級、產業轉型。</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但在普募國際人才的同時，是否有發現國內缺什麼樣的人才，什麼樣的政策是我們在廣攬國際人才的同時又能厚植國內人才，這些是有待我們政府有關單位一起研議，為台灣再造另一個奇蹟。</w:t>
            </w:r>
          </w:p>
        </w:tc>
      </w:tr>
      <w:tr w:rsidR="0049577B" w:rsidRPr="00B40DC1" w:rsidTr="00394C1A">
        <w:tc>
          <w:tcPr>
            <w:tcW w:w="2069" w:type="dxa"/>
          </w:tcPr>
          <w:p w:rsidR="0049577B" w:rsidRPr="00B40DC1" w:rsidRDefault="0049577B" w:rsidP="000D26BB">
            <w:r w:rsidRPr="00B40DC1">
              <w:lastRenderedPageBreak/>
              <w:t>曾文怡小姐(1063140)</w:t>
            </w:r>
          </w:p>
        </w:tc>
        <w:tc>
          <w:tcPr>
            <w:tcW w:w="7849" w:type="dxa"/>
          </w:tcPr>
          <w:p w:rsidR="0049577B" w:rsidRPr="00394C1A" w:rsidRDefault="0049577B" w:rsidP="00394C1A">
            <w:pPr>
              <w:spacing w:line="240" w:lineRule="auto"/>
              <w:ind w:leftChars="0" w:left="0" w:rightChars="0" w:right="0"/>
              <w:rPr>
                <w:sz w:val="24"/>
                <w:szCs w:val="24"/>
              </w:rPr>
            </w:pPr>
            <w:r w:rsidRPr="00394C1A">
              <w:rPr>
                <w:sz w:val="24"/>
                <w:szCs w:val="24"/>
              </w:rPr>
              <w:t>曾文怡1063140</w:t>
            </w:r>
          </w:p>
          <w:p w:rsidR="0049577B" w:rsidRPr="00394C1A" w:rsidRDefault="0050701A" w:rsidP="00394C1A">
            <w:pPr>
              <w:spacing w:line="240" w:lineRule="auto"/>
              <w:ind w:leftChars="0" w:left="0" w:rightChars="0" w:right="0"/>
              <w:rPr>
                <w:sz w:val="24"/>
                <w:szCs w:val="24"/>
                <w:shd w:val="clear" w:color="auto" w:fill="FFFFFF"/>
              </w:rPr>
            </w:pPr>
            <w:r w:rsidRPr="00394C1A">
              <w:rPr>
                <w:sz w:val="24"/>
                <w:szCs w:val="24"/>
              </w:rPr>
              <w:t xml:space="preserve">　　</w:t>
            </w:r>
            <w:r w:rsidR="0049577B" w:rsidRPr="00394C1A">
              <w:rPr>
                <w:sz w:val="24"/>
                <w:szCs w:val="24"/>
              </w:rPr>
              <w:t>高專人才是國家競爭力核心，我國該如何吸引高專人才?高專人才需要的是一個優良工作環境(需要法制面與政策面的支持)、符合其能力與條件之薪資及福利措施。</w:t>
            </w:r>
            <w:r w:rsidR="0049577B" w:rsidRPr="00394C1A">
              <w:rPr>
                <w:sz w:val="24"/>
                <w:szCs w:val="24"/>
                <w:shd w:val="clear" w:color="auto" w:fill="FFFFFF"/>
              </w:rPr>
              <w:t>內政部2017年公布施行「</w:t>
            </w:r>
            <w:hyperlink r:id="rId22" w:history="1">
              <w:r w:rsidR="00196F1E" w:rsidRPr="00196F1E">
                <w:rPr>
                  <w:rStyle w:val="a7"/>
                  <w:rFonts w:cs="Times New Roman"/>
                  <w:lang w:eastAsia="zh-TW" w:bidi="ar-SA"/>
                </w:rPr>
                <w:t>歸化國籍之高級專業人才認定標準</w:t>
              </w:r>
            </w:hyperlink>
            <w:r w:rsidR="0049577B" w:rsidRPr="00394C1A">
              <w:rPr>
                <w:sz w:val="24"/>
                <w:szCs w:val="24"/>
                <w:shd w:val="clear" w:color="auto" w:fill="FFFFFF"/>
              </w:rPr>
              <w:t>」，根據教育部的統計資料，5名高專人才，在不必喪失原國籍前提下，順利歸化成為台灣人。有3人為美國籍、1人法國籍，他們在學術研究領域各有所長，更長期在台灣任教，而該5名高專人才是我國</w:t>
            </w:r>
            <w:hyperlink r:id="rId23" w:history="1">
              <w:r w:rsidR="004B3637" w:rsidRPr="004B3637">
                <w:rPr>
                  <w:rStyle w:val="a7"/>
                  <w:rFonts w:cs="Times New Roman"/>
                  <w:lang w:eastAsia="zh-TW" w:bidi="ar-SA"/>
                </w:rPr>
                <w:t>國籍法</w:t>
              </w:r>
            </w:hyperlink>
            <w:r w:rsidR="0049577B" w:rsidRPr="00394C1A">
              <w:rPr>
                <w:sz w:val="24"/>
                <w:szCs w:val="24"/>
                <w:shd w:val="clear" w:color="auto" w:fill="FFFFFF"/>
              </w:rPr>
              <w:t>修正之後，首批迅速得到外國高專人才的證明</w:t>
            </w:r>
            <w:r w:rsidR="0049577B" w:rsidRPr="00394C1A">
              <w:rPr>
                <w:rStyle w:val="af7"/>
                <w:rFonts w:eastAsia="新細明體"/>
                <w:sz w:val="20"/>
                <w:szCs w:val="24"/>
                <w:shd w:val="clear" w:color="auto" w:fill="FFFFFF"/>
              </w:rPr>
              <w:footnoteReference w:id="33"/>
            </w:r>
            <w:r w:rsidR="0049577B" w:rsidRPr="00394C1A">
              <w:rPr>
                <w:sz w:val="24"/>
                <w:szCs w:val="24"/>
                <w:shd w:val="clear" w:color="auto" w:fill="FFFFFF"/>
              </w:rPr>
              <w:t>，此法賦予他們正港台灣人的身分為台灣的教育及科技發展持續奉獻。</w:t>
            </w:r>
          </w:p>
          <w:p w:rsidR="0049577B" w:rsidRPr="00394C1A" w:rsidRDefault="0050701A" w:rsidP="00394C1A">
            <w:pPr>
              <w:spacing w:line="240" w:lineRule="auto"/>
              <w:ind w:leftChars="0" w:left="0" w:rightChars="0" w:right="0"/>
              <w:rPr>
                <w:sz w:val="24"/>
                <w:szCs w:val="24"/>
                <w:shd w:val="clear" w:color="auto" w:fill="FFFFFF"/>
              </w:rPr>
            </w:pPr>
            <w:r w:rsidRPr="00394C1A">
              <w:rPr>
                <w:sz w:val="24"/>
                <w:szCs w:val="24"/>
                <w:shd w:val="clear" w:color="auto" w:fill="FFFFFF"/>
              </w:rPr>
              <w:t xml:space="preserve">　　</w:t>
            </w:r>
            <w:r w:rsidR="0049577B" w:rsidRPr="00394C1A">
              <w:rPr>
                <w:sz w:val="24"/>
                <w:szCs w:val="24"/>
                <w:shd w:val="clear" w:color="auto" w:fill="FFFFFF"/>
              </w:rPr>
              <w:t>上述內容即指出若需要讓外國高專人才願意長期留在我國工作奉獻一己之力的話，就必須在法制上給予更寬鬆的國籍認定標準和移民政策上面強力的支持。</w:t>
            </w:r>
            <w:hyperlink r:id="rId24" w:history="1">
              <w:r w:rsidR="004B3637" w:rsidRPr="004B3637">
                <w:rPr>
                  <w:rStyle w:val="a7"/>
                  <w:rFonts w:cs="Times New Roman"/>
                  <w:lang w:eastAsia="zh-TW" w:bidi="ar-SA"/>
                </w:rPr>
                <w:t>國籍法</w:t>
              </w:r>
            </w:hyperlink>
            <w:r w:rsidR="0049577B" w:rsidRPr="00394C1A">
              <w:rPr>
                <w:sz w:val="24"/>
                <w:szCs w:val="24"/>
                <w:shd w:val="clear" w:color="auto" w:fill="FFFFFF"/>
              </w:rPr>
              <w:t>寬鬆了外國高級專業人才居留台灣的時間(現在只要在台灣居住滿五年)，卻更能抓緊外國高專人才的心來台灣服務。上述</w:t>
            </w:r>
            <w:hyperlink r:id="rId25" w:history="1">
              <w:r w:rsidR="004B3637" w:rsidRPr="004B3637">
                <w:rPr>
                  <w:rStyle w:val="a7"/>
                  <w:rFonts w:cs="Times New Roman"/>
                  <w:lang w:eastAsia="zh-TW" w:bidi="ar-SA"/>
                </w:rPr>
                <w:t>國籍法</w:t>
              </w:r>
            </w:hyperlink>
            <w:r w:rsidR="0049577B" w:rsidRPr="00394C1A">
              <w:rPr>
                <w:sz w:val="24"/>
                <w:szCs w:val="24"/>
                <w:shd w:val="clear" w:color="auto" w:fill="FFFFFF"/>
              </w:rPr>
              <w:t>相關建立友善留臺環境之舉，展現了我國初步積極想爭取外國高專人才的決心。</w:t>
            </w:r>
          </w:p>
          <w:p w:rsidR="0049577B" w:rsidRPr="00394C1A" w:rsidRDefault="0050701A" w:rsidP="00394C1A">
            <w:pPr>
              <w:spacing w:line="240" w:lineRule="auto"/>
              <w:ind w:leftChars="0" w:left="0" w:rightChars="0" w:right="0"/>
              <w:rPr>
                <w:sz w:val="24"/>
                <w:szCs w:val="24"/>
                <w:shd w:val="clear" w:color="auto" w:fill="FFFFFF"/>
              </w:rPr>
            </w:pPr>
            <w:r w:rsidRPr="00394C1A">
              <w:rPr>
                <w:sz w:val="24"/>
                <w:szCs w:val="24"/>
                <w:shd w:val="clear" w:color="auto" w:fill="FFFFFF"/>
              </w:rPr>
              <w:t xml:space="preserve">　　</w:t>
            </w:r>
            <w:r w:rsidR="0049577B" w:rsidRPr="00394C1A">
              <w:rPr>
                <w:sz w:val="24"/>
                <w:szCs w:val="24"/>
                <w:shd w:val="clear" w:color="auto" w:fill="FFFFFF"/>
              </w:rPr>
              <w:t>人才能帶動一個國家的強盛，因此世界各國無不競相爭取高專人才，台灣要如何在世界這波搶人才的浪潮中脫穎而出，拙見以為上述讓外國高專人才在不喪失自己原有國籍之下，還可以取得台灣的國籍，這就意味渠等在成為「台灣人｣之後，可以享受健保的福利，而台灣的醫療技術在世界各國中，還算的上是箇中翹楚，能享受到台灣的健保並且可以讓他們在台灣享有一個高薪的優質生活，此不可否認確實提高競才條件。</w:t>
            </w:r>
          </w:p>
          <w:p w:rsidR="0049577B" w:rsidRPr="00394C1A" w:rsidRDefault="0050701A" w:rsidP="00394C1A">
            <w:pPr>
              <w:spacing w:line="240" w:lineRule="auto"/>
              <w:ind w:leftChars="0" w:left="0" w:rightChars="0" w:right="0"/>
              <w:rPr>
                <w:sz w:val="24"/>
                <w:szCs w:val="24"/>
              </w:rPr>
            </w:pPr>
            <w:r w:rsidRPr="00394C1A">
              <w:rPr>
                <w:sz w:val="24"/>
                <w:szCs w:val="24"/>
                <w:shd w:val="clear" w:color="auto" w:fill="FFFFFF"/>
              </w:rPr>
              <w:t xml:space="preserve">　　</w:t>
            </w:r>
            <w:r w:rsidR="0049577B" w:rsidRPr="00394C1A">
              <w:rPr>
                <w:sz w:val="24"/>
                <w:szCs w:val="24"/>
                <w:shd w:val="clear" w:color="auto" w:fill="FFFFFF"/>
              </w:rPr>
              <w:t>要讓外國高專人才在我國蓬勃發展，就需要提供渠發展所需之陽光、空氣、水。陽光就是政府所制訂出的法律；空氣是在法律授權下制訂出吸引外國高專人才之政策:依此提供渠優渥的薪資及工作保障；水則是其他享有之福利(例如健保、家人依親來台之配套措施等)，此三者合之，外國</w:t>
            </w:r>
            <w:r w:rsidR="0049577B" w:rsidRPr="00394C1A">
              <w:rPr>
                <w:sz w:val="24"/>
                <w:szCs w:val="24"/>
                <w:shd w:val="clear" w:color="auto" w:fill="FFFFFF"/>
              </w:rPr>
              <w:lastRenderedPageBreak/>
              <w:t>高專人才將不虞匱乏。</w:t>
            </w:r>
          </w:p>
        </w:tc>
      </w:tr>
      <w:tr w:rsidR="0049577B" w:rsidRPr="00B40DC1" w:rsidTr="00394C1A">
        <w:tc>
          <w:tcPr>
            <w:tcW w:w="2069" w:type="dxa"/>
          </w:tcPr>
          <w:p w:rsidR="0049577B" w:rsidRPr="00B40DC1" w:rsidRDefault="0049577B" w:rsidP="000D26BB">
            <w:r w:rsidRPr="00B40DC1">
              <w:lastRenderedPageBreak/>
              <w:t>洪嘉真小姐</w:t>
            </w:r>
          </w:p>
        </w:tc>
        <w:tc>
          <w:tcPr>
            <w:tcW w:w="7849" w:type="dxa"/>
          </w:tcPr>
          <w:p w:rsidR="0049577B" w:rsidRPr="00394C1A" w:rsidRDefault="0049577B" w:rsidP="00394C1A">
            <w:pPr>
              <w:spacing w:line="240" w:lineRule="auto"/>
              <w:ind w:leftChars="0" w:left="0" w:rightChars="0" w:right="0"/>
              <w:rPr>
                <w:b/>
                <w:sz w:val="24"/>
                <w:szCs w:val="24"/>
              </w:rPr>
            </w:pPr>
            <w:r w:rsidRPr="00394C1A">
              <w:rPr>
                <w:b/>
                <w:sz w:val="24"/>
                <w:szCs w:val="24"/>
              </w:rPr>
              <w:t>台灣如何吸引外來專技人才來台</w:t>
            </w:r>
          </w:p>
          <w:p w:rsidR="0049577B" w:rsidRPr="00394C1A" w:rsidRDefault="00C73C9C"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1063142洪嘉真</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人要有高度才能看到更遠，國家要有人才才能擠身於世界。台灣在就業市場需具備資源充足、環境、高薪資三大主軸，才能吸引人才及留住人才。</w:t>
            </w:r>
          </w:p>
          <w:p w:rsidR="0049577B" w:rsidRPr="00394C1A" w:rsidRDefault="0050701A" w:rsidP="00394C1A">
            <w:pPr>
              <w:spacing w:line="240" w:lineRule="auto"/>
              <w:ind w:leftChars="0" w:left="0" w:rightChars="0" w:right="0"/>
              <w:rPr>
                <w:sz w:val="24"/>
                <w:szCs w:val="24"/>
                <w:shd w:val="clear" w:color="auto" w:fill="FFFFFF"/>
                <w:vertAlign w:val="superscript"/>
              </w:rPr>
            </w:pPr>
            <w:r w:rsidRPr="00394C1A">
              <w:rPr>
                <w:sz w:val="24"/>
                <w:szCs w:val="24"/>
                <w:shd w:val="clear" w:color="auto" w:fill="FFFFFF"/>
              </w:rPr>
              <w:t xml:space="preserve">　　</w:t>
            </w:r>
            <w:hyperlink r:id="rId26" w:history="1">
              <w:r w:rsidR="0065263F" w:rsidRPr="0065263F">
                <w:rPr>
                  <w:rStyle w:val="a7"/>
                  <w:rFonts w:cs="Times New Roman"/>
                  <w:sz w:val="24"/>
                  <w:lang w:eastAsia="zh-TW" w:bidi="ar-SA"/>
                </w:rPr>
                <w:t>外國專業人才延攬及僱用法</w:t>
              </w:r>
            </w:hyperlink>
            <w:r w:rsidR="0049577B" w:rsidRPr="00394C1A">
              <w:rPr>
                <w:sz w:val="24"/>
                <w:szCs w:val="24"/>
                <w:shd w:val="clear" w:color="auto" w:fill="FFFFFF"/>
              </w:rPr>
              <w:t>在107年2月8日施行，不僅在就業和工作上給予充足的資源，還有來台的條件限制也逐漸鬆綁，甚至照顧到未來退休後的生活優惠，在這些優渥的條件開放之下，可以吸引更多的外國專業人才來台發展，促進台灣在國際上的競爭力，與世界接軌。</w:t>
            </w:r>
          </w:p>
          <w:p w:rsidR="0049577B" w:rsidRPr="00394C1A" w:rsidRDefault="005070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雖然對於外國專業人才有</w:t>
            </w:r>
            <w:r w:rsidR="0049577B" w:rsidRPr="00394C1A">
              <w:rPr>
                <w:sz w:val="24"/>
                <w:szCs w:val="24"/>
                <w:shd w:val="clear" w:color="auto" w:fill="FFFFFF"/>
              </w:rPr>
              <w:t>鬆綁父母配偶及子女停居留規定</w:t>
            </w:r>
            <w:r w:rsidR="0049577B" w:rsidRPr="00394C1A">
              <w:rPr>
                <w:sz w:val="24"/>
                <w:szCs w:val="24"/>
              </w:rPr>
              <w:t>，但是每個國家的風俗民情不同，外國專業人才的配偶及子女來台之後，政府是否要開設一些語言跟法律課程來使他們可以盡快融入台灣社會，而不至於成為社會的隱形人跟問題人物，提供更充滿溫情的環境，使外國專業人才來台後無後顧之憂。</w:t>
            </w:r>
          </w:p>
          <w:p w:rsidR="0049577B" w:rsidRPr="00394C1A" w:rsidRDefault="0050701A" w:rsidP="00394C1A">
            <w:pPr>
              <w:spacing w:line="240" w:lineRule="auto"/>
              <w:ind w:leftChars="0" w:left="0" w:rightChars="0" w:right="0"/>
              <w:rPr>
                <w:spacing w:val="15"/>
                <w:sz w:val="24"/>
                <w:szCs w:val="24"/>
                <w:shd w:val="clear" w:color="auto" w:fill="FFFFFF"/>
                <w:vertAlign w:val="superscript"/>
              </w:rPr>
            </w:pPr>
            <w:r w:rsidRPr="00394C1A">
              <w:rPr>
                <w:sz w:val="24"/>
                <w:szCs w:val="24"/>
              </w:rPr>
              <w:t xml:space="preserve">　　</w:t>
            </w:r>
            <w:r w:rsidR="0049577B" w:rsidRPr="00394C1A">
              <w:rPr>
                <w:sz w:val="24"/>
                <w:szCs w:val="24"/>
              </w:rPr>
              <w:t>台灣為什麼留不住人才？主要原因還是薪資問題，工作量與薪資不成正比，導致本國人才外移，而外國專業人才不願意來台灣發展</w:t>
            </w:r>
            <w:r w:rsidR="0049577B" w:rsidRPr="00394C1A">
              <w:rPr>
                <w:spacing w:val="15"/>
                <w:sz w:val="24"/>
                <w:szCs w:val="24"/>
                <w:shd w:val="clear" w:color="auto" w:fill="FFFFFF"/>
              </w:rPr>
              <w:t>。</w:t>
            </w:r>
          </w:p>
          <w:p w:rsidR="0049577B" w:rsidRPr="00394C1A" w:rsidRDefault="0050701A" w:rsidP="00394C1A">
            <w:pPr>
              <w:spacing w:line="240" w:lineRule="auto"/>
              <w:ind w:leftChars="0" w:left="0" w:rightChars="0" w:right="0"/>
              <w:rPr>
                <w:sz w:val="24"/>
                <w:szCs w:val="24"/>
                <w:shd w:val="clear" w:color="auto" w:fill="FFFFFF"/>
              </w:rPr>
            </w:pPr>
            <w:r w:rsidRPr="00394C1A">
              <w:rPr>
                <w:sz w:val="24"/>
                <w:szCs w:val="24"/>
                <w:shd w:val="clear" w:color="auto" w:fill="FFFFFF"/>
              </w:rPr>
              <w:t xml:space="preserve">　　</w:t>
            </w:r>
            <w:r w:rsidR="0049577B" w:rsidRPr="00394C1A">
              <w:rPr>
                <w:sz w:val="24"/>
                <w:szCs w:val="24"/>
                <w:shd w:val="clear" w:color="auto" w:fill="FFFFFF"/>
              </w:rPr>
              <w:t>因此，台灣要吸引外國專業人才，就必須提高薪資，才能吸引專業又有高技術的人才來台。</w:t>
            </w:r>
          </w:p>
          <w:p w:rsidR="0049577B" w:rsidRPr="00394C1A" w:rsidRDefault="0050701A" w:rsidP="00394C1A">
            <w:pPr>
              <w:spacing w:line="240" w:lineRule="auto"/>
              <w:ind w:leftChars="0" w:left="0" w:rightChars="0" w:right="0"/>
              <w:rPr>
                <w:sz w:val="24"/>
                <w:szCs w:val="24"/>
                <w:shd w:val="clear" w:color="auto" w:fill="FFFFFF"/>
              </w:rPr>
            </w:pPr>
            <w:r w:rsidRPr="00394C1A">
              <w:rPr>
                <w:sz w:val="24"/>
                <w:szCs w:val="24"/>
                <w:shd w:val="clear" w:color="auto" w:fill="FFFFFF"/>
              </w:rPr>
              <w:t xml:space="preserve">　　</w:t>
            </w:r>
            <w:r w:rsidR="0049577B" w:rsidRPr="00394C1A">
              <w:rPr>
                <w:sz w:val="24"/>
                <w:szCs w:val="24"/>
                <w:shd w:val="clear" w:color="auto" w:fill="FFFFFF"/>
              </w:rPr>
              <w:t>綜上所述，台灣想要吸引外國專業人才，必須兼顧現實面與理想面，茲提供個人看法如下：</w:t>
            </w:r>
          </w:p>
          <w:p w:rsidR="00C73C9C" w:rsidRPr="00394C1A" w:rsidRDefault="00C73C9C" w:rsidP="00394C1A">
            <w:pPr>
              <w:spacing w:line="240" w:lineRule="auto"/>
              <w:ind w:leftChars="0" w:left="0" w:rightChars="0" w:right="0"/>
              <w:rPr>
                <w:sz w:val="24"/>
                <w:szCs w:val="24"/>
              </w:rPr>
            </w:pPr>
            <w:r w:rsidRPr="00394C1A">
              <w:rPr>
                <w:rFonts w:hint="eastAsia"/>
                <w:sz w:val="24"/>
                <w:szCs w:val="24"/>
              </w:rPr>
              <w:t xml:space="preserve">　　一、政府與大企業合作，政府提供外國專業人才，大企業提供研發環境。</w:t>
            </w:r>
          </w:p>
          <w:p w:rsidR="00C73C9C" w:rsidRPr="00394C1A" w:rsidRDefault="00C73C9C" w:rsidP="00394C1A">
            <w:pPr>
              <w:spacing w:line="240" w:lineRule="auto"/>
              <w:ind w:leftChars="0" w:left="0" w:rightChars="0" w:right="0"/>
              <w:rPr>
                <w:sz w:val="24"/>
                <w:szCs w:val="24"/>
              </w:rPr>
            </w:pPr>
            <w:r w:rsidRPr="00394C1A">
              <w:rPr>
                <w:rFonts w:hint="eastAsia"/>
                <w:sz w:val="24"/>
                <w:szCs w:val="24"/>
              </w:rPr>
              <w:t xml:space="preserve">　　二、以高薪聘顧外國專業人才，同時要兼顧本國人才的薪資水平，防止本國專業人才出走。</w:t>
            </w:r>
          </w:p>
          <w:p w:rsidR="00C73C9C" w:rsidRPr="00394C1A" w:rsidRDefault="00C73C9C" w:rsidP="00394C1A">
            <w:pPr>
              <w:spacing w:line="240" w:lineRule="auto"/>
              <w:ind w:leftChars="0" w:left="0" w:rightChars="0" w:right="0"/>
              <w:rPr>
                <w:sz w:val="24"/>
                <w:szCs w:val="24"/>
              </w:rPr>
            </w:pPr>
            <w:r w:rsidRPr="00394C1A">
              <w:rPr>
                <w:rFonts w:hint="eastAsia"/>
                <w:sz w:val="24"/>
                <w:szCs w:val="24"/>
              </w:rPr>
              <w:t xml:space="preserve">　　三、透過不斷修法，來改善外國專業人才來台所想有的福利，以因應當時的現況。</w:t>
            </w:r>
          </w:p>
          <w:p w:rsidR="00C73C9C" w:rsidRPr="00394C1A" w:rsidRDefault="00C73C9C" w:rsidP="00394C1A">
            <w:pPr>
              <w:spacing w:line="240" w:lineRule="auto"/>
              <w:ind w:leftChars="0" w:left="0" w:rightChars="0" w:right="0"/>
              <w:rPr>
                <w:sz w:val="24"/>
                <w:szCs w:val="24"/>
              </w:rPr>
            </w:pPr>
            <w:r w:rsidRPr="00394C1A">
              <w:rPr>
                <w:rFonts w:hint="eastAsia"/>
                <w:sz w:val="24"/>
                <w:szCs w:val="24"/>
              </w:rPr>
              <w:t xml:space="preserve">　　四、提供外國專業人才學習中文的課程，使其能盡快融入台灣社會，避免語言障礙而造成隔閡。</w:t>
            </w:r>
          </w:p>
        </w:tc>
      </w:tr>
    </w:tbl>
    <w:p w:rsidR="0049577B" w:rsidRPr="00B40DC1" w:rsidRDefault="00C73C9C" w:rsidP="000D26BB">
      <w:r>
        <w:t>【備註】</w:t>
      </w:r>
      <w:r w:rsidR="0049577B" w:rsidRPr="00B40DC1">
        <w:t>本表由作者自行整理之。</w:t>
      </w:r>
    </w:p>
    <w:p w:rsidR="0049577B" w:rsidRPr="00B40DC1" w:rsidRDefault="0049577B" w:rsidP="000D26BB"/>
    <w:p w:rsidR="0049577B" w:rsidRPr="00B40DC1" w:rsidRDefault="0050701A" w:rsidP="00D440E2">
      <w:pPr>
        <w:ind w:leftChars="54" w:left="140"/>
      </w:pPr>
      <w:r>
        <w:t xml:space="preserve">　　</w:t>
      </w:r>
      <w:r w:rsidR="0049577B" w:rsidRPr="00B40DC1">
        <w:t>承上，本書作者之一---柯雨瑞教授，於民國104年下學期，亦曾於中央警察大學(以下，簡稱為警大)國境警察學系大學部大一之必修課程之中，開設一門課，必修課程名稱為：人口移動理論與實務，筆者並曾多次在該課堂，及往後之相關課程之上，與所授課之警大841(大學部正科84期1隊)國境系境管組同學，共同討論台灣應如何吸引更多專業技術移民進入國內之議題，有關於上述警大841國境系境管組同學之相關高見與寶貴之看法，玆臚列如下：</w:t>
      </w:r>
    </w:p>
    <w:p w:rsidR="0049577B" w:rsidRPr="00B40DC1" w:rsidRDefault="000C513E" w:rsidP="000C513E">
      <w:pPr>
        <w:jc w:val="right"/>
      </w:pPr>
      <w:r w:rsidRPr="00D45AD2">
        <w:rPr>
          <w:rFonts w:hint="eastAsia"/>
          <w:sz w:val="22"/>
        </w:rPr>
        <w:t>。。。。。。。。。。。。。。。。。。</w:t>
      </w:r>
      <w:hyperlink w:anchor="a目次"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表2、警大841(大學部正科84期1隊)國境系境管組同學對於台灣應如何吸引專業技術</w:t>
      </w:r>
      <w:r w:rsidRPr="00B40DC1">
        <w:rPr>
          <w:lang w:eastAsia="zh-TW"/>
        </w:rPr>
        <w:lastRenderedPageBreak/>
        <w:t>移民之相關看法一覽表</w:t>
      </w:r>
    </w:p>
    <w:tbl>
      <w:tblPr>
        <w:tblStyle w:val="af4"/>
        <w:tblW w:w="9776" w:type="dxa"/>
        <w:tblLook w:val="04A0" w:firstRow="1" w:lastRow="0" w:firstColumn="1" w:lastColumn="0" w:noHBand="0" w:noVBand="1"/>
      </w:tblPr>
      <w:tblGrid>
        <w:gridCol w:w="1467"/>
        <w:gridCol w:w="8309"/>
      </w:tblGrid>
      <w:tr w:rsidR="0049577B" w:rsidRPr="00B40DC1" w:rsidTr="005606DC">
        <w:trPr>
          <w:tblHeader/>
        </w:trPr>
        <w:tc>
          <w:tcPr>
            <w:tcW w:w="1607" w:type="dxa"/>
            <w:shd w:val="clear" w:color="auto" w:fill="FAF0FA"/>
            <w:vAlign w:val="center"/>
          </w:tcPr>
          <w:p w:rsidR="0049577B" w:rsidRPr="00096CA4" w:rsidRDefault="0049577B" w:rsidP="00196F1E">
            <w:pPr>
              <w:spacing w:line="240" w:lineRule="auto"/>
              <w:ind w:leftChars="0" w:left="0" w:rightChars="0" w:right="0"/>
              <w:rPr>
                <w:b/>
                <w:sz w:val="24"/>
              </w:rPr>
            </w:pPr>
            <w:r w:rsidRPr="00096CA4">
              <w:rPr>
                <w:b/>
                <w:sz w:val="24"/>
              </w:rPr>
              <w:t>警大841國境系境管組同學之姓名</w:t>
            </w:r>
          </w:p>
        </w:tc>
        <w:tc>
          <w:tcPr>
            <w:tcW w:w="8169" w:type="dxa"/>
            <w:shd w:val="clear" w:color="auto" w:fill="FAF0FA"/>
            <w:vAlign w:val="center"/>
          </w:tcPr>
          <w:p w:rsidR="0049577B" w:rsidRPr="00096CA4" w:rsidRDefault="0049577B" w:rsidP="00196F1E">
            <w:pPr>
              <w:spacing w:line="240" w:lineRule="auto"/>
              <w:ind w:leftChars="0" w:left="0" w:rightChars="0" w:right="0"/>
              <w:jc w:val="center"/>
              <w:rPr>
                <w:b/>
                <w:sz w:val="24"/>
              </w:rPr>
            </w:pPr>
            <w:r w:rsidRPr="00096CA4">
              <w:rPr>
                <w:b/>
                <w:sz w:val="24"/>
              </w:rPr>
              <w:t>對於台灣應如何吸引專業技術移民之相關看法</w:t>
            </w:r>
          </w:p>
        </w:tc>
      </w:tr>
      <w:tr w:rsidR="0049577B" w:rsidRPr="00B40DC1" w:rsidTr="005606DC">
        <w:tc>
          <w:tcPr>
            <w:tcW w:w="1607" w:type="dxa"/>
          </w:tcPr>
          <w:p w:rsidR="0049577B" w:rsidRPr="0065263F" w:rsidRDefault="0049577B" w:rsidP="005606DC">
            <w:pPr>
              <w:spacing w:line="240" w:lineRule="auto"/>
              <w:ind w:leftChars="0" w:left="0" w:rightChars="0" w:right="0"/>
              <w:rPr>
                <w:sz w:val="24"/>
              </w:rPr>
            </w:pPr>
            <w:r w:rsidRPr="0065263F">
              <w:rPr>
                <w:sz w:val="24"/>
              </w:rPr>
              <w:t>警大841國境系境管組陳又綾小姐</w:t>
            </w:r>
          </w:p>
        </w:tc>
        <w:tc>
          <w:tcPr>
            <w:tcW w:w="8169" w:type="dxa"/>
          </w:tcPr>
          <w:p w:rsidR="0049577B" w:rsidRPr="0065263F" w:rsidRDefault="00096CA4" w:rsidP="00C73C9C">
            <w:pPr>
              <w:ind w:leftChars="0" w:left="0"/>
              <w:rPr>
                <w:sz w:val="24"/>
              </w:rPr>
            </w:pPr>
            <w:r>
              <w:rPr>
                <w:sz w:val="24"/>
              </w:rPr>
              <w:t xml:space="preserve">　　</w:t>
            </w:r>
            <w:r w:rsidR="0049577B" w:rsidRPr="0065263F">
              <w:rPr>
                <w:sz w:val="24"/>
              </w:rPr>
              <w:t>如就放寬白領專業人才來台限制之乙事著眼，台灣之招攬人才之政策，的確是一大進步</w:t>
            </w:r>
            <w:r w:rsidR="0049577B" w:rsidRPr="004B3637">
              <w:rPr>
                <w:rStyle w:val="af7"/>
                <w:rFonts w:eastAsia="新細明體"/>
                <w:sz w:val="20"/>
              </w:rPr>
              <w:footnoteReference w:id="34"/>
            </w:r>
            <w:r w:rsidR="0049577B" w:rsidRPr="0065263F">
              <w:rPr>
                <w:sz w:val="24"/>
              </w:rPr>
              <w:t>。</w:t>
            </w:r>
          </w:p>
        </w:tc>
      </w:tr>
      <w:tr w:rsidR="0049577B" w:rsidRPr="00B40DC1" w:rsidTr="005606DC">
        <w:tc>
          <w:tcPr>
            <w:tcW w:w="1607" w:type="dxa"/>
          </w:tcPr>
          <w:p w:rsidR="0049577B" w:rsidRPr="0065263F" w:rsidRDefault="0049577B" w:rsidP="005606DC">
            <w:pPr>
              <w:spacing w:line="240" w:lineRule="auto"/>
              <w:ind w:leftChars="0" w:left="0" w:rightChars="0" w:right="0"/>
              <w:rPr>
                <w:sz w:val="24"/>
              </w:rPr>
            </w:pPr>
            <w:r w:rsidRPr="0065263F">
              <w:rPr>
                <w:sz w:val="24"/>
              </w:rPr>
              <w:t>警大841國境系境管組林偉弘先生(841246)</w:t>
            </w:r>
          </w:p>
        </w:tc>
        <w:tc>
          <w:tcPr>
            <w:tcW w:w="8169" w:type="dxa"/>
          </w:tcPr>
          <w:p w:rsidR="0049577B" w:rsidRPr="0065263F" w:rsidRDefault="00C73C9C" w:rsidP="00D440E2">
            <w:pPr>
              <w:ind w:leftChars="18" w:left="47"/>
              <w:rPr>
                <w:sz w:val="24"/>
                <w:szCs w:val="24"/>
              </w:rPr>
            </w:pPr>
            <w:r w:rsidRPr="0065263F">
              <w:rPr>
                <w:sz w:val="24"/>
                <w:szCs w:val="24"/>
              </w:rPr>
              <w:t xml:space="preserve">　　</w:t>
            </w:r>
            <w:r w:rsidR="0049577B" w:rsidRPr="0065263F">
              <w:rPr>
                <w:sz w:val="24"/>
                <w:szCs w:val="24"/>
              </w:rPr>
              <w:t>在全球化體系之分工下，我國已然面臨產業轉型之階段，台灣產業需要轉型，須有足夠之高級專業人才，其中，招覽外國籍優秀之專業人才，亦不容忽視。現今之台灣，面臨人口老化、生育率低、扶養比高之社會問題</w:t>
            </w:r>
            <w:r w:rsidR="0049577B" w:rsidRPr="004B3637">
              <w:rPr>
                <w:rStyle w:val="af7"/>
                <w:rFonts w:eastAsia="新細明體"/>
                <w:sz w:val="20"/>
                <w:szCs w:val="24"/>
              </w:rPr>
              <w:footnoteReference w:id="35"/>
            </w:r>
            <w:r w:rsidR="0049577B" w:rsidRPr="0065263F">
              <w:rPr>
                <w:sz w:val="24"/>
                <w:szCs w:val="24"/>
              </w:rPr>
              <w:t>，政府必須積極面對勞力短缺之問題，故開放對外國籍優秀之專業人才之限制，實為時勢所趨</w:t>
            </w:r>
            <w:r w:rsidR="0049577B" w:rsidRPr="004B3637">
              <w:rPr>
                <w:rStyle w:val="af7"/>
                <w:rFonts w:eastAsia="新細明體"/>
                <w:sz w:val="20"/>
                <w:szCs w:val="24"/>
              </w:rPr>
              <w:footnoteReference w:id="36"/>
            </w:r>
            <w:r w:rsidR="0049577B" w:rsidRPr="0065263F">
              <w:rPr>
                <w:sz w:val="24"/>
                <w:szCs w:val="24"/>
              </w:rPr>
              <w:t>。</w:t>
            </w:r>
          </w:p>
          <w:p w:rsidR="0049577B" w:rsidRPr="0065263F" w:rsidRDefault="00C73C9C" w:rsidP="00D440E2">
            <w:pPr>
              <w:ind w:leftChars="18" w:left="47"/>
              <w:rPr>
                <w:sz w:val="24"/>
                <w:szCs w:val="24"/>
              </w:rPr>
            </w:pPr>
            <w:r w:rsidRPr="0065263F">
              <w:rPr>
                <w:sz w:val="24"/>
                <w:szCs w:val="24"/>
              </w:rPr>
              <w:t xml:space="preserve">　　</w:t>
            </w:r>
            <w:r w:rsidR="0049577B" w:rsidRPr="0065263F">
              <w:rPr>
                <w:sz w:val="24"/>
                <w:szCs w:val="24"/>
              </w:rPr>
              <w:t>再者，上開之林偉弘先生，亦曾向筆者表示另外之見解，考量現今為一個全球化之時代，我國經濟之發展，已漸趨遲緩，且我國之外交政治常常受阻，競爭力已較其他經濟體為低落，若我國不延攬高階外國籍優秀之專業人才來台，加速台灣之產業升級，必造成企業競爭力更無法在國際上立足。基本上，筆者非常贊同上述陳又綾小姐與林偉弘先生之開放性之觀點，台灣如擬成為世界上之強國與富國，台灣不宜採取鎖國之移民政策，台灣實有必要招覽各個領域之外國籍優秀之專業人才來台為佳</w:t>
            </w:r>
            <w:r w:rsidR="0049577B" w:rsidRPr="004B3637">
              <w:rPr>
                <w:rStyle w:val="af7"/>
                <w:rFonts w:eastAsia="新細明體"/>
                <w:sz w:val="20"/>
                <w:szCs w:val="24"/>
              </w:rPr>
              <w:footnoteReference w:id="37"/>
            </w:r>
            <w:r w:rsidR="0049577B" w:rsidRPr="0065263F">
              <w:rPr>
                <w:sz w:val="24"/>
                <w:szCs w:val="24"/>
              </w:rPr>
              <w:t>。</w:t>
            </w:r>
          </w:p>
          <w:p w:rsidR="0049577B" w:rsidRPr="0065263F" w:rsidRDefault="0050701A" w:rsidP="00D440E2">
            <w:pPr>
              <w:ind w:leftChars="18" w:left="47"/>
              <w:rPr>
                <w:spacing w:val="15"/>
                <w:sz w:val="24"/>
                <w:szCs w:val="24"/>
                <w:shd w:val="clear" w:color="auto" w:fill="FFFFFF"/>
              </w:rPr>
            </w:pPr>
            <w:r w:rsidRPr="0065263F">
              <w:rPr>
                <w:kern w:val="0"/>
                <w:sz w:val="24"/>
                <w:szCs w:val="24"/>
              </w:rPr>
              <w:t xml:space="preserve">　　</w:t>
            </w:r>
            <w:r w:rsidR="0049577B" w:rsidRPr="0065263F">
              <w:rPr>
                <w:kern w:val="0"/>
                <w:sz w:val="24"/>
                <w:szCs w:val="24"/>
              </w:rPr>
              <w:t>根據「</w:t>
            </w:r>
            <w:hyperlink r:id="rId27" w:history="1">
              <w:r w:rsidR="0065263F" w:rsidRPr="0065263F">
                <w:rPr>
                  <w:bCs/>
                  <w:iCs/>
                  <w:sz w:val="24"/>
                  <w:szCs w:val="24"/>
                </w:rPr>
                <w:t>外國專業人才延攬及僱用法</w:t>
              </w:r>
            </w:hyperlink>
            <w:r w:rsidR="0049577B" w:rsidRPr="0065263F">
              <w:rPr>
                <w:sz w:val="24"/>
                <w:szCs w:val="24"/>
              </w:rPr>
              <w:t>」</w:t>
            </w:r>
            <w:hyperlink r:id="rId28" w:anchor="a4" w:history="1">
              <w:r w:rsidR="0049577B" w:rsidRPr="0065263F">
                <w:rPr>
                  <w:rStyle w:val="a7"/>
                  <w:rFonts w:cs="Times New Roman"/>
                  <w:sz w:val="24"/>
                  <w:szCs w:val="24"/>
                  <w:lang w:eastAsia="zh-TW" w:bidi="ar-SA"/>
                </w:rPr>
                <w:t>第四條</w:t>
              </w:r>
            </w:hyperlink>
            <w:r w:rsidR="0049577B" w:rsidRPr="0065263F">
              <w:rPr>
                <w:sz w:val="24"/>
                <w:szCs w:val="24"/>
              </w:rPr>
              <w:t>規定:外國專業人才，指得在我國從事專業工作之外國人。但因為中國人不是外國人而排除在此法的適用範圍外實為不智之舉。中國近年崛起，經濟實力已不容小覷。過去對中國的印象是便亦廉價勞動力，有「世界工廠」之稱的中國，當然藍領階級的勞工更是源源不絕。但近幾年大陸有產業轉型的趨勢，積極發展互聯網經濟、人工智慧、機器人、共享辦公室等等……在發展這些產業的同時，人才培育也沒有停止，中共當局希望從過去的「人口紅利」轉變為未來的「人才紅利」，不只是對於自己國內人才培育，對於外國人才的延攬，更是不遺餘力。舉例來說，</w:t>
            </w:r>
            <w:r w:rsidR="0049577B" w:rsidRPr="0065263F">
              <w:rPr>
                <w:spacing w:val="15"/>
                <w:sz w:val="24"/>
                <w:szCs w:val="24"/>
                <w:shd w:val="clear" w:color="auto" w:fill="FFFFFF"/>
              </w:rPr>
              <w:t>大陸從2010年開始接受台灣學生以學測成績申請大陸大學，當時門檻是「頂標」，隔年把門檻降至「前標」，而近日又看到新聞報導大陸教育部宣布放寬台灣高中畢業生學測成績申請大陸大學標準，降至「均標」</w:t>
            </w:r>
            <w:r w:rsidR="0049577B" w:rsidRPr="004B3637">
              <w:rPr>
                <w:rStyle w:val="af7"/>
                <w:rFonts w:eastAsia="新細明體"/>
                <w:sz w:val="20"/>
                <w:szCs w:val="24"/>
              </w:rPr>
              <w:footnoteReference w:id="38"/>
            </w:r>
            <w:r w:rsidR="0049577B" w:rsidRPr="0065263F">
              <w:rPr>
                <w:spacing w:val="15"/>
                <w:sz w:val="24"/>
                <w:szCs w:val="24"/>
                <w:shd w:val="clear" w:color="auto" w:fill="FFFFFF"/>
              </w:rPr>
              <w:t>。反觀台灣，對大陸學生申請至台灣就讀有諸多限制，不但保護主義明顯，陸生納保議題又吵個不停，且今日兩岸關係緊張，我認為是大幅降低陸生來台就讀意願，也是把大陸人才隔絕在外無形的一道門</w:t>
            </w:r>
            <w:r w:rsidR="0049577B" w:rsidRPr="004B3637">
              <w:rPr>
                <w:rStyle w:val="af7"/>
                <w:rFonts w:eastAsia="新細明體"/>
                <w:sz w:val="20"/>
                <w:szCs w:val="24"/>
              </w:rPr>
              <w:footnoteReference w:id="39"/>
            </w:r>
            <w:r w:rsidR="0049577B" w:rsidRPr="0065263F">
              <w:rPr>
                <w:sz w:val="24"/>
                <w:szCs w:val="24"/>
              </w:rPr>
              <w:t>。</w:t>
            </w:r>
          </w:p>
          <w:p w:rsidR="0049577B" w:rsidRPr="0065263F" w:rsidRDefault="0050701A" w:rsidP="00D440E2">
            <w:pPr>
              <w:ind w:leftChars="18" w:left="47"/>
              <w:rPr>
                <w:sz w:val="24"/>
                <w:szCs w:val="24"/>
                <w:shd w:val="clear" w:color="auto" w:fill="FFFFFF"/>
              </w:rPr>
            </w:pPr>
            <w:r w:rsidRPr="0065263F">
              <w:rPr>
                <w:sz w:val="24"/>
                <w:szCs w:val="24"/>
                <w:shd w:val="clear" w:color="auto" w:fill="FFFFFF"/>
              </w:rPr>
              <w:t xml:space="preserve">　　</w:t>
            </w:r>
            <w:r w:rsidR="0049577B" w:rsidRPr="0065263F">
              <w:rPr>
                <w:sz w:val="24"/>
                <w:szCs w:val="24"/>
                <w:shd w:val="clear" w:color="auto" w:fill="FFFFFF"/>
              </w:rPr>
              <w:t>我認為不可把大陸高階人才阻絕在外的原因有幾個，第一、大陸人與台</w:t>
            </w:r>
            <w:r w:rsidR="0049577B" w:rsidRPr="0065263F">
              <w:rPr>
                <w:sz w:val="24"/>
                <w:szCs w:val="24"/>
                <w:shd w:val="clear" w:color="auto" w:fill="FFFFFF"/>
              </w:rPr>
              <w:lastRenderedPageBreak/>
              <w:t>灣人民同文同種，</w:t>
            </w:r>
            <w:r w:rsidR="0049577B" w:rsidRPr="0065263F">
              <w:rPr>
                <w:sz w:val="24"/>
                <w:szCs w:val="24"/>
              </w:rPr>
              <w:t>具備</w:t>
            </w:r>
            <w:r w:rsidR="0049577B" w:rsidRPr="0065263F">
              <w:rPr>
                <w:sz w:val="24"/>
                <w:szCs w:val="24"/>
                <w:shd w:val="clear" w:color="auto" w:fill="FFFFFF"/>
              </w:rPr>
              <w:t>語言優勢，職場適應較容易，對於生活、環境也可以較快融入，第二、其子女若要來台就學阻礙較少，大陸的語言文化都較其他國家更與我國相近，第三、大陸即便是高階人才，薪資雖近年已有增長但仍舊較歐美國家的高階勞工便宜，若能成功延攬大陸高階人才，是降低人力成本支出的契機。若只因為意識形態、立場對立，而排除大陸人才的適用，不夠明智!政府可能會有一些國安的考量，但政府當然可以立規定限制延攬大陸人才的範圍，例如排除掉國防、情報單位晉用大陸人民</w:t>
            </w:r>
            <w:r w:rsidR="0049577B" w:rsidRPr="004B3637">
              <w:rPr>
                <w:rStyle w:val="af7"/>
                <w:rFonts w:eastAsia="新細明體"/>
                <w:sz w:val="20"/>
                <w:szCs w:val="24"/>
              </w:rPr>
              <w:footnoteReference w:id="40"/>
            </w:r>
            <w:r w:rsidR="0049577B" w:rsidRPr="0065263F">
              <w:rPr>
                <w:sz w:val="24"/>
                <w:szCs w:val="24"/>
                <w:shd w:val="clear" w:color="auto" w:fill="FFFFFF"/>
              </w:rPr>
              <w:t>。</w:t>
            </w:r>
          </w:p>
          <w:p w:rsidR="0049577B" w:rsidRPr="0065263F" w:rsidRDefault="0050701A" w:rsidP="00D440E2">
            <w:pPr>
              <w:ind w:leftChars="18" w:left="47"/>
              <w:rPr>
                <w:sz w:val="24"/>
                <w:szCs w:val="24"/>
              </w:rPr>
            </w:pPr>
            <w:r w:rsidRPr="0065263F">
              <w:rPr>
                <w:sz w:val="24"/>
                <w:szCs w:val="24"/>
                <w:shd w:val="clear" w:color="auto" w:fill="FFFFFF"/>
              </w:rPr>
              <w:t xml:space="preserve">　　</w:t>
            </w:r>
            <w:r w:rsidR="0049577B" w:rsidRPr="0065263F">
              <w:rPr>
                <w:sz w:val="24"/>
                <w:szCs w:val="24"/>
                <w:shd w:val="clear" w:color="auto" w:fill="FFFFFF"/>
              </w:rPr>
              <w:t>中國資源多、市場大，近幾年來也出現了大批「海歸人士」，也就是到國外唸書但卻又回到中國發展企業，我認為台灣能參照中國的案例，研究中國一些吸引海外華人的計畫，來制定我國「留才」的政策。「攬才」部分，大陸將延攬人才列為國家戰略，反觀台灣，常用一些專案方式，因應人才流失，而沒有長期、有遠見的規劃。大陸延攬台灣人才赴陸工作，也是不遺餘力，除了祭出高薪外，制度、規定也比較友善，就舉竹科為例，近年因為對岸搶人才，給出約為竹科工程師2至3倍的薪水，造成竹科連年人才荒。對於此現象，我認為台灣須趕緊想出對策，否則，人才一直流失，後果將不堪設想</w:t>
            </w:r>
            <w:r w:rsidR="0049577B" w:rsidRPr="004B3637">
              <w:rPr>
                <w:rStyle w:val="af7"/>
                <w:rFonts w:eastAsia="新細明體"/>
                <w:sz w:val="20"/>
                <w:szCs w:val="24"/>
              </w:rPr>
              <w:footnoteReference w:id="41"/>
            </w:r>
            <w:r w:rsidR="0049577B" w:rsidRPr="0065263F">
              <w:rPr>
                <w:sz w:val="24"/>
                <w:szCs w:val="24"/>
                <w:shd w:val="clear" w:color="auto" w:fill="FFFFFF"/>
              </w:rPr>
              <w:t>。</w:t>
            </w:r>
          </w:p>
        </w:tc>
      </w:tr>
      <w:tr w:rsidR="0049577B" w:rsidRPr="00B40DC1" w:rsidTr="005606DC">
        <w:tc>
          <w:tcPr>
            <w:tcW w:w="1607" w:type="dxa"/>
          </w:tcPr>
          <w:p w:rsidR="0049577B" w:rsidRPr="00B40DC1" w:rsidRDefault="0049577B" w:rsidP="005606DC">
            <w:pPr>
              <w:spacing w:line="240" w:lineRule="auto"/>
              <w:ind w:leftChars="0" w:left="0" w:rightChars="0" w:right="0"/>
            </w:pPr>
            <w:r w:rsidRPr="00B40DC1">
              <w:lastRenderedPageBreak/>
              <w:t>警大841國境系境管組吳佳承先生(841242)</w:t>
            </w:r>
          </w:p>
        </w:tc>
        <w:tc>
          <w:tcPr>
            <w:tcW w:w="8169" w:type="dxa"/>
          </w:tcPr>
          <w:p w:rsidR="0049577B" w:rsidRPr="0065263F" w:rsidRDefault="00C73C9C" w:rsidP="00C41545">
            <w:pPr>
              <w:ind w:leftChars="0" w:left="0"/>
              <w:rPr>
                <w:sz w:val="24"/>
                <w:szCs w:val="24"/>
              </w:rPr>
            </w:pPr>
            <w:r w:rsidRPr="0065263F">
              <w:rPr>
                <w:sz w:val="24"/>
                <w:szCs w:val="24"/>
              </w:rPr>
              <w:t xml:space="preserve">　　</w:t>
            </w:r>
            <w:r w:rsidR="0049577B" w:rsidRPr="0065263F">
              <w:rPr>
                <w:sz w:val="24"/>
                <w:szCs w:val="24"/>
              </w:rPr>
              <w:t>吳佳承先生表示：為因應全球經濟競爭、新興科技產業發展，世界各國皆積極引進白領專業技術人才，以確保國力之發展，我國亦不例外。在大一的人口移動課程中，曾提到我國於100年「中華民國人口政策綱領」中明定「配合國內經濟、教育、科技及文化等之發展，規劃多元專業人才之移入」，即表現出政府對於專業人才移入的渴望。然而，隨著世界的情勢移轉，大陸之經濟崛起，加上鄰近國家，如香港、新加坡、南韓等國家亦在專業人才方面的培育與挖掘皆有所進展，使得我國專業人才不但沒有增加，更甚者，我國專業人才流失的情形，不增反減，「高出低進」之現象，嚴重影響我國人口結構。由以上種種因素，使我國在育才、留才、攬才三方面皆遇到瓶頸</w:t>
            </w:r>
            <w:r w:rsidR="0049577B" w:rsidRPr="004B3637">
              <w:rPr>
                <w:rStyle w:val="af7"/>
                <w:rFonts w:eastAsia="新細明體"/>
                <w:sz w:val="20"/>
                <w:szCs w:val="24"/>
              </w:rPr>
              <w:footnoteReference w:id="42"/>
            </w:r>
            <w:r w:rsidR="0049577B" w:rsidRPr="0065263F">
              <w:rPr>
                <w:sz w:val="24"/>
                <w:szCs w:val="24"/>
              </w:rPr>
              <w:t>，因此，無論是法制面、政策面，或是實務面，必須要有因應作為，讓我國高專人才總數大大提升</w:t>
            </w:r>
            <w:r w:rsidR="0049577B" w:rsidRPr="004B3637">
              <w:rPr>
                <w:rStyle w:val="af7"/>
                <w:rFonts w:eastAsia="新細明體"/>
                <w:sz w:val="20"/>
                <w:szCs w:val="24"/>
              </w:rPr>
              <w:footnoteReference w:id="43"/>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欲吸引高專人才來台，必須要有可期待的誘因，留住我國高專人才和招攬外國高專人才，首先，先由法制面著手，國家發展委員會協同相關部會，研擬</w:t>
            </w:r>
            <w:r w:rsidR="00654D1D" w:rsidRPr="0065263F">
              <w:rPr>
                <w:sz w:val="24"/>
                <w:szCs w:val="24"/>
              </w:rPr>
              <w:t>「</w:t>
            </w:r>
            <w:hyperlink r:id="rId29" w:history="1">
              <w:r w:rsidR="00654D1D" w:rsidRPr="00654D1D">
                <w:rPr>
                  <w:rStyle w:val="a7"/>
                  <w:rFonts w:cs="Times New Roman"/>
                  <w:sz w:val="24"/>
                  <w:szCs w:val="24"/>
                  <w:lang w:eastAsia="zh-TW" w:bidi="ar-SA"/>
                </w:rPr>
                <w:t>外國專業人才延攬及僱用法</w:t>
              </w:r>
            </w:hyperlink>
            <w:r w:rsidR="0049577B" w:rsidRPr="0065263F">
              <w:rPr>
                <w:sz w:val="24"/>
                <w:szCs w:val="24"/>
              </w:rPr>
              <w:t>」，於106年10月31日經立法院三讀通過，總統於同年11月22日公布，為我國留才攬才立下重要里程碑。</w:t>
            </w:r>
            <w:r w:rsidR="00654D1D" w:rsidRPr="0065263F">
              <w:rPr>
                <w:kern w:val="0"/>
                <w:sz w:val="24"/>
                <w:szCs w:val="24"/>
              </w:rPr>
              <w:t>「</w:t>
            </w:r>
            <w:hyperlink r:id="rId30" w:history="1">
              <w:r w:rsidR="00654D1D" w:rsidRPr="00654D1D">
                <w:rPr>
                  <w:rStyle w:val="a7"/>
                  <w:rFonts w:cs="Times New Roman"/>
                  <w:sz w:val="24"/>
                  <w:szCs w:val="24"/>
                  <w:lang w:eastAsia="zh-TW" w:bidi="ar-SA"/>
                </w:rPr>
                <w:t>外國專業人才延攬及僱用法</w:t>
              </w:r>
            </w:hyperlink>
            <w:r w:rsidR="0049577B" w:rsidRPr="0065263F">
              <w:rPr>
                <w:sz w:val="24"/>
                <w:szCs w:val="24"/>
              </w:rPr>
              <w:t>」中，快速及通盤鬆綁外國人才來臺及留臺工作及生活之各類法規限制，以下簡述之</w:t>
            </w:r>
            <w:r w:rsidR="0049577B" w:rsidRPr="004B3637">
              <w:rPr>
                <w:rStyle w:val="af7"/>
                <w:rFonts w:eastAsia="新細明體"/>
                <w:sz w:val="20"/>
                <w:szCs w:val="24"/>
              </w:rPr>
              <w:footnoteReference w:id="44"/>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(一)核發「就業金卡」給外國高專人才(</w:t>
            </w:r>
            <w:hyperlink r:id="rId31" w:anchor="a8" w:history="1">
              <w:r w:rsidR="0049577B" w:rsidRPr="00654D1D">
                <w:rPr>
                  <w:rStyle w:val="a7"/>
                  <w:rFonts w:cs="Times New Roman"/>
                  <w:sz w:val="24"/>
                  <w:szCs w:val="24"/>
                  <w:lang w:eastAsia="zh-TW" w:bidi="ar-SA"/>
                </w:rPr>
                <w:t>第8條</w:t>
              </w:r>
            </w:hyperlink>
            <w:r w:rsidR="0049577B" w:rsidRPr="0065263F">
              <w:rPr>
                <w:sz w:val="24"/>
                <w:szCs w:val="24"/>
              </w:rPr>
              <w:t>)，此卡為具工作許可、</w:t>
            </w:r>
            <w:r w:rsidR="0049577B" w:rsidRPr="0065263F">
              <w:rPr>
                <w:sz w:val="24"/>
                <w:szCs w:val="24"/>
              </w:rPr>
              <w:lastRenderedPageBreak/>
              <w:t>居留簽證、外僑居留證及重入國許可四證合一，便利其能尋職或轉換工作。另外，先前之「學術及商務旅行卡」、「就業PASS卡」(與就業金卡類似)、「梅花卡」三卡仍持續推行，期盼外國高專人才能長期於我國工作和發展。</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二)鬆綁父母配偶及子女停居留規定，例如：放寬配偶及子女申請永久居留、核發成年子女留臺個人工作許可、延長直系尊親屬探親停留期限等等，家庭有如避風港，此種規定會使其更加願意於我國工作，依親規定能大大成為攬才之拉力。</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(三)提供退休、健保及租稅優惠，此為打造友善工作環境，保障他們的退休生活、健康及財產等各方面。</w:t>
            </w:r>
          </w:p>
          <w:p w:rsidR="0049577B" w:rsidRPr="0065263F" w:rsidRDefault="00C73C9C" w:rsidP="00C41545">
            <w:pPr>
              <w:ind w:leftChars="0" w:left="0"/>
              <w:rPr>
                <w:sz w:val="24"/>
                <w:szCs w:val="24"/>
              </w:rPr>
            </w:pPr>
            <w:r w:rsidRPr="0065263F">
              <w:rPr>
                <w:sz w:val="24"/>
                <w:szCs w:val="24"/>
              </w:rPr>
              <w:t xml:space="preserve">　　</w:t>
            </w:r>
            <w:r w:rsidR="0049577B" w:rsidRPr="0065263F">
              <w:rPr>
                <w:sz w:val="24"/>
                <w:szCs w:val="24"/>
              </w:rPr>
              <w:t>下圖為</w:t>
            </w:r>
            <w:r w:rsidR="00654D1D" w:rsidRPr="0065263F">
              <w:rPr>
                <w:sz w:val="24"/>
                <w:szCs w:val="24"/>
              </w:rPr>
              <w:t>「</w:t>
            </w:r>
            <w:hyperlink r:id="rId32" w:history="1">
              <w:r w:rsidR="00654D1D" w:rsidRPr="00654D1D">
                <w:rPr>
                  <w:rStyle w:val="a7"/>
                  <w:rFonts w:cs="Times New Roman"/>
                  <w:sz w:val="24"/>
                  <w:szCs w:val="24"/>
                  <w:lang w:eastAsia="zh-TW" w:bidi="ar-SA"/>
                </w:rPr>
                <w:t>外國專業人才延攬及僱用法</w:t>
              </w:r>
            </w:hyperlink>
            <w:r w:rsidR="0049577B" w:rsidRPr="0065263F">
              <w:rPr>
                <w:sz w:val="24"/>
                <w:szCs w:val="24"/>
              </w:rPr>
              <w:t>」之立法架構：</w:t>
            </w:r>
            <w:r w:rsidR="005606DC" w:rsidRPr="0065263F">
              <w:rPr>
                <w:rFonts w:hint="eastAsia"/>
                <w:color w:val="FFFFFF" w:themeColor="background1"/>
                <w:sz w:val="24"/>
                <w:szCs w:val="24"/>
              </w:rPr>
              <w:t>◇◆</w:t>
            </w:r>
          </w:p>
          <w:p w:rsidR="0049577B" w:rsidRPr="0065263F" w:rsidRDefault="0049577B" w:rsidP="00C41545">
            <w:pPr>
              <w:ind w:leftChars="0" w:left="0"/>
              <w:rPr>
                <w:sz w:val="24"/>
                <w:szCs w:val="24"/>
              </w:rPr>
            </w:pPr>
            <w:r w:rsidRPr="0065263F">
              <w:rPr>
                <w:noProof/>
                <w:sz w:val="24"/>
                <w:szCs w:val="24"/>
              </w:rPr>
              <w:drawing>
                <wp:inline distT="0" distB="0" distL="0" distR="0" wp14:anchorId="208BC6FA" wp14:editId="2D5D2808">
                  <wp:extent cx="5050302" cy="2594876"/>
                  <wp:effectExtent l="0" t="0" r="0" b="0"/>
                  <wp:docPr id="15" name="圖片 15"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片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9668" cy="2609965"/>
                          </a:xfrm>
                          <a:prstGeom prst="rect">
                            <a:avLst/>
                          </a:prstGeom>
                          <a:noFill/>
                          <a:ln>
                            <a:noFill/>
                          </a:ln>
                        </pic:spPr>
                      </pic:pic>
                    </a:graphicData>
                  </a:graphic>
                </wp:inline>
              </w:drawing>
            </w:r>
          </w:p>
          <w:p w:rsidR="0049577B" w:rsidRPr="0065263F" w:rsidRDefault="00C41545" w:rsidP="00C41545">
            <w:pPr>
              <w:ind w:leftChars="0" w:left="0"/>
              <w:rPr>
                <w:sz w:val="24"/>
                <w:szCs w:val="24"/>
              </w:rPr>
            </w:pPr>
            <w:r w:rsidRPr="0065263F">
              <w:rPr>
                <w:rFonts w:hint="eastAsia"/>
                <w:sz w:val="24"/>
                <w:szCs w:val="24"/>
              </w:rPr>
              <w:t>【</w:t>
            </w:r>
            <w:r w:rsidR="0049577B" w:rsidRPr="0065263F">
              <w:rPr>
                <w:sz w:val="24"/>
                <w:szCs w:val="24"/>
              </w:rPr>
              <w:t>資料來源</w:t>
            </w:r>
            <w:r w:rsidRPr="0065263F">
              <w:rPr>
                <w:rFonts w:hint="eastAsia"/>
                <w:sz w:val="24"/>
                <w:szCs w:val="24"/>
              </w:rPr>
              <w:t>】</w:t>
            </w:r>
            <w:r w:rsidR="0049577B" w:rsidRPr="0065263F">
              <w:rPr>
                <w:sz w:val="24"/>
                <w:szCs w:val="24"/>
              </w:rPr>
              <w:t>行政院國發會網站(2017)。</w:t>
            </w:r>
          </w:p>
          <w:p w:rsidR="0049577B" w:rsidRPr="0065263F" w:rsidRDefault="0049577B" w:rsidP="00C41545">
            <w:pPr>
              <w:ind w:leftChars="0" w:left="0"/>
              <w:rPr>
                <w:sz w:val="24"/>
                <w:szCs w:val="24"/>
              </w:rPr>
            </w:pP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由以上得知，</w:t>
            </w:r>
            <w:r w:rsidR="00654D1D" w:rsidRPr="0065263F">
              <w:rPr>
                <w:sz w:val="24"/>
                <w:szCs w:val="24"/>
              </w:rPr>
              <w:t>「</w:t>
            </w:r>
            <w:hyperlink r:id="rId34" w:history="1">
              <w:r w:rsidR="00654D1D" w:rsidRPr="00654D1D">
                <w:rPr>
                  <w:rStyle w:val="a7"/>
                  <w:rFonts w:cs="Times New Roman"/>
                  <w:sz w:val="24"/>
                  <w:szCs w:val="24"/>
                  <w:lang w:eastAsia="zh-TW" w:bidi="ar-SA"/>
                </w:rPr>
                <w:t>外國專業人才延攬及僱用法</w:t>
              </w:r>
            </w:hyperlink>
            <w:r w:rsidR="0049577B" w:rsidRPr="0065263F">
              <w:rPr>
                <w:sz w:val="24"/>
                <w:szCs w:val="24"/>
              </w:rPr>
              <w:t>」之主管機關為國發會，但是必須會同勞動部、移民署等機關及配合其他相關法律，吸引外國高專人才始能更加全面性</w:t>
            </w:r>
            <w:r w:rsidR="0049577B" w:rsidRPr="004B3637">
              <w:rPr>
                <w:rStyle w:val="af7"/>
                <w:rFonts w:eastAsia="新細明體"/>
                <w:sz w:val="20"/>
                <w:szCs w:val="24"/>
              </w:rPr>
              <w:footnoteReference w:id="45"/>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至於大陸地區之高專人才，我國亦有所努力，此規範於「</w:t>
            </w:r>
            <w:hyperlink r:id="rId35" w:history="1">
              <w:r w:rsidR="0049577B" w:rsidRPr="00196F1E">
                <w:rPr>
                  <w:rStyle w:val="a7"/>
                  <w:rFonts w:cs="Times New Roman"/>
                  <w:sz w:val="24"/>
                  <w:szCs w:val="24"/>
                  <w:lang w:eastAsia="zh-TW" w:bidi="ar-SA"/>
                </w:rPr>
                <w:t>大陸地區人民進入台灣地區許可辦法</w:t>
              </w:r>
            </w:hyperlink>
            <w:r w:rsidR="0049577B" w:rsidRPr="0065263F">
              <w:rPr>
                <w:sz w:val="24"/>
                <w:szCs w:val="24"/>
              </w:rPr>
              <w:t>」，由實務面得知，目前來我國之大陸高專人才大部分，為短期性的專業交流，學術科技研究和產業科技研究人數，相當有限，因此，政府必須訂定相關政策，以吸引此兩方面科技人才來台工作。由於同文同種的關係，加上兩岸近來經貿頻繁，大陸之高專人才，係為我國挖掘之對象，因此需要鬆綁一些規定，保障其生活、工作、家庭等各層面之需求</w:t>
            </w:r>
            <w:r w:rsidR="0049577B" w:rsidRPr="004B3637">
              <w:rPr>
                <w:rStyle w:val="af7"/>
                <w:rFonts w:eastAsia="新細明體"/>
                <w:sz w:val="20"/>
                <w:szCs w:val="24"/>
              </w:rPr>
              <w:footnoteReference w:id="46"/>
            </w:r>
            <w:r w:rsidR="0049577B" w:rsidRPr="0065263F">
              <w:rPr>
                <w:sz w:val="24"/>
                <w:szCs w:val="24"/>
              </w:rPr>
              <w:t>。</w:t>
            </w:r>
          </w:p>
          <w:p w:rsidR="0049577B" w:rsidRPr="0065263F" w:rsidRDefault="0049577B" w:rsidP="00C41545">
            <w:pPr>
              <w:ind w:leftChars="0" w:left="0"/>
              <w:rPr>
                <w:sz w:val="24"/>
                <w:szCs w:val="24"/>
              </w:rPr>
            </w:pPr>
            <w:r w:rsidRPr="0065263F">
              <w:rPr>
                <w:sz w:val="24"/>
                <w:szCs w:val="24"/>
              </w:rPr>
              <w:t>在天下雜誌一篇報導曾說一些怪象：1.沒工作簽證還得繳稅、2.高稅率、高管制、企業只能賣夢想</w:t>
            </w:r>
            <w:r w:rsidRPr="004B3637">
              <w:rPr>
                <w:rStyle w:val="af7"/>
                <w:rFonts w:eastAsia="新細明體"/>
                <w:sz w:val="20"/>
                <w:szCs w:val="24"/>
              </w:rPr>
              <w:footnoteReference w:id="47"/>
            </w:r>
            <w:r w:rsidRPr="0065263F">
              <w:rPr>
                <w:sz w:val="24"/>
                <w:szCs w:val="24"/>
              </w:rPr>
              <w:t>。明示了實際上外國高專人才來我國遭遇到許多困難，希望「</w:t>
            </w:r>
            <w:hyperlink r:id="rId36" w:history="1">
              <w:r w:rsidR="0065263F" w:rsidRPr="00654D1D">
                <w:rPr>
                  <w:rStyle w:val="a7"/>
                  <w:rFonts w:cs="Times New Roman"/>
                  <w:sz w:val="24"/>
                  <w:szCs w:val="24"/>
                  <w:lang w:eastAsia="zh-TW" w:bidi="ar-SA"/>
                </w:rPr>
                <w:t>外國專業人才延攬及僱用法</w:t>
              </w:r>
            </w:hyperlink>
            <w:r w:rsidRPr="0065263F">
              <w:rPr>
                <w:sz w:val="24"/>
                <w:szCs w:val="24"/>
              </w:rPr>
              <w:t>」之訂定，能夠大大改善此一問題，</w:t>
            </w:r>
            <w:r w:rsidRPr="0065263F">
              <w:rPr>
                <w:sz w:val="24"/>
                <w:szCs w:val="24"/>
              </w:rPr>
              <w:lastRenderedPageBreak/>
              <w:t>而我認為政府也要致力於語言輔導此一區塊，期能幫助外國高專人才快速融入台灣社會與文化。高專人才是我國產業更上一層樓的核心，所以，相關部門必須更投入，期盼更多高專人才來台工作，並且保住我國之廠商與高專人才，避免人才外流</w:t>
            </w:r>
            <w:r w:rsidRPr="004B3637">
              <w:rPr>
                <w:rStyle w:val="af7"/>
                <w:rFonts w:eastAsia="新細明體"/>
                <w:sz w:val="20"/>
                <w:szCs w:val="24"/>
              </w:rPr>
              <w:footnoteReference w:id="48"/>
            </w:r>
            <w:r w:rsidRPr="0065263F">
              <w:rPr>
                <w:sz w:val="24"/>
                <w:szCs w:val="24"/>
              </w:rPr>
              <w:t>。</w:t>
            </w:r>
          </w:p>
        </w:tc>
      </w:tr>
      <w:tr w:rsidR="0049577B" w:rsidRPr="00B40DC1" w:rsidTr="005606DC">
        <w:tc>
          <w:tcPr>
            <w:tcW w:w="1607" w:type="dxa"/>
          </w:tcPr>
          <w:p w:rsidR="0049577B" w:rsidRPr="00B40DC1" w:rsidRDefault="0049577B" w:rsidP="005606DC">
            <w:pPr>
              <w:spacing w:line="240" w:lineRule="auto"/>
              <w:ind w:leftChars="0" w:left="0" w:rightChars="0" w:right="0"/>
            </w:pPr>
            <w:r w:rsidRPr="00B40DC1">
              <w:lastRenderedPageBreak/>
              <w:t>警大841國境系境管組王家彬先生(841243)</w:t>
            </w:r>
          </w:p>
        </w:tc>
        <w:tc>
          <w:tcPr>
            <w:tcW w:w="8169" w:type="dxa"/>
          </w:tcPr>
          <w:p w:rsidR="0049577B" w:rsidRPr="0065263F" w:rsidRDefault="004B3637" w:rsidP="004B3637">
            <w:pPr>
              <w:ind w:leftChars="0" w:left="0"/>
              <w:rPr>
                <w:sz w:val="24"/>
                <w:szCs w:val="24"/>
              </w:rPr>
            </w:pPr>
            <w:r>
              <w:rPr>
                <w:rFonts w:hint="eastAsia"/>
                <w:sz w:val="24"/>
                <w:szCs w:val="24"/>
              </w:rPr>
              <w:t xml:space="preserve">　　</w:t>
            </w:r>
            <w:r w:rsidR="0049577B" w:rsidRPr="0065263F">
              <w:rPr>
                <w:sz w:val="24"/>
                <w:szCs w:val="24"/>
              </w:rPr>
              <w:t>警大841國境系境管組王家彬先生表示：「綜觀台灣的經濟發展歷史，荷治大航海時代，及明清時代鄭氏、滿清對台灣之殖民，大多作為轉運中繼站，或為自給自足之供應模式作為反清復明之據點，尚無現代經濟之雛形，亦無長久發展台灣本島之意圖，故台灣現代經濟之起源應由日治初期之「工業日本、農業台灣」政策以降來觀察，台灣始有「有系統性」之現代經濟之發展，所謂有系統性指其產業之目的不僅是單純為了自給自足，而是加入「生產」、「貿易」概念，台灣生產、供給日本農業產品，日本則生產並供應台灣日常民生用品。雖以日本殖民之目的來看，係將台灣視為日本本國之糧倉，但以三級產業分類來看，不能否認日本於台灣殖民發展農業奠定將來發展二級產業（工業）之良好基礎</w:t>
            </w:r>
            <w:r w:rsidR="0049577B" w:rsidRPr="004B3637">
              <w:rPr>
                <w:rStyle w:val="af7"/>
                <w:rFonts w:eastAsia="新細明體"/>
                <w:sz w:val="20"/>
                <w:szCs w:val="24"/>
              </w:rPr>
              <w:footnoteReference w:id="49"/>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二次世界大戰期間，日本將台灣殖民政策改為「工業台灣、農業南洋」，簡單來說，就是大家耳熟能詳的「南進政策」。雖然台灣（日本）係主動將產業外移，但台灣面臨第一次的產業外移，其應對政策之大方向仍有參考價值，亦即「有下一步」。因將第一級產業向南洋移轉，故台灣產業出現空洞，而日本政府早已計畫發展下一步---台灣之工業化，欲將台灣產業轉型。無奈正值第二次世界大戰，一來物資多用於戰場，二來人力（勞動人口）亦投身戰場，故經濟受創嚴重；再者，日本於二次大戰戰敗，台灣由國民政府接收，經濟政策至此無疾而終，且國民政府接管初期貪腐情形嚴重，更遑論經濟發展，故台灣在1953年進口替代時期之前經濟發展遲滯了近十年</w:t>
            </w:r>
            <w:r w:rsidR="0049577B" w:rsidRPr="004B3637">
              <w:rPr>
                <w:rStyle w:val="af7"/>
                <w:rFonts w:eastAsia="新細明體"/>
                <w:sz w:val="20"/>
                <w:szCs w:val="24"/>
              </w:rPr>
              <w:footnoteReference w:id="50"/>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台灣於1950、60年代開始產業轉型，由接管初期為安定民生所推行之穩定經濟政策，開始向外發展</w:t>
            </w:r>
            <w:r w:rsidR="0049577B" w:rsidRPr="004B3637">
              <w:rPr>
                <w:rStyle w:val="af7"/>
                <w:rFonts w:eastAsia="新細明體"/>
                <w:sz w:val="20"/>
                <w:szCs w:val="24"/>
              </w:rPr>
              <w:footnoteReference w:id="51"/>
            </w:r>
            <w:r w:rsidR="0049577B" w:rsidRPr="0065263F">
              <w:rPr>
                <w:sz w:val="24"/>
                <w:szCs w:val="24"/>
              </w:rPr>
              <w:t>。由於該時期人力已充足且快速增長，故由農業為主轉為人力密集之輕工業、加工業，配合關稅策略，提升競爭力，成功帶動工業發展。先總統蔣經國先生（時任行政院院長）之「十大建設政策」更是將台灣經濟發展推向歷史高峰，一句閩南語諺語「台灣錢淹腳目」，足以貼切形容當時經濟榮景</w:t>
            </w:r>
            <w:r w:rsidR="0049577B" w:rsidRPr="004B3637">
              <w:rPr>
                <w:rStyle w:val="af7"/>
                <w:rFonts w:eastAsia="新細明體"/>
                <w:sz w:val="20"/>
                <w:szCs w:val="24"/>
              </w:rPr>
              <w:footnoteReference w:id="52"/>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每個時代都有其經濟的困境與挑戰，但無非就是要了解情勢，孫子兵法有云：「知己知彼，百戰不殆。」回溯歷史軌跡，經濟政策有成有敗，必有其脈絡可循。時光推移至現代21世紀，交通工具革新、科技發展、資訊爆炸、全球化時代等等詞彙馬上在腦海浮現，但這些都只能說是「現象」，它們並不是造成台灣經濟困境的直接原因，若能抓住先機，甚至可以成為台灣經濟發</w:t>
            </w:r>
            <w:r w:rsidR="0049577B" w:rsidRPr="0065263F">
              <w:rPr>
                <w:sz w:val="24"/>
                <w:szCs w:val="24"/>
              </w:rPr>
              <w:lastRenderedPageBreak/>
              <w:t>展的優勢。但在這些現象發生後，以往可能要數十年、數百年時間才能翻轉世界，現在十年、二十年就讓世界完全改變樣貌。因此台灣在人力、水力、土地、自然等資源、電力、資金不足、低薪的情況下，如何因應時代快速變遷，跟上世界強國的腳步，是一大挑戰</w:t>
            </w:r>
            <w:r w:rsidR="0049577B" w:rsidRPr="004B3637">
              <w:rPr>
                <w:rStyle w:val="af7"/>
                <w:rFonts w:eastAsia="新細明體"/>
                <w:sz w:val="20"/>
                <w:szCs w:val="24"/>
              </w:rPr>
              <w:footnoteReference w:id="53"/>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從產業及人流面，觀察現代台灣面臨之經濟困境與問題：由於歷史政治因素，使我國與中國政治情勢一直呈現理念不同的狀態，也因此我國在國際地位上受到許多限制與打壓。自中華民國於1971年（民國60年）退出聯合國開始，國際地位逐漸由中華人民共和國取代，聯合國及相關組織、世界多國在政治立場上也都不承認我國主權，造成衛生、外交、經濟各方面的資源、資訊取得不易，無法與世界各國直接交流與互動</w:t>
            </w:r>
            <w:r w:rsidR="0049577B" w:rsidRPr="004B3637">
              <w:rPr>
                <w:rStyle w:val="af7"/>
                <w:rFonts w:eastAsia="新細明體"/>
                <w:sz w:val="20"/>
                <w:szCs w:val="24"/>
              </w:rPr>
              <w:footnoteReference w:id="54"/>
            </w:r>
            <w:r w:rsidR="0049577B" w:rsidRPr="0065263F">
              <w:rPr>
                <w:sz w:val="24"/>
                <w:szCs w:val="24"/>
              </w:rPr>
              <w:t>。其中在經濟方面，雖然我國目前以「臺灣、澎湖、金門及馬祖個別關稅領域」（The Separate Customs Territory of Taiwan, Penghu, Kinmen and Matsu）名稱佔有世界貿易組織（Worid Trade Organization，WTO）會員國之一席，但雙邊或多邊貿易協定簽訂等牽涉主權之作為就較為困難</w:t>
            </w:r>
            <w:r w:rsidR="0049577B" w:rsidRPr="004B3637">
              <w:rPr>
                <w:rStyle w:val="af7"/>
                <w:rFonts w:eastAsia="新細明體"/>
                <w:sz w:val="20"/>
                <w:szCs w:val="24"/>
              </w:rPr>
              <w:footnoteReference w:id="55"/>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除了因國際主權地位造成的經濟影響外，我國自身的經濟限制亦不容忽視。現代交通工具發達，造成移民現象相當普遍，國際間資訊、資源流通快速，而專業技術人才成為國家競爭力的關鍵。近幾年我國企業、專業人才不斷外流，造成我國產業、產值嚴重衰退，亞洲四小龍之首之榮景不再，個人認為可能有下列因素：一、西部平原之人口壓力，生存空間、資源受壓縮；二、知識水準提高，薪資要求提高，而資方不願或無力支付；三、政府政策造成企業壓力（包含成本及福利）；四、市場規模不足，沒有發展性；五、本地勞動人口不足，造成人力資本短缺；六、訓練機構專業不足；七、我國本土企業資產規模普遍較小，高專人才大材小用。造成產業及人才外流的推力，若能將其改為拉力，不僅能留住我國人才，更能成為吸引外國專業技術人才移入的一大優勢。除我國自然資源、土地面積、政治地位等難以改變之因素外，政府及企業各有其責任及可行之方案，以下進行說明</w:t>
            </w:r>
            <w:r w:rsidR="0049577B" w:rsidRPr="004B3637">
              <w:rPr>
                <w:rStyle w:val="af7"/>
                <w:rFonts w:eastAsia="新細明體"/>
                <w:sz w:val="20"/>
                <w:szCs w:val="24"/>
              </w:rPr>
              <w:footnoteReference w:id="56"/>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在企業留才或攬才可行之作為方面，國內專業技術人才外流，第一線遭受衝擊者莫過於在國內經營之企業，失去專業技術人才，代表著企業可能會有人力資本短少，以及內部專業技術不足等問題出現，進而造成企業競爭力下降，之後人才、資金流失，如此持續惡性循環，國內企業便持續萎縮，最後難逃破產命運，影響國人就業收入，及國家整體經濟</w:t>
            </w:r>
            <w:r w:rsidR="0049577B" w:rsidRPr="004B3637">
              <w:rPr>
                <w:rStyle w:val="af7"/>
                <w:rFonts w:eastAsia="新細明體"/>
                <w:sz w:val="20"/>
                <w:szCs w:val="24"/>
              </w:rPr>
              <w:footnoteReference w:id="57"/>
            </w:r>
            <w:r w:rsidR="0049577B" w:rsidRPr="0065263F">
              <w:rPr>
                <w:sz w:val="24"/>
                <w:szCs w:val="24"/>
              </w:rPr>
              <w:t>。故針對企業面對此等情況可履行以下之對策：一、建立內部進修訓練機制，提升專業能力；二、建立完善公司福利制度；三、保障員工權益；四、若無力支付大量高薪員工，可縮減員工數量；五、多向免關稅的貿易協定或貿易圈的國家進行出</w:t>
            </w:r>
            <w:r w:rsidR="0049577B" w:rsidRPr="0065263F">
              <w:rPr>
                <w:sz w:val="24"/>
                <w:szCs w:val="24"/>
              </w:rPr>
              <w:lastRenderedPageBreak/>
              <w:t>口，擴大商品市場；六、產學合作，提供實習機會，並積極延攬國內優秀社會新鮮人。惟高級技術人才外流並非僅僅是企業的責任，更有很大的原因是政府的政策導致國內人才外流，以及國外人才因移民、就業門檻過度嚴格而不願、不能在我國就業，故政府須因應時代趨勢，訂定適當法律，修正移民門檻，協助企業留住或延攬國內外高級專業人才</w:t>
            </w:r>
            <w:r w:rsidR="0049577B" w:rsidRPr="004B3637">
              <w:rPr>
                <w:rStyle w:val="af7"/>
                <w:rFonts w:eastAsia="新細明體"/>
                <w:sz w:val="20"/>
                <w:szCs w:val="24"/>
              </w:rPr>
              <w:footnoteReference w:id="58"/>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政府如何吸引高級技術人才來台就業----企業提供高收入或是良好就業福利確實是吸引外國高專人才來台就業的一大誘因，不過仍有相當多其他因素可能阻礙外國人才來台，例如：語言不通、家人可能無法隨同來台、家人來台後的文化適應問題、小孩學習是否會無法跟上其他本地同學、居停留或簽證門檻過高導致資格不符、與家鄉距離考量、是否可能失業、退休養老福利等等，皆為政府應納入考量的問題，從而適度修正法律或行政命令，減少外國高專人來台之阻礙，相對增加吸引力</w:t>
            </w:r>
            <w:r w:rsidR="0049577B" w:rsidRPr="004B3637">
              <w:rPr>
                <w:rStyle w:val="af7"/>
                <w:rFonts w:eastAsia="新細明體"/>
                <w:sz w:val="20"/>
                <w:szCs w:val="24"/>
              </w:rPr>
              <w:footnoteReference w:id="59"/>
            </w:r>
            <w:r w:rsidR="0049577B" w:rsidRPr="0065263F">
              <w:rPr>
                <w:sz w:val="24"/>
                <w:szCs w:val="24"/>
              </w:rPr>
              <w:t>。</w:t>
            </w:r>
          </w:p>
          <w:p w:rsidR="0049577B" w:rsidRPr="0065263F" w:rsidRDefault="00C41545" w:rsidP="00C41545">
            <w:pPr>
              <w:ind w:leftChars="0" w:left="0"/>
              <w:rPr>
                <w:sz w:val="24"/>
                <w:szCs w:val="24"/>
              </w:rPr>
            </w:pPr>
            <w:r w:rsidRPr="0065263F">
              <w:rPr>
                <w:sz w:val="24"/>
                <w:szCs w:val="24"/>
              </w:rPr>
              <w:t xml:space="preserve">　　</w:t>
            </w:r>
            <w:r w:rsidR="0049577B" w:rsidRPr="0065263F">
              <w:rPr>
                <w:sz w:val="24"/>
                <w:szCs w:val="24"/>
              </w:rPr>
              <w:t>政府對於高級技術人才來台就業扮演重要角色，因各項國外專業人才來台之相關政策，是決定一位外國人才是否選擇來台的最大關鍵，即使有企業願意高薪挖腳，無法合法入境我國取得合法工作居留權一切就淪為空談。前言利用相當大的篇幅提及台灣經濟發展歷史，便是希望政府能以歷史為借鏡，循我國走過的歷史軌跡來尋找解決現今人才及產業外流問題的靈感，即使時代不同，仍有線索可探尋。例如，自大航海時代台灣即為東亞地區物資轉運中樞，說明我國在地理位置上相當重要，便可善加利用此優勢吸引轉運商、進出口商，或是國際製造業進駐，提升就業機會及商業水準後，國外高級專業及技術人才自然會來台就業，對國人亦有良好之吸引力，留在我國就業，亦可參考新加坡、香港、馬來西亞等與我國性質相似之國家，如何利用優勢維持國際物流轉運大港之地位；又如日治時期的「南進政策」，政府現今亦正推行「新南向政策」，鼓勵台灣產業進軍東南亞市場，加強我國與東南亞國家之經貿關係，而欲避免發生台灣產業空洞問題，則可參考日治南進政策之應對措施，有產業外移，國內就必須有其他類型的產業彌補空洞，否則會加劇勞動人口外流之情況；1950年代、1960年代因人口遽增，政府趁勢轉型產業，由傳統農業轉為勞力密集的輕工業，充分發揮人力資源優勢，亦幫助後期十大建設能夠順利完成，現今社會變遷快速，台灣欲跟上世界腳步亦必須進行產業轉型，甚至較當時更為急迫，政府可協助傳統產業、中小企業進行轉型，擺脫過時及市場飽和之產業，轉移戰場，或是在原產業內尋求創新</w:t>
            </w:r>
            <w:r w:rsidR="0049577B" w:rsidRPr="004B3637">
              <w:rPr>
                <w:rStyle w:val="af7"/>
                <w:rFonts w:eastAsia="新細明體"/>
                <w:sz w:val="20"/>
                <w:szCs w:val="24"/>
              </w:rPr>
              <w:footnoteReference w:id="60"/>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除上述舉例之外，可從根本做起，提升國內專業教育水準，訂定教師考評機制確保教師教學品質，可提升學生之專業水平，成為我國本土培育之專業技術人才，未來投入職場時若有企業完善措施的吸引力，以及政府的協助，便能增加國內新培育之高專人才投身國內就業市場，除能提升企業競爭力，更能增加國際能見度，借以吸引國外專業技術人才之加入</w:t>
            </w:r>
            <w:r w:rsidR="0049577B" w:rsidRPr="004B3637">
              <w:rPr>
                <w:rStyle w:val="af7"/>
                <w:rFonts w:eastAsia="新細明體"/>
                <w:sz w:val="20"/>
                <w:szCs w:val="24"/>
              </w:rPr>
              <w:footnoteReference w:id="61"/>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在政府最新攬才政策方面，現今世界局勢變動相當快，為落實延攬外國</w:t>
            </w:r>
            <w:r w:rsidR="0049577B" w:rsidRPr="0065263F">
              <w:rPr>
                <w:sz w:val="24"/>
                <w:szCs w:val="24"/>
              </w:rPr>
              <w:lastRenderedPageBreak/>
              <w:t>專業人才之計畫，提出實際解決人才不足之方案刻不容緩，國家發展委員會（以下簡稱國發會）近兩年研擬一法（</w:t>
            </w:r>
            <w:hyperlink r:id="rId37" w:history="1">
              <w:r w:rsidR="0065263F" w:rsidRPr="00654D1D">
                <w:rPr>
                  <w:rStyle w:val="a7"/>
                  <w:rFonts w:cs="Times New Roman"/>
                  <w:sz w:val="24"/>
                  <w:szCs w:val="24"/>
                  <w:lang w:eastAsia="zh-TW" w:bidi="ar-SA"/>
                </w:rPr>
                <w:t>外國專業人才延攬及僱用法</w:t>
              </w:r>
            </w:hyperlink>
            <w:r w:rsidR="0049577B" w:rsidRPr="0065263F">
              <w:rPr>
                <w:sz w:val="24"/>
                <w:szCs w:val="24"/>
              </w:rPr>
              <w:t>）一方案（完善我國留才環境方案），將延攬國際人才列為重點項目，並針對外國人才來台就業做一次性的統合規範，從食、衣、住、行乃至於各方面做通盤考量，期以較為寬鬆、友善之政策及法律規範，吸引並牢牢留住珍貴的高級專業人才</w:t>
            </w:r>
            <w:r w:rsidR="0049577B" w:rsidRPr="004B3637">
              <w:rPr>
                <w:rStyle w:val="af7"/>
                <w:rFonts w:eastAsia="新細明體"/>
                <w:sz w:val="20"/>
                <w:szCs w:val="24"/>
              </w:rPr>
              <w:footnoteReference w:id="62"/>
            </w:r>
            <w:r w:rsidR="0049577B" w:rsidRPr="0065263F">
              <w:rPr>
                <w:sz w:val="24"/>
                <w:szCs w:val="24"/>
              </w:rPr>
              <w:t>。</w:t>
            </w:r>
          </w:p>
          <w:p w:rsidR="0049577B" w:rsidRPr="0065263F" w:rsidRDefault="00C41545" w:rsidP="00C41545">
            <w:pPr>
              <w:ind w:leftChars="0" w:left="0"/>
              <w:rPr>
                <w:sz w:val="24"/>
                <w:szCs w:val="24"/>
              </w:rPr>
            </w:pPr>
            <w:r w:rsidRPr="0065263F">
              <w:rPr>
                <w:sz w:val="24"/>
                <w:szCs w:val="24"/>
              </w:rPr>
              <w:t xml:space="preserve">　　</w:t>
            </w:r>
            <w:r w:rsidR="0049577B" w:rsidRPr="0065263F">
              <w:rPr>
                <w:sz w:val="24"/>
                <w:szCs w:val="24"/>
              </w:rPr>
              <w:t>就</w:t>
            </w:r>
            <w:hyperlink r:id="rId38" w:history="1">
              <w:r w:rsidR="0065263F" w:rsidRPr="00654D1D">
                <w:rPr>
                  <w:rStyle w:val="a7"/>
                  <w:rFonts w:cs="Times New Roman"/>
                  <w:sz w:val="24"/>
                  <w:szCs w:val="24"/>
                  <w:lang w:eastAsia="zh-TW" w:bidi="ar-SA"/>
                </w:rPr>
                <w:t>外國專業人才延攬及僱用法</w:t>
              </w:r>
            </w:hyperlink>
            <w:r w:rsidR="0049577B" w:rsidRPr="0065263F">
              <w:rPr>
                <w:sz w:val="24"/>
                <w:szCs w:val="24"/>
              </w:rPr>
              <w:t>而論，民國106年10月31日經立法院三讀通過，並於同年11月22日由總統公布，為人才之延攬訂立專法。雖該法</w:t>
            </w:r>
            <w:hyperlink r:id="rId39" w:anchor="a3" w:history="1">
              <w:r w:rsidR="0049577B" w:rsidRPr="00654D1D">
                <w:rPr>
                  <w:rStyle w:val="a7"/>
                  <w:rFonts w:cs="Times New Roman"/>
                  <w:sz w:val="24"/>
                  <w:szCs w:val="24"/>
                  <w:lang w:eastAsia="zh-TW" w:bidi="ar-SA"/>
                </w:rPr>
                <w:t>第三條</w:t>
              </w:r>
            </w:hyperlink>
            <w:r w:rsidR="0049577B" w:rsidRPr="0065263F">
              <w:rPr>
                <w:sz w:val="24"/>
                <w:szCs w:val="24"/>
              </w:rPr>
              <w:t>規定本法主管機關為國發會，惟工作許可、簽證、居留、保險、租稅及退休等相關事宜，涉及勞動部、教育部、經濟部、文化部、外交部、內政部、衛生福利部及財政部等機關之職掌，顯示人才延攬係需各行政機關之努力及合作</w:t>
            </w:r>
            <w:r w:rsidR="0049577B" w:rsidRPr="009B39F4">
              <w:rPr>
                <w:rStyle w:val="af7"/>
                <w:rFonts w:eastAsia="新細明體"/>
                <w:sz w:val="20"/>
                <w:szCs w:val="24"/>
              </w:rPr>
              <w:footnoteReference w:id="63"/>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該法依專業資格之程度，區分為：外國專業人才、外國特定專業人才及外國高級專業人才等三類及專業工作之定義（參照該法</w:t>
            </w:r>
            <w:hyperlink r:id="rId40" w:anchor="a4" w:history="1">
              <w:r w:rsidR="0049577B" w:rsidRPr="00FD5837">
                <w:rPr>
                  <w:rStyle w:val="a7"/>
                  <w:rFonts w:cs="Times New Roman"/>
                  <w:sz w:val="24"/>
                  <w:szCs w:val="24"/>
                  <w:lang w:eastAsia="zh-TW" w:bidi="ar-SA"/>
                </w:rPr>
                <w:t>第四條</w:t>
              </w:r>
            </w:hyperlink>
            <w:r w:rsidR="0049577B" w:rsidRPr="0065263F">
              <w:rPr>
                <w:sz w:val="24"/>
                <w:szCs w:val="24"/>
              </w:rPr>
              <w:t>）。</w:t>
            </w:r>
            <w:hyperlink r:id="rId41" w:anchor="a7" w:history="1">
              <w:r w:rsidR="0049577B" w:rsidRPr="00FD5837">
                <w:rPr>
                  <w:rStyle w:val="a7"/>
                  <w:rFonts w:cs="Times New Roman"/>
                  <w:sz w:val="24"/>
                  <w:szCs w:val="24"/>
                  <w:lang w:eastAsia="zh-TW" w:bidi="ar-SA"/>
                </w:rPr>
                <w:t>第七條</w:t>
              </w:r>
            </w:hyperlink>
            <w:r w:rsidR="0049577B" w:rsidRPr="0065263F">
              <w:rPr>
                <w:sz w:val="24"/>
                <w:szCs w:val="24"/>
              </w:rPr>
              <w:t>規定外國特定專業人才（即外國專業人才中具有中央目的事業主管機關公告之我國所需科技、經濟、教育、文化、藝術、體育及其他領域之特殊專長者），其聘僱許可期間最長為五年，期滿有繼續聘僱之需要者，得申請延期，並不受就業服務法第</w:t>
            </w:r>
            <w:hyperlink r:id="rId42" w:anchor="a52" w:history="1">
              <w:r w:rsidR="0049577B" w:rsidRPr="009B39F4">
                <w:rPr>
                  <w:rStyle w:val="a7"/>
                  <w:rFonts w:cs="Times New Roman"/>
                  <w:sz w:val="24"/>
                  <w:szCs w:val="24"/>
                  <w:lang w:eastAsia="zh-TW" w:bidi="ar-SA"/>
                </w:rPr>
                <w:t>五十二</w:t>
              </w:r>
            </w:hyperlink>
            <w:r w:rsidR="0049577B" w:rsidRPr="0065263F">
              <w:rPr>
                <w:sz w:val="24"/>
                <w:szCs w:val="24"/>
              </w:rPr>
              <w:t>條第一項規定之限制，且該人才及其配偶、子女之居留期限不受入出國及移民法第</w:t>
            </w:r>
            <w:hyperlink r:id="rId43" w:anchor="b22" w:history="1">
              <w:r w:rsidR="0049577B" w:rsidRPr="0065263F">
                <w:rPr>
                  <w:rStyle w:val="a7"/>
                  <w:rFonts w:cs="Times New Roman"/>
                  <w:sz w:val="24"/>
                  <w:szCs w:val="24"/>
                  <w:lang w:eastAsia="zh-TW" w:bidi="ar-SA"/>
                </w:rPr>
                <w:t>二十二</w:t>
              </w:r>
            </w:hyperlink>
            <w:r w:rsidR="0049577B" w:rsidRPr="0065263F">
              <w:rPr>
                <w:sz w:val="24"/>
                <w:szCs w:val="24"/>
              </w:rPr>
              <w:t>條第三項及第</w:t>
            </w:r>
            <w:hyperlink r:id="rId44" w:anchor="b31" w:history="1">
              <w:r w:rsidR="0049577B" w:rsidRPr="0065263F">
                <w:rPr>
                  <w:rStyle w:val="a7"/>
                  <w:rFonts w:cs="Times New Roman"/>
                  <w:sz w:val="24"/>
                  <w:szCs w:val="24"/>
                  <w:lang w:eastAsia="zh-TW" w:bidi="ar-SA"/>
                </w:rPr>
                <w:t>三十一</w:t>
              </w:r>
            </w:hyperlink>
            <w:r w:rsidR="0049577B" w:rsidRPr="0065263F">
              <w:rPr>
                <w:sz w:val="24"/>
                <w:szCs w:val="24"/>
              </w:rPr>
              <w:t>條第二項規定之限制；</w:t>
            </w:r>
            <w:hyperlink r:id="rId45" w:anchor="a8" w:history="1">
              <w:r w:rsidR="0049577B" w:rsidRPr="00FD5837">
                <w:rPr>
                  <w:rStyle w:val="a7"/>
                  <w:rFonts w:cs="Times New Roman"/>
                  <w:sz w:val="24"/>
                  <w:szCs w:val="24"/>
                  <w:lang w:eastAsia="zh-TW" w:bidi="ar-SA"/>
                </w:rPr>
                <w:t>第八條</w:t>
              </w:r>
            </w:hyperlink>
            <w:r w:rsidR="0049577B" w:rsidRPr="0065263F">
              <w:rPr>
                <w:sz w:val="24"/>
                <w:szCs w:val="24"/>
              </w:rPr>
              <w:t>規定外國特定專業人才得申請核發具工作許可、居留簽證、外僑居留證及重入國許可四證合一之就業金卡，不受就業服務法第</w:t>
            </w:r>
            <w:hyperlink r:id="rId46" w:anchor="a43" w:history="1">
              <w:r w:rsidR="0049577B" w:rsidRPr="009B39F4">
                <w:rPr>
                  <w:rStyle w:val="a7"/>
                  <w:rFonts w:cs="Times New Roman"/>
                  <w:sz w:val="24"/>
                  <w:szCs w:val="24"/>
                  <w:lang w:eastAsia="zh-TW" w:bidi="ar-SA"/>
                </w:rPr>
                <w:t>四十三</w:t>
              </w:r>
            </w:hyperlink>
            <w:r w:rsidR="0049577B" w:rsidRPr="0065263F">
              <w:rPr>
                <w:sz w:val="24"/>
                <w:szCs w:val="24"/>
              </w:rPr>
              <w:t>條及第</w:t>
            </w:r>
            <w:hyperlink r:id="rId47" w:anchor="a53" w:history="1">
              <w:r w:rsidR="0049577B" w:rsidRPr="009B39F4">
                <w:rPr>
                  <w:rStyle w:val="a7"/>
                  <w:rFonts w:cs="Times New Roman"/>
                  <w:sz w:val="24"/>
                  <w:szCs w:val="24"/>
                  <w:lang w:eastAsia="zh-TW" w:bidi="ar-SA"/>
                </w:rPr>
                <w:t>五十三</w:t>
              </w:r>
            </w:hyperlink>
            <w:r w:rsidR="0049577B" w:rsidRPr="0065263F">
              <w:rPr>
                <w:sz w:val="24"/>
                <w:szCs w:val="24"/>
              </w:rPr>
              <w:t>條第一項規定之限制；</w:t>
            </w:r>
            <w:hyperlink r:id="rId48" w:anchor="a9" w:history="1">
              <w:r w:rsidR="0049577B" w:rsidRPr="00FD5837">
                <w:rPr>
                  <w:rStyle w:val="a7"/>
                  <w:rFonts w:cs="Times New Roman"/>
                  <w:sz w:val="24"/>
                  <w:szCs w:val="24"/>
                  <w:lang w:eastAsia="zh-TW" w:bidi="ar-SA"/>
                </w:rPr>
                <w:t>第九條</w:t>
              </w:r>
            </w:hyperlink>
            <w:r w:rsidR="0049577B" w:rsidRPr="0065263F">
              <w:rPr>
                <w:sz w:val="24"/>
                <w:szCs w:val="24"/>
              </w:rPr>
              <w:t>規定外國特定專業人才之租稅優惠；第</w:t>
            </w:r>
            <w:hyperlink r:id="rId49" w:anchor="a11" w:history="1">
              <w:r w:rsidR="0049577B" w:rsidRPr="00FD5837">
                <w:rPr>
                  <w:rStyle w:val="a7"/>
                  <w:rFonts w:cs="Times New Roman"/>
                  <w:sz w:val="24"/>
                  <w:szCs w:val="24"/>
                  <w:lang w:eastAsia="zh-TW" w:bidi="ar-SA"/>
                </w:rPr>
                <w:t>十一</w:t>
              </w:r>
            </w:hyperlink>
            <w:r w:rsidR="0049577B" w:rsidRPr="0065263F">
              <w:rPr>
                <w:sz w:val="24"/>
                <w:szCs w:val="24"/>
              </w:rPr>
              <w:t>條賦予許可永久居留之外國專業人才得依準國民待遇適用勞工退休金條例之退休金制度，或選擇繼續適用</w:t>
            </w:r>
            <w:hyperlink r:id="rId50" w:history="1">
              <w:r w:rsidR="0049577B" w:rsidRPr="00F816F3">
                <w:rPr>
                  <w:rStyle w:val="a7"/>
                  <w:rFonts w:cs="Times New Roman"/>
                  <w:sz w:val="24"/>
                  <w:szCs w:val="24"/>
                  <w:lang w:eastAsia="zh-TW" w:bidi="ar-SA"/>
                </w:rPr>
                <w:t>勞動基準法</w:t>
              </w:r>
            </w:hyperlink>
            <w:r w:rsidR="0049577B" w:rsidRPr="0065263F">
              <w:rPr>
                <w:sz w:val="24"/>
                <w:szCs w:val="24"/>
              </w:rPr>
              <w:t>之退休金規定，保障退休生活無虞；第</w:t>
            </w:r>
            <w:hyperlink r:id="rId51" w:anchor="a12" w:history="1">
              <w:r w:rsidR="0049577B" w:rsidRPr="00FD5837">
                <w:rPr>
                  <w:rStyle w:val="a7"/>
                  <w:rFonts w:cs="Times New Roman"/>
                  <w:sz w:val="24"/>
                  <w:szCs w:val="24"/>
                  <w:lang w:eastAsia="zh-TW" w:bidi="ar-SA"/>
                </w:rPr>
                <w:t>十二</w:t>
              </w:r>
            </w:hyperlink>
            <w:r w:rsidR="0049577B" w:rsidRPr="0065263F">
              <w:rPr>
                <w:sz w:val="24"/>
                <w:szCs w:val="24"/>
              </w:rPr>
              <w:t>條規定外國專業人才受聘僱擔任我國公立學校教師，並取得永久居留資格者，退休事項準用公立學校教師之退休規定；第</w:t>
            </w:r>
            <w:hyperlink r:id="rId52" w:anchor="a14" w:history="1">
              <w:r w:rsidR="0049577B" w:rsidRPr="00FD5837">
                <w:rPr>
                  <w:rStyle w:val="a7"/>
                  <w:rFonts w:cs="Times New Roman"/>
                  <w:sz w:val="24"/>
                  <w:szCs w:val="24"/>
                  <w:lang w:eastAsia="zh-TW" w:bidi="ar-SA"/>
                </w:rPr>
                <w:t>十四</w:t>
              </w:r>
            </w:hyperlink>
            <w:r w:rsidR="0049577B" w:rsidRPr="0065263F">
              <w:rPr>
                <w:sz w:val="24"/>
                <w:szCs w:val="24"/>
              </w:rPr>
              <w:t>條規定外國專業人才之配偶、未成年子女、成年之身心障礙子女應參加全民健康保險，不受全民健康保險法</w:t>
            </w:r>
            <w:hyperlink r:id="rId53" w:anchor="b9" w:history="1">
              <w:r w:rsidR="00FD5837" w:rsidRPr="00FD5837">
                <w:rPr>
                  <w:rStyle w:val="a7"/>
                  <w:rFonts w:cs="Times New Roman"/>
                  <w:sz w:val="24"/>
                  <w:szCs w:val="24"/>
                  <w:lang w:eastAsia="zh-TW" w:bidi="ar-SA"/>
                </w:rPr>
                <w:t>第九條</w:t>
              </w:r>
            </w:hyperlink>
            <w:r w:rsidR="0049577B" w:rsidRPr="0065263F">
              <w:rPr>
                <w:sz w:val="24"/>
                <w:szCs w:val="24"/>
              </w:rPr>
              <w:t>第一款在臺居留滿六個月之限制；第</w:t>
            </w:r>
            <w:hyperlink r:id="rId54" w:anchor="a15" w:history="1">
              <w:r w:rsidR="0049577B" w:rsidRPr="00FD5837">
                <w:rPr>
                  <w:rStyle w:val="a7"/>
                  <w:rFonts w:cs="Times New Roman"/>
                  <w:sz w:val="24"/>
                  <w:szCs w:val="24"/>
                  <w:lang w:eastAsia="zh-TW" w:bidi="ar-SA"/>
                </w:rPr>
                <w:t>十五</w:t>
              </w:r>
            </w:hyperlink>
            <w:r w:rsidR="0049577B" w:rsidRPr="0065263F">
              <w:rPr>
                <w:sz w:val="24"/>
                <w:szCs w:val="24"/>
              </w:rPr>
              <w:t>條規定外國高級專業人才之配偶、未成年子女、成年之身心障礙子女得隨本人永久居留，而次條則是針對外國專業人才之前條對象申請永久居留資格，再於次條規定其成年子女取得我國永居資格者於我國得不經雇主申請，逕向勞動部申請許可，且不受就業服務法</w:t>
            </w:r>
            <w:r w:rsidR="00FD5837" w:rsidRPr="0065263F">
              <w:rPr>
                <w:sz w:val="24"/>
                <w:szCs w:val="24"/>
              </w:rPr>
              <w:t>第</w:t>
            </w:r>
            <w:hyperlink r:id="rId55" w:anchor="a43" w:history="1">
              <w:r w:rsidR="00FD5837" w:rsidRPr="009B39F4">
                <w:rPr>
                  <w:rStyle w:val="a7"/>
                  <w:rFonts w:cs="Times New Roman"/>
                  <w:sz w:val="24"/>
                  <w:szCs w:val="24"/>
                  <w:lang w:eastAsia="zh-TW" w:bidi="ar-SA"/>
                </w:rPr>
                <w:t>四十三</w:t>
              </w:r>
            </w:hyperlink>
            <w:r w:rsidR="0049577B" w:rsidRPr="0065263F">
              <w:rPr>
                <w:sz w:val="24"/>
                <w:szCs w:val="24"/>
              </w:rPr>
              <w:t>條規定之限制；第</w:t>
            </w:r>
            <w:hyperlink r:id="rId56" w:anchor="a20" w:history="1">
              <w:r w:rsidR="0049577B" w:rsidRPr="00FD5837">
                <w:rPr>
                  <w:rStyle w:val="a7"/>
                  <w:rFonts w:cs="Times New Roman"/>
                  <w:sz w:val="24"/>
                  <w:szCs w:val="24"/>
                  <w:lang w:eastAsia="zh-TW" w:bidi="ar-SA"/>
                </w:rPr>
                <w:t>二十</w:t>
              </w:r>
            </w:hyperlink>
            <w:r w:rsidR="0049577B" w:rsidRPr="0065263F">
              <w:rPr>
                <w:sz w:val="24"/>
                <w:szCs w:val="24"/>
              </w:rPr>
              <w:t>條則規定香港、澳門居民之準用，入出境、停居留則依</w:t>
            </w:r>
            <w:hyperlink r:id="rId57" w:history="1">
              <w:r w:rsidR="0049577B" w:rsidRPr="00FD5837">
                <w:rPr>
                  <w:rStyle w:val="a7"/>
                  <w:rFonts w:cs="Times New Roman"/>
                  <w:sz w:val="24"/>
                  <w:szCs w:val="24"/>
                  <w:lang w:eastAsia="zh-TW" w:bidi="ar-SA"/>
                </w:rPr>
                <w:t>香港澳門關係條例</w:t>
              </w:r>
            </w:hyperlink>
            <w:r w:rsidR="0049577B" w:rsidRPr="0065263F">
              <w:rPr>
                <w:sz w:val="24"/>
                <w:szCs w:val="24"/>
              </w:rPr>
              <w:t>及相關辦法辦理</w:t>
            </w:r>
            <w:r w:rsidR="0049577B" w:rsidRPr="009B39F4">
              <w:rPr>
                <w:rStyle w:val="af7"/>
                <w:rFonts w:eastAsia="新細明體"/>
                <w:sz w:val="20"/>
                <w:szCs w:val="24"/>
              </w:rPr>
              <w:footnoteReference w:id="64"/>
            </w:r>
            <w:r w:rsidR="0049577B" w:rsidRPr="0065263F">
              <w:rPr>
                <w:sz w:val="24"/>
                <w:szCs w:val="24"/>
              </w:rPr>
              <w:t>。</w:t>
            </w:r>
          </w:p>
          <w:p w:rsidR="0049577B" w:rsidRPr="0065263F" w:rsidRDefault="00C41545" w:rsidP="00C41545">
            <w:pPr>
              <w:ind w:leftChars="0" w:left="0"/>
              <w:rPr>
                <w:sz w:val="24"/>
                <w:szCs w:val="24"/>
              </w:rPr>
            </w:pPr>
            <w:r w:rsidRPr="0065263F">
              <w:rPr>
                <w:sz w:val="24"/>
                <w:szCs w:val="24"/>
              </w:rPr>
              <w:t xml:space="preserve">　　</w:t>
            </w:r>
            <w:r w:rsidR="0049577B" w:rsidRPr="0065263F">
              <w:rPr>
                <w:sz w:val="24"/>
                <w:szCs w:val="24"/>
              </w:rPr>
              <w:t>以上規定妥善且完備地為外國各式專業人才來台就業之各面向予以考量及放寬限制，便是希望能在各國激烈的人才競爭中取得優勢，使來台工作之</w:t>
            </w:r>
            <w:r w:rsidR="0049577B" w:rsidRPr="0065263F">
              <w:rPr>
                <w:sz w:val="24"/>
                <w:szCs w:val="24"/>
              </w:rPr>
              <w:lastRenderedPageBreak/>
              <w:t>外國人才能夠無後顧之憂</w:t>
            </w:r>
            <w:r w:rsidR="0049577B" w:rsidRPr="009B39F4">
              <w:rPr>
                <w:rStyle w:val="af7"/>
                <w:rFonts w:eastAsia="新細明體"/>
                <w:sz w:val="20"/>
                <w:szCs w:val="24"/>
              </w:rPr>
              <w:footnoteReference w:id="65"/>
            </w:r>
            <w:r w:rsidR="0049577B" w:rsidRPr="0065263F">
              <w:rPr>
                <w:sz w:val="24"/>
                <w:szCs w:val="24"/>
              </w:rPr>
              <w:t>。在完善我國留才環境方案部分（參見國發會網站）</w:t>
            </w:r>
            <w:r w:rsidR="0049577B" w:rsidRPr="009B39F4">
              <w:rPr>
                <w:rStyle w:val="af7"/>
                <w:rFonts w:eastAsia="新細明體"/>
                <w:sz w:val="20"/>
                <w:szCs w:val="24"/>
              </w:rPr>
              <w:footnoteReference w:id="66"/>
            </w:r>
            <w:r w:rsidR="0049577B" w:rsidRPr="0065263F">
              <w:rPr>
                <w:sz w:val="24"/>
                <w:szCs w:val="24"/>
              </w:rPr>
              <w:t>，於民國105年10月19日國發會奉行政院核定推動，透過舉辦座談會、線上問卷調查、整理各研究及調查報告等方式，從簽證、工作、居留、金融、稅務、保險及國際生活等七大面向，彙整問題並研擬解決對策如下</w:t>
            </w:r>
            <w:r w:rsidR="0049577B" w:rsidRPr="009B39F4">
              <w:rPr>
                <w:rStyle w:val="af7"/>
                <w:rFonts w:eastAsia="新細明體"/>
                <w:sz w:val="20"/>
                <w:szCs w:val="24"/>
              </w:rPr>
              <w:footnoteReference w:id="67"/>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1.簽證：簡化外籍人才來臺驗證手續及申辦程序；核發外國大學以上畢業生來臺實習簽證；議核發高階外籍人才來臺尋職簽證；核發國際業者來臺投資探路簽證</w:t>
            </w:r>
            <w:r w:rsidR="0049577B" w:rsidRPr="009B39F4">
              <w:rPr>
                <w:rStyle w:val="af7"/>
                <w:rFonts w:eastAsia="新細明體"/>
                <w:sz w:val="20"/>
                <w:szCs w:val="24"/>
              </w:rPr>
              <w:footnoteReference w:id="68"/>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2.工作：核發國際高階人才來臺個人化就業准證；協助自由藝術工作者來臺工作；鬆綁外籍人才配偶申請工作許可；修正「</w:t>
            </w:r>
            <w:hyperlink r:id="rId58" w:history="1">
              <w:r w:rsidR="00B4647C" w:rsidRPr="00B4647C">
                <w:rPr>
                  <w:rStyle w:val="a7"/>
                  <w:rFonts w:cs="Times New Roman"/>
                  <w:sz w:val="24"/>
                  <w:lang w:eastAsia="zh-TW" w:bidi="ar-SA"/>
                </w:rPr>
                <w:t>就業服務法</w:t>
              </w:r>
            </w:hyperlink>
            <w:r w:rsidR="0049577B" w:rsidRPr="0065263F">
              <w:rPr>
                <w:sz w:val="24"/>
                <w:szCs w:val="24"/>
              </w:rPr>
              <w:t>」，適度開放外籍人才來臺擔任「技藝培訓」補習教師；強化外籍人才就業媒合服務與諮詢</w:t>
            </w:r>
            <w:r w:rsidR="0049577B" w:rsidRPr="009B39F4">
              <w:rPr>
                <w:rStyle w:val="af7"/>
                <w:rFonts w:eastAsia="新細明體"/>
                <w:sz w:val="20"/>
                <w:szCs w:val="24"/>
              </w:rPr>
              <w:footnoteReference w:id="69"/>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3.居留：改善外僑居留證使用困難之問題；解決外籍人才歸化我國籍須放棄原國籍之問題；鬆綁外籍人才及其配偶、未成年子女居留之規定</w:t>
            </w:r>
            <w:r w:rsidR="0049577B" w:rsidRPr="009B39F4">
              <w:rPr>
                <w:rStyle w:val="af7"/>
                <w:rFonts w:eastAsia="新細明體"/>
                <w:sz w:val="20"/>
                <w:szCs w:val="24"/>
              </w:rPr>
              <w:footnoteReference w:id="70"/>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4.金融：推薦或指定承作銀行提供友善措施，解決外籍人士申辦信用卡之問題；協助解決新創業者申辦貸款業務；強化公民營網路銀行使用介面、功能及英語服務</w:t>
            </w:r>
            <w:r w:rsidR="0049577B" w:rsidRPr="009B39F4">
              <w:rPr>
                <w:rStyle w:val="af7"/>
                <w:rFonts w:eastAsia="新細明體"/>
                <w:sz w:val="20"/>
                <w:szCs w:val="24"/>
              </w:rPr>
              <w:footnoteReference w:id="71"/>
            </w:r>
            <w:r w:rsidR="0049577B" w:rsidRPr="0065263F">
              <w:rPr>
                <w:sz w:val="24"/>
                <w:szCs w:val="24"/>
              </w:rPr>
              <w:t>。</w:t>
            </w:r>
          </w:p>
          <w:p w:rsidR="0049577B" w:rsidRPr="0065263F" w:rsidRDefault="00C41545" w:rsidP="00C41545">
            <w:pPr>
              <w:ind w:leftChars="0" w:left="0"/>
              <w:rPr>
                <w:sz w:val="24"/>
                <w:szCs w:val="24"/>
              </w:rPr>
            </w:pPr>
            <w:r w:rsidRPr="0065263F">
              <w:rPr>
                <w:sz w:val="24"/>
                <w:szCs w:val="24"/>
              </w:rPr>
              <w:t xml:space="preserve">　　</w:t>
            </w:r>
            <w:r w:rsidR="0049577B" w:rsidRPr="0065263F">
              <w:rPr>
                <w:sz w:val="24"/>
                <w:szCs w:val="24"/>
              </w:rPr>
              <w:t>5.稅務：研議具國際競爭力之租稅政策；完善我國租稅協定網絡，避免雙重課稅，保障外籍人才之權利；研議外籍子女教育費用列入所得稅扣除項目</w:t>
            </w:r>
            <w:r w:rsidR="0049577B" w:rsidRPr="009B39F4">
              <w:rPr>
                <w:rStyle w:val="af7"/>
                <w:rFonts w:eastAsia="新細明體"/>
                <w:sz w:val="20"/>
                <w:szCs w:val="24"/>
              </w:rPr>
              <w:footnoteReference w:id="72"/>
            </w:r>
            <w:r w:rsidR="0049577B" w:rsidRPr="0065263F">
              <w:rPr>
                <w:sz w:val="24"/>
                <w:szCs w:val="24"/>
              </w:rPr>
              <w:t>。</w:t>
            </w:r>
          </w:p>
          <w:p w:rsidR="0049577B" w:rsidRPr="0065263F" w:rsidRDefault="00C41545" w:rsidP="00C41545">
            <w:pPr>
              <w:ind w:leftChars="0" w:left="0"/>
              <w:rPr>
                <w:sz w:val="24"/>
                <w:szCs w:val="24"/>
              </w:rPr>
            </w:pPr>
            <w:r w:rsidRPr="0065263F">
              <w:rPr>
                <w:sz w:val="24"/>
                <w:szCs w:val="24"/>
              </w:rPr>
              <w:t xml:space="preserve">　　</w:t>
            </w:r>
            <w:r w:rsidR="0049577B" w:rsidRPr="0065263F">
              <w:rPr>
                <w:sz w:val="24"/>
                <w:szCs w:val="24"/>
              </w:rPr>
              <w:t>6.保險：鬆綁在臺就學僑生、外籍生、外籍雇主以及受聘一定雇主之外籍人才之配偶及未成年子女，居留滿 6 個月始可納入健保之限制；修正「</w:t>
            </w:r>
            <w:hyperlink r:id="rId59" w:history="1">
              <w:r w:rsidR="0049577B" w:rsidRPr="00B4647C">
                <w:rPr>
                  <w:rStyle w:val="a7"/>
                  <w:rFonts w:cs="Times New Roman"/>
                  <w:sz w:val="24"/>
                  <w:szCs w:val="24"/>
                  <w:lang w:eastAsia="zh-TW" w:bidi="ar-SA"/>
                </w:rPr>
                <w:t>全民健康保險法」</w:t>
              </w:r>
            </w:hyperlink>
            <w:r w:rsidR="0049577B" w:rsidRPr="0065263F">
              <w:rPr>
                <w:sz w:val="24"/>
                <w:szCs w:val="24"/>
              </w:rPr>
              <w:t>，在臺出生之外籍新生兒不受 6 個月等待期之限制；修正</w:t>
            </w:r>
            <w:hyperlink r:id="rId60" w:history="1">
              <w:r w:rsidR="0049577B" w:rsidRPr="00B4647C">
                <w:rPr>
                  <w:rStyle w:val="a7"/>
                  <w:rFonts w:cs="Times New Roman"/>
                  <w:sz w:val="24"/>
                  <w:szCs w:val="24"/>
                  <w:lang w:eastAsia="zh-TW" w:bidi="ar-SA"/>
                </w:rPr>
                <w:t>「勞</w:t>
              </w:r>
              <w:r w:rsidR="0049577B" w:rsidRPr="00B4647C">
                <w:rPr>
                  <w:rStyle w:val="a7"/>
                  <w:rFonts w:cs="Times New Roman"/>
                  <w:sz w:val="24"/>
                  <w:szCs w:val="24"/>
                  <w:lang w:eastAsia="zh-TW" w:bidi="ar-SA"/>
                </w:rPr>
                <w:lastRenderedPageBreak/>
                <w:t>工退休金條例</w:t>
              </w:r>
            </w:hyperlink>
            <w:r w:rsidR="0049577B" w:rsidRPr="0065263F">
              <w:rPr>
                <w:sz w:val="24"/>
                <w:szCs w:val="24"/>
              </w:rPr>
              <w:t>」，提高外籍人士退休保障</w:t>
            </w:r>
            <w:r w:rsidR="0049577B" w:rsidRPr="009B39F4">
              <w:rPr>
                <w:rStyle w:val="af7"/>
                <w:rFonts w:eastAsia="新細明體"/>
                <w:sz w:val="20"/>
                <w:szCs w:val="24"/>
              </w:rPr>
              <w:footnoteReference w:id="73"/>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7.國際生活：國立高級中等學校及國立中小學增設雙語班、雙語部，擴展國際人才子女來臺就讀銜接之措施；，並鼓勵英語授課及提供獎學金，積極營造國際化環境；各地路標、號誌及地圖採用與國際一致之音譯方式；鬆綁外籍人士「考駕照」及「免考換發駕照」之規定；完善外語醫療服務、鼓勵租屋網站提供英文版資訊、加強政府機關第一線承辦人員外語能力等等友善措施，以營造友善國際化生活環境</w:t>
            </w:r>
            <w:r w:rsidR="0049577B" w:rsidRPr="009B39F4">
              <w:rPr>
                <w:rStyle w:val="af7"/>
                <w:rFonts w:eastAsia="新細明體"/>
                <w:sz w:val="20"/>
                <w:szCs w:val="24"/>
              </w:rPr>
              <w:footnoteReference w:id="74"/>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除上述兩項政府研擬之政策和推行之法律外，另有較為前期的兩項政策：行政院於民國104年9月8日核定國家發展委員會陳報之「全球競才方案-Contact Taiwan」，提供互動式媒合外國人才來臺服務，以及來臺工作及相關生活問題的線上諮詢，於民國104年12月上線啟用；復次，於民國103年6月，國發會報行政院核定通過「強化優秀僑外生留臺工作行動計畫」，並由勞動部執行辦理，使102學年度僑外生得依『評點配額』機制申請留臺工作</w:t>
            </w:r>
            <w:r w:rsidR="0049577B" w:rsidRPr="009B39F4">
              <w:rPr>
                <w:rStyle w:val="af7"/>
                <w:rFonts w:eastAsia="新細明體"/>
                <w:sz w:val="20"/>
                <w:szCs w:val="24"/>
              </w:rPr>
              <w:footnoteReference w:id="75"/>
            </w:r>
            <w:r w:rsidR="0049577B" w:rsidRPr="0065263F">
              <w:rPr>
                <w:sz w:val="24"/>
                <w:szCs w:val="24"/>
              </w:rPr>
              <w:t>。</w:t>
            </w:r>
          </w:p>
          <w:p w:rsidR="0049577B" w:rsidRPr="0065263F" w:rsidRDefault="00C41545" w:rsidP="00C41545">
            <w:pPr>
              <w:ind w:leftChars="0" w:left="0"/>
              <w:rPr>
                <w:sz w:val="24"/>
                <w:szCs w:val="24"/>
              </w:rPr>
            </w:pPr>
            <w:r w:rsidRPr="0065263F">
              <w:rPr>
                <w:sz w:val="24"/>
                <w:szCs w:val="24"/>
              </w:rPr>
              <w:t xml:space="preserve">　　</w:t>
            </w:r>
            <w:r w:rsidR="0049577B" w:rsidRPr="0065263F">
              <w:rPr>
                <w:sz w:val="24"/>
                <w:szCs w:val="24"/>
              </w:rPr>
              <w:t>在國際企業競爭如此激烈，且變化快速的全球化時代，一步踏錯，無須幾年，就可能被其他國家超越，而永遠趕不上其腳步，就如1990年代台灣憑藉代工獨霸半導體製造業市場，2000年代中葉逐漸衰落，2008年金融海嘯後便遭南韓三星投資面板超越，記憶體也難保全球龍頭位置至今無法翻身，甚至還將被對岸超越，便是因當時未把握發展機會，將產業重心放在其他產業，造成代工IC產業優勢逐漸消逝，且現今全球化形成國際分工現象，因國內人力薪資要求較高，故我國產業為降低人力成本，逐漸將產業外移至東南亞，國內又無其他優勢產業，招募不到人力，競爭力薄弱的情況下，適者生存，無法生存的便遭淘汰</w:t>
            </w:r>
            <w:r w:rsidR="0049577B" w:rsidRPr="009B39F4">
              <w:rPr>
                <w:rStyle w:val="af7"/>
                <w:rFonts w:eastAsia="新細明體"/>
                <w:sz w:val="20"/>
                <w:szCs w:val="24"/>
              </w:rPr>
              <w:footnoteReference w:id="76"/>
            </w:r>
            <w:r w:rsidR="0049577B" w:rsidRPr="009B39F4">
              <w:rPr>
                <w:rFonts w:ascii="Arial Unicode MS" w:eastAsia="新細明體" w:hAnsi="Arial Unicode MS"/>
                <w:color w:val="FF6600"/>
                <w:sz w:val="20"/>
                <w:szCs w:val="24"/>
              </w:rPr>
              <w:t>。</w:t>
            </w:r>
            <w:r w:rsidR="0049577B" w:rsidRPr="0065263F">
              <w:rPr>
                <w:sz w:val="24"/>
                <w:szCs w:val="24"/>
              </w:rPr>
              <w:t>台灣其實已達自日治時期以來，最嚴重的產業瓶頸，縱使是高專人才亦難有發展空間，所以人才轉移、流失是必然的問題</w:t>
            </w:r>
            <w:r w:rsidR="0049577B" w:rsidRPr="009B39F4">
              <w:rPr>
                <w:rStyle w:val="af7"/>
                <w:rFonts w:eastAsia="新細明體"/>
                <w:sz w:val="20"/>
                <w:szCs w:val="24"/>
              </w:rPr>
              <w:footnoteReference w:id="77"/>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現今人才延攬競逐激烈，我國近年屈居劣勢，尤其對岸的優渥薪資條件及南韓國家級企業強勁的實力，形成極強的吸引力，在我國西方與西北方，皆提供人才更佳的選擇下，連我國國內培育之高級專業人才，都逐漸外流</w:t>
            </w:r>
            <w:r w:rsidR="0049577B" w:rsidRPr="009B39F4">
              <w:rPr>
                <w:rStyle w:val="af7"/>
                <w:rFonts w:eastAsia="新細明體"/>
                <w:sz w:val="20"/>
                <w:szCs w:val="24"/>
              </w:rPr>
              <w:footnoteReference w:id="78"/>
            </w:r>
            <w:r w:rsidR="0049577B" w:rsidRPr="0065263F">
              <w:rPr>
                <w:sz w:val="24"/>
                <w:szCs w:val="24"/>
              </w:rPr>
              <w:t>。惟人才是國家競爭力之核心，人才條件居於劣勢的情況下，經濟水準根本難以望其他國家之項背，而其解決方法，無非是產業轉型及延攬、培育人才，進一步有企業內部福利政策、保障員工權益、落實良心企業等目標，政府則</w:t>
            </w:r>
            <w:r w:rsidR="0049577B" w:rsidRPr="0065263F">
              <w:rPr>
                <w:sz w:val="24"/>
                <w:szCs w:val="24"/>
              </w:rPr>
              <w:lastRenderedPageBreak/>
              <w:t>應有放寬限制、提供來台就業福利、打造友善環境等相對應措施之規劃及落實，故人才之留用及延攬，需企業及政府之共同努力</w:t>
            </w:r>
            <w:r w:rsidR="0049577B" w:rsidRPr="009B39F4">
              <w:rPr>
                <w:rStyle w:val="af7"/>
                <w:rFonts w:eastAsia="新細明體"/>
                <w:sz w:val="20"/>
                <w:szCs w:val="24"/>
              </w:rPr>
              <w:footnoteReference w:id="79"/>
            </w:r>
            <w:r w:rsidR="0049577B" w:rsidRPr="0065263F">
              <w:rPr>
                <w:sz w:val="24"/>
                <w:szCs w:val="24"/>
              </w:rPr>
              <w:t>。</w:t>
            </w:r>
          </w:p>
          <w:p w:rsidR="0049577B" w:rsidRPr="0065263F" w:rsidRDefault="0050701A" w:rsidP="00C41545">
            <w:pPr>
              <w:ind w:leftChars="0" w:left="0"/>
              <w:rPr>
                <w:sz w:val="24"/>
                <w:szCs w:val="24"/>
              </w:rPr>
            </w:pPr>
            <w:r w:rsidRPr="0065263F">
              <w:rPr>
                <w:sz w:val="24"/>
                <w:szCs w:val="24"/>
              </w:rPr>
              <w:t xml:space="preserve">　　</w:t>
            </w:r>
            <w:r w:rsidR="0049577B" w:rsidRPr="0065263F">
              <w:rPr>
                <w:sz w:val="24"/>
                <w:szCs w:val="24"/>
              </w:rPr>
              <w:t>產業競爭力、國家經濟實力與人才留用及延攬是相輔相成的，在</w:t>
            </w:r>
            <w:hyperlink r:id="rId61" w:history="1">
              <w:r w:rsidR="0065263F" w:rsidRPr="00654D1D">
                <w:rPr>
                  <w:rStyle w:val="a7"/>
                  <w:rFonts w:cs="Times New Roman"/>
                  <w:sz w:val="24"/>
                  <w:szCs w:val="24"/>
                  <w:lang w:eastAsia="zh-TW" w:bidi="ar-SA"/>
                </w:rPr>
                <w:t>外國專業人才延攬及僱用法</w:t>
              </w:r>
            </w:hyperlink>
            <w:r w:rsidR="0049577B" w:rsidRPr="0065263F">
              <w:rPr>
                <w:sz w:val="24"/>
                <w:szCs w:val="24"/>
              </w:rPr>
              <w:t>通過公布之前，我國之人才誘因不足，導致人力資源缺乏，產業外移，經濟衰退。現政府積極推動相關政策，實施</w:t>
            </w:r>
            <w:hyperlink r:id="rId62" w:history="1">
              <w:r w:rsidR="00654D1D" w:rsidRPr="00654D1D">
                <w:rPr>
                  <w:rStyle w:val="a7"/>
                  <w:rFonts w:cs="Times New Roman"/>
                  <w:sz w:val="24"/>
                  <w:szCs w:val="24"/>
                  <w:lang w:eastAsia="zh-TW" w:bidi="ar-SA"/>
                </w:rPr>
                <w:t>外國專業人才延攬及僱用法</w:t>
              </w:r>
            </w:hyperlink>
            <w:r w:rsidR="0049577B" w:rsidRPr="0065263F">
              <w:rPr>
                <w:sz w:val="24"/>
                <w:szCs w:val="24"/>
              </w:rPr>
              <w:t>，期能盡速恢復我國產業競爭力及經濟實力，充分發揮我國優勢，達到「讓人才走進來、讓人才留下來」的綜效目標，以充實我國人才資本，提升國家競爭力，促進國家經濟永續發展</w:t>
            </w:r>
            <w:r w:rsidR="0049577B" w:rsidRPr="009B39F4">
              <w:rPr>
                <w:rStyle w:val="af7"/>
                <w:rFonts w:eastAsia="新細明體"/>
                <w:sz w:val="20"/>
                <w:szCs w:val="24"/>
              </w:rPr>
              <w:footnoteReference w:id="80"/>
            </w:r>
            <w:r w:rsidR="0049577B" w:rsidRPr="0065263F">
              <w:rPr>
                <w:sz w:val="24"/>
                <w:szCs w:val="24"/>
              </w:rPr>
              <w:t>。」</w:t>
            </w:r>
          </w:p>
        </w:tc>
      </w:tr>
    </w:tbl>
    <w:p w:rsidR="003C1792" w:rsidRPr="00EE26E7" w:rsidRDefault="00C73C9C" w:rsidP="00EE26E7">
      <w:r w:rsidRPr="00EE26E7">
        <w:lastRenderedPageBreak/>
        <w:t>【備註】</w:t>
      </w:r>
      <w:r w:rsidR="0049577B" w:rsidRPr="00EE26E7">
        <w:t>本表由作者自行整理之。</w:t>
      </w:r>
    </w:p>
    <w:p w:rsidR="005606DC" w:rsidRDefault="005606DC" w:rsidP="00C41545">
      <w:pPr>
        <w:ind w:leftChars="54" w:left="140"/>
      </w:pPr>
    </w:p>
    <w:p w:rsidR="00C41545" w:rsidRDefault="0050701A" w:rsidP="00AF4063">
      <w:pPr>
        <w:spacing w:line="240" w:lineRule="auto"/>
        <w:ind w:leftChars="0" w:left="0" w:rightChars="0" w:right="0"/>
      </w:pPr>
      <w:r w:rsidRPr="00C73C9C">
        <w:t xml:space="preserve">　　</w:t>
      </w:r>
      <w:r w:rsidR="0049577B" w:rsidRPr="00C73C9C">
        <w:t>本書作者之一---李佳樺巡官，其負責撰寫本書中之技術移民遴選機制---計分制等2篇論文(經蔡政杰講師、柯雨瑞教授稍作修正與新增)，與執行訪談紀錄逐字稿之部分，李佳樺巡官研究之心得，今摘要如下所述。由於現今交通便利及資訊發達等因素，促成國際化及全球化時代的來臨，並使國際人口移動更加頻繁。現今為「知識經濟」時代，如何吸引技術移民乃各國重要的議題，各國莫不隨時代脈動即時研修移民制度及法令，以利吸引更多專業技術移民進到國內，一方面以補足國內因人口老化導致勞動力不足之現象，另一方面又能迅速提升國家競爭力。</w:t>
      </w:r>
    </w:p>
    <w:p w:rsidR="00C41545" w:rsidRDefault="00C41545" w:rsidP="00AF4063">
      <w:pPr>
        <w:spacing w:line="240" w:lineRule="auto"/>
        <w:ind w:leftChars="0" w:left="0" w:rightChars="0" w:right="0"/>
      </w:pPr>
      <w:r>
        <w:t xml:space="preserve">　　</w:t>
      </w:r>
      <w:r w:rsidR="0049577B" w:rsidRPr="00B40DC1">
        <w:t>先進國家如星加坡、日本、韓國、英國、加拿大、紐西蘭及澳洲等，更設計出一套遴選出技術移民的機制-評點制，評點制為一套公平、客觀、透明、可量化及具有彈性的制度，其就移民年齡、教育程度、語言能力、工作經驗、在該國留學經驗及配偶條件等項目作計分之標準，所得分數愈高的申請者，愈早有機會成為移入國永久居留居民，甚至成為該國國民。</w:t>
      </w:r>
    </w:p>
    <w:p w:rsidR="00C41545" w:rsidRDefault="0050701A" w:rsidP="00AF4063">
      <w:pPr>
        <w:spacing w:line="240" w:lineRule="auto"/>
        <w:ind w:leftChars="0" w:left="0" w:rightChars="0" w:right="0"/>
      </w:pPr>
      <w:r>
        <w:t xml:space="preserve">　　</w:t>
      </w:r>
      <w:r w:rsidR="0049577B" w:rsidRPr="00B40DC1">
        <w:t>本書以技術移民政策評點制行之多年且成效彰顯之國家加拿大、紐西蘭及澳洲作探討，作者欲研究其技術移民遴選機制-評點制如何運作，另探討我國現行技術移民法律面、政策面及實務面如何運作，我國是否在技術移民遴選制度上能採取評點制?本研究訪談我國8名移民署官員，8位受訪者之公務年資平均超過20年以上，且負責技術移民政策相關業務執行、政策規畫及法規研修等，期望藉由受訪者相關業務經驗之不同面向來探討技術移民評點制政策。本書將訪談資料加以整理歸納，以補充文獻之不足，並期能從我國政策面、法律面與實務面等三方面作探討，並提出具體之改善建議。</w:t>
      </w:r>
    </w:p>
    <w:p w:rsidR="0049577B" w:rsidRPr="00B40DC1" w:rsidRDefault="0050701A" w:rsidP="00AF4063">
      <w:pPr>
        <w:spacing w:line="240" w:lineRule="auto"/>
        <w:ind w:leftChars="0" w:left="0" w:rightChars="0" w:right="0"/>
      </w:pPr>
      <w:r>
        <w:t xml:space="preserve">　　</w:t>
      </w:r>
      <w:r w:rsidR="0049577B" w:rsidRPr="00B40DC1">
        <w:t>綜合本書之受訪者之建議歸納，為因應我國國情和加拿大、紐西蘭及澳洲不盡相同，在遴選技術移民政策上可實行階段性的評點制，例如可先採取評點制及審查制之「雙軌併行制」的方式，一方面能體現評點制公平、客觀、透明及可量化之優點，另一方面又能衡酌我國國情之彈性做法。受訪者建議我國在採納實施評點制的同時，仍需有完善的配套措施，包括強化政府各部門間之橫向聯繫，政府部門宜和國內企業緊密聯繫，以利</w:t>
      </w:r>
      <w:r w:rsidR="0049577B" w:rsidRPr="00B40DC1">
        <w:lastRenderedPageBreak/>
        <w:t>政府不僅能掌握國內人才需求，政府更精算出國內所需職業類別及數額。</w:t>
      </w:r>
    </w:p>
    <w:p w:rsidR="0049577B" w:rsidRPr="00B40DC1" w:rsidRDefault="0050701A" w:rsidP="00AF4063">
      <w:pPr>
        <w:spacing w:line="240" w:lineRule="auto"/>
        <w:ind w:leftChars="0" w:left="0" w:rightChars="0" w:right="0"/>
      </w:pPr>
      <w:r>
        <w:t xml:space="preserve">　　</w:t>
      </w:r>
      <w:r w:rsidR="0049577B" w:rsidRPr="00B40DC1">
        <w:t>另外本書之受訪者，亦建議梅花卡永久居留權和技術移民之工作應結合，讓技術移民可繼續在臺灣貢獻其專業技術，另外建議適時給予梅花卡永久居留居民有準國民之權利，包括有部分之參政權等。期望本研究所歸納之建議能提供我國技術移民政策研擬之參考，並能有效吸引更多技術移民進入我國，且能迅速提升我國在國際社會上之實質競爭力，令台灣成為世界上之強國與富國。以上，是李佳樺巡官負責撰寫本書中之技術移民遴選機制---評點制之重點摘要。</w:t>
      </w:r>
    </w:p>
    <w:p w:rsidR="00C41545" w:rsidRDefault="0050701A" w:rsidP="00AF4063">
      <w:pPr>
        <w:spacing w:line="240" w:lineRule="auto"/>
        <w:ind w:leftChars="0" w:left="0" w:rightChars="0" w:right="0"/>
      </w:pPr>
      <w:r>
        <w:t xml:space="preserve">　　</w:t>
      </w:r>
      <w:r w:rsidR="0049577B" w:rsidRPr="00B40DC1">
        <w:t>經本書進行相關之文獻分析、量化統計分析及深入訪談之後，本文所提出之建議，如下所述：</w:t>
      </w:r>
    </w:p>
    <w:p w:rsidR="00C41545" w:rsidRDefault="00C73C9C" w:rsidP="00AF4063">
      <w:pPr>
        <w:spacing w:line="240" w:lineRule="auto"/>
        <w:ind w:leftChars="0" w:left="0" w:rightChars="0" w:right="0"/>
      </w:pPr>
      <w:r>
        <w:rPr>
          <w:rFonts w:hint="eastAsia"/>
        </w:rPr>
        <w:t xml:space="preserve">　　一、在外勞之聘用與其基本人權、人性尊嚴之保障機制之區塊：國內外知名、享有非常崇高社會地位之常律老和尚，於本書推薦序文之中，特別開示指出，「、、、香港家庭，因政府規定統一外勞工資低廉，家家請得起外勞，來代替主婦做家事，料理三餐帶小孩，令家庭主婦個個可以出外專心工作拼經濟，奉獻才能，以利國家建設及工商業之發展，對國家總體經濟建設相當有利，外勞應不單是為服侍老人而設制的，是應為全民而設的，台灣政府如此迂腐的外勞政策，對國家發展社會經濟及建設幫助有限。」關於此一議題，渉及台灣之外勞之聘用機制，本書認為，台灣亦可取法於香港特區政府之外勞聘用機制，取其優點，去其缺點，以精進我國之外勞聘用機制。復次，在外勞之基本人權、人性尊嚴之保障機制之區塊，依據前揭常律老和尚之觀察，國內之外勞，其面臨以下之問題：仲介商剝削外勞工資、外勞潛逃事件、雇主虐待外勞等，造成社會治安問題。關於此一議題，本書認為，實有必要儘速地將聯合國之保護所有移工及其家庭成員權利國際公約加以國內法化，亦即，立法院實有必要儘速地通過家事勞工保障法，及新制定聯合國保護所有移工及其家庭成員權利國際公約施行法。目前，立法院業已通過之國際法公約之施行法，共計有：</w:t>
      </w:r>
      <w:r>
        <w:t>1</w:t>
      </w:r>
      <w:r w:rsidR="00E72734">
        <w:t>.</w:t>
      </w:r>
      <w:hyperlink r:id="rId63" w:history="1">
        <w:r w:rsidR="00E72734" w:rsidRPr="00B4647C">
          <w:rPr>
            <w:rStyle w:val="a7"/>
            <w:rFonts w:cs="Times New Roman" w:hint="eastAsia"/>
            <w:lang w:eastAsia="zh-TW" w:bidi="ar-SA"/>
          </w:rPr>
          <w:t>公民與政治權利國際公約及經濟社會文化權利國際公約施行法</w:t>
        </w:r>
      </w:hyperlink>
      <w:r>
        <w:rPr>
          <w:rFonts w:hint="eastAsia"/>
        </w:rPr>
        <w:t>；</w:t>
      </w:r>
      <w:r>
        <w:t>2.</w:t>
      </w:r>
      <w:hyperlink r:id="rId64" w:history="1">
        <w:r w:rsidRPr="00E72734">
          <w:rPr>
            <w:rStyle w:val="a7"/>
            <w:rFonts w:cs="Times New Roman"/>
            <w:lang w:eastAsia="zh-TW" w:bidi="ar-SA"/>
          </w:rPr>
          <w:t>身心障礙者權利公約施行法</w:t>
        </w:r>
      </w:hyperlink>
      <w:r>
        <w:t>；3.</w:t>
      </w:r>
      <w:hyperlink r:id="rId65" w:history="1">
        <w:r w:rsidRPr="00E72734">
          <w:rPr>
            <w:rStyle w:val="a7"/>
            <w:rFonts w:cs="Times New Roman"/>
            <w:lang w:eastAsia="zh-TW" w:bidi="ar-SA"/>
          </w:rPr>
          <w:t>消除對婦女一切形式歧視公約施行法</w:t>
        </w:r>
      </w:hyperlink>
      <w:r>
        <w:t>；4.</w:t>
      </w:r>
      <w:hyperlink r:id="rId66" w:history="1">
        <w:r w:rsidRPr="00E72734">
          <w:rPr>
            <w:rStyle w:val="a7"/>
            <w:rFonts w:cs="Times New Roman"/>
            <w:lang w:eastAsia="zh-TW" w:bidi="ar-SA"/>
          </w:rPr>
          <w:t>兒童權利公約施行法</w:t>
        </w:r>
      </w:hyperlink>
      <w:r>
        <w:t>，但，截至2018年上半年為止，立法院尚未通過聯合國保護所有移工及其家庭成員權利國際公約施行法，本書作者呼籲，立法院實有必要儘速地通過家事勞工保障法，及新制定聯合國保護所有移工及其家庭成員權利國際公約施行法，用以保障所有來台之移工及其家庭成員之基本權利。立法院僅僅重視身心障礙者、婦女及兒童之基本權利，卻忽視來台之移工及其家庭成員之基本權利，某個角度而論，此種差別待遇</w:t>
      </w:r>
      <w:r>
        <w:rPr>
          <w:rFonts w:hint="eastAsia"/>
        </w:rPr>
        <w:t>，亦涉嫌違反憲</w:t>
      </w:r>
      <w:r w:rsidR="000E2576">
        <w:rPr>
          <w:rFonts w:hint="eastAsia"/>
        </w:rPr>
        <w:t>法</w:t>
      </w:r>
      <w:hyperlink r:id="rId67"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之平等原則。亦即，此種差別待遇，恐已嚴重地違憲。為了落實憲</w:t>
      </w:r>
      <w:r w:rsidR="000E2576">
        <w:rPr>
          <w:rFonts w:hint="eastAsia"/>
        </w:rPr>
        <w:t>法</w:t>
      </w:r>
      <w:hyperlink r:id="rId68"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之平等原則，本書作者建議，立法院實有必要儘速地通過家事勞工保障法，及新制定聯合國保護所有移工及其家庭成員權利國際公約施行法，而非僅僅關注於身心障礙者、婦女及兒童之基本權利，進而忽略來台之移工及其家庭成員之基本權利，在台灣社會上，形成一種非常嚴重之差別待遇，已迫使來台之移工，成為「次等之人種」。</w:t>
      </w:r>
    </w:p>
    <w:p w:rsidR="00C41545" w:rsidRDefault="00C73C9C" w:rsidP="00AF4063">
      <w:pPr>
        <w:spacing w:line="240" w:lineRule="auto"/>
        <w:ind w:leftChars="0" w:left="0" w:rightChars="0" w:right="0"/>
      </w:pPr>
      <w:r>
        <w:rPr>
          <w:rFonts w:hint="eastAsia"/>
        </w:rPr>
        <w:t xml:space="preserve">　　二、在</w:t>
      </w:r>
      <w:hyperlink r:id="rId69" w:history="1">
        <w:r w:rsidRPr="002D4379">
          <w:rPr>
            <w:rStyle w:val="a7"/>
            <w:rFonts w:cs="Times New Roman" w:hint="eastAsia"/>
            <w:lang w:eastAsia="zh-TW" w:bidi="ar-SA"/>
          </w:rPr>
          <w:t>憲法</w:t>
        </w:r>
      </w:hyperlink>
      <w:r>
        <w:rPr>
          <w:rFonts w:hint="eastAsia"/>
        </w:rPr>
        <w:t>與外來人口人權保障法制方面，就</w:t>
      </w:r>
      <w:hyperlink r:id="rId70" w:history="1">
        <w:r w:rsidR="002D4379" w:rsidRPr="002D4379">
          <w:rPr>
            <w:rStyle w:val="a7"/>
            <w:rFonts w:cs="Times New Roman" w:hint="eastAsia"/>
            <w:lang w:eastAsia="zh-TW" w:bidi="ar-SA"/>
          </w:rPr>
          <w:t>憲法</w:t>
        </w:r>
      </w:hyperlink>
      <w:r>
        <w:rPr>
          <w:rFonts w:hint="eastAsia"/>
        </w:rPr>
        <w:t>之高度，賦予並保障外來人口出入國、居留、遷徙自由、選擇住所自由及不遭受違法驅逐出國之權利；我國</w:t>
      </w:r>
      <w:hyperlink r:id="rId71" w:history="1">
        <w:r w:rsidR="002D4379" w:rsidRPr="002D4379">
          <w:rPr>
            <w:rStyle w:val="a7"/>
            <w:rFonts w:cs="Times New Roman" w:hint="eastAsia"/>
            <w:lang w:eastAsia="zh-TW" w:bidi="ar-SA"/>
          </w:rPr>
          <w:t>憲法</w:t>
        </w:r>
      </w:hyperlink>
      <w:r>
        <w:rPr>
          <w:rFonts w:hint="eastAsia"/>
        </w:rPr>
        <w:t>實宜賦予「外來人口」與本國人享有同等之人身自由保障機制；我國</w:t>
      </w:r>
      <w:hyperlink r:id="rId72" w:history="1">
        <w:r w:rsidR="002D4379" w:rsidRPr="002D4379">
          <w:rPr>
            <w:rStyle w:val="a7"/>
            <w:rFonts w:cs="Times New Roman" w:hint="eastAsia"/>
            <w:lang w:eastAsia="zh-TW" w:bidi="ar-SA"/>
          </w:rPr>
          <w:t>憲法</w:t>
        </w:r>
      </w:hyperlink>
      <w:r>
        <w:rPr>
          <w:rFonts w:hint="eastAsia"/>
        </w:rPr>
        <w:t>實宜賦予外來人口享有「政治上庇護權」（</w:t>
      </w:r>
      <w:r>
        <w:t>RIGHT OF ASYLUM）；外國人所享有之權利與應盡之義務，宜於</w:t>
      </w:r>
      <w:hyperlink r:id="rId73" w:history="1">
        <w:r w:rsidR="002D4379" w:rsidRPr="002D4379">
          <w:rPr>
            <w:rStyle w:val="a7"/>
            <w:rFonts w:cs="Times New Roman" w:hint="eastAsia"/>
            <w:lang w:eastAsia="zh-TW" w:bidi="ar-SA"/>
          </w:rPr>
          <w:t>憲法</w:t>
        </w:r>
      </w:hyperlink>
      <w:r>
        <w:t>之中，與本國公民作非常明確之切割，並明文規範之；</w:t>
      </w:r>
      <w:hyperlink r:id="rId74" w:history="1">
        <w:r w:rsidR="002D4379" w:rsidRPr="002D4379">
          <w:rPr>
            <w:rStyle w:val="a7"/>
            <w:rFonts w:cs="Times New Roman" w:hint="eastAsia"/>
            <w:lang w:eastAsia="zh-TW" w:bidi="ar-SA"/>
          </w:rPr>
          <w:t>憲法</w:t>
        </w:r>
      </w:hyperlink>
      <w:r>
        <w:t>宜明文規範保障外國人工作權、工作條件及勞動基本權；</w:t>
      </w:r>
      <w:hyperlink r:id="rId75" w:history="1">
        <w:r w:rsidR="002D4379" w:rsidRPr="002D4379">
          <w:rPr>
            <w:rStyle w:val="a7"/>
            <w:rFonts w:cs="Times New Roman" w:hint="eastAsia"/>
            <w:lang w:eastAsia="zh-TW" w:bidi="ar-SA"/>
          </w:rPr>
          <w:t>憲法</w:t>
        </w:r>
      </w:hyperlink>
      <w:r>
        <w:t>宜明文規範與保障已取得永久居留資格外國人享有政</w:t>
      </w:r>
      <w:r>
        <w:lastRenderedPageBreak/>
        <w:t>治上之選舉權與任公職權利；</w:t>
      </w:r>
      <w:hyperlink r:id="rId76" w:history="1">
        <w:r w:rsidR="002D4379" w:rsidRPr="002D4379">
          <w:rPr>
            <w:rStyle w:val="a7"/>
            <w:rFonts w:cs="Times New Roman" w:hint="eastAsia"/>
            <w:lang w:eastAsia="zh-TW" w:bidi="ar-SA"/>
          </w:rPr>
          <w:t>憲法</w:t>
        </w:r>
      </w:hyperlink>
      <w:r>
        <w:t>宜明文廢</w:t>
      </w:r>
      <w:r>
        <w:rPr>
          <w:rFonts w:hint="eastAsia"/>
        </w:rPr>
        <w:t>止死刑、無期徒</w:t>
      </w:r>
      <w:r w:rsidRPr="00B40DC1">
        <w:t>刑</w:t>
      </w:r>
      <w:r w:rsidRPr="00C73C9C">
        <w:rPr>
          <w:rStyle w:val="af7"/>
          <w:rFonts w:eastAsia="新細明體"/>
          <w:b/>
          <w:sz w:val="20"/>
        </w:rPr>
        <w:footnoteReference w:id="81"/>
      </w:r>
      <w:r>
        <w:rPr>
          <w:rFonts w:hint="eastAsia"/>
        </w:rPr>
        <w:t>，俾利充份地保障外來人口之生命權與人身自由權，俾利充份地保障外來人口之生命權（含人身自由權）；</w:t>
      </w:r>
    </w:p>
    <w:p w:rsidR="00C41545" w:rsidRDefault="00C73C9C" w:rsidP="00AF4063">
      <w:pPr>
        <w:spacing w:line="240" w:lineRule="auto"/>
        <w:ind w:leftChars="0" w:left="0" w:rightChars="0" w:right="0"/>
      </w:pPr>
      <w:r>
        <w:rPr>
          <w:rFonts w:hint="eastAsia"/>
        </w:rPr>
        <w:t xml:space="preserve">　　三、在公私立大學之教授，提升其在職薪俸與退休之月退俸方面：對於任職於公私立大學之教授，宜大幅提升其在職薪俸與退休後之月退俸所得，以利吸引高專人才來台，同時，留住人才，避免我國之人才，不斷地外流；我國之現況，是國內人才，不斷地外流、輸出，外國籍高專人才不願低就來台，針對教育領域而言，其主因乃為相較於其他國家，我國公私立大學之教授，其在職薪俸與退休之月退俸所得過低，是以，台灣公私立大學之教授，其薪俸與退休之月退俸所得，對外國籍高專人才而論，無任何之競爭力與誘因；憲</w:t>
      </w:r>
      <w:r w:rsidR="000E2576">
        <w:rPr>
          <w:rFonts w:hint="eastAsia"/>
        </w:rPr>
        <w:t>法</w:t>
      </w:r>
      <w:hyperlink r:id="rId77"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保障之平等權，並不當然禁止任何差別待</w:t>
      </w:r>
      <w:r>
        <w:rPr>
          <w:rFonts w:hint="eastAsia"/>
        </w:rPr>
        <w:t>遇，立法與相關機關基於</w:t>
      </w:r>
      <w:hyperlink r:id="rId78" w:history="1">
        <w:r w:rsidR="002D4379" w:rsidRPr="002D4379">
          <w:rPr>
            <w:rStyle w:val="a7"/>
            <w:rFonts w:cs="Times New Roman" w:hint="eastAsia"/>
            <w:lang w:eastAsia="zh-TW" w:bidi="ar-SA"/>
          </w:rPr>
          <w:t>憲法</w:t>
        </w:r>
      </w:hyperlink>
      <w:r>
        <w:rPr>
          <w:rFonts w:hint="eastAsia"/>
        </w:rPr>
        <w:t>之價值體系及立法目的，自得斟酌規範事物性質之差異而為合理差別待遇。法規範是否符合平等原則之要求，應視該法規範所以為差別待遇之目的是否合憲，及其所採取之分類與規範目的之達成間，是否存有一定程度之關聯性而定（司法院釋字</w:t>
      </w:r>
      <w:hyperlink r:id="rId79" w:anchor="r682" w:history="1">
        <w:r w:rsidR="00226805" w:rsidRPr="008839A6">
          <w:rPr>
            <w:rStyle w:val="a7"/>
            <w:rFonts w:cs="Times New Roman"/>
            <w:lang w:eastAsia="zh-TW" w:bidi="ar-SA"/>
          </w:rPr>
          <w:t>第682號</w:t>
        </w:r>
      </w:hyperlink>
      <w:r>
        <w:t>、</w:t>
      </w:r>
      <w:hyperlink r:id="rId80" w:anchor="r694" w:history="1">
        <w:r w:rsidR="00AE2E64" w:rsidRPr="008839A6">
          <w:rPr>
            <w:rStyle w:val="a7"/>
            <w:rFonts w:cs="Times New Roman"/>
            <w:lang w:eastAsia="zh-TW" w:bidi="ar-SA"/>
          </w:rPr>
          <w:t>第694號</w:t>
        </w:r>
      </w:hyperlink>
      <w:r>
        <w:t>、</w:t>
      </w:r>
      <w:hyperlink r:id="rId81" w:anchor="r701" w:history="1">
        <w:r w:rsidR="000E2576" w:rsidRPr="008839A6">
          <w:rPr>
            <w:rStyle w:val="a7"/>
            <w:rFonts w:cs="Times New Roman"/>
            <w:lang w:eastAsia="zh-TW" w:bidi="ar-SA"/>
          </w:rPr>
          <w:t>第701號</w:t>
        </w:r>
      </w:hyperlink>
      <w:r>
        <w:t>、</w:t>
      </w:r>
      <w:hyperlink r:id="rId82" w:anchor="r719" w:history="1">
        <w:r w:rsidR="000E2576" w:rsidRPr="008839A6">
          <w:rPr>
            <w:rStyle w:val="a7"/>
            <w:rFonts w:cs="Times New Roman"/>
            <w:lang w:eastAsia="zh-TW" w:bidi="ar-SA"/>
          </w:rPr>
          <w:t>第719號</w:t>
        </w:r>
      </w:hyperlink>
      <w:r>
        <w:t>、</w:t>
      </w:r>
      <w:hyperlink r:id="rId83" w:anchor="r722" w:history="1">
        <w:r w:rsidR="000E2576" w:rsidRPr="008839A6">
          <w:rPr>
            <w:rStyle w:val="a7"/>
            <w:rFonts w:cs="Times New Roman"/>
            <w:lang w:eastAsia="zh-TW" w:bidi="ar-SA"/>
          </w:rPr>
          <w:t>第722號</w:t>
        </w:r>
      </w:hyperlink>
      <w:r w:rsidR="000E2576">
        <w:t>、</w:t>
      </w:r>
      <w:hyperlink r:id="rId84" w:anchor="r727" w:history="1">
        <w:r w:rsidR="000E2576" w:rsidRPr="008839A6">
          <w:rPr>
            <w:rStyle w:val="a7"/>
            <w:rFonts w:cs="Times New Roman"/>
            <w:lang w:eastAsia="zh-TW" w:bidi="ar-SA"/>
          </w:rPr>
          <w:t>第727號</w:t>
        </w:r>
      </w:hyperlink>
      <w:r>
        <w:t>及</w:t>
      </w:r>
      <w:hyperlink r:id="rId85" w:anchor="r745" w:history="1">
        <w:r w:rsidR="000E2576" w:rsidRPr="008839A6">
          <w:rPr>
            <w:rStyle w:val="a7"/>
            <w:rFonts w:cs="Times New Roman"/>
            <w:lang w:eastAsia="zh-TW" w:bidi="ar-SA"/>
          </w:rPr>
          <w:t>第745號</w:t>
        </w:r>
      </w:hyperlink>
      <w:r>
        <w:t>解釋參照）。若目的正當，且其差別待遇與目的之達成間具有合理關聯，即不違反憲</w:t>
      </w:r>
      <w:r w:rsidR="000E2576">
        <w:rPr>
          <w:rFonts w:hint="eastAsia"/>
        </w:rPr>
        <w:t>法</w:t>
      </w:r>
      <w:hyperlink r:id="rId86"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平等權保障之意旨。基此平等權標準，為了達到吸引高專人才來台，同時，留住人才，避免我國之人才，不斷地外流之合理</w:t>
      </w:r>
      <w:r>
        <w:rPr>
          <w:rFonts w:hint="eastAsia"/>
        </w:rPr>
        <w:t>化、正當化之目的，對於任職於公私立大學之教授，大幅提升其在職薪俸與退休後之月退俸所得，亦符合憲</w:t>
      </w:r>
      <w:r w:rsidR="000E2576">
        <w:rPr>
          <w:rFonts w:hint="eastAsia"/>
        </w:rPr>
        <w:t>法</w:t>
      </w:r>
      <w:hyperlink r:id="rId87"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平等權保障之精神。主因在於：目的正當，且其差別待遇與目的之達成間具有合理關聯性。</w:t>
      </w:r>
    </w:p>
    <w:p w:rsidR="00C41545" w:rsidRDefault="00C73C9C" w:rsidP="00AF4063">
      <w:pPr>
        <w:spacing w:line="240" w:lineRule="auto"/>
        <w:ind w:leftChars="0" w:left="0" w:rightChars="0" w:right="0"/>
      </w:pPr>
      <w:r>
        <w:rPr>
          <w:rFonts w:hint="eastAsia"/>
        </w:rPr>
        <w:t xml:space="preserve">　　四、在新移民的生活適應與需求之區塊：</w:t>
      </w:r>
    </w:p>
    <w:p w:rsidR="00C41545" w:rsidRDefault="00C73C9C" w:rsidP="00AF4063">
      <w:pPr>
        <w:spacing w:line="240" w:lineRule="auto"/>
        <w:ind w:leftChars="0" w:left="0" w:rightChars="0" w:right="0"/>
      </w:pPr>
      <w:r>
        <w:rPr>
          <w:rFonts w:hint="eastAsia"/>
        </w:rPr>
        <w:t xml:space="preserve">　　（</w:t>
      </w:r>
      <w:r>
        <w:t>1）、針對家庭生活層面而論，在三類國籍新移民當中，東南亞籍新移民的家庭收入最低、配偶教育程度最低（高中職以下所占百分比最高）、與配偶認識的方式多經由婚姻介紹、與配偶結婚年數較低、離婚情形最多，顯示此類國籍新移民的家庭生活情形較不佳。東南亞籍新移民的家庭需要較多的照顧輔導資源，協助其提升家庭生活品質，強化其家庭功能。大陸及港澳地區新移民不是首度結婚的比率最高、配偶不是首度結婚的比率最高、配偶健康狀況不良的比率也是最高，大陸及港澳地區新移民的家庭可能需要較多的醫療保健資源。顯然，不同國籍新移民家庭所需要的</w:t>
      </w:r>
      <w:r>
        <w:rPr>
          <w:rFonts w:hint="eastAsia"/>
        </w:rPr>
        <w:t>教育資源並不相同，以提供適切的教育資源。（</w:t>
      </w:r>
      <w:r>
        <w:t>2）、在就業層面部分，政府也應擬定相關政策，透過節稅、行政作業簡易化等措施，鼓勵事業單位聘僱新移民，積極創造新移民友善就業環境與氛圍。（3）、在生活適應層面，有關新移民目前在臺生活的重大困擾問題，雖平均超過70%的新移民表示沒有重大困擾問題，但有較高百分比的東南亞籍和大陸港澳籍新移民表示有經濟問題，尤其是東南亞籍新移民。因此，對於經濟較弱勢的新移民實有必要提供適切的協助與輔導措施。（4）、在生活環境整體感受層面，顯然有較多的其他國籍新移民不同意居住臺灣有良好的教育環</w:t>
      </w:r>
      <w:r>
        <w:rPr>
          <w:rFonts w:hint="eastAsia"/>
        </w:rPr>
        <w:t>境。換言之，隨著新移民教育程度、原屬國社經背景的改變，跨國婚姻逐漸呈現不同以往的樣貌。不論是在意識形態上、醫療及教育資源分配上，須兼顧公平與合理，以符合憲</w:t>
      </w:r>
      <w:r w:rsidR="000E2576">
        <w:rPr>
          <w:rFonts w:hint="eastAsia"/>
        </w:rPr>
        <w:t>法</w:t>
      </w:r>
      <w:hyperlink r:id="rId88"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拓揭示之平等原則。</w:t>
      </w:r>
    </w:p>
    <w:p w:rsidR="00C73C9C" w:rsidRDefault="00C73C9C" w:rsidP="00AF4063">
      <w:pPr>
        <w:spacing w:line="240" w:lineRule="auto"/>
        <w:ind w:leftChars="0" w:left="0" w:rightChars="0" w:right="0"/>
      </w:pPr>
      <w:r>
        <w:rPr>
          <w:rFonts w:hint="eastAsia"/>
        </w:rPr>
        <w:t xml:space="preserve">　　五、在移民融合方面：強化與提升勞動就業市場流動之移民融合機制；考量適度賦予外國人政治參與權利之可行性；改善外國人取得我國長期與永久居留之機制；精進移</w:t>
      </w:r>
      <w:r>
        <w:rPr>
          <w:rFonts w:hint="eastAsia"/>
        </w:rPr>
        <w:lastRenderedPageBreak/>
        <w:t>民家庭團聚之機制；修法以維護新住民配偶之家庭團聚權。國籍取得政策仍存有進步之空間；政府各部門似宜通力進行縱向與橫向之協力合作，共同促成移民融合之工作；</w:t>
      </w:r>
    </w:p>
    <w:p w:rsidR="00C73C9C" w:rsidRDefault="00C73C9C" w:rsidP="00AF4063">
      <w:pPr>
        <w:spacing w:line="240" w:lineRule="auto"/>
        <w:ind w:leftChars="0" w:left="0" w:rightChars="0" w:right="0"/>
      </w:pPr>
      <w:r>
        <w:rPr>
          <w:rFonts w:hint="eastAsia"/>
        </w:rPr>
        <w:t xml:space="preserve">　　六、外國人工作權法制之保障方面：台灣</w:t>
      </w:r>
      <w:hyperlink r:id="rId89" w:history="1">
        <w:r w:rsidR="00F816F3" w:rsidRPr="00F816F3">
          <w:rPr>
            <w:rStyle w:val="a7"/>
            <w:rFonts w:cs="Times New Roman"/>
            <w:sz w:val="24"/>
            <w:szCs w:val="24"/>
            <w:lang w:eastAsia="zh-TW" w:bidi="ar-SA"/>
          </w:rPr>
          <w:t>勞動基準法</w:t>
        </w:r>
      </w:hyperlink>
      <w:r>
        <w:rPr>
          <w:rFonts w:hint="eastAsia"/>
        </w:rPr>
        <w:t>之適用對象，宜包括「外籍家事勞工」；我國對於外籍家事勞工與雇主間之勞資契約，宜進行必要之管控或規制；在認定外籍家事勞工之工作時間（段）是否逾時部分，可引進加國安大略省平均數之計算公式解決之；雇主延長外籍家事勞工之工作時間者，逾時工資宜為平日每小時標準之</w:t>
      </w:r>
      <w:r>
        <w:t>1.5倍以上，並運用法律明文規範為佳，以確實地保障外籍家事勞工之權益；外籍家事勞工之薪資，如與本國勞工之薪資比較，外籍家事勞工之薪資宜受到同工同酬（Equal pay for equal work）之保障，以符</w:t>
      </w:r>
      <w:r>
        <w:rPr>
          <w:rFonts w:hint="eastAsia"/>
        </w:rPr>
        <w:t>合</w:t>
      </w:r>
      <w:hyperlink r:id="rId90" w:history="1">
        <w:r w:rsidR="002D4379" w:rsidRPr="002D4379">
          <w:rPr>
            <w:rStyle w:val="a7"/>
            <w:rFonts w:cs="Times New Roman" w:hint="eastAsia"/>
            <w:lang w:eastAsia="zh-TW" w:bidi="ar-SA"/>
          </w:rPr>
          <w:t>憲法</w:t>
        </w:r>
      </w:hyperlink>
      <w:r>
        <w:rPr>
          <w:rFonts w:hint="eastAsia"/>
        </w:rPr>
        <w:t>之平等原則；台灣對於外國人工作權之保障，似宜與</w:t>
      </w:r>
      <w:r w:rsidR="00173EDA">
        <w:rPr>
          <w:rFonts w:hint="eastAsia"/>
        </w:rPr>
        <w:t>《</w:t>
      </w:r>
      <w:hyperlink r:id="rId91" w:history="1">
        <w:r w:rsidR="00173EDA" w:rsidRPr="00F816F3">
          <w:rPr>
            <w:rStyle w:val="a7"/>
            <w:rFonts w:cs="Times New Roman" w:hint="eastAsia"/>
            <w:lang w:eastAsia="zh-TW" w:bidi="ar-SA"/>
          </w:rPr>
          <w:t>世界人權宣言</w:t>
        </w:r>
      </w:hyperlink>
      <w:r w:rsidR="00173EDA">
        <w:rPr>
          <w:rFonts w:hint="eastAsia"/>
        </w:rPr>
        <w:t>》、《</w:t>
      </w:r>
      <w:hyperlink r:id="rId92" w:history="1">
        <w:r w:rsidR="00173EDA" w:rsidRPr="00A65CF7">
          <w:rPr>
            <w:rStyle w:val="a7"/>
            <w:rFonts w:cs="Times New Roman" w:hint="eastAsia"/>
            <w:lang w:eastAsia="zh-TW" w:bidi="ar-SA"/>
          </w:rPr>
          <w:t>經濟、社會、文化權利國際公約</w:t>
        </w:r>
      </w:hyperlink>
      <w:r w:rsidR="00173EDA">
        <w:rPr>
          <w:rFonts w:hint="eastAsia"/>
        </w:rPr>
        <w:t>》、《</w:t>
      </w:r>
      <w:hyperlink r:id="rId93" w:history="1">
        <w:r w:rsidR="00173EDA" w:rsidRPr="001A69E2">
          <w:rPr>
            <w:rStyle w:val="a7"/>
            <w:rFonts w:cs="Times New Roman" w:hint="eastAsia"/>
            <w:lang w:eastAsia="zh-TW" w:bidi="ar-SA"/>
          </w:rPr>
          <w:t>公民與政治權利國際公約</w:t>
        </w:r>
      </w:hyperlink>
      <w:r w:rsidR="00173EDA">
        <w:rPr>
          <w:rFonts w:hint="eastAsia"/>
        </w:rPr>
        <w:t>》、《</w:t>
      </w:r>
      <w:hyperlink r:id="rId94" w:history="1">
        <w:r w:rsidR="00173EDA" w:rsidRPr="001A69E2">
          <w:rPr>
            <w:rStyle w:val="a7"/>
            <w:rFonts w:cs="Times New Roman" w:hint="eastAsia"/>
            <w:lang w:eastAsia="zh-TW" w:bidi="ar-SA"/>
          </w:rPr>
          <w:t>消除一切形式種族歧視國際公約</w:t>
        </w:r>
      </w:hyperlink>
      <w:r w:rsidR="00173EDA">
        <w:rPr>
          <w:rFonts w:hint="eastAsia"/>
        </w:rPr>
        <w:t>》、《</w:t>
      </w:r>
      <w:hyperlink r:id="rId95" w:history="1">
        <w:r w:rsidR="00173EDA" w:rsidRPr="001A69E2">
          <w:rPr>
            <w:rStyle w:val="a7"/>
            <w:rFonts w:cs="Times New Roman" w:hint="eastAsia"/>
            <w:lang w:eastAsia="zh-TW" w:bidi="ar-SA"/>
          </w:rPr>
          <w:t>消除對婦女一切形式歧視公約</w:t>
        </w:r>
      </w:hyperlink>
      <w:r w:rsidR="00173EDA">
        <w:rPr>
          <w:rFonts w:hint="eastAsia"/>
        </w:rPr>
        <w:t>》及《</w:t>
      </w:r>
      <w:hyperlink r:id="rId96" w:history="1">
        <w:r w:rsidR="00173EDA" w:rsidRPr="001A69E2">
          <w:rPr>
            <w:rStyle w:val="a7"/>
            <w:rFonts w:cs="Times New Roman" w:hint="eastAsia"/>
            <w:lang w:eastAsia="zh-TW" w:bidi="ar-SA"/>
          </w:rPr>
          <w:t>兒童權利公約</w:t>
        </w:r>
      </w:hyperlink>
      <w:r w:rsidR="00173EDA">
        <w:rPr>
          <w:rFonts w:hint="eastAsia"/>
        </w:rPr>
        <w:t>》</w:t>
      </w:r>
      <w:r>
        <w:rPr>
          <w:rFonts w:hint="eastAsia"/>
        </w:rPr>
        <w:t>等國際條約進行接軌；</w:t>
      </w:r>
    </w:p>
    <w:p w:rsidR="00C73C9C" w:rsidRDefault="00C73C9C" w:rsidP="00AF4063">
      <w:pPr>
        <w:spacing w:line="240" w:lineRule="auto"/>
        <w:ind w:leftChars="0" w:left="0" w:rightChars="0" w:right="0"/>
      </w:pPr>
      <w:r>
        <w:rPr>
          <w:rFonts w:hint="eastAsia"/>
        </w:rPr>
        <w:t xml:space="preserve">　　七、「禁止出國」、「收容」、「驅逐出國」法制宜與國際人權法制相聯結：對於「台灣地區無戶籍國民」不予許可或禁止入國之處分，恐已剝奪國民返鄉權，似應給予當事人正式之書面行政處分書，並告知及賦予其法律救濟之途徑；對外國人所作出之「禁止出國」處分，似應明文規範賦予外國人救濟之機會；我國對外國人的「收容」法制中之暫予收容部分，未由法官裁定，似與國際人權法制相違背，已侵犯外國人之人身自由；對外國人「驅逐出國」的正式行政聽證程序與救濟法制尚待補強；</w:t>
      </w:r>
    </w:p>
    <w:p w:rsidR="00C73C9C" w:rsidRDefault="00C73C9C" w:rsidP="00AF4063">
      <w:pPr>
        <w:spacing w:line="240" w:lineRule="auto"/>
        <w:ind w:leftChars="0" w:left="0" w:rightChars="0" w:right="0"/>
      </w:pPr>
      <w:r>
        <w:rPr>
          <w:rFonts w:hint="eastAsia"/>
        </w:rPr>
        <w:t xml:space="preserve">　　八、強化整體社經環境：強化我國經濟發展之潛力與條件，並積極改善工作條件與生活環境，營造一個有利於外國專技人才工作與生活之溫馨環境；改善政黨惡鬥之氛圍，強化國家政策具有可持續性與可發展性之機制；宜強化國會議事之功能，縮短相關移民法令審議期，在符合法律保留之原則下，以立法授權方式，機動地調整移民政策；</w:t>
      </w:r>
    </w:p>
    <w:p w:rsidR="00C73C9C" w:rsidRDefault="00C73C9C" w:rsidP="00AF4063">
      <w:pPr>
        <w:spacing w:line="240" w:lineRule="auto"/>
        <w:ind w:leftChars="0" w:left="0" w:rightChars="0" w:right="0"/>
      </w:pPr>
      <w:r>
        <w:rPr>
          <w:rFonts w:hint="eastAsia"/>
        </w:rPr>
        <w:t xml:space="preserve">　　九、技術移民機制之精進：我國技術移民制度可適時與適度地採行評點制；梅花卡永久居留權宜和技術移民之工作結合；建置技術移民永久居留人才資料庫；放寬技術移民者單一國籍之限制；移民法令對技術移民定義應明確；強化梅花卡利基適時給予高級專業人才準國民權；公部門宜及國內企業緊密聯繫以利掌握國內人才需求，並建置技術移民永久居留之人才資料庫；移民機關組織再造，以利全權主導移民政策──在行政院之下，宜建置一個常設性之「行政院移民政策、融合與輔導委員會」；宜增添移民政策規畫之人力；破除梅花卡永久居留之績效迷思；宜訂定「大陸地區專業人才延攬及僱用法」，積極地延攬及僱用大陸地區專業人才來台貢獻所長，以發展台灣之綜合國力。</w:t>
      </w:r>
    </w:p>
    <w:p w:rsidR="00C73C9C" w:rsidRDefault="00C73C9C" w:rsidP="00AF4063">
      <w:pPr>
        <w:spacing w:line="240" w:lineRule="auto"/>
        <w:ind w:leftChars="0" w:left="0" w:rightChars="0" w:right="0"/>
      </w:pPr>
      <w:r>
        <w:rPr>
          <w:rFonts w:hint="eastAsia"/>
        </w:rPr>
        <w:t xml:space="preserve">　　十、在國境安全管理之部分：由大陸先行審批大陸居民往來台灣通行證及簽注，我方再憑證審發大陸地區人民來台之入出境許可證；簽署兩岸境管合作協議；簽署兩岸境管協議，加強國境管理合作；兩岸境管機關建立資訊交流平臺；建立兩岸境管機關人員即時通管道；明確兩岸政策之方向，掌握陸客來臺主導權；加強陸客申請案件審核機制，以達到源頭管理為目標；內政部移民署宜適度擴增、增加陸客來台申請案件之專業審核人力名額；在大陸地區設立辦事處，完善「事前管理」之能量；兩岸互設辦事機構增設審發入出境許可證及面談功能；我國有必要於大陸地區先行採集陸客及其他大陸身分人士之生物特徵，並回傳台灣國內國境管理機關，以利陸客及其他大陸身分人士入境時比對之用；有效使用國境管理之資訊設備及系統，執行陸客入出境查驗等工作；國安團隊建置之大陸人士資訊系統互享資源，應提供給基層執法人員使用；有效掌蒐特殊大陸人</w:t>
      </w:r>
      <w:r>
        <w:rPr>
          <w:rFonts w:hint="eastAsia"/>
        </w:rPr>
        <w:lastRenderedPageBreak/>
        <w:t>士在臺從事相關違法行為之情事；</w:t>
      </w:r>
    </w:p>
    <w:p w:rsidR="00C73C9C" w:rsidRDefault="00C73C9C" w:rsidP="00AF4063">
      <w:pPr>
        <w:spacing w:line="240" w:lineRule="auto"/>
        <w:ind w:leftChars="0" w:left="0" w:rightChars="0" w:right="0"/>
      </w:pPr>
      <w:r>
        <w:rPr>
          <w:rFonts w:hint="eastAsia"/>
        </w:rPr>
        <w:t xml:space="preserve">　　十一、建構臺灣成為一個真正多元文化、平等對待的社會之區塊：根據本書之實證調查，在三類國籍新移民當中，統計顯示，顯然有較多的大陸及港澳籍新移民不同意臺灣是平等對待、具社會公益的地方，以及不同意居住臺灣有良好的醫療照顧。國籍別與受訪者是否認同臺灣是平等對待、社會公益地方達到統計上的顯著水準（χ</w:t>
      </w:r>
      <w:r>
        <w:t>2=12.48；df=6；p&lt;0.05），顯示：會因為受訪者國籍別之不同，而在其對於臺灣是否為平等對待、社會公益地方的認知程度上有所差異。當進一步觀察百分比分布情形可以發現，原籍為其他國家的新移民表示非常同意和同意者占95.10％，所占百分比最高；其次為原籍為東南亞國家新移民表示非常同意和同意者占94.00%；而以大陸及港澳地區新移民表示非常同意和同意者所占百分比最低，占88.90％。亦即，大陸及港澳地區新移民表示，其受到若干程度之歧視與不公平之待遇。是以，外籍與大陸配偶之法律上規範機制，仍有再予衡平之空間。總之，未來建構臺灣成為一個真正多元文化、平等對待的社會，亟具重要性與急迫性。</w:t>
      </w:r>
    </w:p>
    <w:p w:rsidR="00C73C9C" w:rsidRDefault="00C73C9C" w:rsidP="00AF4063">
      <w:pPr>
        <w:spacing w:line="240" w:lineRule="auto"/>
        <w:ind w:leftChars="0" w:left="0" w:rightChars="0" w:right="0"/>
      </w:pPr>
      <w:r>
        <w:rPr>
          <w:rFonts w:hint="eastAsia"/>
        </w:rPr>
        <w:t xml:space="preserve">　　十二、大陸配偶之學歷認證標準應與外籍配偶逐步趨向一致；外籍及大陸配偶之規範仍有再予衡平之空間；修法以維護新住民配偶之家庭團聚權；大陸配偶在台違法行為之處罰標準宜具有衡平性，並兼具考量其「家庭團聚權」，應與外籍配偶趨於平等性與一致性；宜保障大陸配偶之集會遊行與結社（含組織政黨）之基本權利；大陸配偶之學歷認證標準應與外籍配偶逐步趨向一致。</w:t>
      </w:r>
    </w:p>
    <w:p w:rsidR="0049577B" w:rsidRPr="00B40DC1" w:rsidRDefault="0050701A" w:rsidP="00AF4063">
      <w:pPr>
        <w:spacing w:line="240" w:lineRule="auto"/>
        <w:ind w:leftChars="0" w:left="0" w:rightChars="0" w:right="0"/>
      </w:pPr>
      <w:r>
        <w:t xml:space="preserve">　　</w:t>
      </w:r>
      <w:r w:rsidR="0049577B" w:rsidRPr="00B40DC1">
        <w:t>期望本研究所歸納之建議，能提供我國移民政策與法制研擬之參考，並能有效吸引更多高級、專業之技術移民(高專人才)進入我國，且能迅速提升我國在國際社會上之實質競爭力，令台灣有能力成為世界上之強國。</w:t>
      </w:r>
    </w:p>
    <w:p w:rsidR="0049577B" w:rsidRPr="00B40DC1" w:rsidRDefault="00C73C9C" w:rsidP="00AF4063">
      <w:pPr>
        <w:spacing w:line="240" w:lineRule="auto"/>
        <w:ind w:leftChars="0" w:left="0" w:rightChars="0" w:right="0"/>
      </w:pPr>
      <w:r>
        <w:t xml:space="preserve">　　</w:t>
      </w:r>
      <w:r w:rsidR="0049577B" w:rsidRPr="00B40DC1">
        <w:t>本書作者之一---李佳樺巡官，以非常用心、嚴謹與認真之態度與精神撰寫本書，於撰寫本論文的過程之中，其亦歷經了徹夜看星星、看月亮，直至看日出的生活，看著各類藥品、姊妹們送來的補品，及加持過的仙草蜜堆滿書桌，本書之論文，終於應運而生。李佳樺巡官謹將本書在學術上初試啼聲之研究精華，獻給所有愛李佳樺巡官的人，及李佳樺巡官所愛的人。</w:t>
      </w:r>
    </w:p>
    <w:p w:rsidR="003C1792" w:rsidRDefault="00C73C9C" w:rsidP="00AF4063">
      <w:pPr>
        <w:spacing w:line="240" w:lineRule="auto"/>
        <w:ind w:leftChars="0" w:left="0" w:rightChars="0" w:right="0"/>
      </w:pPr>
      <w:r>
        <w:t xml:space="preserve">　　</w:t>
      </w:r>
      <w:r w:rsidR="0049577B" w:rsidRPr="00B40DC1">
        <w:t>另外，本書之作者們，願以非常誠摯與虔誠之心，特別感謝(除了感恩，還是感恩)以下人士之學術專業上與行政上之大力指導與協助：中央警察大學國境警察學系之傑出與優質之教授們(許義寶教授兼系主任、陳明傳教授、汪毓瑋教授、王寬弘教授、高佩珊教授、林盈君教授、王智盛教授、黃文志教授)；諸位尊貴、傑出與優質的大法師們，諸如：常律大和尚(正德佛堂、</w:t>
      </w:r>
      <w:r w:rsidR="0049577B" w:rsidRPr="00B40DC1">
        <w:rPr>
          <w:rFonts w:hint="eastAsia"/>
        </w:rPr>
        <w:t>佛教正德醫院、正德電視台、正德慈善基金會</w:t>
      </w:r>
      <w:r w:rsidR="0049577B" w:rsidRPr="00B40DC1">
        <w:t>之創辦人)、釋從慈大和尚(德林念佛寺、龍泉寺、德林講堂住持、中國佛教會弘法委員會主任委員、日月潭玄奘寺董事長)、德慧大法師(南投市龍泉寺)、德安大法師(南投玄奘寺)、法豐大法師(宜蘭開成寺)、慈頌大師父(宜蘭開成寺)、宏昭大法師(南投市蓮光寺)、釋秀定大法師(政治大學哲學系博士)；陳國恩博士(曾任警政署署長)、林國清局長(苗栗縣警察局局長)、林貽俊副組長(內政部移民署入出國事務組)、蔡耀明教授(台大哲學系)、張國治博士(宜蘭佛光大學兼任教授、內政部移民署宜蘭縣專勤隊分隊長)、劉國威教授(政治大學應用數學系畢業，哈佛大學梵文與印度研究學系（現已更名南亞研究）碩士、博士，曾任佛光大學宗教學系主任、佛教學系主任、佛教學院代理院長；現任國立故宮博物院圖書文獻處研究員)、耿晴教授(政大哲學系)、吳家慶教授(警大行政系)、孫義雄教授(警</w:t>
      </w:r>
      <w:r w:rsidR="0049577B" w:rsidRPr="00B40DC1">
        <w:lastRenderedPageBreak/>
        <w:t>大行管系)、吳斯茜教授(警大行管系)、周慶東教授(警大法律系)、楊麗娜教授、林安邦教授、鄭國榮教授、李銀英教授(警大法律系)、余振華教授(警大法律系)、梁世興教授(警大法律系)、李進榮檢察官(台北地檢署)、黃郁茜博士(中央研究院訪問學者)、楊得煜博士(政大哲學系)、陳玉書教授(警大犯防系)、謝美華女士、林語倩老師、林承德博士(台大哲學系)、曾平毅教授(警大交通系)、陳佩詩教授(警大通識教育中心)、黃翠紋教授(現任警大行政警察學系、警政研究所所長)、</w:t>
      </w:r>
      <w:r w:rsidR="0049577B" w:rsidRPr="00B40DC1">
        <w:rPr>
          <w:rFonts w:hint="eastAsia"/>
        </w:rPr>
        <w:t>潘佳于執行長</w:t>
      </w:r>
      <w:r w:rsidR="0049577B" w:rsidRPr="00B40DC1">
        <w:t>(現任正德佛堂台北</w:t>
      </w:r>
      <w:r w:rsidR="0049577B" w:rsidRPr="00B40DC1">
        <w:rPr>
          <w:rFonts w:hint="eastAsia"/>
        </w:rPr>
        <w:t>執行長</w:t>
      </w:r>
      <w:r w:rsidR="0049577B" w:rsidRPr="00B40DC1">
        <w:t>)</w:t>
      </w:r>
      <w:r w:rsidR="0049577B" w:rsidRPr="00B40DC1">
        <w:rPr>
          <w:rFonts w:hint="eastAsia"/>
        </w:rPr>
        <w:t>、</w:t>
      </w:r>
      <w:r w:rsidR="0049577B" w:rsidRPr="00B40DC1">
        <w:t>林份霞女士(正德佛堂)、劉得昌教授(開南大學)、中央警察大學外事警察學系之傑出與優質之老師們、孟維德教授（中央警察大學外事警察研究所前所長）、李宗勲教授（中央警察大學外事警察研究所前所長）、江世雄教授（中央警察大學外事警察研究所）、王士帆教授(德國慕尼黑大學法學博士，現任職於國立台北大學法律學系)、移民署相關之長官與前輩等人(假若，沒有內政部移民署長官們、前輩們及學長、學姐們的鼎力相助，本書無法完成之，再次感謝您們願意接受本書作者---李佳樺巡官之深入訪談，您們之高見，業已整編於本書之</w:t>
      </w:r>
      <w:hyperlink w:anchor="_第二章、評點制技術移民政策之研究──以加拿大、紐西蘭與澳洲為核心" w:history="1">
        <w:r w:rsidR="00654D1D" w:rsidRPr="002E4FE0">
          <w:rPr>
            <w:rStyle w:val="a7"/>
            <w:rFonts w:cs="Times New Roman"/>
            <w:lang w:eastAsia="zh-TW" w:bidi="ar-SA"/>
          </w:rPr>
          <w:t>第2章</w:t>
        </w:r>
      </w:hyperlink>
      <w:r w:rsidR="00654D1D" w:rsidRPr="00B40DC1">
        <w:t>、</w:t>
      </w:r>
      <w:hyperlink w:anchor="_第三章、臺灣評點制技術移民政策之現況、問題與可行之對策" w:history="1">
        <w:r w:rsidR="00654D1D" w:rsidRPr="002E4FE0">
          <w:rPr>
            <w:rStyle w:val="a7"/>
            <w:rFonts w:cs="Times New Roman"/>
            <w:lang w:eastAsia="zh-TW" w:bidi="ar-SA"/>
          </w:rPr>
          <w:t>第3章</w:t>
        </w:r>
      </w:hyperlink>
      <w:r w:rsidR="00654D1D" w:rsidRPr="00B40DC1">
        <w:t>、</w:t>
      </w:r>
      <w:hyperlink w:anchor="_第七章、結論與建議" w:history="1">
        <w:r w:rsidR="00654D1D" w:rsidRPr="002E4FE0">
          <w:rPr>
            <w:rStyle w:val="a7"/>
            <w:rFonts w:cs="Times New Roman"/>
            <w:lang w:eastAsia="zh-TW" w:bidi="ar-SA"/>
          </w:rPr>
          <w:t>第7章</w:t>
        </w:r>
      </w:hyperlink>
      <w:r w:rsidR="0049577B" w:rsidRPr="00B40DC1">
        <w:t xml:space="preserve">之建議之中)、謝立功教授(內政部移民署前署長，現任國立海洋大學教授)、內政部移民署何榮村前署長、葛廣薇組長(內政部移民署入出國事務組)、謝文忠大隊長(現為內政部移民署南區事務大隊大隊長)、簡吉照教授(警政署專員)、蔡培源所長(現任內政部移民署北區事務大隊台北收容所所長)、陳啟源隊長(內政部移民署中區事務大隊彰化縣專勤隊隊長)、康慶年隊長(內政部移民署國境事務大隊隊長)、鄭曉惠副隊長(內政部移民署)、林偉祥分隊長(內政部移民署新北市專勤隊分隊長)、黃莉淇科員(內政部移民署彰化縣專勤隊)、魏效聖組長、陳素珍師母(警大國境系)、李政峰博士（中央警察大學教務處）、章文芳組員(警大主計室)、廖慧欣組員(警大主計室，通過會計師、高考國家考試，雙榜及格)、顧鳳雅辦事員(警大主計室)、陳桂輝科長(警大國境系兼任講師)、呂倩茹助教(中央警察大學警政研究所博士生）、黃澡備組長（中央警察大學教務處）、張文菘教授(台灣警察專科學校交通科)、陳莉華師母（中央警察大學教務處）、高豐英女士(文化大學哲學系博士)、陳宇成先生、中央警察大學教職員師生、詹雪雍所長、惠婷、英如、莉容、詩惠、芊雯、警大831、841、851、861之境管組、移民組同學、警大102年班外事所外事組及國境組的所有全時、半時同學們、警大106年班國境警察學系碩士班的所有全時、半時同學們、樊秋蘭女士所帶領之廣益打字行之卓越、認真、優質與優秀之工作夥伴們、蕭智仁老闆(昌明影印行)等人。 </w:t>
      </w:r>
    </w:p>
    <w:p w:rsidR="0049577B" w:rsidRPr="00B40DC1" w:rsidRDefault="00C73C9C" w:rsidP="00AF4063">
      <w:pPr>
        <w:spacing w:line="240" w:lineRule="auto"/>
        <w:ind w:leftChars="0" w:left="0" w:rightChars="0" w:right="0"/>
      </w:pPr>
      <w:r>
        <w:t xml:space="preserve">　　</w:t>
      </w:r>
      <w:r w:rsidR="0049577B" w:rsidRPr="00B40DC1">
        <w:t>由於您們之指導、開示、提攜與協助，對於本書之作者們，提供高度建設性之卓越貢獻及行政上之協助，作者再次誠摯地感謝您們之指導、開示與協助，並向您們致上最高的敬意與謝意。其次，本書作者中之柯雨瑞教授，擬將本書之研究成果，呈獻(迴向)給其敬愛的與尊貴的家父----柯清波老居士(業已往生)，表達其對家父的感恩之意，願其順利地、無障礙地往生西方極樂世界(</w:t>
      </w:r>
      <w:r w:rsidR="0049577B" w:rsidRPr="00B40DC1">
        <w:rPr>
          <w:rStyle w:val="st1"/>
        </w:rPr>
        <w:t>Sukh</w:t>
      </w:r>
      <w:r w:rsidR="0049577B" w:rsidRPr="00B40DC1">
        <w:rPr>
          <w:rStyle w:val="st1"/>
          <w:rFonts w:ascii="Cambria" w:hAnsi="Cambria" w:cs="Cambria"/>
        </w:rPr>
        <w:t>ā</w:t>
      </w:r>
      <w:r w:rsidR="0049577B" w:rsidRPr="00B40DC1">
        <w:rPr>
          <w:rStyle w:val="st1"/>
        </w:rPr>
        <w:t>vat</w:t>
      </w:r>
      <w:r w:rsidR="0049577B" w:rsidRPr="00B40DC1">
        <w:rPr>
          <w:rStyle w:val="st1"/>
          <w:rFonts w:ascii="Cambria" w:hAnsi="Cambria" w:cs="Cambria"/>
        </w:rPr>
        <w:t>ī</w:t>
      </w:r>
      <w:r w:rsidR="0049577B" w:rsidRPr="00B40DC1">
        <w:rPr>
          <w:rStyle w:val="st1"/>
        </w:rPr>
        <w:t>)</w:t>
      </w:r>
      <w:r w:rsidR="0049577B" w:rsidRPr="00B40DC1">
        <w:t>之中，並且，蓮品逐次地高昇，早日親證無上正等正覺(</w:t>
      </w:r>
      <w:r w:rsidR="0049577B" w:rsidRPr="00B40DC1">
        <w:rPr>
          <w:rStyle w:val="st1"/>
        </w:rPr>
        <w:t>Annuttara-Samyak-Sambodhi</w:t>
      </w:r>
      <w:r w:rsidR="0049577B" w:rsidRPr="00B40DC1">
        <w:t>；Annuttara-Sammasambodhi)之如來果位(Tath</w:t>
      </w:r>
      <w:r w:rsidR="0049577B" w:rsidRPr="00B40DC1">
        <w:rPr>
          <w:rFonts w:ascii="Cambria" w:hAnsi="Cambria" w:cs="Cambria"/>
        </w:rPr>
        <w:t>ā</w:t>
      </w:r>
      <w:r w:rsidR="0049577B" w:rsidRPr="00B40DC1">
        <w:t>gata)。復次，本書作者群中之柯雨瑞教授，亦擬將本書之研究成果，呈獻(迴向)給其敬愛的與尊貴的慈母---陳秀花女士，恭祝其增福、增慧、增壽，身體健康、長壽。</w:t>
      </w:r>
    </w:p>
    <w:p w:rsidR="0049577B" w:rsidRPr="00B40DC1" w:rsidRDefault="00C73C9C" w:rsidP="00AF4063">
      <w:pPr>
        <w:spacing w:line="240" w:lineRule="auto"/>
        <w:ind w:leftChars="0" w:left="0" w:rightChars="0" w:right="0"/>
      </w:pPr>
      <w:r>
        <w:t xml:space="preserve">　　</w:t>
      </w:r>
      <w:r w:rsidR="0049577B" w:rsidRPr="00B40DC1">
        <w:t>復次，本書之能夠順利出版問世，亦相當感謝國家圖書館「電子書刊送存閱覽服務系統(EPS)」部門之相關主管、承辦人與工作人員，諸如：魏家惠小姐等人，從旁給予作者協助與指導，令本書能完成上網，順利、快速地取得ISBN碼(本書於24小時之內，即</w:t>
      </w:r>
      <w:r w:rsidR="0049577B" w:rsidRPr="00B40DC1">
        <w:lastRenderedPageBreak/>
        <w:t>順利取得ISBN碼)、編碼及相關「電子書刊送存閱覽服務系統(EPS)」作業之上傳工作，在此，特別致上十二萬分感謝之意，感謝您們---國家圖書館「電子書刊送存閱覽服務系統(EPS)」部門之相關主管、承辦人與工作人員之付出與專業，有您們真好，本書作者由衷地、誠摯地感謝您們之協助與支持，能令本書順利地出版、問世。</w:t>
      </w:r>
    </w:p>
    <w:p w:rsidR="0049577B" w:rsidRDefault="00AF4063" w:rsidP="00AF4063">
      <w:pPr>
        <w:spacing w:line="240" w:lineRule="auto"/>
        <w:ind w:leftChars="0" w:left="0" w:rightChars="0" w:right="0"/>
      </w:pPr>
      <w:r>
        <w:t xml:space="preserve">　　</w:t>
      </w:r>
      <w:r w:rsidR="0049577B" w:rsidRPr="00AF4063">
        <w:t>柯雨瑞教授、孟維德教授、蔡政杰視察(兼講師)、李佳樺巡官</w:t>
      </w:r>
      <w:r>
        <w:t xml:space="preserve">　</w:t>
      </w:r>
      <w:r w:rsidR="0049577B" w:rsidRPr="00AF4063">
        <w:t>謹識</w:t>
      </w:r>
    </w:p>
    <w:p w:rsidR="00AF4063" w:rsidRPr="00AF4063" w:rsidRDefault="00E72734" w:rsidP="00E72734">
      <w:pPr>
        <w:spacing w:line="240" w:lineRule="auto"/>
        <w:ind w:leftChars="0" w:left="0" w:rightChars="0" w:right="0"/>
        <w:jc w:val="right"/>
      </w:pPr>
      <w:r w:rsidRPr="00D45AD2">
        <w:rPr>
          <w:rFonts w:hint="eastAsia"/>
          <w:sz w:val="22"/>
        </w:rPr>
        <w:t>。。。。。。。。。。。。。。。。。。</w:t>
      </w:r>
      <w:hyperlink w:anchor="a目次" w:history="1">
        <w:r>
          <w:rPr>
            <w:rStyle w:val="a7"/>
            <w:sz w:val="22"/>
            <w:lang w:eastAsia="zh-TW"/>
          </w:rPr>
          <w:t>回總目次</w:t>
        </w:r>
      </w:hyperlink>
      <w:r w:rsidRPr="00D45AD2">
        <w:rPr>
          <w:color w:val="808000"/>
          <w:sz w:val="22"/>
        </w:rPr>
        <w:t>〉〉</w:t>
      </w:r>
    </w:p>
    <w:p w:rsidR="0049577B" w:rsidRPr="00B40DC1" w:rsidRDefault="00150351" w:rsidP="00B662A4">
      <w:pPr>
        <w:pStyle w:val="11"/>
      </w:pPr>
      <w:bookmarkStart w:id="16" w:name="_【2018年6月常律老和尚_推薦序】台灣外勞聘用之迷思"/>
      <w:bookmarkEnd w:id="16"/>
      <w:r w:rsidRPr="00FF6603">
        <w:rPr>
          <w:rFonts w:hint="eastAsia"/>
        </w:rPr>
        <w:t>【</w:t>
      </w:r>
      <w:r w:rsidR="0049577B" w:rsidRPr="00B40DC1">
        <w:t>2018年6月常律老和尚 推薦序</w:t>
      </w:r>
      <w:r w:rsidRPr="00DC26EE">
        <w:rPr>
          <w:rFonts w:hint="eastAsia"/>
        </w:rPr>
        <w:t>】</w:t>
      </w:r>
      <w:r w:rsidR="0049577B" w:rsidRPr="00B40DC1">
        <w:rPr>
          <w:color w:val="C00000"/>
          <w:u w:val="single"/>
        </w:rPr>
        <w:t>台灣外勞聘用之迷思</w:t>
      </w:r>
    </w:p>
    <w:p w:rsidR="00DC26EE" w:rsidRDefault="00150351" w:rsidP="00AF4063">
      <w:pPr>
        <w:spacing w:line="240" w:lineRule="auto"/>
        <w:ind w:leftChars="0" w:left="0" w:rightChars="0" w:right="0"/>
      </w:pPr>
      <w:r>
        <w:t xml:space="preserve">　　</w:t>
      </w:r>
      <w:r w:rsidR="0049577B" w:rsidRPr="00B40DC1">
        <w:t>佛教正德醫院、正德電視台、正德慈善基金會創辦人</w:t>
      </w:r>
    </w:p>
    <w:p w:rsidR="0049577B" w:rsidRPr="00B40DC1" w:rsidRDefault="00150351" w:rsidP="00AF4063">
      <w:pPr>
        <w:spacing w:line="240" w:lineRule="auto"/>
        <w:ind w:leftChars="0" w:left="0" w:rightChars="0" w:right="0"/>
      </w:pPr>
      <w:r>
        <w:t xml:space="preserve">　　</w:t>
      </w:r>
      <w:r w:rsidR="0049577B" w:rsidRPr="00B40DC1">
        <w:t>常律老和尚 2018.08</w:t>
      </w:r>
    </w:p>
    <w:p w:rsidR="0049577B" w:rsidRPr="00B40DC1" w:rsidRDefault="00DC26EE" w:rsidP="00AF4063">
      <w:pPr>
        <w:spacing w:line="240" w:lineRule="auto"/>
        <w:ind w:leftChars="0" w:left="0" w:rightChars="0" w:right="0"/>
      </w:pPr>
      <w:r>
        <w:t xml:space="preserve">　　</w:t>
      </w:r>
      <w:r w:rsidR="0049577B" w:rsidRPr="00B40DC1">
        <w:t>台灣聘用外勞，應由政府專屬單位統一聘任外勞制度，由政府全面聘任、教育、用人及分發至國內各大企業工廠家庭。事關國家工業經濟發展至為重大，但政府卻放任外勞仲介公司自行聘任轉介，造成很多外勞之問題以及勞資糾紛，嚴重影響國內經濟建設。</w:t>
      </w:r>
    </w:p>
    <w:p w:rsidR="0049577B" w:rsidRPr="00B40DC1" w:rsidRDefault="00DC26EE" w:rsidP="00AF4063">
      <w:pPr>
        <w:spacing w:line="240" w:lineRule="auto"/>
        <w:ind w:leftChars="0" w:left="0" w:rightChars="0" w:right="0"/>
      </w:pPr>
      <w:r>
        <w:t xml:space="preserve">　　</w:t>
      </w:r>
      <w:r w:rsidR="0049577B" w:rsidRPr="00B40DC1">
        <w:t>政府應當仿傚香港政府聘任外勞開放政策，統一由政府單位聘任外勞，統一管理教育監督，統一工資，無論家庭、企業、公司須要外勞者，都可直接向政府外勞單位申請外勞，手續簡便，無須任何證明，外勞資質優良，工資低廉(約國民基本薪資三分之一)，政府易於監控，免除仲介商剝削外勞工資，不致引發外勞種種問題，造成社會治安問題及外勞潛逃事件，賓主盡歡，外勞又有政府保障，可安心工作，不致發生雇主虐待問題，對整體國家社會之經濟建設有相當貢獻。</w:t>
      </w:r>
    </w:p>
    <w:p w:rsidR="0049577B" w:rsidRPr="00B40DC1" w:rsidRDefault="00DC26EE" w:rsidP="00AF4063">
      <w:pPr>
        <w:spacing w:line="240" w:lineRule="auto"/>
        <w:ind w:leftChars="0" w:left="0" w:rightChars="0" w:right="0"/>
      </w:pPr>
      <w:r>
        <w:t xml:space="preserve">　　</w:t>
      </w:r>
      <w:r w:rsidR="0049577B" w:rsidRPr="00B40DC1">
        <w:t>反觀香港家庭，因政府規定統一外勞工資低廉，家家請得起外勞，來代替主婦做家事，料理三餐帶小孩，令家庭主婦個個可以出外專心工作拼經濟，奉獻才能，以利國家建設及工商業之發展，對國家總體經濟建設相當有利，外勞應不單是為服侍老人而設制的，是應為全民而設的，台灣政府如此迂腐的外勞政策，對國家發展社會經濟及建設幫助有限。</w:t>
      </w:r>
    </w:p>
    <w:p w:rsidR="0049577B" w:rsidRPr="00B40DC1" w:rsidRDefault="00DC26EE" w:rsidP="00AF4063">
      <w:pPr>
        <w:spacing w:line="240" w:lineRule="auto"/>
        <w:ind w:leftChars="0" w:left="0" w:rightChars="0" w:right="0"/>
      </w:pPr>
      <w:r>
        <w:t xml:space="preserve">　　</w:t>
      </w:r>
      <w:r w:rsidR="0049577B" w:rsidRPr="00B40DC1">
        <w:t>如此有利國家經濟建設之外勞政策，為何台灣政府無法依香港外勞政策實施推廣，卻放任民間外勞仲介商任意踐踏如此利國利民之外勞福利政策，實在想不通！</w:t>
      </w:r>
    </w:p>
    <w:p w:rsidR="0049577B" w:rsidRPr="00B40DC1" w:rsidRDefault="00DC26EE" w:rsidP="00AF4063">
      <w:pPr>
        <w:spacing w:line="240" w:lineRule="auto"/>
        <w:ind w:leftChars="0" w:left="0" w:rightChars="0" w:right="0"/>
      </w:pPr>
      <w:r>
        <w:t xml:space="preserve">　　</w:t>
      </w:r>
      <w:r w:rsidR="0049577B" w:rsidRPr="00B40DC1">
        <w:t>由警察大學</w:t>
      </w:r>
      <w:r w:rsidR="0049577B" w:rsidRPr="00B40DC1">
        <w:rPr>
          <w:shd w:val="clear" w:color="auto" w:fill="FFFFFF"/>
        </w:rPr>
        <w:t>柯雨瑞、孟維德、蔡政杰、李佳樺四位教授 ，合力編輯&lt;臺灣邁向世界強國與富國之捷徑：從建構優質之移民政策與法制出發&gt;電子書，內容精湛，對國家經濟建設痛下針砭之論言， 值得當局政府相關單位引為參酌，當可富國利民！</w:t>
      </w:r>
    </w:p>
    <w:p w:rsidR="0049577B" w:rsidRPr="00B40DC1" w:rsidRDefault="003E18C8" w:rsidP="003E18C8">
      <w:pPr>
        <w:pStyle w:val="afe"/>
        <w:jc w:val="right"/>
        <w:rPr>
          <w:lang w:eastAsia="zh-TW"/>
        </w:rPr>
      </w:pPr>
      <w:r w:rsidRPr="00D45AD2">
        <w:rPr>
          <w:rFonts w:hint="eastAsia"/>
          <w:sz w:val="22"/>
        </w:rPr>
        <w:t>。。。。。。。。。。。。。。。。。。</w:t>
      </w:r>
      <w:hyperlink w:anchor="a目次" w:history="1">
        <w:r>
          <w:rPr>
            <w:rStyle w:val="a7"/>
            <w:sz w:val="22"/>
            <w:lang w:eastAsia="zh-TW"/>
          </w:rPr>
          <w:t>回總目次</w:t>
        </w:r>
      </w:hyperlink>
      <w:r w:rsidRPr="00D45AD2">
        <w:rPr>
          <w:color w:val="808000"/>
          <w:sz w:val="22"/>
          <w:lang w:eastAsia="zh-TW"/>
        </w:rPr>
        <w:t>〉〉</w:t>
      </w:r>
    </w:p>
    <w:p w:rsidR="0049577B" w:rsidRPr="00B40DC1" w:rsidRDefault="00FF6603" w:rsidP="00B662A4">
      <w:pPr>
        <w:pStyle w:val="11"/>
      </w:pPr>
      <w:bookmarkStart w:id="17" w:name="_【釋從慈上人(和尚)_推薦序】"/>
      <w:bookmarkEnd w:id="17"/>
      <w:r w:rsidRPr="00FF6603">
        <w:rPr>
          <w:rFonts w:hint="eastAsia"/>
        </w:rPr>
        <w:t>【</w:t>
      </w:r>
      <w:r w:rsidR="0049577B" w:rsidRPr="00B40DC1">
        <w:t>釋從慈上人(和尚</w:t>
      </w:r>
      <w:r w:rsidR="00587200">
        <w:t>)</w:t>
      </w:r>
      <w:r w:rsidR="0049577B" w:rsidRPr="00B40DC1">
        <w:t>推薦序</w:t>
      </w:r>
      <w:r w:rsidRPr="00DC26EE">
        <w:rPr>
          <w:rFonts w:hint="eastAsia"/>
        </w:rPr>
        <w:t>】</w:t>
      </w:r>
    </w:p>
    <w:p w:rsidR="0049577B" w:rsidRPr="00B40DC1" w:rsidRDefault="00DC26EE" w:rsidP="00E063B6">
      <w:pPr>
        <w:spacing w:line="240" w:lineRule="auto"/>
        <w:ind w:leftChars="0" w:left="0" w:rightChars="0" w:right="0"/>
      </w:pPr>
      <w:r>
        <w:t xml:space="preserve">　　</w:t>
      </w:r>
      <w:r w:rsidR="0049577B" w:rsidRPr="00B40DC1">
        <w:t>柯雨瑞教授與其同事三人共著＜台灣邁向世界強國與富國捷徑：從建構優質之移民政策與法制出發＞電子一書，實有益於目前台灣漸缺乏特殊專業人才一事。</w:t>
      </w:r>
    </w:p>
    <w:p w:rsidR="0049577B" w:rsidRPr="00B40DC1" w:rsidRDefault="00FF6603" w:rsidP="00E063B6">
      <w:pPr>
        <w:spacing w:line="240" w:lineRule="auto"/>
        <w:ind w:leftChars="0" w:left="0" w:rightChars="0" w:right="0"/>
      </w:pPr>
      <w:r>
        <w:t xml:space="preserve">　　</w:t>
      </w:r>
      <w:r w:rsidR="0049577B" w:rsidRPr="00B40DC1">
        <w:t>台灣雖已是一開發國家，但多年來，經濟一向停頓而不前；此況雖有多方因素，但人才外流與保守移民政策，實亦有影響。就以新加坡為例，其雖為微不足道的小國；但其大量接受外來優秀人才，致使其在國家發展上大有所進。</w:t>
      </w:r>
    </w:p>
    <w:p w:rsidR="0049577B" w:rsidRPr="00B40DC1" w:rsidRDefault="00DC26EE" w:rsidP="00E063B6">
      <w:pPr>
        <w:spacing w:line="240" w:lineRule="auto"/>
        <w:ind w:leftChars="0" w:left="0" w:rightChars="0" w:right="0"/>
      </w:pPr>
      <w:r>
        <w:t xml:space="preserve">　　</w:t>
      </w:r>
      <w:r w:rsidR="0049577B" w:rsidRPr="00B40DC1">
        <w:t>國家經濟優劣雖與人民宿命福報共業有關。但，優質移民政策與鼓勵外資加入國內經濟開展，亦會有舉足輕重之處。</w:t>
      </w:r>
    </w:p>
    <w:p w:rsidR="0049577B" w:rsidRPr="00B40DC1" w:rsidRDefault="00DC26EE" w:rsidP="00E063B6">
      <w:pPr>
        <w:spacing w:line="240" w:lineRule="auto"/>
        <w:ind w:leftChars="0" w:left="0" w:rightChars="0" w:right="0"/>
      </w:pPr>
      <w:r>
        <w:t xml:space="preserve">　　</w:t>
      </w:r>
      <w:r w:rsidR="0049577B" w:rsidRPr="00B40DC1">
        <w:t>柯教授與其三位同事，憂國憂民之悲心與智慧，末學從慈亦感懷於心。特此序文，隨喜讚歎與祝福本書能廣為流通，以助國家發展一臂之力。</w:t>
      </w:r>
    </w:p>
    <w:p w:rsidR="00150351" w:rsidRDefault="00150351" w:rsidP="00E063B6">
      <w:pPr>
        <w:spacing w:line="240" w:lineRule="auto"/>
        <w:ind w:leftChars="0" w:left="0" w:rightChars="0" w:right="0"/>
      </w:pPr>
      <w:r>
        <w:t xml:space="preserve">　　</w:t>
      </w:r>
      <w:r w:rsidR="0049577B" w:rsidRPr="00B40DC1">
        <w:t>德林念佛寺、龍泉寺、德林講堂住持</w:t>
      </w:r>
    </w:p>
    <w:p w:rsidR="00150351" w:rsidRDefault="00150351" w:rsidP="00E063B6">
      <w:pPr>
        <w:spacing w:line="240" w:lineRule="auto"/>
        <w:ind w:leftChars="0" w:left="0" w:rightChars="0" w:right="0"/>
      </w:pPr>
      <w:r>
        <w:t xml:space="preserve">　　</w:t>
      </w:r>
      <w:r w:rsidR="0049577B" w:rsidRPr="00B40DC1">
        <w:t xml:space="preserve">中國佛教會弘法委員會 </w:t>
      </w:r>
    </w:p>
    <w:p w:rsidR="0049577B" w:rsidRPr="00B40DC1" w:rsidRDefault="00150351" w:rsidP="00E063B6">
      <w:pPr>
        <w:spacing w:line="240" w:lineRule="auto"/>
        <w:ind w:leftChars="0" w:left="0" w:rightChars="0" w:right="0"/>
      </w:pPr>
      <w:r>
        <w:t xml:space="preserve">　　</w:t>
      </w:r>
      <w:r w:rsidR="0049577B" w:rsidRPr="00B40DC1">
        <w:t>主任委員日月潭玄奘寺 董事長 釋從慈法師　敬序</w:t>
      </w:r>
    </w:p>
    <w:p w:rsidR="0049577B" w:rsidRDefault="00150351" w:rsidP="00E063B6">
      <w:pPr>
        <w:spacing w:line="240" w:lineRule="auto"/>
        <w:ind w:leftChars="0" w:left="0" w:rightChars="0" w:right="0"/>
      </w:pPr>
      <w:r>
        <w:t xml:space="preserve">　　</w:t>
      </w:r>
      <w:r w:rsidR="00FF6603">
        <w:t>2</w:t>
      </w:r>
      <w:r w:rsidR="0049577B" w:rsidRPr="00B40DC1">
        <w:t>018年07月</w:t>
      </w:r>
    </w:p>
    <w:p w:rsidR="00DC26EE" w:rsidRPr="00B40DC1" w:rsidRDefault="003E18C8" w:rsidP="003E18C8">
      <w:pPr>
        <w:jc w:val="right"/>
      </w:pPr>
      <w:r w:rsidRPr="00D45AD2">
        <w:rPr>
          <w:rFonts w:hint="eastAsia"/>
          <w:sz w:val="22"/>
        </w:rPr>
        <w:t>。。。。。。。。。。。。。。。。。。</w:t>
      </w:r>
      <w:hyperlink w:anchor="a目次" w:history="1">
        <w:r>
          <w:rPr>
            <w:rStyle w:val="a7"/>
            <w:sz w:val="22"/>
            <w:lang w:eastAsia="zh-TW"/>
          </w:rPr>
          <w:t>回總目次</w:t>
        </w:r>
      </w:hyperlink>
      <w:r w:rsidRPr="00D45AD2">
        <w:rPr>
          <w:color w:val="808000"/>
          <w:sz w:val="22"/>
        </w:rPr>
        <w:t>〉〉</w:t>
      </w:r>
    </w:p>
    <w:p w:rsidR="003C1792" w:rsidRDefault="00FF6603" w:rsidP="00B662A4">
      <w:pPr>
        <w:pStyle w:val="11"/>
      </w:pPr>
      <w:bookmarkStart w:id="18" w:name="_【陳明傳教授推薦序】為《臺灣邁向世界強國與富國之捷徑》一書序"/>
      <w:bookmarkEnd w:id="18"/>
      <w:r w:rsidRPr="00FF6603">
        <w:rPr>
          <w:rFonts w:hint="eastAsia"/>
        </w:rPr>
        <w:t>【</w:t>
      </w:r>
      <w:r w:rsidR="0049577B" w:rsidRPr="00B40DC1">
        <w:t>陳明傳教授推薦序</w:t>
      </w:r>
      <w:r w:rsidR="00150351" w:rsidRPr="00DC26EE">
        <w:rPr>
          <w:rFonts w:hint="eastAsia"/>
        </w:rPr>
        <w:t>】</w:t>
      </w:r>
      <w:r w:rsidR="0049577B" w:rsidRPr="00B40DC1">
        <w:t>為《臺灣邁向世界強國與富國之捷徑》一書序</w:t>
      </w:r>
    </w:p>
    <w:p w:rsidR="0049577B" w:rsidRPr="00B40DC1" w:rsidRDefault="00DC26EE" w:rsidP="00E063B6">
      <w:pPr>
        <w:spacing w:line="240" w:lineRule="auto"/>
        <w:ind w:leftChars="0" w:left="0" w:rightChars="0" w:right="0"/>
        <w:rPr>
          <w:bCs/>
        </w:rPr>
      </w:pPr>
      <w:r>
        <w:rPr>
          <w:bCs/>
        </w:rPr>
        <w:t xml:space="preserve">　　</w:t>
      </w:r>
      <w:r w:rsidR="0049577B" w:rsidRPr="00B40DC1">
        <w:rPr>
          <w:bCs/>
        </w:rPr>
        <w:t>柯雨瑞教授、孟維德教授、蔡政杰講師與李佳樺巡官等合著之《臺灣邁向世界強國與富國之捷徑：從建構優質之移民政策與法制出發》一書之</w:t>
      </w:r>
      <w:r w:rsidR="0049577B" w:rsidRPr="00B40DC1">
        <w:t>主要目的，乃欲從建構優質之移民政策與法制，期使台灣成為世界上之強國。該書之主要研究方法，包括文獻分析法、比較研究法、深入訪談法，以及</w:t>
      </w:r>
      <w:r w:rsidR="0049577B" w:rsidRPr="00B40DC1">
        <w:rPr>
          <w:spacing w:val="2"/>
          <w:kern w:val="0"/>
        </w:rPr>
        <w:t>量化次級資料</w:t>
      </w:r>
      <w:r w:rsidR="0049577B" w:rsidRPr="00B40DC1">
        <w:t>統計之分析法；因此其在社會科學研究法之運用上可謂多元、全面與深入。誠可成為國內研究移民政策之前導研究，以及相關研究之典範</w:t>
      </w:r>
      <w:r w:rsidR="003C1792">
        <w:t>(</w:t>
      </w:r>
      <w:r w:rsidR="0049577B" w:rsidRPr="00B40DC1">
        <w:t>Pilot Study and Paradigm)。</w:t>
      </w:r>
    </w:p>
    <w:p w:rsidR="0049577B" w:rsidRPr="00B40DC1" w:rsidRDefault="00AF4063" w:rsidP="00E063B6">
      <w:pPr>
        <w:spacing w:line="240" w:lineRule="auto"/>
        <w:ind w:leftChars="0" w:left="0" w:rightChars="0" w:right="0"/>
      </w:pPr>
      <w:r>
        <w:t xml:space="preserve">　　</w:t>
      </w:r>
      <w:r w:rsidR="0049577B" w:rsidRPr="00B40DC1">
        <w:t>四位主筆者分別在移民之學術研究與移民實務工作之上，均為具備有多年經驗之新一代的移民研究專才。其共同智慧的結晶與理論實務的整合、歸納，必定能對我國移民工作之開展與移民理論之建構，產生一定之裨益。</w:t>
      </w:r>
    </w:p>
    <w:p w:rsidR="0049577B" w:rsidRPr="00B40DC1" w:rsidRDefault="00DC26EE" w:rsidP="00E063B6">
      <w:pPr>
        <w:spacing w:line="240" w:lineRule="auto"/>
        <w:ind w:leftChars="0" w:left="0" w:rightChars="0" w:right="0"/>
      </w:pPr>
      <w:r>
        <w:t xml:space="preserve">　　</w:t>
      </w:r>
      <w:r w:rsidR="0049577B" w:rsidRPr="00B40DC1">
        <w:t>該書主張我國係一淺碟型之海島經濟，須與國際之經濟、社會互為交流，始得以生存與發展。然而，儘管近年來我國對於外籍人才管理之相關法規之規定，確實對於外國人取得我國國籍與居、停留之條件限制與規範有所鬆綁、放寬；然而對照其他較有系統性的規劃其移民政策之國家，其對於留學生、實習生、工作簽證、取得移民資格等等規範，均較具備有一系列完整的配套措施，實值得我國規劃移民政策時之借鏡與參考。</w:t>
      </w:r>
    </w:p>
    <w:p w:rsidR="0049577B" w:rsidRPr="00B40DC1" w:rsidRDefault="00DC26EE" w:rsidP="00E063B6">
      <w:pPr>
        <w:spacing w:line="240" w:lineRule="auto"/>
        <w:ind w:leftChars="0" w:left="0" w:rightChars="0" w:right="0"/>
      </w:pPr>
      <w:r>
        <w:t xml:space="preserve">　　</w:t>
      </w:r>
      <w:r w:rsidR="0049577B" w:rsidRPr="00B40DC1">
        <w:t>該書對於國內、外移民資料之援引十分深入，至其訪談之第一手資料的蒐集與整理分析，對於我國移民學術研究之提升，以及移民政策與實務工作之推展，均產生一定之助益與價值；因之拜讀再三、深有所獲，又蒙過往同僚</w:t>
      </w:r>
      <w:r w:rsidR="0049577B" w:rsidRPr="00B40DC1">
        <w:rPr>
          <w:bCs/>
        </w:rPr>
        <w:t>柯雨瑞教授</w:t>
      </w:r>
      <w:r w:rsidR="0049577B" w:rsidRPr="00B40DC1">
        <w:t>之不棄，邀我作序，遂將讀後心得略述如上，敬請各方賢達不吝指教！</w:t>
      </w:r>
    </w:p>
    <w:p w:rsidR="0049577B" w:rsidRPr="00B40DC1" w:rsidRDefault="00150351" w:rsidP="00E063B6">
      <w:pPr>
        <w:spacing w:line="240" w:lineRule="auto"/>
        <w:ind w:leftChars="0" w:left="0" w:rightChars="0" w:right="0"/>
      </w:pPr>
      <w:r>
        <w:t xml:space="preserve">　　</w:t>
      </w:r>
      <w:r w:rsidR="0049577B" w:rsidRPr="00B40DC1">
        <w:t>陳明傳 2018年7月4日序於休士頓</w:t>
      </w:r>
    </w:p>
    <w:p w:rsidR="0049577B" w:rsidRPr="00B40DC1" w:rsidRDefault="00150351" w:rsidP="00E063B6">
      <w:pPr>
        <w:spacing w:line="240" w:lineRule="auto"/>
        <w:ind w:leftChars="0" w:left="0" w:rightChars="0" w:right="0"/>
      </w:pPr>
      <w:r>
        <w:t xml:space="preserve">　　</w:t>
      </w:r>
      <w:r w:rsidR="0049577B" w:rsidRPr="00B40DC1">
        <w:t>Ph.D., College of Criminal Justice,Sam Houston State University, Texas</w:t>
      </w:r>
    </w:p>
    <w:p w:rsidR="008E019C" w:rsidRDefault="00150351" w:rsidP="003E18C8">
      <w:pPr>
        <w:spacing w:line="240" w:lineRule="auto"/>
        <w:ind w:leftChars="0" w:left="0" w:rightChars="0" w:right="0"/>
      </w:pPr>
      <w:r>
        <w:t xml:space="preserve">　　</w:t>
      </w:r>
      <w:r w:rsidR="0049577B" w:rsidRPr="00B40DC1">
        <w:t>曾任中央警察大學國境警察學系教授兼系主任、美國University Of Houston-Downtown, Department of Criminal Justice, Exchange Professor.</w:t>
      </w:r>
    </w:p>
    <w:p w:rsidR="008E019C" w:rsidRDefault="003E18C8" w:rsidP="003E18C8">
      <w:pPr>
        <w:jc w:val="right"/>
      </w:pPr>
      <w:r w:rsidRPr="00D45AD2">
        <w:rPr>
          <w:rFonts w:hint="eastAsia"/>
          <w:sz w:val="22"/>
        </w:rPr>
        <w:t>。。。。。。。。。。。。。。。。。。</w:t>
      </w:r>
      <w:hyperlink w:anchor="a目次" w:history="1">
        <w:r>
          <w:rPr>
            <w:rStyle w:val="a7"/>
            <w:sz w:val="22"/>
            <w:lang w:eastAsia="zh-TW"/>
          </w:rPr>
          <w:t>回總目次</w:t>
        </w:r>
      </w:hyperlink>
      <w:r w:rsidRPr="00D45AD2">
        <w:rPr>
          <w:color w:val="808000"/>
          <w:sz w:val="22"/>
        </w:rPr>
        <w:t>〉〉</w:t>
      </w:r>
    </w:p>
    <w:p w:rsidR="0049577B" w:rsidRDefault="00FF6603" w:rsidP="00B662A4">
      <w:pPr>
        <w:pStyle w:val="11"/>
      </w:pPr>
      <w:bookmarkStart w:id="19" w:name="_【內政部移民署前署長_何榮村推薦序】"/>
      <w:bookmarkEnd w:id="19"/>
      <w:r w:rsidRPr="00FF6603">
        <w:rPr>
          <w:rFonts w:hint="eastAsia"/>
        </w:rPr>
        <w:t>【</w:t>
      </w:r>
      <w:r w:rsidR="0049577B" w:rsidRPr="00B40DC1">
        <w:t>內政部移民署前署長 何榮村推薦序</w:t>
      </w:r>
      <w:r w:rsidR="00150351" w:rsidRPr="00DC26EE">
        <w:rPr>
          <w:rFonts w:hint="eastAsia"/>
        </w:rPr>
        <w:t>】</w:t>
      </w:r>
    </w:p>
    <w:p w:rsidR="008E019C" w:rsidRDefault="00FF6603" w:rsidP="00E063B6">
      <w:pPr>
        <w:spacing w:line="240" w:lineRule="auto"/>
        <w:ind w:leftChars="0" w:left="0" w:rightChars="0" w:right="0"/>
      </w:pPr>
      <w:r>
        <w:rPr>
          <w:rFonts w:hint="eastAsia"/>
        </w:rPr>
        <w:t xml:space="preserve">　　</w:t>
      </w:r>
      <w:r w:rsidR="008E019C">
        <w:rPr>
          <w:rFonts w:hint="eastAsia"/>
        </w:rPr>
        <w:t>中華民國人口政策綱領，行政院</w:t>
      </w:r>
      <w:r w:rsidR="008E019C">
        <w:t>100年12月7日核定修正，主管機關為內政部。其中有關移民政策之規範如下:</w:t>
      </w:r>
    </w:p>
    <w:p w:rsidR="008E019C" w:rsidRDefault="008E019C" w:rsidP="00E063B6">
      <w:pPr>
        <w:spacing w:line="240" w:lineRule="auto"/>
        <w:ind w:leftChars="0" w:left="0" w:rightChars="0" w:right="0"/>
      </w:pPr>
      <w:r>
        <w:rPr>
          <w:rFonts w:hint="eastAsia"/>
        </w:rPr>
        <w:t>貳、基本理念</w:t>
      </w:r>
      <w:r>
        <w:t>:</w:t>
      </w:r>
    </w:p>
    <w:p w:rsidR="008E019C" w:rsidRDefault="008E019C" w:rsidP="00E063B6">
      <w:pPr>
        <w:spacing w:line="240" w:lineRule="auto"/>
        <w:ind w:leftChars="0" w:left="0" w:rightChars="0" w:right="0"/>
      </w:pPr>
      <w:r>
        <w:rPr>
          <w:rFonts w:hint="eastAsia"/>
        </w:rPr>
        <w:t xml:space="preserve">　　八、保障移入人口基本權，營造友善外來人口之環境，開創多元文化的新社會。</w:t>
      </w:r>
    </w:p>
    <w:p w:rsidR="008E019C" w:rsidRDefault="008E019C" w:rsidP="00E063B6">
      <w:pPr>
        <w:spacing w:line="240" w:lineRule="auto"/>
        <w:ind w:leftChars="0" w:left="0" w:rightChars="0" w:right="0"/>
      </w:pPr>
      <w:r>
        <w:rPr>
          <w:rFonts w:hint="eastAsia"/>
        </w:rPr>
        <w:t>參、政策內涵</w:t>
      </w:r>
      <w:r>
        <w:t>:</w:t>
      </w:r>
    </w:p>
    <w:p w:rsidR="008E019C" w:rsidRDefault="008E019C" w:rsidP="00E063B6">
      <w:pPr>
        <w:spacing w:line="240" w:lineRule="auto"/>
        <w:ind w:leftChars="0" w:left="0" w:rightChars="0" w:right="0"/>
      </w:pPr>
      <w:r>
        <w:rPr>
          <w:rFonts w:hint="eastAsia"/>
        </w:rPr>
        <w:t xml:space="preserve">　　八、保障移民權益：</w:t>
      </w:r>
    </w:p>
    <w:p w:rsidR="008E019C" w:rsidRDefault="008E019C" w:rsidP="00E063B6">
      <w:pPr>
        <w:spacing w:line="240" w:lineRule="auto"/>
        <w:ind w:leftChars="0" w:left="0" w:rightChars="0" w:right="0"/>
      </w:pPr>
      <w:r>
        <w:rPr>
          <w:rFonts w:hint="eastAsia"/>
        </w:rPr>
        <w:t xml:space="preserve">　　（一）配合國內經濟、教育、科技及文化等之發展，規劃多元專業人才之移入。</w:t>
      </w:r>
    </w:p>
    <w:p w:rsidR="008E019C" w:rsidRDefault="008E019C" w:rsidP="00E063B6">
      <w:pPr>
        <w:spacing w:line="240" w:lineRule="auto"/>
        <w:ind w:leftChars="0" w:left="0" w:rightChars="0" w:right="0"/>
      </w:pPr>
      <w:r>
        <w:rPr>
          <w:rFonts w:hint="eastAsia"/>
        </w:rPr>
        <w:t xml:space="preserve">　　（二）協助移入人口參與在地社會機制，倡導多元文化，開發新優質人力資源。</w:t>
      </w:r>
    </w:p>
    <w:p w:rsidR="008E019C" w:rsidRDefault="008E019C" w:rsidP="00E063B6">
      <w:pPr>
        <w:spacing w:line="240" w:lineRule="auto"/>
        <w:ind w:leftChars="0" w:left="0" w:rightChars="0" w:right="0"/>
      </w:pPr>
      <w:r>
        <w:rPr>
          <w:rFonts w:hint="eastAsia"/>
        </w:rPr>
        <w:t xml:space="preserve">　　（三）強化移入人口及其家庭生活適應之相關機制，平等對待並保障其權益。</w:t>
      </w:r>
    </w:p>
    <w:p w:rsidR="008E019C" w:rsidRDefault="008E019C" w:rsidP="00E063B6">
      <w:pPr>
        <w:spacing w:line="240" w:lineRule="auto"/>
        <w:ind w:leftChars="0" w:left="0" w:rightChars="0" w:right="0"/>
      </w:pPr>
      <w:r>
        <w:rPr>
          <w:rFonts w:hint="eastAsia"/>
        </w:rPr>
        <w:t xml:space="preserve">　　內政部為推動人口政策綱領所揭櫫政策目標，於</w:t>
      </w:r>
      <w:r>
        <w:t>102年7月12日訂頒人口政策白皮書，辦理期程自102年至105年。有關移民對策為:</w:t>
      </w:r>
    </w:p>
    <w:p w:rsidR="008E019C" w:rsidRDefault="008E019C" w:rsidP="00E063B6">
      <w:pPr>
        <w:spacing w:line="240" w:lineRule="auto"/>
        <w:ind w:leftChars="0" w:left="0" w:rightChars="0" w:right="0"/>
      </w:pPr>
      <w:r>
        <w:rPr>
          <w:rFonts w:hint="eastAsia"/>
        </w:rPr>
        <w:t xml:space="preserve">　　第一節　掌握移入人口發展動態。</w:t>
      </w:r>
    </w:p>
    <w:p w:rsidR="008E019C" w:rsidRDefault="008E019C" w:rsidP="00E063B6">
      <w:pPr>
        <w:spacing w:line="240" w:lineRule="auto"/>
        <w:ind w:leftChars="0" w:left="0" w:rightChars="0" w:right="0"/>
      </w:pPr>
      <w:r>
        <w:rPr>
          <w:rFonts w:hint="eastAsia"/>
        </w:rPr>
        <w:t xml:space="preserve">　　第二節　深化移民輔導。</w:t>
      </w:r>
    </w:p>
    <w:p w:rsidR="008E019C" w:rsidRDefault="008E019C" w:rsidP="00E063B6">
      <w:pPr>
        <w:spacing w:line="240" w:lineRule="auto"/>
        <w:ind w:leftChars="0" w:left="0" w:rightChars="0" w:right="0"/>
      </w:pPr>
      <w:r>
        <w:rPr>
          <w:rFonts w:hint="eastAsia"/>
        </w:rPr>
        <w:t xml:space="preserve">　　第三節　吸引所需專業人才及投資移民。</w:t>
      </w:r>
    </w:p>
    <w:p w:rsidR="008E019C" w:rsidRDefault="008E019C" w:rsidP="00E063B6">
      <w:pPr>
        <w:spacing w:line="240" w:lineRule="auto"/>
        <w:ind w:leftChars="0" w:left="0" w:rightChars="0" w:right="0"/>
      </w:pPr>
      <w:r>
        <w:rPr>
          <w:rFonts w:hint="eastAsia"/>
        </w:rPr>
        <w:t xml:space="preserve">　　第四節　建構多元文化社會。</w:t>
      </w:r>
    </w:p>
    <w:p w:rsidR="008E019C" w:rsidRDefault="008E019C" w:rsidP="00E063B6">
      <w:pPr>
        <w:spacing w:line="240" w:lineRule="auto"/>
        <w:ind w:leftChars="0" w:left="0" w:rightChars="0" w:right="0"/>
      </w:pPr>
      <w:r>
        <w:rPr>
          <w:rFonts w:hint="eastAsia"/>
        </w:rPr>
        <w:t xml:space="preserve">　　第五節　完備國境管理。</w:t>
      </w:r>
    </w:p>
    <w:p w:rsidR="008E019C" w:rsidRDefault="008E019C" w:rsidP="00E063B6">
      <w:pPr>
        <w:spacing w:line="240" w:lineRule="auto"/>
        <w:ind w:leftChars="0" w:left="0" w:rightChars="0" w:right="0"/>
      </w:pPr>
      <w:r>
        <w:rPr>
          <w:rFonts w:hint="eastAsia"/>
        </w:rPr>
        <w:t xml:space="preserve">　　第六節　深化防制非法移民。</w:t>
      </w:r>
    </w:p>
    <w:p w:rsidR="008E019C" w:rsidRDefault="008E019C" w:rsidP="00E063B6">
      <w:pPr>
        <w:spacing w:line="240" w:lineRule="auto"/>
        <w:ind w:leftChars="0" w:left="0" w:rightChars="0" w:right="0"/>
      </w:pPr>
      <w:r>
        <w:rPr>
          <w:rFonts w:hint="eastAsia"/>
        </w:rPr>
        <w:t xml:space="preserve">　　中華民國人口政策綱領，行政院再於</w:t>
      </w:r>
      <w:r>
        <w:t>103年12月27日核定修正，並指定主管機關為國家發展委員會。其中有關移民政策之規範如下:</w:t>
      </w:r>
    </w:p>
    <w:p w:rsidR="008E019C" w:rsidRDefault="008E019C" w:rsidP="00E063B6">
      <w:pPr>
        <w:spacing w:line="240" w:lineRule="auto"/>
        <w:ind w:leftChars="0" w:left="0" w:rightChars="0" w:right="0"/>
      </w:pPr>
      <w:r>
        <w:rPr>
          <w:rFonts w:hint="eastAsia"/>
        </w:rPr>
        <w:t xml:space="preserve">　　八、精進移民政策並保障權益：</w:t>
      </w:r>
    </w:p>
    <w:p w:rsidR="008E019C" w:rsidRDefault="008E019C" w:rsidP="00E063B6">
      <w:pPr>
        <w:spacing w:line="240" w:lineRule="auto"/>
        <w:ind w:leftChars="0" w:left="0" w:rightChars="0" w:right="0"/>
      </w:pPr>
      <w:r>
        <w:rPr>
          <w:rFonts w:hint="eastAsia"/>
        </w:rPr>
        <w:t xml:space="preserve">　　（一）因應人口結構變遷，配合國內經濟、教育、科技及文化等之發展，積極規劃延攬多元專業人才。</w:t>
      </w:r>
    </w:p>
    <w:p w:rsidR="008E019C" w:rsidRDefault="008E019C" w:rsidP="00E063B6">
      <w:pPr>
        <w:spacing w:line="240" w:lineRule="auto"/>
        <w:ind w:leftChars="0" w:left="0" w:rightChars="0" w:right="0"/>
      </w:pPr>
      <w:r>
        <w:rPr>
          <w:rFonts w:hint="eastAsia"/>
        </w:rPr>
        <w:t xml:space="preserve">　　（二）協助移入人口社會參與，倡導多元文化，開發新優質人力資源。</w:t>
      </w:r>
    </w:p>
    <w:p w:rsidR="008E019C" w:rsidRDefault="008E019C" w:rsidP="00E063B6">
      <w:pPr>
        <w:spacing w:line="240" w:lineRule="auto"/>
        <w:ind w:leftChars="0" w:left="0" w:rightChars="0" w:right="0"/>
      </w:pPr>
      <w:r>
        <w:rPr>
          <w:rFonts w:hint="eastAsia"/>
        </w:rPr>
        <w:t xml:space="preserve">　　（三）營造友善移入人口及其家庭之環境，平等對待並保障其權益。</w:t>
      </w:r>
    </w:p>
    <w:p w:rsidR="008E019C" w:rsidRDefault="008E019C" w:rsidP="00E063B6">
      <w:pPr>
        <w:spacing w:line="240" w:lineRule="auto"/>
        <w:ind w:leftChars="0" w:left="0" w:rightChars="0" w:right="0"/>
      </w:pPr>
      <w:r>
        <w:rPr>
          <w:rFonts w:hint="eastAsia"/>
        </w:rPr>
        <w:t xml:space="preserve">　　（四）強化海外國人及僑民之支持體系，加強與國內鏈結，鼓勵其返國發展，充實人力資源，並可擴展我國海外人才網絡。</w:t>
      </w:r>
    </w:p>
    <w:p w:rsidR="008E019C" w:rsidRDefault="008E019C" w:rsidP="00E063B6">
      <w:pPr>
        <w:spacing w:line="240" w:lineRule="auto"/>
        <w:ind w:leftChars="0" w:left="0" w:rightChars="0" w:right="0"/>
      </w:pPr>
      <w:r>
        <w:rPr>
          <w:rFonts w:hint="eastAsia"/>
        </w:rPr>
        <w:t xml:space="preserve">　　國家發展委員會不再訂頒人口政策白皮書，由各部會本於權責自行訂定方案推動。該會於</w:t>
      </w:r>
      <w:r>
        <w:t>105年9月1日在行政院第3513次會議報告完善我國留才環境方案，為快速及通盤鬆綁外國人才來臺及留臺工作及生活之各類法規限制，該會協同相關部會，研擬</w:t>
      </w:r>
      <w:hyperlink r:id="rId97" w:history="1">
        <w:r w:rsidR="00654D1D" w:rsidRPr="00654D1D">
          <w:rPr>
            <w:rStyle w:val="a7"/>
            <w:rFonts w:cs="Times New Roman"/>
            <w:sz w:val="24"/>
            <w:szCs w:val="24"/>
            <w:lang w:eastAsia="zh-TW" w:bidi="ar-SA"/>
          </w:rPr>
          <w:t>外國專業人才延攬及僱用法</w:t>
        </w:r>
      </w:hyperlink>
      <w:r>
        <w:t>，經立法院三讀通過，總統106年11月22日公布，行政院定107年2月8日施行。賡續為因應國內人口少子化趨勢，充裕國家產業發展所需人才及人力，規劃研訂「新經濟移民法」，納入外國人取得我國永久居留許可者之類國民待遇。</w:t>
      </w:r>
    </w:p>
    <w:p w:rsidR="008E019C" w:rsidRDefault="008E019C" w:rsidP="00E063B6">
      <w:pPr>
        <w:spacing w:line="240" w:lineRule="auto"/>
        <w:ind w:leftChars="0" w:left="0" w:rightChars="0" w:right="0"/>
      </w:pPr>
      <w:r>
        <w:rPr>
          <w:rFonts w:hint="eastAsia"/>
        </w:rPr>
        <w:t xml:space="preserve">　　「行政院人口政策會報」於</w:t>
      </w:r>
      <w:r>
        <w:t>105年12月19日成立「移民政策小組」，推動移民相關政策，政策小組定位為跨部會政策協商平台，由國發會主任委員擔任執行長。並分設「移民目標研擬」及「移民政策擬定及推動」二個工作小組，前者由國發會負責幕僚作業，掌握移入人口發展動態，訂定上位移民目標；後者由內政部負責幕僚作業，統籌協調相關部會資源，研訂並推動移民政策。內政部為配合政策，積極邀集各部會研擬「移民政策推動策略草案」，於106年11月6日在眾開講平台公告，廣蒐各界意見。由於行政院規劃訂新經濟移民法，內政部研擬之移民政策推動</w:t>
      </w:r>
      <w:r>
        <w:rPr>
          <w:rFonts w:hint="eastAsia"/>
        </w:rPr>
        <w:t>策略，即不再續推。</w:t>
      </w:r>
    </w:p>
    <w:p w:rsidR="008E019C" w:rsidRDefault="008E019C" w:rsidP="00E063B6">
      <w:pPr>
        <w:spacing w:line="240" w:lineRule="auto"/>
        <w:ind w:leftChars="0" w:left="0" w:rightChars="0" w:right="0"/>
      </w:pPr>
      <w:r>
        <w:rPr>
          <w:rFonts w:hint="eastAsia"/>
        </w:rPr>
        <w:t xml:space="preserve">　　中央警察大學柯雨瑞教授等四位學者，提出邁向世界強國與富國之捷徑</w:t>
      </w:r>
      <w:r>
        <w:t>:從建構優質之移民政策與法制出發專書，從</w:t>
      </w:r>
      <w:hyperlink r:id="rId98" w:history="1">
        <w:r w:rsidR="002D4379" w:rsidRPr="002D4379">
          <w:rPr>
            <w:rStyle w:val="a7"/>
            <w:rFonts w:cs="Times New Roman" w:hint="eastAsia"/>
            <w:lang w:eastAsia="zh-TW" w:bidi="ar-SA"/>
          </w:rPr>
          <w:t>憲法</w:t>
        </w:r>
      </w:hyperlink>
      <w:r>
        <w:t>之高度，探討外來人口人權保障之法律規範機制之困境與對策，建議宜在</w:t>
      </w:r>
      <w:hyperlink r:id="rId99" w:history="1">
        <w:r w:rsidR="002D4379" w:rsidRPr="002D4379">
          <w:rPr>
            <w:rStyle w:val="a7"/>
            <w:rFonts w:cs="Times New Roman" w:hint="eastAsia"/>
            <w:lang w:eastAsia="zh-TW" w:bidi="ar-SA"/>
          </w:rPr>
          <w:t>憲法</w:t>
        </w:r>
      </w:hyperlink>
      <w:r>
        <w:t>明文規範，賦予外來人口與本國人享同等之人身自由保障機制，以建構臺灣成為一個真正多元文化、平等對待的社會，展現出目前學者及專家未曾提出之論點，值得推薦。</w:t>
      </w:r>
    </w:p>
    <w:p w:rsidR="008E019C" w:rsidRDefault="00150351" w:rsidP="00E063B6">
      <w:pPr>
        <w:spacing w:line="240" w:lineRule="auto"/>
        <w:ind w:leftChars="0" w:left="0" w:rightChars="0" w:right="0"/>
      </w:pPr>
      <w:r>
        <w:rPr>
          <w:rFonts w:hint="eastAsia"/>
        </w:rPr>
        <w:t xml:space="preserve">　　</w:t>
      </w:r>
      <w:r w:rsidR="008E019C">
        <w:rPr>
          <w:rFonts w:hint="eastAsia"/>
        </w:rPr>
        <w:t>內政部移民署前署長</w:t>
      </w:r>
      <w:r w:rsidR="00AC6AC1">
        <w:t xml:space="preserve">　</w:t>
      </w:r>
      <w:r w:rsidR="008E019C">
        <w:t>何榮村</w:t>
      </w:r>
      <w:r>
        <w:t xml:space="preserve">　</w:t>
      </w:r>
      <w:r w:rsidR="008E019C">
        <w:t>107.07.05</w:t>
      </w:r>
    </w:p>
    <w:p w:rsidR="001A0B61" w:rsidRDefault="001A0B61" w:rsidP="00E063B6">
      <w:pPr>
        <w:spacing w:line="240" w:lineRule="auto"/>
        <w:ind w:leftChars="0" w:left="0" w:rightChars="0" w:right="0"/>
      </w:pPr>
    </w:p>
    <w:p w:rsidR="008E019C" w:rsidRPr="008E019C" w:rsidRDefault="003E18C8" w:rsidP="0008714D">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B662A4">
      <w:pPr>
        <w:pStyle w:val="11"/>
      </w:pPr>
      <w:bookmarkStart w:id="20" w:name="_第一章_從憲法高度探討外來人口人權保障之法律規範機制之困境與對策"/>
      <w:bookmarkEnd w:id="20"/>
      <w:r w:rsidRPr="00B40DC1">
        <w:t>第一章</w:t>
      </w:r>
      <w:r w:rsidR="002E4FE0">
        <w:rPr>
          <w:rFonts w:ascii="新細明體" w:eastAsia="新細明體" w:hAnsi="新細明體" w:hint="eastAsia"/>
        </w:rPr>
        <w:t>、</w:t>
      </w:r>
      <w:r w:rsidRPr="00B40DC1">
        <w:t>從憲法高度探討外來人口人權保障之法律規範機制之困境與對策</w:t>
      </w:r>
    </w:p>
    <w:p w:rsidR="0049577B" w:rsidRPr="00FF6603" w:rsidRDefault="0049577B" w:rsidP="002F19DE">
      <w:pPr>
        <w:pStyle w:val="2"/>
      </w:pPr>
      <w:bookmarkStart w:id="21" w:name="_壹、前言"/>
      <w:bookmarkEnd w:id="21"/>
      <w:r w:rsidRPr="00FF6603">
        <w:t>壹、前言</w:t>
      </w:r>
    </w:p>
    <w:p w:rsidR="0049577B" w:rsidRPr="00B40DC1" w:rsidRDefault="008E019C" w:rsidP="00E063B6">
      <w:pPr>
        <w:spacing w:line="240" w:lineRule="auto"/>
        <w:ind w:leftChars="0" w:left="0" w:rightChars="0" w:right="0"/>
        <w:rPr>
          <w:lang w:val="en"/>
        </w:rPr>
      </w:pPr>
      <w:r>
        <w:t xml:space="preserve">　　</w:t>
      </w:r>
      <w:r w:rsidR="0049577B" w:rsidRPr="00B40DC1">
        <w:t>考量我國是一個以人權立國之國家，基此脈絡，在台之外國人之基本人權，似亦應獲得我國</w:t>
      </w:r>
      <w:hyperlink r:id="rId100" w:history="1">
        <w:r w:rsidR="002D4379" w:rsidRPr="002D4379">
          <w:rPr>
            <w:rStyle w:val="a7"/>
            <w:rFonts w:cs="Times New Roman" w:hint="eastAsia"/>
            <w:lang w:eastAsia="zh-TW" w:bidi="ar-SA"/>
          </w:rPr>
          <w:t>憲法</w:t>
        </w:r>
      </w:hyperlink>
      <w:r w:rsidR="0049577B" w:rsidRPr="00B40DC1">
        <w:t>上之認可與明文之保障。因此，對於外國人基本權利之保障所持之立場，本文傾向於似應將其明文入憲，補足我國</w:t>
      </w:r>
      <w:hyperlink r:id="rId101" w:history="1">
        <w:r w:rsidR="0049577B" w:rsidRPr="002D4379">
          <w:rPr>
            <w:rStyle w:val="a7"/>
            <w:rFonts w:cs="Times New Roman"/>
            <w:lang w:eastAsia="zh-TW" w:bidi="ar-SA"/>
          </w:rPr>
          <w:t>憲法</w:t>
        </w:r>
      </w:hyperlink>
      <w:r w:rsidR="0049577B" w:rsidRPr="00B40DC1">
        <w:t>條款在這方面之缺憾，整體憲政制度亦能因而更加周延，避免導致外國人之地位落於法律保障不足之灰色地帶，進而展現臺灣社會在種族、族裔、國籍與文化等等多元性方面，是一個能兼容並蓄之民主進步且友善之邦。</w:t>
      </w:r>
    </w:p>
    <w:p w:rsidR="0049577B" w:rsidRPr="00B40DC1" w:rsidRDefault="008E019C" w:rsidP="00E063B6">
      <w:pPr>
        <w:spacing w:line="240" w:lineRule="auto"/>
        <w:ind w:leftChars="0" w:left="0" w:rightChars="0" w:right="0"/>
      </w:pPr>
      <w:r>
        <w:t xml:space="preserve">　　</w:t>
      </w:r>
      <w:r w:rsidR="0049577B" w:rsidRPr="00B40DC1">
        <w:t>在本章之中，本書（文）探討外來人口（包括：外國人、外配、陸配、港、澳人士、難民、無國籍人士，但不包括具有中華民國國籍之國民）之各式基本人權之保障機制之課題，特別是集中於「法制面」之保障機制；台灣如欲擬成為世界之強國與富國，則須面臨以非常開放之態度，吸納外來高階之白領人才與相關之技術專才來台，同時，無法迴避的，亦須適度地接納各式之外來人口，諸如：難民等，以善盡國際社會之道義責任。</w:t>
      </w:r>
    </w:p>
    <w:p w:rsidR="0049577B" w:rsidRPr="00B40DC1" w:rsidRDefault="00AC6AC1" w:rsidP="0008714D">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3C1792" w:rsidRDefault="0049577B" w:rsidP="002F19DE">
      <w:pPr>
        <w:pStyle w:val="2"/>
      </w:pPr>
      <w:bookmarkStart w:id="22" w:name="_貳、憲法與外來人口出入國、居留、遷徙自由、選擇住所自由及不遭受違法驅逐"/>
      <w:bookmarkEnd w:id="22"/>
      <w:r w:rsidRPr="00B40DC1">
        <w:t xml:space="preserve">貳、憲法與外來人口出入國、居留、遷徙自由、選擇住所自由及不遭受違法驅逐出國之權利  </w:t>
      </w:r>
    </w:p>
    <w:p w:rsidR="0049577B" w:rsidRPr="00B40DC1" w:rsidRDefault="00FF6603" w:rsidP="0065263F">
      <w:pPr>
        <w:spacing w:line="240" w:lineRule="auto"/>
        <w:ind w:leftChars="0" w:left="0" w:rightChars="0" w:right="0"/>
      </w:pPr>
      <w:r>
        <w:t xml:space="preserve">　　</w:t>
      </w:r>
      <w:r w:rsidR="0049577B" w:rsidRPr="00B40DC1">
        <w:t>比照芬蘭憲法第9條之立法例</w:t>
      </w:r>
      <w:r w:rsidR="0049577B" w:rsidRPr="00150351">
        <w:rPr>
          <w:rStyle w:val="af7"/>
          <w:rFonts w:eastAsia="新細明體"/>
          <w:sz w:val="20"/>
        </w:rPr>
        <w:footnoteReference w:id="82"/>
      </w:r>
      <w:r w:rsidR="0049577B" w:rsidRPr="00B40DC1">
        <w:t>，憲法宜賦予外來人口擁有入國權(The right of foreigners to enter Finland)、居留權(to remain in the country)、遷徙自由權(foreigners legally resident in Finland have the right to freely move within the country)、選擇住所自由( choose their place of residence)，及不遭受驅逐出國至會受到生命威脅、酷刑、違反人性尊嚴(violating human dignity)之國家。</w:t>
      </w:r>
    </w:p>
    <w:p w:rsidR="0049577B" w:rsidRPr="00B40DC1" w:rsidRDefault="00AC6AC1" w:rsidP="00AC6AC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2F19DE">
      <w:pPr>
        <w:pStyle w:val="2"/>
      </w:pPr>
      <w:bookmarkStart w:id="23" w:name="_參、憲法與外來人口人身自由權"/>
      <w:bookmarkEnd w:id="23"/>
      <w:r w:rsidRPr="00B40DC1">
        <w:t>參、憲法與外來人口人身自由權</w:t>
      </w:r>
    </w:p>
    <w:p w:rsidR="0049577B" w:rsidRPr="00B40DC1" w:rsidRDefault="008E019C" w:rsidP="0065263F">
      <w:pPr>
        <w:spacing w:line="240" w:lineRule="auto"/>
        <w:ind w:leftChars="0" w:left="0" w:rightChars="0" w:right="0"/>
      </w:pPr>
      <w:r>
        <w:t xml:space="preserve">　　</w:t>
      </w:r>
      <w:hyperlink r:id="rId102" w:history="1">
        <w:r w:rsidR="002D4379" w:rsidRPr="002D4379">
          <w:rPr>
            <w:rStyle w:val="a7"/>
            <w:rFonts w:cs="Times New Roman" w:hint="eastAsia"/>
            <w:lang w:eastAsia="zh-TW" w:bidi="ar-SA"/>
          </w:rPr>
          <w:t>憲法</w:t>
        </w:r>
      </w:hyperlink>
      <w:r w:rsidR="0049577B" w:rsidRPr="00B40DC1">
        <w:t>有關於涉及人身自由權保障之相關規定，如下表---</w:t>
      </w:r>
      <w:r w:rsidR="002D4379">
        <w:rPr>
          <w:rFonts w:hint="eastAsia"/>
        </w:rPr>
        <w:t xml:space="preserve"> </w:t>
      </w:r>
      <w:hyperlink r:id="rId103" w:history="1">
        <w:r w:rsidR="002D4379" w:rsidRPr="002D4379">
          <w:rPr>
            <w:rStyle w:val="a7"/>
            <w:rFonts w:cs="Times New Roman" w:hint="eastAsia"/>
            <w:lang w:eastAsia="zh-TW" w:bidi="ar-SA"/>
          </w:rPr>
          <w:t>憲法</w:t>
        </w:r>
      </w:hyperlink>
      <w:r w:rsidR="0049577B" w:rsidRPr="00B40DC1">
        <w:t>本文與司法院大法官會議解釋文涉及人身自由權之規範</w:t>
      </w:r>
      <w:r w:rsidR="0049577B" w:rsidRPr="00B40DC1">
        <w:rPr>
          <w:kern w:val="0"/>
        </w:rPr>
        <w:t>內涵分析一覽表</w:t>
      </w:r>
      <w:r w:rsidR="0049577B" w:rsidRPr="00B40DC1">
        <w:t>所述。根據釋</w:t>
      </w:r>
      <w:r w:rsidR="00FD5837" w:rsidRPr="00FD5837">
        <w:t>字</w:t>
      </w:r>
      <w:hyperlink r:id="rId104" w:anchor="r166" w:history="1">
        <w:r w:rsidR="00FD5837" w:rsidRPr="00666D15">
          <w:rPr>
            <w:rStyle w:val="a7"/>
            <w:rFonts w:cs="Times New Roman"/>
            <w:sz w:val="24"/>
            <w:lang w:eastAsia="zh-TW" w:bidi="ar-SA"/>
          </w:rPr>
          <w:t>166</w:t>
        </w:r>
      </w:hyperlink>
      <w:r w:rsidR="0049577B" w:rsidRPr="00B40DC1">
        <w:t>號解釋文之觀點，「至有關人民身體自由之處罰，則屬於司法權，</w:t>
      </w:r>
      <w:hyperlink r:id="rId105" w:history="1">
        <w:r w:rsidR="00FD5837" w:rsidRPr="00C8242E">
          <w:rPr>
            <w:rStyle w:val="a7"/>
            <w:rFonts w:cs="Times New Roman"/>
            <w:sz w:val="24"/>
            <w:lang w:eastAsia="zh-TW" w:bidi="ar-SA"/>
          </w:rPr>
          <w:t>違警罰法</w:t>
        </w:r>
      </w:hyperlink>
      <w:r w:rsidR="0049577B" w:rsidRPr="00B40DC1">
        <w:t>所定由警察官署裁決之拘留、罰役，既係關於人民身體自由之處罰，即屬法院職權之範圍，自應由法院依法定程序為之」。承上，釋</w:t>
      </w:r>
      <w:r w:rsidR="00FD5837" w:rsidRPr="00FD5837">
        <w:t>字</w:t>
      </w:r>
      <w:hyperlink r:id="rId106" w:anchor="r166" w:history="1">
        <w:r w:rsidR="00FD5837" w:rsidRPr="00666D15">
          <w:rPr>
            <w:rStyle w:val="a7"/>
            <w:rFonts w:cs="Times New Roman"/>
            <w:sz w:val="24"/>
            <w:lang w:eastAsia="zh-TW" w:bidi="ar-SA"/>
          </w:rPr>
          <w:t>166</w:t>
        </w:r>
      </w:hyperlink>
      <w:r w:rsidR="0049577B" w:rsidRPr="00B40DC1">
        <w:t>號解釋文之觀點，有關於涉及對外來人口之移民收容，亦屬於是對人民身體自由之干預，本文作者認為，即屬法院職權之範圍，自應由法院依法定程序為之，移民行政機關(移民署)應無權限自行決定收容外來人口。</w:t>
      </w:r>
    </w:p>
    <w:p w:rsidR="0049577B" w:rsidRPr="00B40DC1" w:rsidRDefault="008E019C" w:rsidP="0065263F">
      <w:pPr>
        <w:spacing w:line="240" w:lineRule="auto"/>
        <w:ind w:leftChars="0" w:left="0" w:rightChars="0" w:right="0"/>
      </w:pPr>
      <w:r>
        <w:t xml:space="preserve">　　</w:t>
      </w:r>
      <w:r w:rsidR="0049577B" w:rsidRPr="00B40DC1">
        <w:t>再者，根據釋字</w:t>
      </w:r>
      <w:hyperlink r:id="rId107" w:anchor="r251" w:history="1">
        <w:r w:rsidR="0049577B" w:rsidRPr="0065263F">
          <w:rPr>
            <w:rStyle w:val="a7"/>
            <w:rFonts w:cs="Times New Roman"/>
            <w:lang w:eastAsia="zh-TW" w:bidi="ar-SA"/>
          </w:rPr>
          <w:t>251</w:t>
        </w:r>
      </w:hyperlink>
      <w:r w:rsidR="0049577B" w:rsidRPr="00B40DC1">
        <w:t>號解釋文之觀點，「</w:t>
      </w:r>
      <w:r w:rsidR="0049577B" w:rsidRPr="00B40DC1">
        <w:rPr>
          <w:kern w:val="0"/>
        </w:rPr>
        <w:t>依違警罰法第</w:t>
      </w:r>
      <w:hyperlink r:id="rId108" w:anchor="a28" w:history="1">
        <w:r w:rsidR="0049577B" w:rsidRPr="00FD5837">
          <w:rPr>
            <w:rStyle w:val="a7"/>
            <w:rFonts w:cs="Times New Roman"/>
            <w:kern w:val="0"/>
            <w:lang w:eastAsia="zh-TW" w:bidi="ar-SA"/>
          </w:rPr>
          <w:t>二十八</w:t>
        </w:r>
      </w:hyperlink>
      <w:r w:rsidR="0049577B" w:rsidRPr="00B40DC1">
        <w:rPr>
          <w:kern w:val="0"/>
        </w:rPr>
        <w:t>條規定所為「送交相當處所，施以矯正或令其學習生活技能」之處分，同屬限制人民之身體自由，其裁決由警察官署為之，亦與憲法</w:t>
      </w:r>
      <w:hyperlink r:id="rId109" w:anchor="a8" w:history="1">
        <w:r w:rsidR="0049577B" w:rsidRPr="0034744C">
          <w:rPr>
            <w:rStyle w:val="a7"/>
            <w:rFonts w:cs="Times New Roman"/>
            <w:kern w:val="0"/>
            <w:lang w:eastAsia="zh-TW" w:bidi="ar-SA"/>
          </w:rPr>
          <w:t>第八條</w:t>
        </w:r>
      </w:hyperlink>
      <w:r w:rsidR="0049577B" w:rsidRPr="00B40DC1">
        <w:rPr>
          <w:kern w:val="0"/>
        </w:rPr>
        <w:t>第一項之本旨不符，應與拘留、罰役之裁決程序，一併改由法院依法定程序為之。</w:t>
      </w:r>
      <w:r w:rsidR="0049577B" w:rsidRPr="00B40DC1">
        <w:t>」承上，釋</w:t>
      </w:r>
      <w:r w:rsidR="0065263F" w:rsidRPr="00B40DC1">
        <w:t>字</w:t>
      </w:r>
      <w:hyperlink r:id="rId110" w:anchor="r251" w:history="1">
        <w:r w:rsidR="0065263F" w:rsidRPr="0065263F">
          <w:rPr>
            <w:rStyle w:val="a7"/>
            <w:rFonts w:cs="Times New Roman"/>
            <w:lang w:eastAsia="zh-TW" w:bidi="ar-SA"/>
          </w:rPr>
          <w:t>251</w:t>
        </w:r>
      </w:hyperlink>
      <w:r w:rsidR="0049577B" w:rsidRPr="00B40DC1">
        <w:t>號解釋文之觀點，有關於涉及對外來人口之移民收容，亦屬於是對人民身體自由之干預，</w:t>
      </w:r>
      <w:r w:rsidR="0049577B" w:rsidRPr="00B40DC1">
        <w:rPr>
          <w:kern w:val="0"/>
        </w:rPr>
        <w:t>同屬限制</w:t>
      </w:r>
      <w:r w:rsidR="0049577B" w:rsidRPr="00B40DC1">
        <w:t>外來人口</w:t>
      </w:r>
      <w:r w:rsidR="0049577B" w:rsidRPr="00B40DC1">
        <w:rPr>
          <w:kern w:val="0"/>
        </w:rPr>
        <w:t>之身體自由，</w:t>
      </w:r>
      <w:r w:rsidR="0049577B" w:rsidRPr="00B40DC1">
        <w:t>本文作者認為，即屬法院職權之範圍，自應由法院依法定程序為之，移民行政機關(移民署)應無權限自行決定收容外來人口。倘若由移民行政機關(移民署)</w:t>
      </w:r>
      <w:r w:rsidR="0049577B" w:rsidRPr="00B40DC1">
        <w:rPr>
          <w:kern w:val="0"/>
        </w:rPr>
        <w:t>裁決，亦與憲</w:t>
      </w:r>
      <w:r w:rsidR="0034744C" w:rsidRPr="00B40DC1">
        <w:rPr>
          <w:kern w:val="0"/>
        </w:rPr>
        <w:t>法</w:t>
      </w:r>
      <w:hyperlink r:id="rId111" w:anchor="a8" w:history="1">
        <w:r w:rsidR="0034744C" w:rsidRPr="0034744C">
          <w:rPr>
            <w:rStyle w:val="a7"/>
            <w:rFonts w:cs="Times New Roman"/>
            <w:kern w:val="0"/>
            <w:lang w:eastAsia="zh-TW" w:bidi="ar-SA"/>
          </w:rPr>
          <w:t>第八條</w:t>
        </w:r>
      </w:hyperlink>
      <w:r w:rsidR="0049577B" w:rsidRPr="00B40DC1">
        <w:rPr>
          <w:kern w:val="0"/>
        </w:rPr>
        <w:t>第一項之本旨不符，嚴重地侵犯</w:t>
      </w:r>
      <w:r w:rsidR="0049577B" w:rsidRPr="00B40DC1">
        <w:t>外來人口</w:t>
      </w:r>
      <w:r w:rsidR="0049577B" w:rsidRPr="00B40DC1">
        <w:rPr>
          <w:kern w:val="0"/>
        </w:rPr>
        <w:t>之身體自由權。</w:t>
      </w:r>
    </w:p>
    <w:p w:rsidR="0049577B" w:rsidRPr="00B40DC1" w:rsidRDefault="00C9725A" w:rsidP="0065263F">
      <w:pPr>
        <w:spacing w:line="240" w:lineRule="auto"/>
        <w:ind w:leftChars="0" w:left="0" w:rightChars="0" w:right="0"/>
      </w:pPr>
      <w:r>
        <w:t xml:space="preserve">　　</w:t>
      </w:r>
      <w:r w:rsidR="0049577B" w:rsidRPr="00B40DC1">
        <w:t>復次，根據釋字</w:t>
      </w:r>
      <w:hyperlink r:id="rId112" w:anchor="r392" w:history="1">
        <w:r w:rsidR="0049577B" w:rsidRPr="0034744C">
          <w:rPr>
            <w:rStyle w:val="a7"/>
            <w:rFonts w:cs="Times New Roman"/>
            <w:lang w:eastAsia="zh-TW" w:bidi="ar-SA"/>
          </w:rPr>
          <w:t>392號</w:t>
        </w:r>
      </w:hyperlink>
      <w:r w:rsidR="0049577B" w:rsidRPr="00B40DC1">
        <w:t>解釋文之觀點，「憲</w:t>
      </w:r>
      <w:r w:rsidR="0034744C" w:rsidRPr="00B40DC1">
        <w:rPr>
          <w:kern w:val="0"/>
        </w:rPr>
        <w:t>法</w:t>
      </w:r>
      <w:hyperlink r:id="rId113" w:anchor="a8" w:history="1">
        <w:r w:rsidR="0034744C" w:rsidRPr="0034744C">
          <w:rPr>
            <w:rStyle w:val="a7"/>
            <w:rFonts w:cs="Times New Roman"/>
            <w:kern w:val="0"/>
            <w:lang w:eastAsia="zh-TW" w:bidi="ar-SA"/>
          </w:rPr>
          <w:t>第八條</w:t>
        </w:r>
      </w:hyperlink>
      <w:r w:rsidR="0049577B" w:rsidRPr="00B40DC1">
        <w:t>第一項、第二項所規定之「審問」，係指法院審理之訊問，其無審判權者既不得為之，則此兩項所稱之「法院」，當指有審判權之法官所構成之獨任或合議之法院之謂。法院以外之逮捕拘禁機關，依上開憲</w:t>
      </w:r>
      <w:r w:rsidR="0034744C" w:rsidRPr="00B40DC1">
        <w:rPr>
          <w:kern w:val="0"/>
        </w:rPr>
        <w:t>法</w:t>
      </w:r>
      <w:hyperlink r:id="rId114" w:anchor="a8" w:history="1">
        <w:r w:rsidR="0034744C" w:rsidRPr="0034744C">
          <w:rPr>
            <w:rStyle w:val="a7"/>
            <w:rFonts w:cs="Times New Roman"/>
            <w:kern w:val="0"/>
            <w:lang w:eastAsia="zh-TW" w:bidi="ar-SA"/>
          </w:rPr>
          <w:t>第八條</w:t>
        </w:r>
      </w:hyperlink>
      <w:r w:rsidR="0049577B" w:rsidRPr="00B40DC1">
        <w:t>第二項規定，應至遲於二十四小時內，將因犯罪嫌疑被逮捕拘禁之人民移送該管法院審問。是現行刑事訴訟法第</w:t>
      </w:r>
      <w:hyperlink r:id="rId115" w:anchor="a101" w:history="1">
        <w:r w:rsidR="0049577B" w:rsidRPr="00FD5837">
          <w:rPr>
            <w:rStyle w:val="a7"/>
            <w:rFonts w:cs="Times New Roman"/>
            <w:lang w:eastAsia="zh-TW" w:bidi="ar-SA"/>
          </w:rPr>
          <w:t>一百零一</w:t>
        </w:r>
      </w:hyperlink>
      <w:r w:rsidR="0049577B" w:rsidRPr="00B40DC1">
        <w:t>條、第</w:t>
      </w:r>
      <w:hyperlink r:id="rId116" w:anchor="a102" w:history="1">
        <w:r w:rsidR="0049577B" w:rsidRPr="00FD5837">
          <w:rPr>
            <w:rStyle w:val="a7"/>
            <w:rFonts w:cs="Times New Roman"/>
            <w:lang w:eastAsia="zh-TW" w:bidi="ar-SA"/>
          </w:rPr>
          <w:t>一百零二</w:t>
        </w:r>
      </w:hyperlink>
      <w:r w:rsidR="0049577B" w:rsidRPr="00B40DC1">
        <w:t>條第三項準用第</w:t>
      </w:r>
      <w:hyperlink r:id="rId117" w:anchor="a71" w:history="1">
        <w:r w:rsidR="0049577B" w:rsidRPr="00FD5837">
          <w:rPr>
            <w:rStyle w:val="a7"/>
            <w:rFonts w:cs="Times New Roman"/>
            <w:lang w:eastAsia="zh-TW" w:bidi="ar-SA"/>
          </w:rPr>
          <w:t>七十一</w:t>
        </w:r>
      </w:hyperlink>
      <w:r w:rsidR="0049577B" w:rsidRPr="00B40DC1">
        <w:t>條第四項及第</w:t>
      </w:r>
      <w:hyperlink r:id="rId118" w:anchor="a120" w:history="1">
        <w:r w:rsidR="0049577B" w:rsidRPr="00FD5837">
          <w:rPr>
            <w:rStyle w:val="a7"/>
            <w:rFonts w:cs="Times New Roman"/>
            <w:lang w:eastAsia="zh-TW" w:bidi="ar-SA"/>
          </w:rPr>
          <w:t>一百二十</w:t>
        </w:r>
      </w:hyperlink>
      <w:r w:rsidR="0049577B" w:rsidRPr="00B40DC1">
        <w:t>條等規定，於法院外復賦予檢察官羈押被告之權；同法第</w:t>
      </w:r>
      <w:hyperlink r:id="rId119" w:anchor="a105" w:history="1">
        <w:r w:rsidR="0049577B" w:rsidRPr="00FD5837">
          <w:rPr>
            <w:rStyle w:val="a7"/>
            <w:rFonts w:cs="Times New Roman"/>
            <w:lang w:eastAsia="zh-TW" w:bidi="ar-SA"/>
          </w:rPr>
          <w:t>一百零五</w:t>
        </w:r>
      </w:hyperlink>
      <w:r w:rsidR="0049577B" w:rsidRPr="00B40DC1">
        <w:t>條第三項賦予檢察官核准押所長官命令之權；同法第</w:t>
      </w:r>
      <w:hyperlink r:id="rId120" w:anchor="a121" w:history="1">
        <w:r w:rsidR="0049577B" w:rsidRPr="00FD5837">
          <w:rPr>
            <w:rStyle w:val="a7"/>
            <w:rFonts w:cs="Times New Roman"/>
            <w:lang w:eastAsia="zh-TW" w:bidi="ar-SA"/>
          </w:rPr>
          <w:t>一百二十一</w:t>
        </w:r>
      </w:hyperlink>
      <w:r w:rsidR="0049577B" w:rsidRPr="00B40DC1">
        <w:t>條第一項、第</w:t>
      </w:r>
      <w:hyperlink r:id="rId121" w:anchor="a259" w:history="1">
        <w:r w:rsidR="0049577B" w:rsidRPr="00FD5837">
          <w:rPr>
            <w:rStyle w:val="a7"/>
            <w:rFonts w:cs="Times New Roman"/>
            <w:lang w:eastAsia="zh-TW" w:bidi="ar-SA"/>
          </w:rPr>
          <w:t>二百五十九</w:t>
        </w:r>
      </w:hyperlink>
      <w:r w:rsidR="0049577B" w:rsidRPr="00B40DC1">
        <w:t>條第一項賦予檢察官撤銷羈押、停止羈押、再執行羈押、繼續羈押暨其他有關羈押被告各項處分之權，與前述憲</w:t>
      </w:r>
      <w:r w:rsidR="0034744C" w:rsidRPr="00B40DC1">
        <w:rPr>
          <w:kern w:val="0"/>
        </w:rPr>
        <w:t>法</w:t>
      </w:r>
      <w:hyperlink r:id="rId122" w:anchor="a8" w:history="1">
        <w:r w:rsidR="0034744C" w:rsidRPr="0034744C">
          <w:rPr>
            <w:rStyle w:val="a7"/>
            <w:rFonts w:cs="Times New Roman"/>
            <w:kern w:val="0"/>
            <w:lang w:eastAsia="zh-TW" w:bidi="ar-SA"/>
          </w:rPr>
          <w:t>第八條</w:t>
        </w:r>
      </w:hyperlink>
      <w:r w:rsidR="0049577B" w:rsidRPr="00B40DC1">
        <w:t>第二項規定之意旨均有不符。」承上，釋</w:t>
      </w:r>
      <w:r w:rsidR="0034744C" w:rsidRPr="00B40DC1">
        <w:t>字</w:t>
      </w:r>
      <w:hyperlink r:id="rId123" w:anchor="r392" w:history="1">
        <w:r w:rsidR="0034744C" w:rsidRPr="0034744C">
          <w:rPr>
            <w:rStyle w:val="a7"/>
            <w:rFonts w:cs="Times New Roman"/>
            <w:lang w:eastAsia="zh-TW" w:bidi="ar-SA"/>
          </w:rPr>
          <w:t>392號</w:t>
        </w:r>
      </w:hyperlink>
      <w:r w:rsidR="0049577B" w:rsidRPr="00B40DC1">
        <w:t>解釋文之觀點，有關於涉及對外來人口之移民收容，亦屬於是對人民身體自由之干預，同屬限制外來人口之身體自由，本文作者認為，即屬法院審理之範圍，自應由「有審判權者」之法院，依法定程序為之，移民行政機關(移民署)應無權限自行決定收容外來人口。主要之理由，在於移民行政機關(移民署)之本質，並非「有審判權者」之法院，移民官並非法官。倘若由移民行政機關(移民署)裁決，亦與憲</w:t>
      </w:r>
      <w:r w:rsidR="0034744C" w:rsidRPr="00B40DC1">
        <w:rPr>
          <w:kern w:val="0"/>
        </w:rPr>
        <w:t>法</w:t>
      </w:r>
      <w:hyperlink r:id="rId124" w:anchor="a8" w:history="1">
        <w:r w:rsidR="0034744C" w:rsidRPr="0034744C">
          <w:rPr>
            <w:rStyle w:val="a7"/>
            <w:rFonts w:cs="Times New Roman"/>
            <w:kern w:val="0"/>
            <w:lang w:eastAsia="zh-TW" w:bidi="ar-SA"/>
          </w:rPr>
          <w:t>第八條</w:t>
        </w:r>
      </w:hyperlink>
      <w:r w:rsidR="0049577B" w:rsidRPr="00B40DC1">
        <w:t>第一項之本旨不符，嚴重地侵犯外來人口之身體自由權。</w:t>
      </w:r>
    </w:p>
    <w:p w:rsidR="0049577B" w:rsidRPr="00B40DC1" w:rsidRDefault="008E019C" w:rsidP="0065263F">
      <w:pPr>
        <w:spacing w:line="240" w:lineRule="auto"/>
        <w:ind w:leftChars="0" w:left="0" w:rightChars="0" w:right="0"/>
      </w:pPr>
      <w:r>
        <w:t xml:space="preserve">　　</w:t>
      </w:r>
      <w:r w:rsidR="0049577B" w:rsidRPr="00B40DC1">
        <w:t>此外，根據釋字</w:t>
      </w:r>
      <w:hyperlink r:id="rId125" w:anchor="r588" w:history="1">
        <w:r w:rsidR="0049577B" w:rsidRPr="0065263F">
          <w:rPr>
            <w:rStyle w:val="a7"/>
            <w:rFonts w:cs="Times New Roman"/>
            <w:lang w:eastAsia="zh-TW" w:bidi="ar-SA"/>
          </w:rPr>
          <w:t>588</w:t>
        </w:r>
      </w:hyperlink>
      <w:r w:rsidR="0049577B" w:rsidRPr="00B40DC1">
        <w:t>號解釋文之觀點，「人身自由乃人民行使其</w:t>
      </w:r>
      <w:hyperlink r:id="rId126" w:history="1">
        <w:r w:rsidR="002D4379" w:rsidRPr="002D4379">
          <w:rPr>
            <w:rStyle w:val="a7"/>
            <w:rFonts w:cs="Times New Roman" w:hint="eastAsia"/>
            <w:lang w:eastAsia="zh-TW" w:bidi="ar-SA"/>
          </w:rPr>
          <w:t>憲法</w:t>
        </w:r>
      </w:hyperlink>
      <w:r w:rsidR="0049577B" w:rsidRPr="00B40DC1">
        <w:t>上各項自由權利所不可或缺之前提，憲</w:t>
      </w:r>
      <w:r w:rsidR="0034744C" w:rsidRPr="00B40DC1">
        <w:rPr>
          <w:kern w:val="0"/>
        </w:rPr>
        <w:t>法</w:t>
      </w:r>
      <w:hyperlink r:id="rId127" w:anchor="a8" w:history="1">
        <w:r w:rsidR="0034744C" w:rsidRPr="0034744C">
          <w:rPr>
            <w:rStyle w:val="a7"/>
            <w:rFonts w:cs="Times New Roman"/>
            <w:kern w:val="0"/>
            <w:lang w:eastAsia="zh-TW" w:bidi="ar-SA"/>
          </w:rPr>
          <w:t>第八條</w:t>
        </w:r>
      </w:hyperlink>
      <w:r w:rsidR="0049577B" w:rsidRPr="00B40DC1">
        <w:t>第一項規定所稱「法定程序」，係指凡限制人民身體自由之處置，不問其是否屬於刑事被告之身分，除須有法律之依據外，尚須分別踐行必要之司法程序或其他正當法律程序，始得為之（本院釋字第</w:t>
      </w:r>
      <w:hyperlink r:id="rId128" w:anchor="r384" w:history="1">
        <w:r w:rsidR="0049577B" w:rsidRPr="00173EDA">
          <w:rPr>
            <w:rStyle w:val="a7"/>
            <w:rFonts w:cs="Times New Roman"/>
            <w:lang w:eastAsia="zh-TW" w:bidi="ar-SA"/>
          </w:rPr>
          <w:t>三八四</w:t>
        </w:r>
      </w:hyperlink>
      <w:r w:rsidR="0049577B" w:rsidRPr="00B40DC1">
        <w:t>號解釋參照）。此項程序固屬</w:t>
      </w:r>
      <w:hyperlink r:id="rId129" w:history="1">
        <w:r w:rsidR="002D4379" w:rsidRPr="002D4379">
          <w:rPr>
            <w:rStyle w:val="a7"/>
            <w:rFonts w:cs="Times New Roman" w:hint="eastAsia"/>
            <w:lang w:eastAsia="zh-TW" w:bidi="ar-SA"/>
          </w:rPr>
          <w:t>憲法</w:t>
        </w:r>
      </w:hyperlink>
      <w:r w:rsidR="0049577B" w:rsidRPr="00B40DC1">
        <w:t>保留之範疇，縱係立法機關亦不得制定法律而遽予剝奪；惟刑事被告與非刑事被告之人身自由限制，畢竟有其本質上之差異，是其必須踐行之司法程序或其他正當法律程序，自非均須同一不可。管收係於一定期間內拘束人民身體自由於一定之處所，雖亦屬憲</w:t>
      </w:r>
      <w:r w:rsidR="0034744C" w:rsidRPr="00B40DC1">
        <w:rPr>
          <w:kern w:val="0"/>
        </w:rPr>
        <w:t>法</w:t>
      </w:r>
      <w:hyperlink r:id="rId130" w:anchor="a8" w:history="1">
        <w:r w:rsidR="0034744C" w:rsidRPr="0034744C">
          <w:rPr>
            <w:rStyle w:val="a7"/>
            <w:rFonts w:cs="Times New Roman"/>
            <w:kern w:val="0"/>
            <w:lang w:eastAsia="zh-TW" w:bidi="ar-SA"/>
          </w:rPr>
          <w:t>第八條</w:t>
        </w:r>
      </w:hyperlink>
      <w:r w:rsidR="0049577B" w:rsidRPr="00B40DC1">
        <w:t>第一項所規定之「拘禁」，然與刑事程序之羈押，目的上尚屬有間。羈押重在程序之保全，即保全被告俾其於整個刑事程序均能始終到場，以利偵查、審判之有效進行，以及判決確定後之能有效執行；管收則有如前述，目的在使其為金錢給付義務之履行，為間接執行方法之一種，並非在保全其身體，故其所踐行之司法程序自無須與羈押完全相同。然雖如此，其於決定管收之前，仍應踐行必要之司法程序則無二致，此即由中立、公正第三者之法院審問，並使法定義務人到場為程序之參與，除藉之以明管收之是否合乎法定要件暨有無管收之必要外，並使法定義務人得有防禦之機會，提出有利之相關抗辯以供法院調查，期以實現</w:t>
      </w:r>
      <w:hyperlink r:id="rId131" w:history="1">
        <w:r w:rsidR="002D4379" w:rsidRPr="002D4379">
          <w:rPr>
            <w:rStyle w:val="a7"/>
            <w:rFonts w:cs="Times New Roman" w:hint="eastAsia"/>
            <w:lang w:eastAsia="zh-TW" w:bidi="ar-SA"/>
          </w:rPr>
          <w:t>憲法</w:t>
        </w:r>
      </w:hyperlink>
      <w:r w:rsidR="0049577B" w:rsidRPr="00B40DC1">
        <w:t>對人身自由之保障。」承上，釋</w:t>
      </w:r>
      <w:r w:rsidR="00547EDB" w:rsidRPr="00B40DC1">
        <w:t>字</w:t>
      </w:r>
      <w:hyperlink r:id="rId132" w:anchor="r588" w:history="1">
        <w:r w:rsidR="00547EDB" w:rsidRPr="0065263F">
          <w:rPr>
            <w:rStyle w:val="a7"/>
            <w:rFonts w:cs="Times New Roman"/>
            <w:lang w:eastAsia="zh-TW" w:bidi="ar-SA"/>
          </w:rPr>
          <w:t>588</w:t>
        </w:r>
      </w:hyperlink>
      <w:r w:rsidR="00547EDB" w:rsidRPr="00B40DC1">
        <w:t>號</w:t>
      </w:r>
      <w:r w:rsidR="0049577B" w:rsidRPr="00B40DC1">
        <w:t>解釋文之觀點，有關於涉及外來人口之人身自由權利，乃外來人口行使其</w:t>
      </w:r>
      <w:hyperlink r:id="rId133" w:history="1">
        <w:r w:rsidR="002D4379" w:rsidRPr="002D4379">
          <w:rPr>
            <w:rStyle w:val="a7"/>
            <w:rFonts w:cs="Times New Roman" w:hint="eastAsia"/>
            <w:lang w:eastAsia="zh-TW" w:bidi="ar-SA"/>
          </w:rPr>
          <w:t>憲法</w:t>
        </w:r>
      </w:hyperlink>
      <w:r w:rsidR="0049577B" w:rsidRPr="00B40DC1">
        <w:t>上各項自由權利所不可或缺之大前提，憲</w:t>
      </w:r>
      <w:r w:rsidR="0034744C" w:rsidRPr="00B40DC1">
        <w:rPr>
          <w:kern w:val="0"/>
        </w:rPr>
        <w:t>法</w:t>
      </w:r>
      <w:hyperlink r:id="rId134" w:anchor="a8" w:history="1">
        <w:r w:rsidR="0034744C" w:rsidRPr="0034744C">
          <w:rPr>
            <w:rStyle w:val="a7"/>
            <w:rFonts w:cs="Times New Roman"/>
            <w:kern w:val="0"/>
            <w:lang w:eastAsia="zh-TW" w:bidi="ar-SA"/>
          </w:rPr>
          <w:t>第八條</w:t>
        </w:r>
      </w:hyperlink>
      <w:r w:rsidR="0049577B" w:rsidRPr="00B40DC1">
        <w:t>第一項規定所稱「法定程序」，係指凡限制外來人口身體自由之處置，不問其是否屬於刑事被告之身分，除須有法律之依據外，尚須分別踐行必要之司法程序或其他正當法律程序，始得為之。</w:t>
      </w:r>
    </w:p>
    <w:p w:rsidR="0049577B" w:rsidRPr="00B40DC1" w:rsidRDefault="008E019C" w:rsidP="0065263F">
      <w:pPr>
        <w:spacing w:line="240" w:lineRule="auto"/>
        <w:ind w:leftChars="0" w:left="0" w:rightChars="0" w:right="0"/>
      </w:pPr>
      <w:r>
        <w:t xml:space="preserve">　　</w:t>
      </w:r>
      <w:r w:rsidR="0049577B" w:rsidRPr="00B40DC1">
        <w:t>惟刑事被告與對於被移民收容之外來人口之人身自由限制，畢竟有其本質上之差異，是其必須踐行之司法程序或其他正當法律程序，自非均須同一不可。移民收容係於一定期間內拘束外來人口身體自由於一定之處所，亦屬憲</w:t>
      </w:r>
      <w:r w:rsidR="0034744C" w:rsidRPr="00B40DC1">
        <w:rPr>
          <w:kern w:val="0"/>
        </w:rPr>
        <w:t>法</w:t>
      </w:r>
      <w:hyperlink r:id="rId135" w:anchor="a8" w:history="1">
        <w:r w:rsidR="0034744C" w:rsidRPr="0034744C">
          <w:rPr>
            <w:rStyle w:val="a7"/>
            <w:rFonts w:cs="Times New Roman"/>
            <w:kern w:val="0"/>
            <w:lang w:eastAsia="zh-TW" w:bidi="ar-SA"/>
          </w:rPr>
          <w:t>第八條</w:t>
        </w:r>
      </w:hyperlink>
      <w:r w:rsidR="0049577B" w:rsidRPr="00B40DC1">
        <w:t>第一項所規定之「拘禁」，亦屬於是對人民身體自由之干預，同屬限制人民之身體自由，本文作者認為，其於決定移民收容之前，仍應踐行必要之司法程序，此即由中立、公正第三者之法院審問，即自應由「有審判權者」之法院，依法定程序為之，移民行政機關(移民署)應無權限自行決定收容外來人口。移民行政機關(移民署)並不是中立、公正第三者之法院。移民行政機關(移民署)之本質，並非「有審判權者」之法院，移民官並非法官。倘若由移民行政機關(移民署)裁決，亦與憲</w:t>
      </w:r>
      <w:r w:rsidR="0034744C" w:rsidRPr="00B40DC1">
        <w:rPr>
          <w:kern w:val="0"/>
        </w:rPr>
        <w:t>法</w:t>
      </w:r>
      <w:hyperlink r:id="rId136" w:anchor="a8" w:history="1">
        <w:r w:rsidR="0034744C" w:rsidRPr="0034744C">
          <w:rPr>
            <w:rStyle w:val="a7"/>
            <w:rFonts w:cs="Times New Roman"/>
            <w:kern w:val="0"/>
            <w:lang w:eastAsia="zh-TW" w:bidi="ar-SA"/>
          </w:rPr>
          <w:t>第八條</w:t>
        </w:r>
      </w:hyperlink>
      <w:r w:rsidR="0049577B" w:rsidRPr="00B40DC1">
        <w:t>第一項之本旨不符，嚴重地侵犯外來人口之身體自由權與人性尊嚴。</w:t>
      </w:r>
    </w:p>
    <w:p w:rsidR="0049577B" w:rsidRPr="00B40DC1" w:rsidRDefault="00AC6AC1" w:rsidP="00AC6AC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2E62F1" w:rsidRPr="002E62F1" w:rsidRDefault="0049577B" w:rsidP="002E62F1">
      <w:pPr>
        <w:pStyle w:val="4"/>
        <w:rPr>
          <w:lang w:eastAsia="zh-TW"/>
        </w:rPr>
      </w:pPr>
      <w:r w:rsidRPr="00B662A4">
        <w:rPr>
          <w:lang w:eastAsia="zh-TW"/>
        </w:rPr>
        <w:t>表1、憲法本文與司法院大法官會議解釋文涉及人身自由權之規範內涵分析一覽表</w:t>
      </w:r>
    </w:p>
    <w:tbl>
      <w:tblPr>
        <w:tblW w:w="51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061"/>
      </w:tblGrid>
      <w:tr w:rsidR="0049577B" w:rsidRPr="00B40DC1" w:rsidTr="004326A1">
        <w:trPr>
          <w:tblHeader/>
        </w:trPr>
        <w:tc>
          <w:tcPr>
            <w:tcW w:w="563" w:type="pct"/>
            <w:shd w:val="clear" w:color="auto" w:fill="EFFDFF"/>
          </w:tcPr>
          <w:p w:rsidR="0049577B" w:rsidRPr="00C9725A" w:rsidRDefault="0049577B" w:rsidP="00C4640B">
            <w:pPr>
              <w:ind w:leftChars="-41" w:left="-107" w:rightChars="-41" w:right="-107" w:firstLine="1"/>
              <w:jc w:val="left"/>
              <w:rPr>
                <w:sz w:val="24"/>
              </w:rPr>
            </w:pPr>
          </w:p>
        </w:tc>
        <w:tc>
          <w:tcPr>
            <w:tcW w:w="4437" w:type="pct"/>
            <w:shd w:val="clear" w:color="auto" w:fill="EFFDFF"/>
          </w:tcPr>
          <w:p w:rsidR="0049577B" w:rsidRPr="00C9725A" w:rsidRDefault="0049577B" w:rsidP="00AE1031">
            <w:pPr>
              <w:ind w:leftChars="-40" w:left="-104"/>
              <w:jc w:val="center"/>
              <w:rPr>
                <w:sz w:val="24"/>
              </w:rPr>
            </w:pPr>
            <w:r w:rsidRPr="00C9725A">
              <w:rPr>
                <w:sz w:val="24"/>
              </w:rPr>
              <w:t>內涵</w:t>
            </w:r>
          </w:p>
        </w:tc>
      </w:tr>
      <w:tr w:rsidR="0049577B" w:rsidRPr="00B40DC1" w:rsidTr="00C4640B">
        <w:tc>
          <w:tcPr>
            <w:tcW w:w="563" w:type="pct"/>
            <w:shd w:val="clear" w:color="auto" w:fill="auto"/>
          </w:tcPr>
          <w:p w:rsidR="0049577B" w:rsidRPr="00C9725A" w:rsidRDefault="0049577B" w:rsidP="00AC6AC1">
            <w:pPr>
              <w:spacing w:line="240" w:lineRule="auto"/>
              <w:ind w:leftChars="0" w:left="0" w:rightChars="0" w:right="0"/>
              <w:rPr>
                <w:sz w:val="24"/>
              </w:rPr>
            </w:pPr>
            <w:r w:rsidRPr="00C9725A">
              <w:rPr>
                <w:sz w:val="24"/>
              </w:rPr>
              <w:t>憲法本文</w:t>
            </w:r>
            <w:hyperlink r:id="rId137" w:anchor="a8" w:history="1">
              <w:r w:rsidRPr="004326A1">
                <w:rPr>
                  <w:rStyle w:val="a7"/>
                  <w:rFonts w:cs="Times New Roman"/>
                  <w:sz w:val="24"/>
                  <w:lang w:eastAsia="zh-TW" w:bidi="ar-SA"/>
                </w:rPr>
                <w:t>第8條</w:t>
              </w:r>
            </w:hyperlink>
          </w:p>
        </w:tc>
        <w:tc>
          <w:tcPr>
            <w:tcW w:w="4437" w:type="pct"/>
            <w:shd w:val="clear" w:color="auto" w:fill="auto"/>
          </w:tcPr>
          <w:p w:rsidR="0049577B" w:rsidRPr="00C9725A" w:rsidRDefault="004326A1" w:rsidP="00150351">
            <w:pPr>
              <w:ind w:leftChars="13" w:left="34"/>
              <w:rPr>
                <w:sz w:val="24"/>
              </w:rPr>
            </w:pPr>
            <w:r>
              <w:rPr>
                <w:sz w:val="24"/>
              </w:rPr>
              <w:t xml:space="preserve">　　</w:t>
            </w:r>
            <w:r w:rsidR="0049577B" w:rsidRPr="00C9725A">
              <w:rPr>
                <w:sz w:val="24"/>
              </w:rPr>
              <w:t>人民身體之自由應予保障。除現行犯之逮捕由法律另定外，非經司法或警察機關依法定程序，不得逮捕拘禁。非由法院依法定程序，不得審問處罰。非依法定程序之逮捕，拘禁，審問，處罰，得拒絕之。</w:t>
            </w:r>
          </w:p>
          <w:p w:rsidR="0049577B" w:rsidRPr="00C9725A" w:rsidRDefault="0049577B" w:rsidP="00150351">
            <w:pPr>
              <w:ind w:leftChars="13" w:left="34"/>
              <w:rPr>
                <w:sz w:val="24"/>
              </w:rPr>
            </w:pPr>
            <w:r w:rsidRPr="00C9725A">
              <w:rPr>
                <w:sz w:val="24"/>
              </w:rPr>
              <w:t xml:space="preserve">　　人民因犯罪嫌疑被逮捕拘禁時，其逮捕拘禁機關應將逮捕拘禁原因，以書面告知本人及其本人指定之親友，並至遲於二十四小時內移送該管法院審問。本人或他人亦得聲請該管法院，於二十四小時內向逮捕之機關提審。</w:t>
            </w:r>
          </w:p>
          <w:p w:rsidR="0049577B" w:rsidRPr="00C9725A" w:rsidRDefault="0049577B" w:rsidP="00150351">
            <w:pPr>
              <w:ind w:leftChars="13" w:left="34"/>
              <w:rPr>
                <w:sz w:val="24"/>
              </w:rPr>
            </w:pPr>
            <w:r w:rsidRPr="00C9725A">
              <w:rPr>
                <w:sz w:val="24"/>
              </w:rPr>
              <w:t xml:space="preserve">　　法院對於前項聲請，不得拒絕，並不得先令逮捕拘禁之機關查覆。逮捕拘禁之機關，對於法院之提審，不得拒絕或遲延。</w:t>
            </w:r>
          </w:p>
          <w:p w:rsidR="0049577B" w:rsidRPr="00C9725A" w:rsidRDefault="0049577B" w:rsidP="00150351">
            <w:pPr>
              <w:ind w:leftChars="13" w:left="34"/>
              <w:rPr>
                <w:sz w:val="24"/>
              </w:rPr>
            </w:pPr>
            <w:r w:rsidRPr="00C9725A">
              <w:rPr>
                <w:sz w:val="24"/>
              </w:rPr>
              <w:t xml:space="preserve">　　人民遭受任何機關非法逮捕拘禁時，其本人或他人得向法院聲請追究，法院不得拒絕，並應於二十四小時內向逮捕拘禁之機關追究，依法處理。</w:t>
            </w:r>
          </w:p>
        </w:tc>
      </w:tr>
      <w:tr w:rsidR="0049577B" w:rsidRPr="00B40DC1" w:rsidTr="00C4640B">
        <w:tc>
          <w:tcPr>
            <w:tcW w:w="563" w:type="pct"/>
            <w:shd w:val="clear" w:color="auto" w:fill="auto"/>
          </w:tcPr>
          <w:p w:rsidR="0049577B" w:rsidRPr="00C9725A" w:rsidRDefault="0049577B" w:rsidP="00AC6AC1">
            <w:pPr>
              <w:spacing w:line="240" w:lineRule="auto"/>
              <w:ind w:leftChars="0" w:left="0" w:rightChars="0" w:right="0"/>
              <w:rPr>
                <w:sz w:val="24"/>
              </w:rPr>
            </w:pPr>
            <w:r w:rsidRPr="00C9725A">
              <w:rPr>
                <w:sz w:val="24"/>
              </w:rPr>
              <w:t>釋字</w:t>
            </w:r>
            <w:hyperlink r:id="rId138" w:anchor="r166" w:history="1">
              <w:r w:rsidRPr="00666D15">
                <w:rPr>
                  <w:rStyle w:val="a7"/>
                  <w:rFonts w:cs="Times New Roman"/>
                  <w:sz w:val="24"/>
                  <w:lang w:eastAsia="zh-TW" w:bidi="ar-SA"/>
                </w:rPr>
                <w:t>166</w:t>
              </w:r>
            </w:hyperlink>
          </w:p>
        </w:tc>
        <w:tc>
          <w:tcPr>
            <w:tcW w:w="4437" w:type="pct"/>
            <w:shd w:val="clear" w:color="auto" w:fill="auto"/>
          </w:tcPr>
          <w:p w:rsidR="0049577B" w:rsidRPr="00C9725A" w:rsidRDefault="00AE1031" w:rsidP="00150351">
            <w:pPr>
              <w:ind w:leftChars="13" w:left="34"/>
              <w:rPr>
                <w:sz w:val="24"/>
              </w:rPr>
            </w:pPr>
            <w:bookmarkStart w:id="24" w:name="_Hlk523435723"/>
            <w:r w:rsidRPr="00C9725A">
              <w:rPr>
                <w:sz w:val="24"/>
              </w:rPr>
              <w:t>【解釋爭點</w:t>
            </w:r>
            <w:r w:rsidR="00C8242E" w:rsidRPr="00C9725A">
              <w:rPr>
                <w:rFonts w:hint="eastAsia"/>
                <w:sz w:val="24"/>
              </w:rPr>
              <w:t>】</w:t>
            </w:r>
            <w:hyperlink r:id="rId139" w:history="1">
              <w:r w:rsidR="00C8242E" w:rsidRPr="00C8242E">
                <w:rPr>
                  <w:rStyle w:val="a7"/>
                  <w:rFonts w:cs="Times New Roman"/>
                  <w:sz w:val="24"/>
                  <w:lang w:eastAsia="zh-TW" w:bidi="ar-SA"/>
                </w:rPr>
                <w:t>違警罰法</w:t>
              </w:r>
            </w:hyperlink>
            <w:r w:rsidR="0049577B" w:rsidRPr="00C9725A">
              <w:rPr>
                <w:sz w:val="24"/>
              </w:rPr>
              <w:t>之拘留、罰役，由何機關裁決？</w:t>
            </w:r>
          </w:p>
          <w:bookmarkEnd w:id="24"/>
          <w:p w:rsidR="0049577B" w:rsidRPr="00C9725A" w:rsidRDefault="00AE1031" w:rsidP="00150351">
            <w:pPr>
              <w:ind w:leftChars="13" w:left="34"/>
              <w:rPr>
                <w:sz w:val="24"/>
              </w:rPr>
            </w:pPr>
            <w:r w:rsidRPr="00C9725A">
              <w:rPr>
                <w:sz w:val="24"/>
              </w:rPr>
              <w:t>【解釋文】</w:t>
            </w:r>
            <w:r w:rsidR="0049577B" w:rsidRPr="00C9725A">
              <w:rPr>
                <w:sz w:val="24"/>
              </w:rPr>
              <w:t>違警罰法規定，由警察官署裁決之拘留、罰役，係關於人民身體自由所為之處罰，應迅改由法院依法定程序為之，以符憲法第八條第一項之本旨。</w:t>
            </w:r>
          </w:p>
          <w:p w:rsidR="0049577B" w:rsidRPr="00C9725A" w:rsidRDefault="00AE1031" w:rsidP="00150351">
            <w:pPr>
              <w:ind w:leftChars="13" w:left="34"/>
              <w:rPr>
                <w:sz w:val="24"/>
              </w:rPr>
            </w:pPr>
            <w:r w:rsidRPr="00C9725A">
              <w:rPr>
                <w:rFonts w:hint="eastAsia"/>
                <w:sz w:val="24"/>
              </w:rPr>
              <w:t>【</w:t>
            </w:r>
            <w:r w:rsidR="0049577B" w:rsidRPr="00C9725A">
              <w:rPr>
                <w:sz w:val="24"/>
              </w:rPr>
              <w:t>理由書</w:t>
            </w:r>
            <w:r w:rsidRPr="00C9725A">
              <w:rPr>
                <w:rFonts w:hint="eastAsia"/>
                <w:sz w:val="24"/>
              </w:rPr>
              <w:t>】</w:t>
            </w:r>
            <w:r w:rsidR="0049577B" w:rsidRPr="00C9725A">
              <w:rPr>
                <w:sz w:val="24"/>
              </w:rPr>
              <w:t>按人民身體之自由，應予保障，除現行犯之逮捕由法律另定外，非經司法或警察機關依法定程序不得逮捕拘禁，非由法院依法定程序不得審問處罰，憲法第八條第一項定有明文。是警察機關對於人民僅得依法定程序逮捕或拘禁，至有關人民身體自由之處罰，則屬於司法權，違警罰法所定由警察官署裁決之拘留、罰役，既係關於人民身體自由之處罰，即屬法院職權之範圍，自應由法院依法定程序為之，惟違警行為原非不應處罰，而違警罰法係在行憲前公布施行，行憲後為維護社會安全及防止危害，主管機關乃未即修改，迄今行憲三十餘年，情勢已有變更，為加強人民身體自由之保障，違警罰法有關拘留、罰役由警察官署裁決之規定，應迅改由法院依法定程序為之，以符憲法第八條第一項之本旨。</w:t>
            </w:r>
          </w:p>
          <w:p w:rsidR="0049577B" w:rsidRPr="00C9725A" w:rsidRDefault="0034744C" w:rsidP="00150351">
            <w:pPr>
              <w:ind w:leftChars="13" w:left="34"/>
              <w:rPr>
                <w:sz w:val="24"/>
              </w:rPr>
            </w:pPr>
            <w:r w:rsidRPr="00C9725A">
              <w:rPr>
                <w:rFonts w:hint="eastAsia"/>
                <w:sz w:val="24"/>
              </w:rPr>
              <w:t>【</w:t>
            </w:r>
            <w:r w:rsidR="0049577B" w:rsidRPr="00C9725A">
              <w:rPr>
                <w:sz w:val="24"/>
              </w:rPr>
              <w:t>附監察院函乙件</w:t>
            </w:r>
            <w:r w:rsidRPr="00C9725A">
              <w:rPr>
                <w:rFonts w:hint="eastAsia"/>
                <w:sz w:val="24"/>
              </w:rPr>
              <w:t>】</w:t>
            </w:r>
          </w:p>
          <w:p w:rsidR="0049577B" w:rsidRPr="00C9725A" w:rsidRDefault="00AE1031" w:rsidP="00150351">
            <w:pPr>
              <w:ind w:leftChars="13" w:left="34"/>
              <w:rPr>
                <w:sz w:val="24"/>
              </w:rPr>
            </w:pPr>
            <w:r w:rsidRPr="00C9725A">
              <w:rPr>
                <w:rFonts w:hint="eastAsia"/>
                <w:sz w:val="24"/>
              </w:rPr>
              <w:t>【</w:t>
            </w:r>
            <w:r w:rsidR="0049577B" w:rsidRPr="00C9725A">
              <w:rPr>
                <w:sz w:val="24"/>
              </w:rPr>
              <w:t>受文者</w:t>
            </w:r>
            <w:r w:rsidRPr="00C9725A">
              <w:rPr>
                <w:rFonts w:hint="eastAsia"/>
                <w:sz w:val="24"/>
              </w:rPr>
              <w:t>】</w:t>
            </w:r>
            <w:r w:rsidR="0049577B" w:rsidRPr="00C9725A">
              <w:rPr>
                <w:sz w:val="24"/>
              </w:rPr>
              <w:t>司法院</w:t>
            </w:r>
          </w:p>
          <w:p w:rsidR="0049577B" w:rsidRPr="00C9725A" w:rsidRDefault="00AE1031" w:rsidP="00150351">
            <w:pPr>
              <w:ind w:leftChars="13" w:left="34"/>
              <w:rPr>
                <w:sz w:val="24"/>
              </w:rPr>
            </w:pPr>
            <w:r w:rsidRPr="00C9725A">
              <w:rPr>
                <w:rFonts w:hint="eastAsia"/>
                <w:sz w:val="24"/>
              </w:rPr>
              <w:t>【</w:t>
            </w:r>
            <w:r w:rsidR="0049577B" w:rsidRPr="00C9725A">
              <w:rPr>
                <w:sz w:val="24"/>
              </w:rPr>
              <w:t>事由</w:t>
            </w:r>
            <w:r w:rsidRPr="00C9725A">
              <w:rPr>
                <w:rFonts w:hint="eastAsia"/>
                <w:sz w:val="24"/>
              </w:rPr>
              <w:t>】</w:t>
            </w:r>
            <w:r w:rsidR="0049577B" w:rsidRPr="00C9725A">
              <w:rPr>
                <w:sz w:val="24"/>
              </w:rPr>
              <w:t>關於違警罰法所規定主罰中之拘留罰役及出版法第四十條及第四十一條所規定對於出版品得予以定期停止其發行及撤銷其登記是否違反憲法函請惠予解釋見復由。</w:t>
            </w:r>
          </w:p>
          <w:p w:rsidR="0049577B" w:rsidRPr="00C9725A" w:rsidRDefault="008E019C" w:rsidP="00150351">
            <w:pPr>
              <w:ind w:leftChars="13" w:left="34"/>
              <w:rPr>
                <w:sz w:val="24"/>
              </w:rPr>
            </w:pPr>
            <w:r w:rsidRPr="00C9725A">
              <w:rPr>
                <w:sz w:val="24"/>
              </w:rPr>
              <w:t xml:space="preserve">　　</w:t>
            </w:r>
            <w:r w:rsidR="0049577B" w:rsidRPr="00C9725A">
              <w:rPr>
                <w:sz w:val="24"/>
              </w:rPr>
              <w:t>一、憲法第八條規定：「人民身體自由應予保障……非由法院依法定程序不得審問處罰」而現行違警罰法所規定主罰中之拘留罰役則均係對於人身自由之處罰且所有偵訊裁決處罰執行均由警察官署為之按之上開憲法第八條所規定人民身體自由應予保障非由法院依法定程序不得審問處罰之規定自不無牴觸。</w:t>
            </w:r>
          </w:p>
        </w:tc>
      </w:tr>
      <w:tr w:rsidR="0049577B" w:rsidRPr="00B40DC1" w:rsidTr="00C4640B">
        <w:tc>
          <w:tcPr>
            <w:tcW w:w="563" w:type="pct"/>
            <w:shd w:val="clear" w:color="auto" w:fill="auto"/>
          </w:tcPr>
          <w:p w:rsidR="0049577B" w:rsidRPr="00C9725A" w:rsidRDefault="0049577B" w:rsidP="00C4640B">
            <w:pPr>
              <w:ind w:leftChars="-41" w:left="-107" w:rightChars="-41" w:right="-107" w:firstLine="1"/>
              <w:jc w:val="left"/>
              <w:rPr>
                <w:sz w:val="24"/>
              </w:rPr>
            </w:pPr>
            <w:r w:rsidRPr="00C9725A">
              <w:rPr>
                <w:sz w:val="24"/>
              </w:rPr>
              <w:t>釋</w:t>
            </w:r>
            <w:r w:rsidR="0065263F" w:rsidRPr="00B40DC1">
              <w:t>字</w:t>
            </w:r>
            <w:hyperlink r:id="rId140" w:anchor="r251" w:history="1">
              <w:r w:rsidR="0065263F" w:rsidRPr="0065263F">
                <w:rPr>
                  <w:rStyle w:val="a7"/>
                  <w:rFonts w:cs="Times New Roman"/>
                  <w:lang w:eastAsia="zh-TW" w:bidi="ar-SA"/>
                </w:rPr>
                <w:t>251</w:t>
              </w:r>
            </w:hyperlink>
          </w:p>
        </w:tc>
        <w:tc>
          <w:tcPr>
            <w:tcW w:w="4437" w:type="pct"/>
            <w:shd w:val="clear" w:color="auto" w:fill="auto"/>
          </w:tcPr>
          <w:p w:rsidR="0049577B" w:rsidRPr="00C9725A" w:rsidRDefault="00AE1031" w:rsidP="00150351">
            <w:pPr>
              <w:ind w:leftChars="13" w:left="34"/>
              <w:rPr>
                <w:sz w:val="24"/>
              </w:rPr>
            </w:pPr>
            <w:bookmarkStart w:id="25" w:name="_Hlk523435699"/>
            <w:r w:rsidRPr="00C9725A">
              <w:rPr>
                <w:rFonts w:hint="eastAsia"/>
                <w:sz w:val="24"/>
              </w:rPr>
              <w:t>【</w:t>
            </w:r>
            <w:r w:rsidR="0049577B" w:rsidRPr="00C9725A">
              <w:rPr>
                <w:sz w:val="24"/>
              </w:rPr>
              <w:t>解釋爭點</w:t>
            </w:r>
            <w:r w:rsidRPr="00C9725A">
              <w:rPr>
                <w:rFonts w:hint="eastAsia"/>
                <w:sz w:val="24"/>
              </w:rPr>
              <w:t>】</w:t>
            </w:r>
            <w:hyperlink r:id="rId141" w:history="1">
              <w:r w:rsidR="0049577B" w:rsidRPr="00C8242E">
                <w:rPr>
                  <w:rStyle w:val="a7"/>
                  <w:rFonts w:cs="Times New Roman"/>
                  <w:sz w:val="24"/>
                  <w:lang w:eastAsia="zh-TW" w:bidi="ar-SA"/>
                </w:rPr>
                <w:t>違警罰法</w:t>
              </w:r>
            </w:hyperlink>
            <w:r w:rsidR="0049577B" w:rsidRPr="00C9725A">
              <w:rPr>
                <w:sz w:val="24"/>
              </w:rPr>
              <w:t>為由警察限制人身自由處分之規定違憲？</w:t>
            </w:r>
          </w:p>
          <w:bookmarkEnd w:id="25"/>
          <w:p w:rsidR="0049577B" w:rsidRPr="00C9725A" w:rsidRDefault="00AE1031" w:rsidP="00150351">
            <w:pPr>
              <w:ind w:leftChars="13" w:left="34"/>
              <w:rPr>
                <w:sz w:val="24"/>
              </w:rPr>
            </w:pPr>
            <w:r w:rsidRPr="00C9725A">
              <w:rPr>
                <w:rFonts w:hint="eastAsia"/>
                <w:sz w:val="24"/>
              </w:rPr>
              <w:t>【</w:t>
            </w:r>
            <w:r w:rsidR="0049577B" w:rsidRPr="00C9725A">
              <w:rPr>
                <w:sz w:val="24"/>
              </w:rPr>
              <w:t>解釋文</w:t>
            </w:r>
            <w:r w:rsidRPr="00C9725A">
              <w:rPr>
                <w:rFonts w:hint="eastAsia"/>
                <w:sz w:val="24"/>
              </w:rPr>
              <w:t>】</w:t>
            </w:r>
            <w:r w:rsidR="0049577B" w:rsidRPr="00C9725A">
              <w:rPr>
                <w:sz w:val="24"/>
              </w:rPr>
              <w:t>違警罰法規定由警察官署裁決之拘留、罰役，係關於人民身體自由所為之處罰，應迅改由法院依法定程序為之，以符憲法第八條第一項之本旨，業經本院於中華民國六十九年十一月七日作成釋字第一六六號解釋在案。</w:t>
            </w:r>
          </w:p>
          <w:p w:rsidR="0049577B" w:rsidRPr="00C9725A" w:rsidRDefault="0049577B" w:rsidP="00150351">
            <w:pPr>
              <w:ind w:leftChars="13" w:left="34"/>
              <w:rPr>
                <w:sz w:val="24"/>
              </w:rPr>
            </w:pPr>
            <w:r w:rsidRPr="00C9725A">
              <w:rPr>
                <w:sz w:val="24"/>
              </w:rPr>
              <w:t xml:space="preserve">　　依違警罰法第二十八條規定所為「送交相當處所，施以矯正或令其學習生活技能」之處分，同屬限制人民之身體自由，其裁決由警察官署為之，亦與憲法第八條第一項之本旨不符，應與拘留、罰役之裁決程序，一併改由法院依法定程序為之。前述解釋之拘留、罰役及本件解釋之處分裁決程序規定，至遲應於中華民國八十年七月一日起失其效力，並應於此期限前修訂相關法律。本院釋字第一六六號解釋應予補充。</w:t>
            </w:r>
          </w:p>
          <w:p w:rsidR="0049577B" w:rsidRPr="00C9725A" w:rsidRDefault="00AE1031" w:rsidP="00150351">
            <w:pPr>
              <w:ind w:leftChars="13" w:left="34"/>
              <w:rPr>
                <w:sz w:val="24"/>
              </w:rPr>
            </w:pPr>
            <w:r w:rsidRPr="00C9725A">
              <w:rPr>
                <w:rFonts w:hint="eastAsia"/>
                <w:sz w:val="24"/>
              </w:rPr>
              <w:t>【</w:t>
            </w:r>
            <w:r w:rsidR="0049577B" w:rsidRPr="00C9725A">
              <w:rPr>
                <w:sz w:val="24"/>
              </w:rPr>
              <w:t>附件</w:t>
            </w:r>
            <w:r w:rsidRPr="00C9725A">
              <w:rPr>
                <w:rFonts w:hint="eastAsia"/>
                <w:sz w:val="24"/>
              </w:rPr>
              <w:t>】</w:t>
            </w:r>
            <w:r w:rsidR="0049577B" w:rsidRPr="00C9725A">
              <w:rPr>
                <w:sz w:val="24"/>
              </w:rPr>
              <w:t>抄劉０生聲請書</w:t>
            </w:r>
          </w:p>
          <w:p w:rsidR="0049577B" w:rsidRPr="00C9725A" w:rsidRDefault="00AE1031" w:rsidP="00150351">
            <w:pPr>
              <w:ind w:leftChars="13" w:left="34"/>
              <w:rPr>
                <w:sz w:val="24"/>
              </w:rPr>
            </w:pPr>
            <w:r w:rsidRPr="00C9725A">
              <w:rPr>
                <w:rFonts w:hint="eastAsia"/>
                <w:sz w:val="24"/>
              </w:rPr>
              <w:t>【</w:t>
            </w:r>
            <w:r w:rsidR="0049577B" w:rsidRPr="00C9725A">
              <w:rPr>
                <w:sz w:val="24"/>
              </w:rPr>
              <w:t>主旨</w:t>
            </w:r>
            <w:r w:rsidRPr="00C9725A">
              <w:rPr>
                <w:rFonts w:hint="eastAsia"/>
                <w:sz w:val="24"/>
              </w:rPr>
              <w:t>】</w:t>
            </w:r>
            <w:r w:rsidR="0049577B" w:rsidRPr="00C9725A">
              <w:rPr>
                <w:sz w:val="24"/>
              </w:rPr>
              <w:t>請求解釋，未經法院審訊即將人民衣食住行置於軍管的違警罰法第二十八條，是否與憲法第八條人身自由應予保障精神牴觸。</w:t>
            </w:r>
          </w:p>
          <w:p w:rsidR="0049577B" w:rsidRPr="00C9725A" w:rsidRDefault="00AE1031" w:rsidP="00150351">
            <w:pPr>
              <w:ind w:leftChars="13" w:left="34"/>
              <w:rPr>
                <w:sz w:val="24"/>
              </w:rPr>
            </w:pPr>
            <w:r w:rsidRPr="00C9725A">
              <w:rPr>
                <w:rFonts w:hint="eastAsia"/>
                <w:sz w:val="24"/>
              </w:rPr>
              <w:t>【</w:t>
            </w:r>
            <w:r w:rsidR="0049577B" w:rsidRPr="00C9725A">
              <w:rPr>
                <w:sz w:val="24"/>
              </w:rPr>
              <w:t>理由</w:t>
            </w:r>
            <w:r w:rsidRPr="00C9725A">
              <w:rPr>
                <w:rFonts w:hint="eastAsia"/>
                <w:sz w:val="24"/>
              </w:rPr>
              <w:t>】</w:t>
            </w:r>
            <w:r w:rsidR="0049577B" w:rsidRPr="00C9725A">
              <w:rPr>
                <w:sz w:val="24"/>
              </w:rPr>
              <w:t>按人民身體之自由應予保障，非經司法或警察機關依法定程序，不得逮捕、拘禁，非由法院依法定程序之逮捕、拘禁、審問、處罰，得拒絕之。憲法第八條第一項定有明文。違警罰法第二十八條規定由警察官署裁決之矯正處分係關於人身自由之處置，非由法院依法定程序所為，顯然違背憲法第八條第一項之規定，茲請鈞院解釋：</w:t>
            </w:r>
          </w:p>
          <w:p w:rsidR="0049577B" w:rsidRPr="00C9725A" w:rsidRDefault="00AE1031" w:rsidP="00150351">
            <w:pPr>
              <w:ind w:leftChars="13" w:left="34"/>
              <w:rPr>
                <w:sz w:val="24"/>
              </w:rPr>
            </w:pPr>
            <w:r w:rsidRPr="00C9725A">
              <w:rPr>
                <w:sz w:val="24"/>
              </w:rPr>
              <w:t xml:space="preserve">　　</w:t>
            </w:r>
            <w:r w:rsidR="0049577B" w:rsidRPr="00C9725A">
              <w:rPr>
                <w:sz w:val="24"/>
              </w:rPr>
              <w:t>（1）違警罰法第二十八條規定由警察官署裁決之矯正處分，是否與憲法第八條第一項之規定牴觸。</w:t>
            </w:r>
          </w:p>
          <w:p w:rsidR="002D4379" w:rsidRDefault="00AE1031" w:rsidP="00150351">
            <w:pPr>
              <w:ind w:leftChars="13" w:left="34"/>
              <w:rPr>
                <w:sz w:val="24"/>
              </w:rPr>
            </w:pPr>
            <w:r w:rsidRPr="00C9725A">
              <w:rPr>
                <w:sz w:val="24"/>
              </w:rPr>
              <w:t xml:space="preserve">　　</w:t>
            </w:r>
            <w:r w:rsidR="0049577B" w:rsidRPr="00C9725A">
              <w:rPr>
                <w:sz w:val="24"/>
              </w:rPr>
              <w:t>（2）聲請人於七十四年九月十七日被台北市警察局依違警罰法裁決矯正處分，食衣住行非經法院經由法定程序處置，概置於軍管之下。是否人身自由遭到妨礙，可否依憲法第八條、第一百七十一條第一項，提審法第一條之規定向法院聲請提審。</w:t>
            </w:r>
          </w:p>
          <w:p w:rsidR="0049577B" w:rsidRPr="00C9725A" w:rsidRDefault="002D4379" w:rsidP="002D4379">
            <w:pPr>
              <w:ind w:leftChars="13" w:left="34"/>
              <w:rPr>
                <w:sz w:val="24"/>
              </w:rPr>
            </w:pPr>
            <w:r>
              <w:rPr>
                <w:rFonts w:hint="eastAsia"/>
                <w:sz w:val="24"/>
              </w:rPr>
              <w:t xml:space="preserve">　　</w:t>
            </w:r>
            <w:r w:rsidR="0049577B" w:rsidRPr="00C9725A">
              <w:rPr>
                <w:sz w:val="24"/>
              </w:rPr>
              <w:t>司法院大法官會議</w:t>
            </w:r>
            <w:r w:rsidR="003C1792" w:rsidRPr="00C9725A">
              <w:rPr>
                <w:sz w:val="24"/>
              </w:rPr>
              <w:t>公</w:t>
            </w:r>
            <w:r w:rsidR="0049577B" w:rsidRPr="00C9725A">
              <w:rPr>
                <w:sz w:val="24"/>
              </w:rPr>
              <w:t>鑒</w:t>
            </w:r>
          </w:p>
        </w:tc>
      </w:tr>
      <w:tr w:rsidR="0049577B" w:rsidRPr="00B40DC1" w:rsidTr="00C4640B">
        <w:tc>
          <w:tcPr>
            <w:tcW w:w="563" w:type="pct"/>
            <w:shd w:val="clear" w:color="auto" w:fill="auto"/>
          </w:tcPr>
          <w:p w:rsidR="0049577B" w:rsidRPr="00C9725A" w:rsidRDefault="0049577B" w:rsidP="00C4640B">
            <w:pPr>
              <w:ind w:leftChars="-41" w:left="-107" w:rightChars="-41" w:right="-107" w:firstLine="1"/>
              <w:jc w:val="left"/>
              <w:rPr>
                <w:sz w:val="24"/>
              </w:rPr>
            </w:pPr>
            <w:r w:rsidRPr="00C9725A">
              <w:rPr>
                <w:sz w:val="24"/>
              </w:rPr>
              <w:t>釋字</w:t>
            </w:r>
            <w:hyperlink r:id="rId142" w:anchor="r300" w:history="1">
              <w:r w:rsidRPr="00C8242E">
                <w:rPr>
                  <w:rStyle w:val="a7"/>
                  <w:rFonts w:cs="Times New Roman"/>
                  <w:sz w:val="24"/>
                  <w:lang w:eastAsia="zh-TW" w:bidi="ar-SA"/>
                </w:rPr>
                <w:t>300</w:t>
              </w:r>
            </w:hyperlink>
          </w:p>
        </w:tc>
        <w:tc>
          <w:tcPr>
            <w:tcW w:w="4437" w:type="pct"/>
            <w:shd w:val="clear" w:color="auto" w:fill="auto"/>
          </w:tcPr>
          <w:p w:rsidR="0049577B" w:rsidRPr="00C9725A" w:rsidRDefault="00AE1031" w:rsidP="00150351">
            <w:pPr>
              <w:ind w:leftChars="13" w:left="34"/>
              <w:rPr>
                <w:sz w:val="24"/>
              </w:rPr>
            </w:pPr>
            <w:bookmarkStart w:id="26" w:name="_Hlk523435673"/>
            <w:r w:rsidRPr="00C9725A">
              <w:rPr>
                <w:sz w:val="24"/>
              </w:rPr>
              <w:t>【解釋爭點】</w:t>
            </w:r>
            <w:hyperlink r:id="rId143" w:history="1">
              <w:r w:rsidR="0049577B" w:rsidRPr="002E62F1">
                <w:rPr>
                  <w:rStyle w:val="a7"/>
                  <w:rFonts w:cs="Times New Roman"/>
                  <w:sz w:val="24"/>
                  <w:lang w:eastAsia="zh-TW" w:bidi="ar-SA"/>
                </w:rPr>
                <w:t>破產法</w:t>
              </w:r>
            </w:hyperlink>
            <w:r w:rsidR="0049577B" w:rsidRPr="00C9725A">
              <w:rPr>
                <w:sz w:val="24"/>
              </w:rPr>
              <w:t>未定羈押破產人之次數限制違憲？</w:t>
            </w:r>
            <w:bookmarkEnd w:id="26"/>
          </w:p>
          <w:p w:rsidR="0049577B" w:rsidRPr="00C9725A" w:rsidRDefault="00AE1031" w:rsidP="00AC6AC1">
            <w:pPr>
              <w:ind w:leftChars="13" w:left="34"/>
              <w:rPr>
                <w:sz w:val="24"/>
              </w:rPr>
            </w:pPr>
            <w:r w:rsidRPr="00C9725A">
              <w:rPr>
                <w:sz w:val="24"/>
              </w:rPr>
              <w:t>【解釋文】</w:t>
            </w:r>
            <w:r w:rsidR="0049577B" w:rsidRPr="00C9725A">
              <w:rPr>
                <w:sz w:val="24"/>
              </w:rPr>
              <w:t>破產法第七十一條第一項規定「破產人有逃亡或隱匿、毀棄其財產之虞時，法院得簽發押票將破產人羈押。」為保全破產財團之財產，維護全體債權人之權益，俾破產程序得以順利完成，固有此必要。惟同條第二項「羈押期間不得超過一個月，但經破產管理人提出正當理由時，法院得准予展期，每次展期以一個月為限」之規定，其中但書對羈押展期之次數未加適當限制部分，與憲法保障人民身體自由之本旨不合，應儘速加以修正，至遲應於本解釋公布之日起屆滿一年時停止適用。在法律修正前適用上開現行規定，應斟酌本解釋意旨，慎重為之。至破產人有破產法第一百五十二條至第一百五十九條犯罪嫌疑者應移送檢察官偵查，於有必要時由檢察官依法羈押，乃另一問題，併此說明。</w:t>
            </w:r>
          </w:p>
        </w:tc>
      </w:tr>
      <w:tr w:rsidR="0049577B" w:rsidRPr="00B40DC1" w:rsidTr="00C4640B">
        <w:tc>
          <w:tcPr>
            <w:tcW w:w="563" w:type="pct"/>
            <w:shd w:val="clear" w:color="auto" w:fill="auto"/>
          </w:tcPr>
          <w:p w:rsidR="0049577B" w:rsidRPr="00C9725A" w:rsidRDefault="0049577B" w:rsidP="00C4640B">
            <w:pPr>
              <w:ind w:leftChars="-41" w:left="-107" w:rightChars="-41" w:right="-107" w:firstLine="1"/>
              <w:jc w:val="left"/>
              <w:rPr>
                <w:sz w:val="24"/>
              </w:rPr>
            </w:pPr>
            <w:r w:rsidRPr="00C9725A">
              <w:rPr>
                <w:sz w:val="24"/>
              </w:rPr>
              <w:t>釋字</w:t>
            </w:r>
            <w:hyperlink r:id="rId144" w:anchor="r384" w:history="1">
              <w:r w:rsidRPr="00C8242E">
                <w:rPr>
                  <w:rStyle w:val="a7"/>
                  <w:rFonts w:cs="Times New Roman"/>
                  <w:sz w:val="24"/>
                  <w:lang w:eastAsia="zh-TW" w:bidi="ar-SA"/>
                </w:rPr>
                <w:t>384</w:t>
              </w:r>
            </w:hyperlink>
          </w:p>
        </w:tc>
        <w:tc>
          <w:tcPr>
            <w:tcW w:w="4437" w:type="pct"/>
            <w:shd w:val="clear" w:color="auto" w:fill="auto"/>
          </w:tcPr>
          <w:p w:rsidR="0049577B" w:rsidRPr="00C9725A" w:rsidRDefault="00AE1031" w:rsidP="00150351">
            <w:pPr>
              <w:ind w:leftChars="13" w:left="34"/>
              <w:rPr>
                <w:sz w:val="24"/>
              </w:rPr>
            </w:pPr>
            <w:bookmarkStart w:id="27" w:name="_Hlk523435644"/>
            <w:r w:rsidRPr="00C9725A">
              <w:rPr>
                <w:sz w:val="24"/>
              </w:rPr>
              <w:t>【解釋爭點】</w:t>
            </w:r>
            <w:hyperlink r:id="rId145" w:history="1">
              <w:r w:rsidR="0049577B" w:rsidRPr="002E62F1">
                <w:rPr>
                  <w:rStyle w:val="a7"/>
                  <w:rFonts w:cs="Times New Roman"/>
                  <w:sz w:val="24"/>
                  <w:lang w:eastAsia="zh-TW" w:bidi="ar-SA"/>
                </w:rPr>
                <w:t>檢肅流氓條例</w:t>
              </w:r>
            </w:hyperlink>
            <w:r w:rsidR="0049577B" w:rsidRPr="00C9725A">
              <w:rPr>
                <w:sz w:val="24"/>
              </w:rPr>
              <w:t>強制到案、秘密證人等規定違憲？</w:t>
            </w:r>
          </w:p>
          <w:bookmarkEnd w:id="27"/>
          <w:p w:rsidR="0049577B" w:rsidRPr="00C9725A" w:rsidRDefault="00AE1031" w:rsidP="00AC6AC1">
            <w:pPr>
              <w:ind w:leftChars="13" w:left="34"/>
              <w:rPr>
                <w:sz w:val="24"/>
              </w:rPr>
            </w:pPr>
            <w:r w:rsidRPr="00C9725A">
              <w:rPr>
                <w:sz w:val="24"/>
              </w:rPr>
              <w:t>【解釋文】</w:t>
            </w:r>
            <w:r w:rsidR="0049577B" w:rsidRPr="00C9725A">
              <w:rPr>
                <w:sz w:val="24"/>
              </w:rPr>
              <w:t>憲法第八條第一項規定：「人民身體之自由應予保障。除現行犯之逮捕由法律另定外，非經司法或警察機關依法定程序，不得逮捕拘禁。非由法院依法定程序，不得審問處罰。非依法定程序之逮捕、拘禁、審問、處罰，得拒絕之。」其所稱「依法定程序」，係指凡限制人民身體自由之處置，不問其是否屬於刑事被告之身分，國家機關所依據之程序，須以法律規定，其內容更須實質正當，並符合憲法第二十三條所定相關之條件。檢肅流氓條例第六條及第七條授權警察機關得逕行強制人民到案，無須踐行必要之司法程序；第十二條關於秘密證人制度，剝奪被移送裁定人與證人對質詰問之權利，並妨礙法院發見真實；第二十一條規定使受刑之宣告及執行者，無論有無特別預防之必要，有再受感訓處分而喪失身體自由之虞，均逾越必要程度，欠缺實質正當，與首開憲法意旨不符。又同條例第五條關於警察機關認定為流氓並予告誡之處分，人民除向內政部警政署聲明異議外，不得提起訴願及行政訴訟，亦與憲法第十六條規定意旨相違。均應自本解釋公布之日起，至遲於中華民國八十五年十二月三十一日失其效力。</w:t>
            </w:r>
          </w:p>
        </w:tc>
      </w:tr>
      <w:tr w:rsidR="0049577B" w:rsidRPr="00B40DC1" w:rsidTr="00C4640B">
        <w:tc>
          <w:tcPr>
            <w:tcW w:w="563" w:type="pct"/>
            <w:shd w:val="clear" w:color="auto" w:fill="auto"/>
          </w:tcPr>
          <w:p w:rsidR="0049577B" w:rsidRPr="00C9725A" w:rsidRDefault="0049577B" w:rsidP="00C4640B">
            <w:pPr>
              <w:ind w:leftChars="-41" w:left="-107" w:rightChars="-41" w:right="-107" w:firstLine="1"/>
              <w:jc w:val="left"/>
              <w:rPr>
                <w:sz w:val="24"/>
              </w:rPr>
            </w:pPr>
            <w:r w:rsidRPr="00C9725A">
              <w:rPr>
                <w:sz w:val="24"/>
              </w:rPr>
              <w:t>釋字</w:t>
            </w:r>
            <w:hyperlink r:id="rId146" w:anchor="r392" w:history="1">
              <w:r w:rsidRPr="0034744C">
                <w:rPr>
                  <w:rStyle w:val="a7"/>
                  <w:rFonts w:cs="Times New Roman"/>
                  <w:sz w:val="24"/>
                  <w:lang w:eastAsia="zh-TW" w:bidi="ar-SA"/>
                </w:rPr>
                <w:t>392</w:t>
              </w:r>
            </w:hyperlink>
          </w:p>
        </w:tc>
        <w:tc>
          <w:tcPr>
            <w:tcW w:w="4437" w:type="pct"/>
            <w:shd w:val="clear" w:color="auto" w:fill="auto"/>
          </w:tcPr>
          <w:p w:rsidR="0049577B" w:rsidRPr="00C9725A" w:rsidRDefault="00AE1031" w:rsidP="00150351">
            <w:pPr>
              <w:ind w:leftChars="13" w:left="34"/>
              <w:rPr>
                <w:sz w:val="24"/>
              </w:rPr>
            </w:pPr>
            <w:bookmarkStart w:id="28" w:name="_Hlk523435587"/>
            <w:r w:rsidRPr="00C9725A">
              <w:rPr>
                <w:sz w:val="24"/>
              </w:rPr>
              <w:t>【解釋爭點】</w:t>
            </w:r>
            <w:hyperlink r:id="rId147" w:history="1">
              <w:r w:rsidR="0049577B" w:rsidRPr="002E62F1">
                <w:rPr>
                  <w:rStyle w:val="a7"/>
                  <w:rFonts w:cs="Times New Roman"/>
                  <w:sz w:val="24"/>
                  <w:lang w:eastAsia="zh-TW" w:bidi="ar-SA"/>
                </w:rPr>
                <w:t>刑訴法</w:t>
              </w:r>
            </w:hyperlink>
            <w:r w:rsidR="0049577B" w:rsidRPr="00C9725A">
              <w:rPr>
                <w:sz w:val="24"/>
              </w:rPr>
              <w:t>檢察官羈押權、提審法提審要件等規定違憲？</w:t>
            </w:r>
            <w:bookmarkEnd w:id="28"/>
          </w:p>
          <w:p w:rsidR="0049577B" w:rsidRPr="00C9725A" w:rsidRDefault="00AE1031" w:rsidP="00150351">
            <w:pPr>
              <w:ind w:leftChars="13" w:left="34"/>
              <w:rPr>
                <w:sz w:val="24"/>
              </w:rPr>
            </w:pPr>
            <w:r w:rsidRPr="00C9725A">
              <w:rPr>
                <w:sz w:val="24"/>
              </w:rPr>
              <w:t>【解釋文】</w:t>
            </w:r>
            <w:r w:rsidR="0049577B" w:rsidRPr="00C9725A">
              <w:rPr>
                <w:sz w:val="24"/>
              </w:rPr>
              <w:t>司法權之一之刑事訴訟、即刑事司法之裁判，係以實現國家刑罰權為目的之司法程序，其審判乃以追訴而開始，追訴必須實施偵查，迨判決確定，尚須執行始能實現裁判之內容。是以此等程序悉與審判、處罰具有不可分離之關係，亦即偵查、訴追、審判、刑之執行均屬刑事司法之過程，其間代表國家從事「偵查」「訴追」「執行」之檢察機關，其所行使之職權，目的既亦在達成刑事司法之任務，則在此一範圍內之國家作用，當應屬廣義司法之一。憲法第八條第一項所規定之「司法機關」，自非僅指同法第七十七條規定之司法機關而言，而係包括檢察機關在內之廣義司法機關。</w:t>
            </w:r>
          </w:p>
          <w:p w:rsidR="0049577B" w:rsidRPr="00C9725A" w:rsidRDefault="0049577B" w:rsidP="00150351">
            <w:pPr>
              <w:ind w:leftChars="13" w:left="34"/>
              <w:rPr>
                <w:sz w:val="24"/>
              </w:rPr>
            </w:pPr>
            <w:r w:rsidRPr="00C9725A">
              <w:rPr>
                <w:sz w:val="24"/>
              </w:rPr>
              <w:t xml:space="preserve">　　憲法第八條第一項、第二項所規定之「審問」，係指法院審理之訊問，其無審判權者既不得為之，則此兩項所稱之「法院」，當指有審判權之法官所構成之獨任或合議之法院之謂。法院以外之逮捕拘禁機關，依上開憲法第八條第二項規定，應至遲於二十四小時內，將因犯罪嫌疑被逮捕拘禁之人民移送該管法院審問。是現行刑事訴訟法第一百零一條、第一百零二條第三項準用第七十一條第四項及第一百二十條等規定，於法院外復賦予檢察官羈押被告之權；同法第一百零五條第三項賦予檢察官核准押所長官命令之權；同法第一百二十一條第一項、第二百五十九條第一項賦予檢察官撤銷羈押、停止羈押、再執行羈押、繼續羈押暨其他有關羈押被告各項處分之權，與前述憲法第八條第二項規定之意旨均有不符。</w:t>
            </w:r>
          </w:p>
          <w:p w:rsidR="0049577B" w:rsidRPr="00C9725A" w:rsidRDefault="0049577B" w:rsidP="00150351">
            <w:pPr>
              <w:ind w:leftChars="13" w:left="34"/>
              <w:rPr>
                <w:sz w:val="24"/>
              </w:rPr>
            </w:pPr>
            <w:r w:rsidRPr="00C9725A">
              <w:rPr>
                <w:sz w:val="24"/>
              </w:rPr>
              <w:t xml:space="preserve">　　憲法第八條第二項僅規定：「人民因犯罪嫌疑被逮捕拘禁時，其逮捕拘禁機關應將逮捕拘禁原因，以書面告知本人及其本人指定之親友，並至遲於二十四小時內移送該管法院審問。本人或他人亦得聲請該管法院，於二十四小時內向逮捕之機關提審。」並未以「非法逮捕拘禁」為聲請提審之前提要件，乃提審法第一條規定：「人民被法院以外之任何機關非法逮捕拘禁時，其本人或他人得向逮捕拘禁地之地方法院或其所隸屬之高等法院聲請提審。」以「非法逮捕拘禁」為聲請提審之條件，與憲法前開之規定有所違背。</w:t>
            </w:r>
          </w:p>
          <w:p w:rsidR="0049577B" w:rsidRPr="00C9725A" w:rsidRDefault="0049577B" w:rsidP="00150351">
            <w:pPr>
              <w:ind w:leftChars="13" w:left="34"/>
              <w:rPr>
                <w:sz w:val="24"/>
              </w:rPr>
            </w:pPr>
            <w:r w:rsidRPr="00C9725A">
              <w:rPr>
                <w:sz w:val="24"/>
              </w:rPr>
              <w:t xml:space="preserve">　　上開刑事訴訟法及提審法有違憲法規定意旨之部分，均應自本解釋公布之日起，至遲於屆滿二年時失其效力；本院院解字第四０三四號解釋，應予變更。至於憲法第八條第二項所謂「至遲於二十四小時內移送」之二十四小時，係指其客觀上確得為偵查之進行而言。本院釋字第一三０號之解釋固仍有其適用，其他若有符合憲法規定意旨之法定障礙事由者，自亦不應予以計入，併此指明。</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48" w:anchor="r471" w:history="1">
              <w:r w:rsidRPr="0034744C">
                <w:rPr>
                  <w:rStyle w:val="a7"/>
                  <w:rFonts w:cs="Times New Roman"/>
                  <w:sz w:val="24"/>
                  <w:lang w:eastAsia="zh-TW" w:bidi="ar-SA"/>
                </w:rPr>
                <w:t>471</w:t>
              </w:r>
            </w:hyperlink>
          </w:p>
        </w:tc>
        <w:tc>
          <w:tcPr>
            <w:tcW w:w="4437" w:type="pct"/>
            <w:shd w:val="clear" w:color="auto" w:fill="auto"/>
          </w:tcPr>
          <w:p w:rsidR="0049577B" w:rsidRPr="00C9725A" w:rsidRDefault="00AE1031" w:rsidP="00150351">
            <w:pPr>
              <w:ind w:leftChars="13" w:left="34"/>
              <w:rPr>
                <w:sz w:val="24"/>
              </w:rPr>
            </w:pPr>
            <w:bookmarkStart w:id="29" w:name="_Hlk523435526"/>
            <w:r w:rsidRPr="00C9725A">
              <w:rPr>
                <w:sz w:val="24"/>
              </w:rPr>
              <w:t>【解釋爭點】</w:t>
            </w:r>
            <w:hyperlink r:id="rId149" w:history="1">
              <w:r w:rsidR="0049577B" w:rsidRPr="000A3C2C">
                <w:rPr>
                  <w:rStyle w:val="a7"/>
                  <w:rFonts w:cs="Times New Roman"/>
                  <w:sz w:val="24"/>
                  <w:lang w:eastAsia="zh-TW" w:bidi="ar-SA"/>
                </w:rPr>
                <w:t>槍砲條例</w:t>
              </w:r>
            </w:hyperlink>
            <w:r w:rsidR="0049577B" w:rsidRPr="00C9725A">
              <w:rPr>
                <w:sz w:val="24"/>
              </w:rPr>
              <w:t>強制工作處分之規定違憲？</w:t>
            </w:r>
          </w:p>
          <w:bookmarkEnd w:id="29"/>
          <w:p w:rsidR="0049577B" w:rsidRPr="00C9725A" w:rsidRDefault="00AE1031" w:rsidP="00AC6AC1">
            <w:pPr>
              <w:ind w:leftChars="13" w:left="34"/>
              <w:rPr>
                <w:sz w:val="24"/>
              </w:rPr>
            </w:pPr>
            <w:r w:rsidRPr="00C9725A">
              <w:rPr>
                <w:sz w:val="24"/>
              </w:rPr>
              <w:t>【解釋文】</w:t>
            </w:r>
            <w:r w:rsidR="0049577B" w:rsidRPr="00C9725A">
              <w:rPr>
                <w:sz w:val="24"/>
              </w:rPr>
              <w:t>人民身體之自由應予保障，憲法第八條設有明文。限制人身自由之法律，其內容須符合憲法第二十三條所定要件。保安處分係對受處分人將來之危險性所為拘束其身體、自由等之處置，以達教化與治療之目的，為刑罰之補充制度。本諸法治國家保障人權之原理及刑法之保護作用，其法律規定之內容，應受比例原則之規範，使保安處分之宣告，與行為人所為行為之嚴重性、行為人所表現之危險性，及對於行為人未來行為之期待性相當。槍砲彈藥刀械管制條例第十九條第一項規定：「犯第七條、第八條、第十條、第十一條、第十二條第一項至第三項、第十三條第一項至第三項之罪，經判處有期徒刑者，應於刑之執行完畢或赦免後，令入勞動場所，強制工作，其期間為三年。」此項規定不問對行為人有無預防矯治其社會危險性之必要，一律宣付強制工作三年，限制其中不具社會危險性之受處分人之身體、自由部分，其所採措施與所欲達成預防矯治之目的及所需程度，不合憲法第二十三條所定之比例原則。犯上開條例第十九條所定之罪，不問對行為人有無預防矯治其社會危險性之必要，一律宣付強制工作三年之部分，與本解釋意旨不符，應自本解釋公布之日起不予適用。犯該條例第十九條第一項所列舉之罪，依個案情節符合比例原則部分，固應適用該條例宣告保安處分；至不符合部分而應宣告保安處分者，則仍由法院斟酌刑法第九十條第一項規定之要件，依職權為之，於此，自無刑法第二條第二項之適用，亦即仍有從新從輕原則之適用。</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50" w:anchor="r477" w:history="1">
              <w:r w:rsidRPr="0034744C">
                <w:rPr>
                  <w:rStyle w:val="a7"/>
                  <w:rFonts w:cs="Times New Roman"/>
                  <w:sz w:val="24"/>
                  <w:lang w:eastAsia="zh-TW" w:bidi="ar-SA"/>
                </w:rPr>
                <w:t>477</w:t>
              </w:r>
            </w:hyperlink>
          </w:p>
        </w:tc>
        <w:tc>
          <w:tcPr>
            <w:tcW w:w="4437" w:type="pct"/>
            <w:shd w:val="clear" w:color="auto" w:fill="auto"/>
          </w:tcPr>
          <w:p w:rsidR="0049577B" w:rsidRPr="00C9725A" w:rsidRDefault="00AE1031" w:rsidP="00150351">
            <w:pPr>
              <w:ind w:leftChars="13" w:left="34"/>
              <w:rPr>
                <w:sz w:val="24"/>
              </w:rPr>
            </w:pPr>
            <w:bookmarkStart w:id="30" w:name="_Hlk523435448"/>
            <w:r w:rsidRPr="00C9725A">
              <w:rPr>
                <w:sz w:val="24"/>
              </w:rPr>
              <w:t>【解釋爭點】</w:t>
            </w:r>
            <w:hyperlink r:id="rId151" w:history="1">
              <w:r w:rsidR="0049577B" w:rsidRPr="000A3C2C">
                <w:rPr>
                  <w:rStyle w:val="a7"/>
                  <w:rFonts w:cs="Times New Roman"/>
                  <w:sz w:val="24"/>
                  <w:lang w:eastAsia="zh-TW" w:bidi="ar-SA"/>
                </w:rPr>
                <w:t>受損權利回復條例</w:t>
              </w:r>
            </w:hyperlink>
            <w:r w:rsidR="0049577B" w:rsidRPr="00C9725A">
              <w:rPr>
                <w:sz w:val="24"/>
              </w:rPr>
              <w:t>之要件及適用對象規定違憲？</w:t>
            </w:r>
          </w:p>
          <w:bookmarkEnd w:id="30"/>
          <w:p w:rsidR="0049577B" w:rsidRPr="00C9725A" w:rsidRDefault="00AE1031" w:rsidP="00150351">
            <w:pPr>
              <w:ind w:leftChars="13" w:left="34"/>
              <w:rPr>
                <w:sz w:val="24"/>
              </w:rPr>
            </w:pPr>
            <w:r w:rsidRPr="00C9725A">
              <w:rPr>
                <w:sz w:val="24"/>
              </w:rPr>
              <w:t>【解釋文】</w:t>
            </w:r>
            <w:r w:rsidR="0049577B" w:rsidRPr="00C9725A">
              <w:rPr>
                <w:sz w:val="24"/>
              </w:rPr>
              <w:t>台灣地區在戒嚴時期刑事案件之審判權由軍事審判機關行使者，其適用之程序與一般刑事案件有別，救濟功能亦有所不足，立法機關乃制定戒嚴時期人民受損權利回復條例，對犯內亂罪及外患罪，符合該條例所定要件之人民，回復其權利或給予相當賠償，而明定限於犯外患罪、內亂罪之案件，係基於此類犯罪涉及政治因素之考量，在國家處於非常狀態，實施戒嚴之情況下，軍事審判機關所為認事用法容有不當之處。至於其他刑事案件不在上開權利回復條例適用之列，要屬立法裁量範圍，與憲法尚無牴觸。</w:t>
            </w:r>
          </w:p>
          <w:p w:rsidR="0049577B" w:rsidRPr="00C9725A" w:rsidRDefault="0049577B" w:rsidP="00150351">
            <w:pPr>
              <w:ind w:leftChars="13" w:left="34"/>
              <w:rPr>
                <w:sz w:val="24"/>
              </w:rPr>
            </w:pPr>
            <w:r w:rsidRPr="00C9725A">
              <w:rPr>
                <w:sz w:val="24"/>
              </w:rPr>
              <w:t xml:space="preserve">　　戒嚴時期人民受損權利回復條例第六條適用對象，以「受無罪之判決確定前曾受羈押或刑之執行者」為限，未能包括不起訴處分確定前或後、經治安機關逮捕以罪嫌不足逕行釋放前、無罪判決確定後、有罪判決（包括感化、感訓處分）執行完畢後，受羈押或未經依法釋放之人民，係對權利遭受同等損害，應享有回復利益者，漏未規定，顯屬立法上之重大瑕疵，若仍適用該條例上開規定，僅對受無罪判決確定前喪失人身自由者予以賠償，反足以形成人民在法律上之不平等，就此而言，自與憲法第七條有所牴觸。是凡屬上開漏未規定之情形，均得於本解釋公布之日起二年內，依該條例第六條規定請求國家賠償。</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52" w:anchor="r487" w:history="1">
              <w:r w:rsidRPr="0034744C">
                <w:rPr>
                  <w:rStyle w:val="a7"/>
                  <w:rFonts w:cs="Times New Roman"/>
                  <w:sz w:val="24"/>
                  <w:lang w:eastAsia="zh-TW" w:bidi="ar-SA"/>
                </w:rPr>
                <w:t>487</w:t>
              </w:r>
            </w:hyperlink>
          </w:p>
        </w:tc>
        <w:tc>
          <w:tcPr>
            <w:tcW w:w="4437" w:type="pct"/>
            <w:shd w:val="clear" w:color="auto" w:fill="auto"/>
          </w:tcPr>
          <w:p w:rsidR="0049577B" w:rsidRPr="00C9725A" w:rsidRDefault="00AE1031" w:rsidP="00150351">
            <w:pPr>
              <w:ind w:leftChars="13" w:left="34"/>
              <w:rPr>
                <w:sz w:val="24"/>
              </w:rPr>
            </w:pPr>
            <w:bookmarkStart w:id="31" w:name="_Hlk523435116"/>
            <w:r w:rsidRPr="00C9725A">
              <w:rPr>
                <w:sz w:val="24"/>
              </w:rPr>
              <w:t>【解釋爭點】</w:t>
            </w:r>
            <w:hyperlink r:id="rId153" w:history="1">
              <w:r w:rsidR="0049577B" w:rsidRPr="002D4379">
                <w:rPr>
                  <w:rStyle w:val="a7"/>
                  <w:rFonts w:cs="Times New Roman"/>
                  <w:sz w:val="24"/>
                  <w:lang w:eastAsia="zh-TW" w:bidi="ar-SA"/>
                </w:rPr>
                <w:t>冤賠法</w:t>
              </w:r>
            </w:hyperlink>
            <w:r w:rsidR="0049577B" w:rsidRPr="00C9725A">
              <w:rPr>
                <w:sz w:val="24"/>
              </w:rPr>
              <w:t>以受害人行為違反公序良俗為由，剝奪其請求權之限制規定違憲？</w:t>
            </w:r>
          </w:p>
          <w:bookmarkEnd w:id="31"/>
          <w:p w:rsidR="0049577B" w:rsidRPr="00C9725A" w:rsidRDefault="00AE1031" w:rsidP="00AC6AC1">
            <w:pPr>
              <w:ind w:leftChars="13" w:left="34"/>
              <w:rPr>
                <w:sz w:val="24"/>
              </w:rPr>
            </w:pPr>
            <w:r w:rsidRPr="00C9725A">
              <w:rPr>
                <w:sz w:val="24"/>
              </w:rPr>
              <w:t>【解釋文】</w:t>
            </w:r>
            <w:r w:rsidR="0049577B" w:rsidRPr="00C9725A">
              <w:rPr>
                <w:sz w:val="24"/>
              </w:rPr>
              <w:t>冤獄賠償法為國家賠償責任之特別立法，憲法第二十四條規定：「凡公務員違法侵害人民之自由或權利者，除依法律受懲戒外，應負刑事及民事責任。被害人民就其所受損害，並得依法律向國家請求賠償」，立法機關據此有制定有關國家賠償法律之義務，而此等法律對人民請求各類國家賠償要件之規定，並應符合憲法上之比例原則。刑事被告之羈押，係為確保訴訟程序順利進行，於被告受有罪判決確定前，拘束其身體自由於一定處所之強制處分，乃對人民身體自由所為之嚴重限制，故因羈押而生之冤獄賠償，尤須尊重憲法保障人身自由之精神。冤獄賠償法第二條第二款前段，僅以受害人之行為違反公共秩序或善良風俗為由，剝奪其請求賠償之權利，未能以其情節是否重大，有無逾越社會通常觀念所能容忍之程度為衡量標準，與前述憲法意旨未盡相符。上開法律第二條第二款與本解釋不合部分，應不予適用。</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54" w:anchor="r523" w:history="1">
              <w:r w:rsidRPr="0034744C">
                <w:rPr>
                  <w:rStyle w:val="a7"/>
                  <w:rFonts w:cs="Times New Roman"/>
                  <w:sz w:val="24"/>
                  <w:lang w:eastAsia="zh-TW" w:bidi="ar-SA"/>
                </w:rPr>
                <w:t>523</w:t>
              </w:r>
            </w:hyperlink>
          </w:p>
        </w:tc>
        <w:tc>
          <w:tcPr>
            <w:tcW w:w="4437" w:type="pct"/>
            <w:shd w:val="clear" w:color="auto" w:fill="auto"/>
          </w:tcPr>
          <w:p w:rsidR="0049577B" w:rsidRPr="00C9725A" w:rsidRDefault="00AE1031" w:rsidP="00150351">
            <w:pPr>
              <w:ind w:leftChars="13" w:left="34"/>
              <w:rPr>
                <w:sz w:val="24"/>
              </w:rPr>
            </w:pPr>
            <w:bookmarkStart w:id="32" w:name="_Hlk523435032"/>
            <w:r w:rsidRPr="00C9725A">
              <w:rPr>
                <w:sz w:val="24"/>
              </w:rPr>
              <w:t>【解釋爭點】</w:t>
            </w:r>
            <w:hyperlink r:id="rId155" w:history="1">
              <w:r w:rsidR="0049577B" w:rsidRPr="000A3C2C">
                <w:rPr>
                  <w:rStyle w:val="a7"/>
                  <w:rFonts w:cs="Times New Roman"/>
                  <w:sz w:val="24"/>
                  <w:lang w:eastAsia="zh-TW" w:bidi="ar-SA"/>
                </w:rPr>
                <w:t>流氓條例</w:t>
              </w:r>
            </w:hyperlink>
            <w:r w:rsidR="0049577B" w:rsidRPr="00C9725A">
              <w:rPr>
                <w:sz w:val="24"/>
              </w:rPr>
              <w:t>法院裁定留置規定違憲？</w:t>
            </w:r>
          </w:p>
          <w:bookmarkEnd w:id="32"/>
          <w:p w:rsidR="0049577B" w:rsidRPr="00C9725A" w:rsidRDefault="00AE1031" w:rsidP="00150351">
            <w:pPr>
              <w:ind w:leftChars="13" w:left="34"/>
              <w:rPr>
                <w:sz w:val="24"/>
              </w:rPr>
            </w:pPr>
            <w:r w:rsidRPr="00C9725A">
              <w:rPr>
                <w:sz w:val="24"/>
              </w:rPr>
              <w:t>【解釋文】</w:t>
            </w:r>
            <w:r w:rsidR="0049577B" w:rsidRPr="00C9725A">
              <w:rPr>
                <w:sz w:val="24"/>
              </w:rPr>
              <w:t>凡限制人民身體自由之處置，不問其是否屬於刑事被告之身分，國家機關所依據之程序，須依法律規定，其內容更須實質正當，並符合憲法第二十三條所定相關之條件，方符憲法第八條保障人身自由之意旨，迭經本院解釋在案。</w:t>
            </w:r>
          </w:p>
          <w:p w:rsidR="0049577B" w:rsidRPr="00C9725A" w:rsidRDefault="0049577B" w:rsidP="00150351">
            <w:pPr>
              <w:ind w:leftChars="13" w:left="34"/>
              <w:rPr>
                <w:sz w:val="24"/>
              </w:rPr>
            </w:pPr>
            <w:r w:rsidRPr="00C9725A">
              <w:rPr>
                <w:sz w:val="24"/>
              </w:rPr>
              <w:t xml:space="preserve">　　檢肅流氓條例第十一條第一項規定：「法院對被移送裁定之人，得予留置，其期間不得逾一月。但有繼續留置之必要者，得延長一月，以一次為限。」此項留置處分，係為確保感訓處分程序順利進行，於被移送裁定之人受感訓處分確定前，拘束其身體自由於一定處所之強制處分，乃對人民人身自由所為之嚴重限制，惟同條例對於法院得裁定留置之要件並未明確規定，其中除第六條、第七條所定之事由足認其有逕行拘提之原因而得推論具備留置之正當理由外，不論被移送裁定之人是否有繼續嚴重破壞社會秩序之虞，或有逃亡、湮滅事證或對檢舉人、被害人或證人造成威脅等足以妨礙後續審理之虞，均委由法院自行裁量，逕予裁定留置被移送裁定之人，上開條例第十一條第一項之規定，就此而言已逾越必要程度，與憲法第八條、第二十三條及前揭本院解釋意旨不符，應於本解釋公布之日起一年內失其效力。於相關法律為適當修正前，法院為留置之裁定時，應依本解釋意旨妥為審酌，併予指明。</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56" w:anchor="r535" w:history="1">
              <w:r w:rsidRPr="0034744C">
                <w:rPr>
                  <w:rStyle w:val="a7"/>
                  <w:rFonts w:cs="Times New Roman"/>
                  <w:sz w:val="24"/>
                  <w:lang w:eastAsia="zh-TW" w:bidi="ar-SA"/>
                </w:rPr>
                <w:t>535</w:t>
              </w:r>
            </w:hyperlink>
          </w:p>
        </w:tc>
        <w:tc>
          <w:tcPr>
            <w:tcW w:w="4437" w:type="pct"/>
            <w:shd w:val="clear" w:color="auto" w:fill="auto"/>
          </w:tcPr>
          <w:p w:rsidR="0049577B" w:rsidRPr="00C9725A" w:rsidRDefault="00AE1031" w:rsidP="00150351">
            <w:pPr>
              <w:ind w:leftChars="13" w:left="34"/>
              <w:rPr>
                <w:sz w:val="24"/>
              </w:rPr>
            </w:pPr>
            <w:bookmarkStart w:id="33" w:name="_Hlk523435003"/>
            <w:r w:rsidRPr="00C9725A">
              <w:rPr>
                <w:sz w:val="24"/>
              </w:rPr>
              <w:t>【解釋爭點】</w:t>
            </w:r>
            <w:hyperlink r:id="rId157" w:history="1">
              <w:r w:rsidR="0049577B" w:rsidRPr="000A3C2C">
                <w:rPr>
                  <w:rStyle w:val="a7"/>
                  <w:rFonts w:cs="Times New Roman"/>
                  <w:sz w:val="24"/>
                  <w:lang w:eastAsia="zh-TW" w:bidi="ar-SA"/>
                </w:rPr>
                <w:t>警察勤務條例</w:t>
              </w:r>
            </w:hyperlink>
            <w:r w:rsidR="0049577B" w:rsidRPr="00C9725A">
              <w:rPr>
                <w:sz w:val="24"/>
              </w:rPr>
              <w:t>實施臨檢之規定違憲？</w:t>
            </w:r>
          </w:p>
          <w:bookmarkEnd w:id="33"/>
          <w:p w:rsidR="0049577B" w:rsidRPr="00C9725A" w:rsidRDefault="00AE1031" w:rsidP="00150351">
            <w:pPr>
              <w:ind w:leftChars="13" w:left="34"/>
              <w:rPr>
                <w:sz w:val="24"/>
              </w:rPr>
            </w:pPr>
            <w:r w:rsidRPr="00C9725A">
              <w:rPr>
                <w:sz w:val="24"/>
              </w:rPr>
              <w:t>【解釋文】</w:t>
            </w:r>
            <w:r w:rsidR="0049577B" w:rsidRPr="00C9725A">
              <w:rPr>
                <w:sz w:val="24"/>
              </w:rPr>
              <w:t>警察勤務條例規定警察機關執行勤務之編組及分工，並對執行勤務得採取之方式加以列舉，已非單純之組織法，實兼有行為法之性質。依該條例第十一條第三款，臨檢自屬警察執行勤務方式之一種。臨檢實施之手段：檢查、路檢、取締或盤查等不問其名稱為何，均屬對人或物之查驗、干預，影響人民行動自由、財產權及隱私權等甚鉅，應恪遵法治國家警察執勤之原則。實施臨檢之要件、程序及對違法臨檢行為之救濟，均應有法律之明確規範，方符憲法保障人民自由權利之意旨。</w:t>
            </w:r>
          </w:p>
          <w:p w:rsidR="0049577B" w:rsidRPr="00C9725A" w:rsidRDefault="0049577B" w:rsidP="00150351">
            <w:pPr>
              <w:ind w:leftChars="13" w:left="34"/>
              <w:rPr>
                <w:sz w:val="24"/>
              </w:rPr>
            </w:pPr>
            <w:r w:rsidRPr="00C9725A">
              <w:rPr>
                <w:sz w:val="24"/>
              </w:rPr>
              <w:t xml:space="preserve">　　上開條例有關臨檢之規定，並無授權警察人員得不顧時間、地點及對象任意臨檢、取締或隨機檢查、盤查之立法本意。除法律另有規定外，警察人員執行場所之臨檢勤務，應限於已發生危害或依客觀、合理判斷易生危害之處所、交通工具或公共場所為之，其中處所為私人居住之空間者，並應受住宅相同之保障；對人實施之臨檢則須以有相當理由足認其行為已構成或即將發生危害者為限，且均應遵守比例原則，不得逾越必要程度。臨檢進行前應對在場者告以實施之事由，並出示證件表明其為執行人員之身分。臨檢應於現場實施，非經受臨檢人同意或無從確定其身分或現場為之對該受臨檢人將有不利影響或妨礙交通、安寧者，不得要求其同行至警察局、所進行盤查。其因發現違法事實，應依法定程序處理者外，身分一經查明，即應任其離去，不得稽延。前述條例第十一條第三款之規定，於符合上開解釋意旨範圍內，予以適用，始無悖於維護人權之憲法意旨。現行警察執行職務法規有欠完備，有關機關應於本解釋公布之日起二年內依解釋意旨，且參酌社會實際狀況，賦予警察人員執行勤務時應付突發事故之權限，俾對人民自由與警察自身安全之維護兼籌並顧，通盤檢討訂定，併此指明。</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58" w:anchor="r544" w:history="1">
              <w:r w:rsidRPr="0034744C">
                <w:rPr>
                  <w:rStyle w:val="a7"/>
                  <w:rFonts w:cs="Times New Roman"/>
                  <w:sz w:val="24"/>
                  <w:lang w:eastAsia="zh-TW" w:bidi="ar-SA"/>
                </w:rPr>
                <w:t>544</w:t>
              </w:r>
            </w:hyperlink>
          </w:p>
        </w:tc>
        <w:tc>
          <w:tcPr>
            <w:tcW w:w="4437" w:type="pct"/>
            <w:shd w:val="clear" w:color="auto" w:fill="auto"/>
          </w:tcPr>
          <w:p w:rsidR="0049577B" w:rsidRPr="00C9725A" w:rsidRDefault="00AE1031" w:rsidP="00150351">
            <w:pPr>
              <w:ind w:leftChars="13" w:left="34"/>
              <w:rPr>
                <w:sz w:val="24"/>
              </w:rPr>
            </w:pPr>
            <w:bookmarkStart w:id="34" w:name="_Hlk523434966"/>
            <w:r w:rsidRPr="00C9725A">
              <w:rPr>
                <w:sz w:val="24"/>
              </w:rPr>
              <w:t>【解釋爭點】</w:t>
            </w:r>
            <w:hyperlink r:id="rId159" w:history="1">
              <w:r w:rsidR="0049577B" w:rsidRPr="000A3C2C">
                <w:rPr>
                  <w:rStyle w:val="a7"/>
                  <w:rFonts w:cs="Times New Roman"/>
                  <w:sz w:val="24"/>
                  <w:lang w:eastAsia="zh-TW" w:bidi="ar-SA"/>
                </w:rPr>
                <w:t>麻醉藥品條例</w:t>
              </w:r>
            </w:hyperlink>
            <w:r w:rsidR="0049577B" w:rsidRPr="00C9725A">
              <w:rPr>
                <w:sz w:val="24"/>
              </w:rPr>
              <w:t>、</w:t>
            </w:r>
            <w:hyperlink r:id="rId160" w:history="1">
              <w:r w:rsidR="0049577B" w:rsidRPr="000A3C2C">
                <w:rPr>
                  <w:rStyle w:val="a7"/>
                  <w:rFonts w:cs="Times New Roman"/>
                  <w:sz w:val="24"/>
                  <w:lang w:eastAsia="zh-TW" w:bidi="ar-SA"/>
                </w:rPr>
                <w:t>煙毒條例</w:t>
              </w:r>
            </w:hyperlink>
            <w:r w:rsidR="0049577B" w:rsidRPr="00C9725A">
              <w:rPr>
                <w:sz w:val="24"/>
              </w:rPr>
              <w:t>，對施用者處自由刑規定違憲？</w:t>
            </w:r>
          </w:p>
          <w:bookmarkEnd w:id="34"/>
          <w:p w:rsidR="0049577B" w:rsidRPr="00C9725A" w:rsidRDefault="00AE1031" w:rsidP="00150351">
            <w:pPr>
              <w:ind w:leftChars="13" w:left="34"/>
              <w:rPr>
                <w:sz w:val="24"/>
              </w:rPr>
            </w:pPr>
            <w:r w:rsidRPr="00C9725A">
              <w:rPr>
                <w:sz w:val="24"/>
              </w:rPr>
              <w:t>【解釋文】</w:t>
            </w:r>
            <w:r w:rsidR="0049577B" w:rsidRPr="00C9725A">
              <w:rPr>
                <w:sz w:val="24"/>
              </w:rPr>
              <w:t>國家對個人之刑罰，屬不得已之強制手段，選擇以何種刑罰處罰個人之反社會性行為，乃立法自由形成之範圍。就特定事項以特別刑法規定特別罪刑，倘與憲法第二十三條所要求之目的正當性、手段必要性、限制妥當性符合者，即無乖於比例原則，業經本院釋字第四七六號解釋闡釋在案。</w:t>
            </w:r>
          </w:p>
          <w:p w:rsidR="0049577B" w:rsidRPr="00C9725A" w:rsidRDefault="0049577B" w:rsidP="00150351">
            <w:pPr>
              <w:ind w:leftChars="13" w:left="34"/>
              <w:rPr>
                <w:sz w:val="24"/>
              </w:rPr>
            </w:pPr>
            <w:r w:rsidRPr="00C9725A">
              <w:rPr>
                <w:sz w:val="24"/>
              </w:rPr>
              <w:t xml:space="preserve">　　自由刑涉及對人民身體自由之嚴重限制，除非必須對其採強制隔離施以矯治，方能維護社會秩序時，其科處始屬正當合理，而刑度之制定尤應顧及行為之侵害性與法益保護之重要性。施用毒品，足以戕害身心，滋生其他犯罪，惡化治安，嚴重損及公益，立法者自得於抽象危險階段即加以規範。中華民國八十一年七月二十七日修正公布肅清煙毒條例第九條第一項規定，對於施用毒品或鴉片者，處三年以上七年以下有期徒刑，及八十四年一月十三日修正公布之麻醉藥品管理條例第十三條之一第二項第四款規定，非法施打吸用麻醉藥品者，處三年以下有期徒刑、拘役或一萬元以下罰金，雖以所施用之毒品屬煙毒或麻醉藥品為其規範對象，未按行為人是否業已成癮為類型化之區分，就行為對法益危害之程度亦未盡顧及，但究其目的，無非在運用刑罰之一般預防功能以嚇阻毒品之施用，挽社會於頹廢，與首揭意旨尚屬相符，於憲法第八條、第二十三條規定並無牴觸。前開肅清煙毒條例及麻醉藥品管理條例於八十七年及八十八年相繼修正，對經勒戒而無繼續施用毒品傾向者，改採除刑不除罪，對初犯者以保安處分替代刑罰，已更能符合首揭意旨。由肅清煙毒條例修正之毒品危害防制條例第三十五條第四款，將判決確定尚未執行或執行中之案件排除其適用，此固與刑法第二條第三項無乖離之處，惟為深化新制所揭櫫之刑事政策，允宜檢討及之。</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61" w:anchor="r551" w:history="1">
              <w:r w:rsidRPr="0034744C">
                <w:rPr>
                  <w:rStyle w:val="a7"/>
                  <w:rFonts w:cs="Times New Roman"/>
                  <w:sz w:val="24"/>
                  <w:lang w:eastAsia="zh-TW" w:bidi="ar-SA"/>
                </w:rPr>
                <w:t>551</w:t>
              </w:r>
            </w:hyperlink>
          </w:p>
        </w:tc>
        <w:tc>
          <w:tcPr>
            <w:tcW w:w="4437" w:type="pct"/>
            <w:shd w:val="clear" w:color="auto" w:fill="auto"/>
          </w:tcPr>
          <w:p w:rsidR="0049577B" w:rsidRPr="00C9725A" w:rsidRDefault="00AE1031" w:rsidP="00150351">
            <w:pPr>
              <w:ind w:leftChars="13" w:left="34"/>
              <w:rPr>
                <w:sz w:val="24"/>
              </w:rPr>
            </w:pPr>
            <w:bookmarkStart w:id="35" w:name="_Hlk523434928"/>
            <w:r w:rsidRPr="00C9725A">
              <w:rPr>
                <w:sz w:val="24"/>
              </w:rPr>
              <w:t>【解釋爭點】</w:t>
            </w:r>
            <w:hyperlink r:id="rId162" w:history="1">
              <w:r w:rsidR="0049577B" w:rsidRPr="000A3C2C">
                <w:rPr>
                  <w:rStyle w:val="a7"/>
                  <w:rFonts w:cs="Times New Roman"/>
                  <w:sz w:val="24"/>
                  <w:lang w:eastAsia="zh-TW" w:bidi="ar-SA"/>
                </w:rPr>
                <w:t>毒品條例</w:t>
              </w:r>
            </w:hyperlink>
            <w:r w:rsidR="0049577B" w:rsidRPr="00C9725A">
              <w:rPr>
                <w:sz w:val="24"/>
              </w:rPr>
              <w:t>誣告反坐之規定違憲？</w:t>
            </w:r>
          </w:p>
          <w:bookmarkEnd w:id="35"/>
          <w:p w:rsidR="0049577B" w:rsidRPr="00C9725A" w:rsidRDefault="00AE1031" w:rsidP="00AC6AC1">
            <w:pPr>
              <w:ind w:leftChars="13" w:left="34"/>
              <w:rPr>
                <w:sz w:val="24"/>
              </w:rPr>
            </w:pPr>
            <w:r w:rsidRPr="00C9725A">
              <w:rPr>
                <w:sz w:val="24"/>
              </w:rPr>
              <w:t>【解釋文】</w:t>
            </w:r>
            <w:r w:rsidR="0049577B" w:rsidRPr="00C9725A">
              <w:rPr>
                <w:sz w:val="24"/>
              </w:rPr>
              <w:t>人民身體之自由與生存權應予保障，為憲法第八條、第十五條所明定，國家為實現刑罰權，將特定事項以特別刑法規定特別之罪刑，其內容須符合目的正當性、手段必要性、限制妥當性，方符合憲法第二十三條之規定，業經本院釋字第四七六號解釋闡釋在案。中華民國八十七年五月二十日修正公布之毒品危害防制條例，其立法目的係為肅清煙毒、防制毒品危害，維護國民身心健康，藉以維持社會秩序及公共利益，乃以特別法加以規範。有關栽贓誣陷或捏造證據誣告他人犯該條例之罪者，固亦得於刑法普通誣告罪之外，斟酌立法目的而為特別處罰之規定。然同條例第十六條規定：「栽贓誣陷或捏造證據誣告他人犯本條例之罪者，處以其所誣告之罪之刑」，未顧及行為人負擔刑事責任應以其行為本身之惡害程度予以非難評價之刑法原則，強調同害之原始報應刑思想，以所誣告罪名反坐，所採措置與欲達成目的及所需程度有失均衡；其責任與刑罰不相對應，罪刑未臻相當，與憲法第二十三條所定比例原則未盡相符。有關機關應自本解釋公布之日起兩年內通盤檢討修正，以兼顧國家刑罰權之圓滿正確運作，並維護被誣告者之個人法益；逾期未為修正者，前開條例第十六條誣告反坐之規定失其效力。</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63" w:anchor="r559" w:history="1">
              <w:r w:rsidRPr="0034744C">
                <w:rPr>
                  <w:rStyle w:val="a7"/>
                  <w:rFonts w:cs="Times New Roman"/>
                  <w:sz w:val="24"/>
                  <w:lang w:eastAsia="zh-TW" w:bidi="ar-SA"/>
                </w:rPr>
                <w:t>559</w:t>
              </w:r>
            </w:hyperlink>
          </w:p>
        </w:tc>
        <w:tc>
          <w:tcPr>
            <w:tcW w:w="4437" w:type="pct"/>
            <w:shd w:val="clear" w:color="auto" w:fill="auto"/>
          </w:tcPr>
          <w:p w:rsidR="0049577B" w:rsidRPr="00C9725A" w:rsidRDefault="00AE1031" w:rsidP="00150351">
            <w:pPr>
              <w:ind w:leftChars="13" w:left="34"/>
              <w:rPr>
                <w:sz w:val="24"/>
              </w:rPr>
            </w:pPr>
            <w:bookmarkStart w:id="36" w:name="_Hlk523434887"/>
            <w:r w:rsidRPr="00C9725A">
              <w:rPr>
                <w:sz w:val="24"/>
              </w:rPr>
              <w:t>【解釋爭點】</w:t>
            </w:r>
            <w:hyperlink r:id="rId164" w:history="1">
              <w:r w:rsidR="0049577B" w:rsidRPr="0034744C">
                <w:rPr>
                  <w:rStyle w:val="a7"/>
                  <w:rFonts w:cs="Times New Roman"/>
                  <w:sz w:val="24"/>
                  <w:lang w:eastAsia="zh-TW" w:bidi="ar-SA"/>
                </w:rPr>
                <w:t>家暴法</w:t>
              </w:r>
            </w:hyperlink>
            <w:r w:rsidR="0049577B" w:rsidRPr="00C9725A">
              <w:rPr>
                <w:sz w:val="24"/>
              </w:rPr>
              <w:t>對非金錢給付保護令執行之程序授權規定違憲？</w:t>
            </w:r>
          </w:p>
          <w:bookmarkEnd w:id="36"/>
          <w:p w:rsidR="0049577B" w:rsidRPr="00C9725A" w:rsidRDefault="00AE1031" w:rsidP="00150351">
            <w:pPr>
              <w:ind w:leftChars="13" w:left="34"/>
              <w:rPr>
                <w:sz w:val="24"/>
              </w:rPr>
            </w:pPr>
            <w:r w:rsidRPr="00C9725A">
              <w:rPr>
                <w:sz w:val="24"/>
              </w:rPr>
              <w:t>【解釋文】</w:t>
            </w:r>
            <w:r w:rsidR="0049577B" w:rsidRPr="00C9725A">
              <w:rPr>
                <w:sz w:val="24"/>
              </w:rPr>
              <w:t>基於法治國家之基本原則，凡涉及人身自由之限制事項，應以法律定之；涉及財產權者，則得依其限制之程度，以法律或法律明確授權之命令予以規範。惟法律本身若已就人身之處置為明文之規定者，應非不得以法律具體明確之授權委由主管機關執行之。至主管機關依法律概括授權所發布之命令若僅屬細節性、技術性之次要事項者，並非法所不許。家庭暴力防治法第二十條第一項規定保護令之執行機關及金錢給付保護令之強制執行程序，對警察機關執行非金錢給付保護令之程序及方法則未加規定，僅以同法第五十二條為概括授權：「警察機關執行保護令及處理家庭暴力案件辦法，由中央主管機關定之。」雖不生牴觸憲法問題，然對警察機關執行上開保護令得適用之程序及方法均未加規定，且未對辦法內容為具體明確之授權，保護令既有涉及人身之處置或財產之強制執行者（參照家庭暴力防治法第十三條及第十五條），揆諸前開解釋意旨，應分別情形以法律或法律具體明確授權之命令定之，有關機關應從速修訂相關法律，以符憲法保障人民權利之本旨。</w:t>
            </w:r>
          </w:p>
          <w:p w:rsidR="0049577B" w:rsidRPr="00C9725A" w:rsidRDefault="0049577B" w:rsidP="00150351">
            <w:pPr>
              <w:ind w:leftChars="13" w:left="34"/>
              <w:rPr>
                <w:sz w:val="24"/>
              </w:rPr>
            </w:pPr>
            <w:r w:rsidRPr="00C9725A">
              <w:rPr>
                <w:sz w:val="24"/>
              </w:rPr>
              <w:t xml:space="preserve">　　行政執行法之執行機關除金錢給付之執行為法務部行政執行署所屬行政執行處外，其餘事件依其性質分由原處分機關或該管機關為之（參照行政執行法第四條），依上述家庭暴力防治法規定，警察機關有執行金錢給付以外保護令之職責，其於執行具體事件應適用之程序，在法律未依上開解釋修改前，警察機關執行保護令得準用行政執行法規定之程序而採各種適當之執行方法。</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65" w:anchor="r567" w:history="1">
              <w:r w:rsidRPr="000A3C2C">
                <w:rPr>
                  <w:rStyle w:val="a7"/>
                  <w:rFonts w:cs="Times New Roman"/>
                  <w:sz w:val="24"/>
                  <w:lang w:eastAsia="zh-TW" w:bidi="ar-SA"/>
                </w:rPr>
                <w:t>567</w:t>
              </w:r>
            </w:hyperlink>
          </w:p>
        </w:tc>
        <w:tc>
          <w:tcPr>
            <w:tcW w:w="4437" w:type="pct"/>
            <w:shd w:val="clear" w:color="auto" w:fill="auto"/>
          </w:tcPr>
          <w:p w:rsidR="0049577B" w:rsidRPr="00C9725A" w:rsidRDefault="00AE1031" w:rsidP="00150351">
            <w:pPr>
              <w:ind w:leftChars="13" w:left="34"/>
              <w:rPr>
                <w:sz w:val="24"/>
              </w:rPr>
            </w:pPr>
            <w:bookmarkStart w:id="37" w:name="_Hlk523434870"/>
            <w:r w:rsidRPr="00C9725A">
              <w:rPr>
                <w:sz w:val="24"/>
              </w:rPr>
              <w:t>【解釋爭點】</w:t>
            </w:r>
            <w:r w:rsidR="0049577B" w:rsidRPr="00C9725A">
              <w:rPr>
                <w:sz w:val="24"/>
              </w:rPr>
              <w:t>預防匪諜再犯辦法管制之規定違憲？</w:t>
            </w:r>
          </w:p>
          <w:bookmarkEnd w:id="37"/>
          <w:p w:rsidR="0049577B" w:rsidRPr="00C9725A" w:rsidRDefault="00AE1031" w:rsidP="00150351">
            <w:pPr>
              <w:ind w:leftChars="13" w:left="34"/>
              <w:rPr>
                <w:sz w:val="24"/>
              </w:rPr>
            </w:pPr>
            <w:r w:rsidRPr="00C9725A">
              <w:rPr>
                <w:sz w:val="24"/>
              </w:rPr>
              <w:t>【解釋文】</w:t>
            </w:r>
            <w:r w:rsidR="0049577B" w:rsidRPr="00C9725A">
              <w:rPr>
                <w:sz w:val="24"/>
              </w:rPr>
              <w:t>人民身體之自由應予保障，非由法院依法定程序，不得審問、處罰，憲法第八條設有明文。戒嚴時期在戒嚴地域內，最高司令官固得於必要範圍內以命令限制人民部分之自由，惟關於限制人身自由之處罰，仍應以法律規定，且其內容須實質正當，並經審判程序，始得為之。戡亂時期預防匪諜再犯管教辦法第二條規定：「匪諜罪犯判處徒刑或受感化教育，已執行期滿，而其思想行狀未改善，認有再犯之虞者，得令入勞動教育場所，強制工作嚴加管訓（第一項）。前項罪犯由執行機關報請該省最高治安機關核定之（第二項）。」未以法律規定必要之審判程序，而係依行政命令限制人民身體之自由，不論其名義係強制工作或管訓處分，均為嚴重侵害人身自由之處罰。況該條規定使國家機關僅依思想行狀考核，認有再犯之虞，即得對已服刑期滿之人民再行交付未定期限之管訓，縱國家處於非常時期，出於法律之規定，亦不符合最低限度之人權保障，與憲法第八條及第二十三條之規定有所牴觸，應不予適用。</w:t>
            </w:r>
          </w:p>
          <w:p w:rsidR="0049577B" w:rsidRPr="00C9725A" w:rsidRDefault="0049577B" w:rsidP="00150351">
            <w:pPr>
              <w:ind w:leftChars="13" w:left="34"/>
              <w:rPr>
                <w:sz w:val="24"/>
              </w:rPr>
            </w:pPr>
            <w:r w:rsidRPr="00C9725A">
              <w:rPr>
                <w:sz w:val="24"/>
              </w:rPr>
              <w:t xml:space="preserve">　　戒嚴時期人民受損權利回復條例第六條第一項第四款規定，人民於戒嚴時期因犯內亂、外患、懲治叛亂條例或檢肅匪諜條例之罪，於有罪判決或交付感化教育、感訓處分，執行完畢後，未依法釋放者，得聲請所屬地方法院準用冤獄賠償法相關規定，請求國家賠償，係指於有罪判決或感化教育、感訓處分裁判執行完畢後，任意繼續延長執行，或其他非依法裁判所為限制人身自由之處罰，未予釋放，得請求國家賠償之情形而言，從而上開規定與憲法平等保障人民權利之意旨，尚無不符。</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66" w:anchor="r582" w:history="1">
              <w:r w:rsidRPr="000A3C2C">
                <w:rPr>
                  <w:rStyle w:val="a7"/>
                  <w:rFonts w:cs="Times New Roman"/>
                  <w:sz w:val="24"/>
                  <w:lang w:eastAsia="zh-TW" w:bidi="ar-SA"/>
                </w:rPr>
                <w:t>582</w:t>
              </w:r>
            </w:hyperlink>
          </w:p>
        </w:tc>
        <w:tc>
          <w:tcPr>
            <w:tcW w:w="4437" w:type="pct"/>
            <w:shd w:val="clear" w:color="auto" w:fill="auto"/>
          </w:tcPr>
          <w:p w:rsidR="0049577B" w:rsidRPr="00C9725A" w:rsidRDefault="00AE1031" w:rsidP="00150351">
            <w:pPr>
              <w:ind w:leftChars="13" w:left="34"/>
              <w:rPr>
                <w:sz w:val="24"/>
              </w:rPr>
            </w:pPr>
            <w:bookmarkStart w:id="38" w:name="_Hlk523434851"/>
            <w:r w:rsidRPr="00C9725A">
              <w:rPr>
                <w:sz w:val="24"/>
              </w:rPr>
              <w:t>【解釋爭點】</w:t>
            </w:r>
            <w:r w:rsidR="0049577B" w:rsidRPr="00C9725A">
              <w:rPr>
                <w:sz w:val="24"/>
              </w:rPr>
              <w:t>共同被告不利己陳述得為他共同被告罪證之判例違憲？</w:t>
            </w:r>
          </w:p>
          <w:bookmarkEnd w:id="38"/>
          <w:p w:rsidR="0049577B" w:rsidRPr="00C9725A" w:rsidRDefault="00AE1031" w:rsidP="00150351">
            <w:pPr>
              <w:ind w:leftChars="13" w:left="34"/>
              <w:rPr>
                <w:sz w:val="24"/>
              </w:rPr>
            </w:pPr>
            <w:r w:rsidRPr="00C9725A">
              <w:rPr>
                <w:sz w:val="24"/>
              </w:rPr>
              <w:t>【解釋文】</w:t>
            </w:r>
            <w:r w:rsidR="0049577B" w:rsidRPr="00C9725A">
              <w:rPr>
                <w:sz w:val="24"/>
              </w:rPr>
              <w:t>憲法第十六條保障人民之訴訟權，就刑事被告而言，包含其在訴訟上應享有充分之防禦權。刑事被告詰問證人之權利，即屬該等權利之一，且屬憲法第八條第一項規定「非由法院依法定程序不得審問處罰」之正當法律程序所保障之權利。為確保被告對證人之詰問權，證人於審判中，應依法定程序，到場具結陳述，並接受被告之詰問，其陳述始得作為認定被告犯罪事實之判斷依據。刑事審判上之共同被告，係為訴訟經濟等原因，由檢察官或自訴人合併或追加起訴，或由法院合併審判所形成，其間各別被告及犯罪事實仍獨立存在。故共同被告對其他共同被告之案件而言，為被告以外之第三人，本質上屬於證人，自不能因案件合併關係而影響其他共同被告原享有之上開憲法上權利。最高法院三十一年上字第二四二三號及四十六年台上字第四一九號判例所稱共同被告不利於己之陳述得採為其他共同被告犯罪（事實認定）之證據一節，對其他共同被告案件之審判而言，未使該共同被告立於證人之地位而為陳述，逕以其依共同被告身分所為陳述採為不利於其他共同被告之證據，乃否定共同被告於其他共同被告案件之證人適格，排除人證之法定調查程序，與當時有效施行中之中華民國二十四年一月一日修正公布之刑事訴訟法第二百七十三條規定牴觸，並已不當剝奪其他共同被告對該實具證人適格之共同被告詰問之權利，核與首開憲法意旨不符。該二判例及其他相同意旨判例，與上開解釋意旨不符部分，應不再援用。</w:t>
            </w:r>
          </w:p>
          <w:p w:rsidR="0049577B" w:rsidRPr="00C9725A" w:rsidRDefault="0049577B" w:rsidP="00150351">
            <w:pPr>
              <w:ind w:leftChars="13" w:left="34"/>
              <w:rPr>
                <w:sz w:val="24"/>
              </w:rPr>
            </w:pPr>
            <w:r w:rsidRPr="00C9725A">
              <w:rPr>
                <w:sz w:val="24"/>
              </w:rPr>
              <w:t xml:space="preserve">　　刑事審判基於憲法正當法律程序原則，對於犯罪事實之認定，採證據裁判及自白任意性等原則。刑事訴訟法據以規定嚴格證明法則，必須具證據能力之證據，經合法調查，使法院形成該等證據已足證明被告犯罪之確信心證，始能判決被告有罪；為避免過分偏重自白，有害於真實發見及人權保障，並規定被告之自白，不得作為有罪判決之唯一證據，仍應調查其他必要之證據，以察其是否與事實相符。基於上開嚴格證明法則及對自白證明力之限制規定，所謂「其他必要之證據」，自亦須具備證據能力，經合法調查，且就其證明力之程度，非謂自白為主要證據，其證明力當然較為強大，其他必要之證據為次要或補充性之證據，證明力當然較為薄弱，而應依其他必要證據之質量，與自白相互印證，綜合判斷，足以確信自白犯罪事實之真實性，始足當之。最高法院三十年上字第三０三八號、七十三年台上字第五六三八號及七十四年台覆字第一０號三判例，旨在闡釋「其他必要之證據」之意涵、性質、證明範圍及程度，暨其與自白之相互關係，且強調該等證據須能擔保自白之真實性，俾自白之犯罪事實臻於確信無疑，核其及其他判例相同意旨部分，與前揭憲法意旨，尚無牴觸。</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67" w:anchor="r588" w:history="1">
              <w:r w:rsidRPr="0034744C">
                <w:rPr>
                  <w:rStyle w:val="a7"/>
                  <w:rFonts w:cs="Times New Roman"/>
                  <w:sz w:val="24"/>
                  <w:lang w:eastAsia="zh-TW" w:bidi="ar-SA"/>
                </w:rPr>
                <w:t>588</w:t>
              </w:r>
            </w:hyperlink>
          </w:p>
        </w:tc>
        <w:tc>
          <w:tcPr>
            <w:tcW w:w="4437" w:type="pct"/>
            <w:shd w:val="clear" w:color="auto" w:fill="auto"/>
          </w:tcPr>
          <w:p w:rsidR="0049577B" w:rsidRPr="00C9725A" w:rsidRDefault="00AE1031" w:rsidP="00150351">
            <w:pPr>
              <w:ind w:leftChars="13" w:left="34"/>
              <w:rPr>
                <w:sz w:val="24"/>
              </w:rPr>
            </w:pPr>
            <w:bookmarkStart w:id="39" w:name="_Hlk523434824"/>
            <w:r w:rsidRPr="00C9725A">
              <w:rPr>
                <w:sz w:val="24"/>
              </w:rPr>
              <w:t>【解釋爭點】</w:t>
            </w:r>
            <w:hyperlink r:id="rId168" w:history="1">
              <w:r w:rsidR="0049577B" w:rsidRPr="0034744C">
                <w:rPr>
                  <w:rStyle w:val="a7"/>
                  <w:rFonts w:cs="Times New Roman"/>
                  <w:sz w:val="24"/>
                  <w:lang w:eastAsia="zh-TW" w:bidi="ar-SA"/>
                </w:rPr>
                <w:t>行政執行法</w:t>
              </w:r>
            </w:hyperlink>
            <w:r w:rsidR="0049577B" w:rsidRPr="00C9725A">
              <w:rPr>
                <w:sz w:val="24"/>
              </w:rPr>
              <w:t>拘提管收事由相關規定違憲?</w:t>
            </w:r>
          </w:p>
          <w:bookmarkEnd w:id="39"/>
          <w:p w:rsidR="0049577B" w:rsidRPr="00C9725A" w:rsidRDefault="00AE1031" w:rsidP="00150351">
            <w:pPr>
              <w:ind w:leftChars="13" w:left="34"/>
              <w:rPr>
                <w:sz w:val="24"/>
              </w:rPr>
            </w:pPr>
            <w:r w:rsidRPr="00C9725A">
              <w:rPr>
                <w:sz w:val="24"/>
              </w:rPr>
              <w:t>【解釋文】</w:t>
            </w:r>
            <w:r w:rsidR="0049577B" w:rsidRPr="00C9725A">
              <w:rPr>
                <w:sz w:val="24"/>
              </w:rPr>
              <w:t>立法機關基於重大之公益目的，藉由限制人民自由之強制措施，以貫徹其法定義務，於符合憲法上比例原則之範圍內，應為憲法之所許。行政執行法關於「管收」處分之規定，係在貫徹公法上金錢給付義務，於法定義務人確有履行之能力而不履行時，拘束其身體所為間接強制其履行之措施，尚非憲法所不許。惟行政執行法第十七條第二項依同條第一項規定得聲請法院裁定管收之事由中，除第一項第一、二、三款規定：「顯有履行義務之可能，故不履行者」、「顯有逃匿之虞」、「就應供強制執行之財產有隱匿或處分之情事者」，難謂其已逾必要之程度外，其餘同項第四、五、六款事由：「於調查執行標的物時，對於執行人員拒絕陳述者」、「經命其報告財產狀況，不為報告或為虛偽之報告者」、「經合法通知，無正當理由而不到場者」，顯已逾越必要程度，與憲法第二十三條規定之意旨不能謂無違背。</w:t>
            </w:r>
          </w:p>
          <w:p w:rsidR="0049577B" w:rsidRPr="00C9725A" w:rsidRDefault="0049577B" w:rsidP="00150351">
            <w:pPr>
              <w:ind w:leftChars="13" w:left="34"/>
              <w:rPr>
                <w:sz w:val="24"/>
              </w:rPr>
            </w:pPr>
            <w:r w:rsidRPr="00C9725A">
              <w:rPr>
                <w:sz w:val="24"/>
              </w:rPr>
              <w:t xml:space="preserve">　　行政執行法第十七條第二項依同條第一項得聲請拘提之各款事由中，除第一項第二款、第六款：「顯有逃匿之虞」、「經合法通知，無正當理由而不到場」之情形，可認其確係符合比例原則之必要條件外，其餘同項第一款、第三款、第四款、第五款：「顯有履行義務之可能，故不履行者」、「就應供強制執行之財產有隱匿或處分之情事者」、「於調查執行標的物時，對於執行人員拒絕陳述者」、「經命其報告財產狀況，不為報告或為虛偽之報告者」規定，顯已逾越必要程度，與前揭憲法第二十三條規定意旨亦有未符。</w:t>
            </w:r>
          </w:p>
          <w:p w:rsidR="0049577B" w:rsidRPr="00C9725A" w:rsidRDefault="0049577B" w:rsidP="00150351">
            <w:pPr>
              <w:ind w:leftChars="13" w:left="34"/>
              <w:rPr>
                <w:sz w:val="24"/>
              </w:rPr>
            </w:pPr>
            <w:r w:rsidRPr="00C9725A">
              <w:rPr>
                <w:sz w:val="24"/>
              </w:rPr>
              <w:t xml:space="preserve">　　人身自由乃人民行使其憲法上各項自由權利所不可或缺之前提，憲法第八條第一項規定所稱「法定程序」，係指凡限制人民身體自由之處置，不問其是否屬於刑事被告之身分，除須有法律之依據外，尚須分別踐行必要之司法程序或其他正當法律程序，始得為之。此項程序固屬憲法保留之範疇，縱係立法機關亦不得制定法律而遽予剝奪；惟刑事被告與非刑事被告之人身自由限制，畢竟有其本質上之差異，是其必須踐行之司法程序或其他正當法律程序，自非均須同一不可。管收係於一定期間內拘束人民身體自由於一定之處所，亦屬憲法第八條第一項所規定之「拘禁」，其於決定管收之前，自應踐行必要之程序、即由中立、公正第三者之法院審問，並使法定義務人到場為程序之參與，除藉之以明管收之是否合乎法定要件暨有無管收之必要外，並使法定義務人得有防禦之機會，提出有利之相關抗辯以供法院調查，期以實現憲法對人身自由之保障。行政執行法關於管收之裁定，依同法第十七條第三項，法院對於管收之聲請應於五日內為之，亦即可於管收聲請後，不予即時審問，其於人權之保障顯有未週，該「五日內」裁定之規定難謂周全，應由有關機關檢討修正。又行政執行法第十七條第二項：「義務人逾前項限期仍不履行，亦不提供擔保者，行政執行處得聲請該管法院裁定拘提管收之」、第十九條第一項：「法院為拘提管收之裁定後，應將拘票及管收票交由行政執行處派執行員執行拘提並將被管收人逕送管收所」之規定，其於行政執行處合併為拘提且管收之聲請，法院亦為拘提管收之裁定時，該被裁定拘提管收之義務人既尚未拘提到場，自不可能踐行審問程序，乃法院竟得為管收之裁定，尤有違於前述正當法律程序之要求。另依行政執行法第十七條第二項及同條第一項第六款：「經合法通知，無正當理由而不到場」之規定聲請管收者，該義務人既猶未到場，法院自亦不可能踐行審問程序，乃竟得為管收之裁定，亦有悖於前述正當法律程序之憲法意旨。</w:t>
            </w:r>
          </w:p>
          <w:p w:rsidR="0049577B" w:rsidRPr="00C9725A" w:rsidRDefault="0049577B" w:rsidP="00150351">
            <w:pPr>
              <w:ind w:leftChars="13" w:left="34"/>
              <w:rPr>
                <w:sz w:val="24"/>
              </w:rPr>
            </w:pPr>
            <w:r w:rsidRPr="00C9725A">
              <w:rPr>
                <w:sz w:val="24"/>
              </w:rPr>
              <w:t xml:space="preserve">　　憲法第八條第一項所稱「非經司法或警察機關依法定程序，不得逮捕、拘禁」之「警察機關」，並非僅指組織法上之形式「警察」之意，凡法律規定，以維持社會秩序或增進公共利益為目的，賦予其機關或人員得使用干預、取締之手段者均屬之，是以行政執行法第十九條第一項關於拘提、管收交由行政執行處派執行員執行之規定，核與憲法前開規定之意旨尚無違背。</w:t>
            </w:r>
          </w:p>
          <w:p w:rsidR="0049577B" w:rsidRPr="00C9725A" w:rsidRDefault="0049577B" w:rsidP="00150351">
            <w:pPr>
              <w:ind w:leftChars="13" w:left="34"/>
              <w:rPr>
                <w:sz w:val="24"/>
              </w:rPr>
            </w:pPr>
            <w:r w:rsidRPr="00C9725A">
              <w:rPr>
                <w:sz w:val="24"/>
              </w:rPr>
              <w:t xml:space="preserve">　　上開行政執行法有違憲法意旨之各該規定，均應自本解釋公布之日起至遲於屆滿六個月時失其效力。</w:t>
            </w:r>
          </w:p>
          <w:p w:rsidR="0049577B" w:rsidRPr="00C9725A" w:rsidRDefault="00E063B6" w:rsidP="00150351">
            <w:pPr>
              <w:ind w:leftChars="13" w:left="34"/>
              <w:rPr>
                <w:sz w:val="24"/>
              </w:rPr>
            </w:pPr>
            <w:r>
              <w:rPr>
                <w:sz w:val="24"/>
              </w:rPr>
              <w:t>【理由書】</w:t>
            </w:r>
            <w:r w:rsidR="0049577B" w:rsidRPr="00C9725A">
              <w:rPr>
                <w:sz w:val="24"/>
              </w:rPr>
              <w:t>立法機關基於重大之公益目的，藉由限制人民自由之強制措施，以貫徹其法定義務，於符合憲法上比例原則之範圍內，應為憲法之所許。行政執行法係為貫徹行政法令、保障其有效之執行，以國家之強制力，促使人民履行其公法上義務之程序規範。其中關於公法上金錢給付，該法定義務人經通知等合法程序後，本即應自動給付，無待國家之強制，而此項公法上金錢給付之能否實現，攸關國家之財政暨社會、衛生、福利等措施之完善與否，社會秩序非僅據以維護，公共利益且賴以增進，所關極為重大。「管收」係就義務人之身體於一定期間內，拘束於一定處所之強制處分，目的在使其為義務之履行，為間接執行方法之一，雖屬限制義務人之身體自由，惟行政執行法關於「管收」處分之規定，既係在貫徹公法上金錢給付義務，於法定義務人確有履行之能力而不履行時，拘束其身體所為間接強制其履行之措施，亦即對負有給付義務且有履行之可能，卻拒不為公法上金錢給付之人所為促使其履行之強制手段，衡諸前述之說明，尚非憲法所不許。</w:t>
            </w:r>
          </w:p>
          <w:p w:rsidR="0049577B" w:rsidRPr="00C9725A" w:rsidRDefault="0049577B" w:rsidP="00150351">
            <w:pPr>
              <w:ind w:leftChars="13" w:left="34"/>
              <w:rPr>
                <w:sz w:val="24"/>
              </w:rPr>
            </w:pPr>
            <w:r w:rsidRPr="00C9725A">
              <w:rPr>
                <w:sz w:val="24"/>
              </w:rPr>
              <w:t xml:space="preserve">　　比例原則係屬憲法位階之基本原則，在個別法規範之解釋、適用上，固應隨時注意，其於「立法」尤然，目的在使人民不受立法機關過度之侵害。行政執行法第十七條第二項依同條第一項規定得聲請法院裁定管收之事由中，除第一項第一、二、三款規定：「顯有履行義務之可能，故不履行者」、「顯有逃匿之虞」、「就應供強制執行之財產有隱匿或處分之情事者」，均以執行機關執有相當證據足認義務人確有履行能力為前提（行政執行法第八條第一項第三款參照）始得為之，自難謂其已逾必要之程度，可認係屬正當者外，其餘同項第四、五、六款事由：「於調查執行標的物時，對於執行人員拒絕陳述者」、「經命其報告財產狀況，不為報告或為虛偽之報告者」、「經合法通知，無正當理由而不到場者」，不論法定義務人是否確有履行之能力而不為，亦不問於此情形下執行機關是否尚有其他較小侵害手段可資運用（如未用盡可行之執行方法），以查明所欲執行之責任財產，一有此等事由，可不為財產之追查，即得聲請法院裁定管收，顯已逾越必要程度，與憲法第二十三條規定之意旨不能謂無違背。至履行能力有無之判斷，則應就義務人整體之收入與財產狀況暨工作能力予以觀察，究竟是否可期待其經由工作收入或其他途徑（如處分財產、減少生活費用之支出），以獲得支付（履行）之方法；且其中並應注意維持生計所必需者（行政執行法第二十一條第一款參照），而「工作能力」亦應考慮年齡之大小、健康之狀態與勞動市場供需之情形等，乃當然之事理。</w:t>
            </w:r>
          </w:p>
          <w:p w:rsidR="0049577B" w:rsidRPr="00C9725A" w:rsidRDefault="0049577B" w:rsidP="00150351">
            <w:pPr>
              <w:ind w:leftChars="13" w:left="34"/>
              <w:rPr>
                <w:sz w:val="24"/>
              </w:rPr>
            </w:pPr>
            <w:r w:rsidRPr="00C9725A">
              <w:rPr>
                <w:sz w:val="24"/>
              </w:rPr>
              <w:t xml:space="preserve">　　拘提為強制義務人到場之處分，亦為拘束人身自由之一種，行政執行法第十七條關於對義務人之拘提，係以強制其到場履行、陳述或報告為目的，拘束人身自由為時雖較短暫，與管收之侵害程度尚屬有間，但如此亦非謂可排除前述憲法第二十三條有關比例原則規定之適用。行政執行法第十七條第二項依同條第一項得聲請拘提之各款事由中，除第一項第二款、第六款：「顯有逃匿之虞」、「經合法通知，無正當理由而不到場」之情形，尚可認其確係符合比例原則之必要條件外，其餘同項第一款、第三款、第四款、第五款：「顯有履行義務之可能，故不履行者」、「就應供強制執行之財產有隱匿或處分之情事者」、「於調查執行標的物時，對於執行人員拒絕陳述者」、「經命其報告財產狀況，不為報告或為虛偽之報告者」規定，不問執行機關應否先逕就責任財產予以執行或另為財產之追查，或義務人是否已在執行人員之面前為陳述而毋庸拘提等情形，於限期仍不履行，亦不提供擔保之時，均構成得為裁定拘提之聲請事由，顯已逾越必要程度，與前揭憲法第二十三條規定意旨亦有未符。</w:t>
            </w:r>
          </w:p>
          <w:p w:rsidR="0049577B" w:rsidRPr="00C9725A" w:rsidRDefault="0049577B" w:rsidP="00150351">
            <w:pPr>
              <w:ind w:leftChars="13" w:left="34"/>
              <w:rPr>
                <w:sz w:val="24"/>
              </w:rPr>
            </w:pPr>
            <w:r w:rsidRPr="00C9725A">
              <w:rPr>
                <w:sz w:val="24"/>
              </w:rPr>
              <w:t xml:space="preserve">　　人身自由乃人民行使其憲法上各項自由權利所不可或缺之前提，憲法第八條第一項規定所稱「法定程序」，係指凡限制人民身體自由之處置，不問其是否屬於刑事被告之身分，除須有法律之依據外，尚須分別踐行必要之司法程序或其他正當法律程序，始得為之（本院釋字第三八四號解釋參照）。此項程序固屬憲法保留之範疇，縱係立法機關亦不得制定法律而遽予剝奪；惟刑事被告與非刑事被告之人身自由限制，畢竟有其本質上之差異，是其必須踐行之司法程序或其他正當法律程序，自非均須同一不可。管收係於一定期間內拘束人民身體自由於一定之處所，雖亦屬憲法第八條第一項所規定之「拘禁」，然與刑事程序之羈押，目的上尚屬有間。羈押重在程序之保全，即保全被告俾其於整個刑事程序均能始終到場，以利偵查、審判之有效進行，以及判決確定後之能有效執行；管收則有如前述，目的在使其為金錢給付義務之履行，為間接執行方法之一種，並非在保全其身體，故其所踐行之司法程序自無須與羈押完全相同。然雖如此，其於決定管收之前，仍應踐行必要之司法程序則無二致，此即由中立、公正第三者之法院審問，並使法定義務人到場為程序之參與，除藉之以明管收之是否合乎法定要件暨有無管收之必要外，並使法定義務人得有防禦之機會，提出有利之相關抗辯以供法院調查，期以實現憲法對人身自由之保障。</w:t>
            </w:r>
          </w:p>
          <w:p w:rsidR="0049577B" w:rsidRPr="00C9725A" w:rsidRDefault="0049577B" w:rsidP="00150351">
            <w:pPr>
              <w:ind w:leftChars="13" w:left="34"/>
              <w:rPr>
                <w:sz w:val="24"/>
              </w:rPr>
            </w:pPr>
            <w:r w:rsidRPr="00C9725A">
              <w:rPr>
                <w:sz w:val="24"/>
              </w:rPr>
              <w:t xml:space="preserve">　　行政執行法第十七條第二、三項：「義務人逾前項限期仍不履行，亦不提供擔保者，行政執行處得聲請該管法院裁定拘提管收之」、「法院對於前項聲請，應於五日內裁定。行政執行處或義務人不服法院裁定者，得於十日內提起抗告；其程序準用民事訴訟法有關抗告程序之規定」、第十九條第一項：「法院為拘提管收之裁定後，應將拘票及管收票交由行政執行處派執行員執行拘提並將被管收人逕送管收所」，其中關於管收之裁定，依同法第十七條第五項規定，雖係準用強制執行法、刑事訴訟法，但行政執行法係將拘提管收一併予以規定（該法第十七條第二項以下），此與強制執行法有異（見該法第二十一條、第二十二條第一、二項），亦與刑事訴訟法有間（見該法第七十五條以下、第九十三條、第一百零一條以下、第二百二十八條第四項後段）。是除單獨之「拘提」、「管收」或「拘提後之管收」外，行政執行處依法固可合併為拘提且管收之聲請，法院亦可合併為拘提管收之裁定。另前揭行政執行法第十九條第一項：「法院為拘提管收之裁定後……執行拘提並將被管收人逕送管收所」，此亦為其特別規定，強制執行法無論矣，即刑事訴訟法亦無拘提到案逕送看守所之明文（該法第九十一條前段、第一百零三條第一項參照），此等自無準用強制執行法、刑事訴訟法之餘地。又依行政執行法第十七條第三項，法院對於管收之聲請，應於「五日內」為之，此亦係該法之特別規定，而與強制執行法（第二十二條之五）所準用之刑事訴訟法不同。依刑事訴訟法第九十三條第五項規定，法院於受理羈押之聲請後，應即時訊問，同法第一百零一條、第一百零一條之一復規定，「被告經法院訊問後」認得予羈押或有羈押之必要者，得（裁定）羈押之，亦即法院受理羈押之聲請後，應即時訊問，而於訊問後即應決定羈押之與否。其所以規定即時訊問，乃在使「被告」得就聲請羈押之事由為答辯，法院亦得就羈押之聲請為必要之調查；其所以規定訊問後應即決定羈押之與否，目的在保障人權，俾免被告身體之自由遭受無謂之限制。茲行政執行法前開之規定，法院竟可於管收聲請後，不予即時審問，而猶得於「五日內」為裁定，其於人權之保障顯有未週，該「五日內」裁定之規定，未兼顧及此，應予檢討修正。</w:t>
            </w:r>
          </w:p>
          <w:p w:rsidR="0049577B" w:rsidRPr="00C9725A" w:rsidRDefault="0049577B" w:rsidP="00150351">
            <w:pPr>
              <w:ind w:leftChars="13" w:left="34"/>
              <w:rPr>
                <w:sz w:val="24"/>
              </w:rPr>
            </w:pPr>
            <w:r w:rsidRPr="00C9725A">
              <w:rPr>
                <w:sz w:val="24"/>
              </w:rPr>
              <w:t xml:space="preserve">　　又行政執行處倘為拘提且管收之聲請者，該被裁定拘提管收之義務人於裁定之時，既尚未拘提到場，自不可能踐行審問程序，法院係單憑行政執行處一方所提之聲請資料以為審查，無從為言詞之審理，俾以查明管收之聲請是否合乎法定要件暨有無管收之必要，更未賦予該義務人以防禦之機會，使其能為有利之抗辯，指出證明之方法以供法院審酌，即得為管收之裁定，且竟可於拘提後將之逕送管收所，亦無須經審問程序，即連「人別」之訊問（即訊問其人有無錯誤）亦可從缺，尤有違於前述正當法律程序之要求。再者，前開法院得為裁定管收之事由中，其「經合法通知，無正當理由而不到場」之此款，亦係強制執行法（第二十二條第一、二項）及刑事訴訟法（第一百零一條、第一百零一條之一）之所無，而該義務人既猶未到場，自亦不可能踐行審問程序，乃法院竟得依聲請而為管收之裁定，此一容許為書面審理之規定，其有悖於前述正當法律程序之憲法意旨，更不待言。</w:t>
            </w:r>
          </w:p>
          <w:p w:rsidR="0049577B" w:rsidRPr="00C9725A" w:rsidRDefault="0049577B" w:rsidP="00150351">
            <w:pPr>
              <w:ind w:leftChars="13" w:left="34"/>
              <w:rPr>
                <w:sz w:val="24"/>
              </w:rPr>
            </w:pPr>
            <w:r w:rsidRPr="00C9725A">
              <w:rPr>
                <w:sz w:val="24"/>
              </w:rPr>
              <w:t xml:space="preserve">　　至於上述所稱關於管收之審問程序，其應賦予義務人到場之機會，此乃絕對之必要。法院對於行政執行處聲請管收所提資料，若認尚有未足或尚有不明者，得命該處派員到場為一定之陳述或補正，於此，行政執行處不得拒絕，固屬當然；而該處就此所為之聲請，要以自由證明為已足，法院之心證，亦非須至不容合理懷疑之確信程度為必要，附此指明。</w:t>
            </w:r>
          </w:p>
          <w:p w:rsidR="0049577B" w:rsidRPr="00C9725A" w:rsidRDefault="0049577B" w:rsidP="00150351">
            <w:pPr>
              <w:ind w:leftChars="13" w:left="34"/>
              <w:rPr>
                <w:sz w:val="24"/>
              </w:rPr>
            </w:pPr>
            <w:r w:rsidRPr="00C9725A">
              <w:rPr>
                <w:sz w:val="24"/>
              </w:rPr>
              <w:t xml:space="preserve">　　「警察」係指以維持社會秩序或增進公共利益為目的，而具強制（干預、取締）手段特質之國家行政作用或國家行政主體，概念上原屬多義之用語，有廣、狹即實質、形式兩義之分。其採廣義、即實質之意義者，乃就其「功能」予以觀察，凡具有上述「警察」意義之作用、即行使此一意義之權限者，均屬之；其取狹義、即形式之意義者，則就組織上予以著眼，而將之限於警察組織之形式－警察法，於此法律所明文規定之機關及人員始足當之，其僅具警察之作用或負警察之任務者，不與焉。上述行政執行法既已就管收、拘提為明文之規定，並須經法院之裁定，亦即必須先經司法審查之准許，則其「執行」自非不得由該主管機關、即行政執行處之人員為之（本院釋字第五五九號解釋參照）。是憲法第八條第一項所稱「非經司法或警察機關依法定程序，不得逮捕、拘禁」之「警察機關」，乃採廣義，凡功能上具有前述「警察」之意義、即法律規定以維持社會秩序或增進公共利益為目的，賦予其機關或人員得使用干預、取締之手段者，概屬相當，並非僅指組織法上之形式「警察」之意。是以行政執行法第十九條第一項關於拘提、管收交由行政執行處派執行員執行之規定，核與憲法前開規定之意旨尚無違背。</w:t>
            </w:r>
          </w:p>
          <w:p w:rsidR="0049577B" w:rsidRPr="00C9725A" w:rsidRDefault="0049577B" w:rsidP="00150351">
            <w:pPr>
              <w:ind w:leftChars="13" w:left="34"/>
              <w:rPr>
                <w:sz w:val="24"/>
              </w:rPr>
            </w:pPr>
            <w:r w:rsidRPr="00C9725A">
              <w:rPr>
                <w:sz w:val="24"/>
              </w:rPr>
              <w:t xml:space="preserve">　　上開行政執行法有違憲法意旨之各該規定，均應自本解釋公布之日起至遲於屆滿六個月時失其效力。</w:t>
            </w:r>
          </w:p>
          <w:p w:rsidR="0049577B" w:rsidRPr="00C9725A" w:rsidRDefault="00AC6AC1" w:rsidP="00150351">
            <w:pPr>
              <w:ind w:leftChars="13" w:left="34"/>
              <w:rPr>
                <w:sz w:val="24"/>
              </w:rPr>
            </w:pPr>
            <w:r>
              <w:rPr>
                <w:sz w:val="24"/>
              </w:rPr>
              <w:t xml:space="preserve">　　</w:t>
            </w:r>
            <w:r w:rsidR="0049577B" w:rsidRPr="00C9725A">
              <w:rPr>
                <w:sz w:val="24"/>
              </w:rPr>
              <w:t>大法官會議主席　大法官　翁岳生</w:t>
            </w:r>
            <w:r w:rsidR="0034744C" w:rsidRPr="00C9725A">
              <w:rPr>
                <w:sz w:val="24"/>
              </w:rPr>
              <w:t xml:space="preserve">　</w:t>
            </w:r>
            <w:r w:rsidR="0049577B" w:rsidRPr="00C9725A">
              <w:rPr>
                <w:sz w:val="24"/>
              </w:rPr>
              <w:t>大法官　城仲模　林永謀　王和雄　謝在全　賴英照　余雪明　曾有田　廖義男　楊仁壽　徐璧湖　彭鳳至　林子儀　許宗力　許玉秀</w:t>
            </w:r>
          </w:p>
          <w:p w:rsidR="0049577B" w:rsidRPr="00C9725A" w:rsidRDefault="00AC6AC1" w:rsidP="00150351">
            <w:pPr>
              <w:ind w:leftChars="13" w:left="34"/>
              <w:rPr>
                <w:sz w:val="24"/>
              </w:rPr>
            </w:pPr>
            <w:r w:rsidRPr="00C9725A">
              <w:rPr>
                <w:sz w:val="24"/>
              </w:rPr>
              <w:t>【</w:t>
            </w:r>
            <w:r w:rsidR="0049577B" w:rsidRPr="00C9725A">
              <w:rPr>
                <w:sz w:val="24"/>
              </w:rPr>
              <w:t>附件</w:t>
            </w:r>
            <w:r w:rsidRPr="00C9725A">
              <w:rPr>
                <w:sz w:val="24"/>
              </w:rPr>
              <w:t>】</w:t>
            </w:r>
          </w:p>
          <w:p w:rsidR="0049577B" w:rsidRPr="00C9725A" w:rsidRDefault="0034744C" w:rsidP="00150351">
            <w:pPr>
              <w:ind w:leftChars="13" w:left="34"/>
              <w:rPr>
                <w:sz w:val="24"/>
              </w:rPr>
            </w:pPr>
            <w:r w:rsidRPr="00C9725A">
              <w:rPr>
                <w:sz w:val="24"/>
              </w:rPr>
              <w:t>【</w:t>
            </w:r>
            <w:r w:rsidR="0049577B" w:rsidRPr="00C9725A">
              <w:rPr>
                <w:sz w:val="24"/>
              </w:rPr>
              <w:t>釋字第五八八號解釋事實摘要(大法官書記處整理提供</w:t>
            </w:r>
            <w:r w:rsidR="00587200">
              <w:rPr>
                <w:sz w:val="24"/>
              </w:rPr>
              <w:t>)</w:t>
            </w:r>
            <w:r w:rsidRPr="00C9725A">
              <w:rPr>
                <w:sz w:val="24"/>
              </w:rPr>
              <w:t>】</w:t>
            </w:r>
          </w:p>
          <w:p w:rsidR="0049577B" w:rsidRPr="00C9725A" w:rsidRDefault="00AC6AC1" w:rsidP="00150351">
            <w:pPr>
              <w:ind w:leftChars="13" w:left="34"/>
              <w:rPr>
                <w:sz w:val="24"/>
              </w:rPr>
            </w:pPr>
            <w:r>
              <w:rPr>
                <w:sz w:val="24"/>
              </w:rPr>
              <w:t xml:space="preserve">　　</w:t>
            </w:r>
            <w:r w:rsidR="0049577B" w:rsidRPr="00C9725A">
              <w:rPr>
                <w:sz w:val="24"/>
              </w:rPr>
              <w:t>一、台灣士林地方法院法官張國勳聲請解釋案（共10件）</w:t>
            </w:r>
          </w:p>
          <w:p w:rsidR="0049577B" w:rsidRPr="00C9725A" w:rsidRDefault="00AC6AC1" w:rsidP="00150351">
            <w:pPr>
              <w:ind w:leftChars="13" w:left="34"/>
              <w:rPr>
                <w:sz w:val="24"/>
              </w:rPr>
            </w:pPr>
            <w:r>
              <w:rPr>
                <w:sz w:val="24"/>
              </w:rPr>
              <w:t xml:space="preserve">　　</w:t>
            </w:r>
            <w:r w:rsidR="0049577B" w:rsidRPr="00C9725A">
              <w:rPr>
                <w:sz w:val="24"/>
              </w:rPr>
              <w:t>台灣士林地方法院法官張國勳為審理台灣士林地方法院九十一年度拘管字第三一號、九十二年度拘管字第三號、第五六號、第六五號、第八一號、第一０七號、第一０八號、第一二七號、第一四九號、九十三年度拘管字第九號聲請拘提管收案件，認該案件適用之行政執行法相關規定有違憲疑義，因裁定停止審理程序聲請解釋。</w:t>
            </w:r>
          </w:p>
          <w:p w:rsidR="0049577B" w:rsidRPr="00C9725A" w:rsidRDefault="00AC6AC1" w:rsidP="00150351">
            <w:pPr>
              <w:ind w:leftChars="13" w:left="34"/>
              <w:rPr>
                <w:sz w:val="24"/>
              </w:rPr>
            </w:pPr>
            <w:r>
              <w:rPr>
                <w:sz w:val="24"/>
              </w:rPr>
              <w:t xml:space="preserve">　　</w:t>
            </w:r>
            <w:r w:rsidR="0049577B" w:rsidRPr="00C9725A">
              <w:rPr>
                <w:sz w:val="24"/>
              </w:rPr>
              <w:t>二、台灣桃園地方法院法官文衍正聲請解釋案（共14件）</w:t>
            </w:r>
          </w:p>
          <w:p w:rsidR="0049577B" w:rsidRPr="00C9725A" w:rsidRDefault="00AC6AC1" w:rsidP="00150351">
            <w:pPr>
              <w:ind w:leftChars="13" w:left="34"/>
              <w:rPr>
                <w:sz w:val="24"/>
              </w:rPr>
            </w:pPr>
            <w:r>
              <w:rPr>
                <w:sz w:val="24"/>
              </w:rPr>
              <w:t xml:space="preserve">　　</w:t>
            </w:r>
            <w:r w:rsidR="0049577B" w:rsidRPr="00C9725A">
              <w:rPr>
                <w:sz w:val="24"/>
              </w:rPr>
              <w:t>台灣桃園地方法院法官文衍正為審理台灣桃園地方法院九十二年度拘管字第五二號、第五九號、第七一號、第七三號、第八０號、第九一號、第九六號、第九九號、九十三年度拘管字第二號、第五號、第一八號、第三一號、第三四號、第三六號、第五三號聲請拘提管收事件，對於應適用之行政執行法第十七條等規定，認有牴觸憲法之疑義，因裁定停止審理程序聲請解釋。</w:t>
            </w:r>
          </w:p>
          <w:p w:rsidR="0049577B" w:rsidRPr="00C9725A" w:rsidRDefault="00AC6AC1" w:rsidP="00150351">
            <w:pPr>
              <w:ind w:leftChars="13" w:left="34"/>
              <w:rPr>
                <w:sz w:val="24"/>
              </w:rPr>
            </w:pPr>
            <w:r>
              <w:rPr>
                <w:sz w:val="24"/>
              </w:rPr>
              <w:t xml:space="preserve">　　</w:t>
            </w:r>
            <w:r w:rsidR="0049577B" w:rsidRPr="00C9725A">
              <w:rPr>
                <w:sz w:val="24"/>
              </w:rPr>
              <w:t>三、台灣士林地方法院法官高愈杰聲請解釋案</w:t>
            </w:r>
          </w:p>
          <w:p w:rsidR="0049577B" w:rsidRPr="00C9725A" w:rsidRDefault="00AC6AC1" w:rsidP="00150351">
            <w:pPr>
              <w:ind w:leftChars="13" w:left="34"/>
              <w:rPr>
                <w:sz w:val="24"/>
              </w:rPr>
            </w:pPr>
            <w:r>
              <w:rPr>
                <w:sz w:val="24"/>
              </w:rPr>
              <w:t xml:space="preserve">　　</w:t>
            </w:r>
            <w:r w:rsidR="0049577B" w:rsidRPr="00C9725A">
              <w:rPr>
                <w:sz w:val="24"/>
              </w:rPr>
              <w:t>台灣士林地方法院法官高愈杰為審理臺灣士林地方法院九十三年度拘管字第二一號聲請拘提管收事件，對於應適用之行政執行法第十七條等規定，認有牴觸憲法之疑義，因裁定停止審理程序聲請解釋。</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69" w:anchor="r594" w:history="1">
              <w:r w:rsidRPr="0034744C">
                <w:rPr>
                  <w:rStyle w:val="a7"/>
                  <w:rFonts w:cs="Times New Roman"/>
                  <w:sz w:val="24"/>
                  <w:lang w:eastAsia="zh-TW" w:bidi="ar-SA"/>
                </w:rPr>
                <w:t>594</w:t>
              </w:r>
            </w:hyperlink>
          </w:p>
        </w:tc>
        <w:tc>
          <w:tcPr>
            <w:tcW w:w="4437" w:type="pct"/>
            <w:shd w:val="clear" w:color="auto" w:fill="auto"/>
          </w:tcPr>
          <w:p w:rsidR="003C1792" w:rsidRPr="00C9725A" w:rsidRDefault="00AE1031" w:rsidP="00150351">
            <w:pPr>
              <w:ind w:leftChars="13" w:left="34"/>
              <w:rPr>
                <w:sz w:val="24"/>
              </w:rPr>
            </w:pPr>
            <w:bookmarkStart w:id="40" w:name="_Hlk523434785"/>
            <w:r w:rsidRPr="00C9725A">
              <w:rPr>
                <w:sz w:val="24"/>
              </w:rPr>
              <w:t>【解釋爭點】</w:t>
            </w:r>
            <w:r w:rsidR="0049577B" w:rsidRPr="00C9725A">
              <w:rPr>
                <w:sz w:val="24"/>
              </w:rPr>
              <w:t>82年修正之</w:t>
            </w:r>
            <w:hyperlink r:id="rId170" w:history="1">
              <w:r w:rsidR="0049577B" w:rsidRPr="000A3C2C">
                <w:rPr>
                  <w:rStyle w:val="a7"/>
                  <w:rFonts w:cs="Times New Roman"/>
                  <w:sz w:val="24"/>
                  <w:lang w:eastAsia="zh-TW" w:bidi="ar-SA"/>
                </w:rPr>
                <w:t>商標法</w:t>
              </w:r>
            </w:hyperlink>
            <w:r w:rsidR="0049577B" w:rsidRPr="00C9725A">
              <w:rPr>
                <w:sz w:val="24"/>
              </w:rPr>
              <w:t>第77條侵害標章處刑罰之規定違憲？</w:t>
            </w:r>
          </w:p>
          <w:bookmarkEnd w:id="40"/>
          <w:p w:rsidR="003C1792" w:rsidRPr="00C9725A" w:rsidRDefault="00AE1031" w:rsidP="00150351">
            <w:pPr>
              <w:ind w:leftChars="13" w:left="34"/>
              <w:rPr>
                <w:sz w:val="24"/>
              </w:rPr>
            </w:pPr>
            <w:r w:rsidRPr="00C9725A">
              <w:rPr>
                <w:sz w:val="24"/>
              </w:rPr>
              <w:t>【解釋文】</w:t>
            </w:r>
            <w:r w:rsidR="0049577B" w:rsidRPr="00C9725A">
              <w:rPr>
                <w:sz w:val="24"/>
              </w:rPr>
              <w:t>人民身體之自由與財產權應予保障，固為憲法第八條、第十五條所明定；惟國家以法律明確規定犯罪之構成要件與法律效果，對於特定具社會侵害性之行為施以刑罰制裁而限制人民之身體自由或財產權者，倘與憲法第二十三條規定之意旨無違，即難謂其牴觸憲法第八條及第十五條之規定，本院釋字第四七六號、第五五一號解釋足資參照。</w:t>
            </w:r>
          </w:p>
          <w:p w:rsidR="0049577B" w:rsidRPr="00C9725A" w:rsidRDefault="0049577B" w:rsidP="00150351">
            <w:pPr>
              <w:ind w:leftChars="13" w:left="34"/>
              <w:rPr>
                <w:kern w:val="0"/>
                <w:sz w:val="24"/>
              </w:rPr>
            </w:pPr>
            <w:r w:rsidRPr="00C9725A">
              <w:rPr>
                <w:sz w:val="24"/>
              </w:rPr>
              <w:t xml:space="preserve">　　商標權為財產權之一種，依憲法第十五條之規定，應予保障。又商標或標章權之註冊取得與保護，同時具有揭示商標或標章所表彰之商品或服務來源，以保障消費者利益，維護公平競爭市場正常運作之功能。中華民國八十二年十二月二十二日修正公布之商標法第七十七條準用第六十二條第二款規定，旨在保障商標權人之權利，並避免因行為人意圖欺騙他人，於有關同一商品或類似商品之廣告、標帖、說明書、價目表或其他文書，附加相同或近似於他人註冊商標圖樣而陳列或散布，致一般消費者對商品或服務之來源、品質發生混淆誤認而權益受有損害，故以法律明定之犯罪構成要件，處行為人三年以下有期徒刑、拘役或科或併科新台幣二十萬元以下罰金，符合法律明確性之要求，且為保障商標權人權利、消費者利益及市場秩序所必要，並未牴觸憲法第二十三條規定，與憲法第八條、第十五條保障人民身體自由及財產權之意旨，尚無違背。</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71" w:anchor="r636" w:history="1">
              <w:r w:rsidRPr="0034744C">
                <w:rPr>
                  <w:rStyle w:val="a7"/>
                  <w:rFonts w:cs="Times New Roman"/>
                  <w:sz w:val="24"/>
                  <w:lang w:eastAsia="zh-TW" w:bidi="ar-SA"/>
                </w:rPr>
                <w:t>636</w:t>
              </w:r>
            </w:hyperlink>
          </w:p>
        </w:tc>
        <w:tc>
          <w:tcPr>
            <w:tcW w:w="4437" w:type="pct"/>
            <w:shd w:val="clear" w:color="auto" w:fill="auto"/>
          </w:tcPr>
          <w:p w:rsidR="0049577B" w:rsidRPr="00C9725A" w:rsidRDefault="00AE1031" w:rsidP="00150351">
            <w:pPr>
              <w:ind w:leftChars="13" w:left="34"/>
              <w:rPr>
                <w:sz w:val="24"/>
              </w:rPr>
            </w:pPr>
            <w:r w:rsidRPr="00C9725A">
              <w:rPr>
                <w:sz w:val="24"/>
              </w:rPr>
              <w:t>【解釋爭點】</w:t>
            </w:r>
            <w:hyperlink r:id="rId172" w:history="1">
              <w:r w:rsidR="0049577B" w:rsidRPr="000A3C2C">
                <w:rPr>
                  <w:rStyle w:val="a7"/>
                  <w:rFonts w:cs="Times New Roman"/>
                  <w:sz w:val="24"/>
                  <w:lang w:eastAsia="zh-TW" w:bidi="ar-SA"/>
                </w:rPr>
                <w:t>檢肅流氓條例</w:t>
              </w:r>
            </w:hyperlink>
            <w:r w:rsidR="0049577B" w:rsidRPr="00C9725A">
              <w:rPr>
                <w:sz w:val="24"/>
              </w:rPr>
              <w:t>部分條文違憲？</w:t>
            </w:r>
          </w:p>
          <w:p w:rsidR="0049577B" w:rsidRPr="00C9725A" w:rsidRDefault="00AE1031" w:rsidP="00150351">
            <w:pPr>
              <w:ind w:leftChars="13" w:left="34"/>
              <w:rPr>
                <w:sz w:val="24"/>
              </w:rPr>
            </w:pPr>
            <w:r w:rsidRPr="00C9725A">
              <w:rPr>
                <w:sz w:val="24"/>
              </w:rPr>
              <w:t>【解釋文】</w:t>
            </w:r>
            <w:r w:rsidR="0049577B" w:rsidRPr="00C9725A">
              <w:rPr>
                <w:sz w:val="24"/>
              </w:rPr>
              <w:t>檢肅流氓條例（以下簡稱本條例）第二條第三款關於敲詐勒索、強迫買賣及其幕後操縱行為之規定，同條第四款關於經營、操縱職業性賭場，私設娼館，引誘或強逼良家婦女為娼，為賭場、娼館之保鏢或恃強為人逼討債務行為之規定，第六條第一項關於情節重大之規定，皆與法律明確性原則無違。第二條第三款關於霸佔地盤、白吃白喝與要挾滋事行為之規定，雖非受規範者難以理解，惟其適用範圍，仍有未盡明確之處，相關機關應斟酌社會生活型態之變遷等因素檢討修正之。第二條第三款關於欺壓善良之規定，以及第五款關於品行惡劣、遊蕩無賴之規定，與法律明確性原則不符。</w:t>
            </w:r>
          </w:p>
          <w:p w:rsidR="0049577B" w:rsidRPr="00C9725A" w:rsidRDefault="0049577B" w:rsidP="00150351">
            <w:pPr>
              <w:ind w:leftChars="13" w:left="34"/>
              <w:rPr>
                <w:sz w:val="24"/>
              </w:rPr>
            </w:pPr>
            <w:r w:rsidRPr="00C9725A">
              <w:rPr>
                <w:sz w:val="24"/>
              </w:rPr>
              <w:t xml:space="preserve">　　本條例第二條關於流氓之認定，依據正當法律程序原則，於審查程序中，被提報人應享有到場陳述意見之權利；經認定為流氓，於主管之警察機關合法通知而自行到案者，如無意願隨案移送於法院，不得將其強制移送。</w:t>
            </w:r>
          </w:p>
          <w:p w:rsidR="0049577B" w:rsidRPr="00C9725A" w:rsidRDefault="0049577B" w:rsidP="00150351">
            <w:pPr>
              <w:ind w:leftChars="13" w:left="34"/>
              <w:rPr>
                <w:sz w:val="24"/>
              </w:rPr>
            </w:pPr>
            <w:r w:rsidRPr="00C9725A">
              <w:rPr>
                <w:sz w:val="24"/>
              </w:rPr>
              <w:t xml:space="preserve">　　本條例第十二條第一項規定，未依個案情形考量採取其他限制較輕微之手段，是否仍然不足以保護證人之安全或擔保證人出於自由意志陳述意見，即得限制被移送人對證人之對質、詰問權與閱卷權之規定，顯已對於被移送人訴訟上之防禦權，造成過度之限制，與憲法第二十三條比例原則之意旨不符，有違憲法第八條正當法律程序原則及憲法第十六條訴訟權之保障。</w:t>
            </w:r>
          </w:p>
          <w:p w:rsidR="0049577B" w:rsidRPr="00C9725A" w:rsidRDefault="0049577B" w:rsidP="00150351">
            <w:pPr>
              <w:ind w:leftChars="13" w:left="34"/>
              <w:rPr>
                <w:sz w:val="24"/>
              </w:rPr>
            </w:pPr>
            <w:r w:rsidRPr="00C9725A">
              <w:rPr>
                <w:sz w:val="24"/>
              </w:rPr>
              <w:t xml:space="preserve">　　本條例第二十一條第一項相互折抵之規定，與憲法第二十三條比例原則並無不符。同條例第十三條第二項但書關於法院毋庸諭知感訓期間之規定，有導致受感訓處分人身體自由遭受過度剝奪之虞，相關機關應予以檢討修正之。</w:t>
            </w:r>
          </w:p>
          <w:p w:rsidR="0049577B" w:rsidRPr="00C9725A" w:rsidRDefault="0049577B" w:rsidP="00150351">
            <w:pPr>
              <w:ind w:leftChars="13" w:left="34"/>
              <w:rPr>
                <w:kern w:val="0"/>
                <w:sz w:val="24"/>
              </w:rPr>
            </w:pPr>
            <w:r w:rsidRPr="00C9725A">
              <w:rPr>
                <w:sz w:val="24"/>
              </w:rPr>
              <w:t xml:space="preserve">　　本條例第二條第三款關於欺壓善良，第五款關於品行惡劣、遊蕩無賴之規定，及第十二條第一項關於過度限制被移送人對證人之對質、詰問權與閱卷權之規定，與憲法意旨不符部分，應至遲於本解釋公布之日起一年內失其效力。</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73" w:anchor="r639" w:history="1">
              <w:r w:rsidRPr="0034744C">
                <w:rPr>
                  <w:rStyle w:val="a7"/>
                  <w:rFonts w:cs="Times New Roman"/>
                  <w:sz w:val="24"/>
                  <w:lang w:eastAsia="zh-TW" w:bidi="ar-SA"/>
                </w:rPr>
                <w:t>639</w:t>
              </w:r>
            </w:hyperlink>
          </w:p>
        </w:tc>
        <w:tc>
          <w:tcPr>
            <w:tcW w:w="4437" w:type="pct"/>
            <w:shd w:val="clear" w:color="auto" w:fill="auto"/>
          </w:tcPr>
          <w:p w:rsidR="0049577B" w:rsidRPr="00C9725A" w:rsidRDefault="00AE1031" w:rsidP="00150351">
            <w:pPr>
              <w:ind w:leftChars="13" w:left="34"/>
              <w:rPr>
                <w:sz w:val="24"/>
              </w:rPr>
            </w:pPr>
            <w:r w:rsidRPr="00C9725A">
              <w:rPr>
                <w:sz w:val="24"/>
              </w:rPr>
              <w:t>【解釋爭點】</w:t>
            </w:r>
            <w:r w:rsidR="0049577B" w:rsidRPr="00C9725A">
              <w:rPr>
                <w:sz w:val="24"/>
              </w:rPr>
              <w:t>刑訴法</w:t>
            </w:r>
            <w:hyperlink r:id="rId174" w:anchor="a416" w:history="1">
              <w:r w:rsidR="0049577B" w:rsidRPr="000A3C2C">
                <w:rPr>
                  <w:rStyle w:val="a7"/>
                  <w:rFonts w:cs="Times New Roman"/>
                  <w:sz w:val="24"/>
                  <w:lang w:eastAsia="zh-TW" w:bidi="ar-SA"/>
                </w:rPr>
                <w:t>第416條</w:t>
              </w:r>
            </w:hyperlink>
            <w:r w:rsidR="0049577B" w:rsidRPr="00C9725A">
              <w:rPr>
                <w:sz w:val="24"/>
              </w:rPr>
              <w:t>第1項第1款及</w:t>
            </w:r>
            <w:hyperlink r:id="rId175" w:anchor="a418" w:history="1">
              <w:r w:rsidR="0049577B" w:rsidRPr="000A3C2C">
                <w:rPr>
                  <w:rStyle w:val="a7"/>
                  <w:rFonts w:cs="Times New Roman"/>
                  <w:sz w:val="24"/>
                  <w:lang w:eastAsia="zh-TW" w:bidi="ar-SA"/>
                </w:rPr>
                <w:t>第418條</w:t>
              </w:r>
            </w:hyperlink>
            <w:r w:rsidR="0049577B" w:rsidRPr="00C9725A">
              <w:rPr>
                <w:sz w:val="24"/>
              </w:rPr>
              <w:t>違憲？</w:t>
            </w:r>
          </w:p>
          <w:p w:rsidR="0049577B" w:rsidRPr="00C9725A" w:rsidRDefault="00AE1031" w:rsidP="00AC6AC1">
            <w:pPr>
              <w:ind w:leftChars="13" w:left="34"/>
              <w:rPr>
                <w:kern w:val="0"/>
                <w:sz w:val="24"/>
              </w:rPr>
            </w:pPr>
            <w:r w:rsidRPr="00C9725A">
              <w:rPr>
                <w:sz w:val="24"/>
              </w:rPr>
              <w:t>【解釋文】</w:t>
            </w:r>
            <w:r w:rsidR="0049577B" w:rsidRPr="00C9725A">
              <w:rPr>
                <w:sz w:val="24"/>
              </w:rPr>
              <w:t>憲法第八條所定之法院，包括依法獨立行使審判權之法官。刑事訴訟法第四百十六條第一項第一款就審判長、受命法官或受託法官所為羈押處分之規定，與憲法第八條並無牴觸。刑事訴訟法第四百十六條第一項第一款及第四百十八條使羈押之被告僅得向原法院聲請撤銷或變更該處分，不得提起抗告之審級救濟，為立法機關基於訴訟迅速進行之考量所為合理之限制，未逾立法裁量之範疇，與憲法第十六條、第二十三條尚無違背。且因向原法院聲請撤銷或變更處分之救濟仍係由依法獨立行使職權之審判機關作成決定，故已賦予人身自由遭羈押處分限制者合理之程序保障，尚不違反憲法第八條之正當法律程序。至於刑事訴訟法第四百零三條、第四百零四條第二款、第四百十六條第一項第一款與第四百十八條之規定，使羈押被告之決定，得以裁定或處分之方式作成，並因而形成羈押之被告得否抗告之差別待遇，與憲法第七條保障之平等權尚無牴觸。</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76" w:anchor="r646" w:history="1">
              <w:r w:rsidRPr="0034744C">
                <w:rPr>
                  <w:rStyle w:val="a7"/>
                  <w:rFonts w:cs="Times New Roman"/>
                  <w:sz w:val="24"/>
                  <w:lang w:eastAsia="zh-TW" w:bidi="ar-SA"/>
                </w:rPr>
                <w:t>646</w:t>
              </w:r>
            </w:hyperlink>
          </w:p>
        </w:tc>
        <w:tc>
          <w:tcPr>
            <w:tcW w:w="4437" w:type="pct"/>
            <w:shd w:val="clear" w:color="auto" w:fill="auto"/>
          </w:tcPr>
          <w:p w:rsidR="0049577B" w:rsidRPr="00C9725A" w:rsidRDefault="00AE1031" w:rsidP="00150351">
            <w:pPr>
              <w:ind w:leftChars="13" w:left="34"/>
              <w:rPr>
                <w:sz w:val="24"/>
              </w:rPr>
            </w:pPr>
            <w:bookmarkStart w:id="41" w:name="_Hlk523434730"/>
            <w:r w:rsidRPr="00C9725A">
              <w:rPr>
                <w:sz w:val="24"/>
              </w:rPr>
              <w:t>【解釋爭點】</w:t>
            </w:r>
            <w:r w:rsidR="0049577B" w:rsidRPr="00C9725A">
              <w:rPr>
                <w:sz w:val="24"/>
              </w:rPr>
              <w:t>電子遊戲場業管理條例</w:t>
            </w:r>
            <w:hyperlink r:id="rId177" w:anchor="a22" w:history="1">
              <w:r w:rsidR="0049577B" w:rsidRPr="000A3C2C">
                <w:rPr>
                  <w:rStyle w:val="a7"/>
                  <w:rFonts w:cs="Times New Roman"/>
                  <w:sz w:val="24"/>
                  <w:lang w:eastAsia="zh-TW" w:bidi="ar-SA"/>
                </w:rPr>
                <w:t>第22條</w:t>
              </w:r>
            </w:hyperlink>
            <w:r w:rsidR="0049577B" w:rsidRPr="00C9725A">
              <w:rPr>
                <w:sz w:val="24"/>
              </w:rPr>
              <w:t>違憲?</w:t>
            </w:r>
            <w:bookmarkEnd w:id="41"/>
          </w:p>
          <w:p w:rsidR="0049577B" w:rsidRPr="00C9725A" w:rsidRDefault="00AE1031" w:rsidP="00AC6AC1">
            <w:pPr>
              <w:ind w:leftChars="13" w:left="34"/>
              <w:rPr>
                <w:kern w:val="0"/>
                <w:sz w:val="24"/>
              </w:rPr>
            </w:pPr>
            <w:r w:rsidRPr="00C9725A">
              <w:rPr>
                <w:sz w:val="24"/>
              </w:rPr>
              <w:t>【解釋文】</w:t>
            </w:r>
            <w:r w:rsidR="0049577B" w:rsidRPr="00C9725A">
              <w:rPr>
                <w:sz w:val="24"/>
              </w:rPr>
              <w:t>電子遊戲場業管理條例（以下簡稱本條例）第二十二條規定：「違反第十五條規定者，處行為人一年以下有期徒刑、拘役或科或併科新臺幣五十萬元以上二百五十萬元以下罰金。」對未辦理營利事業登記而經營電子遊戲場業者，科處刑罰，旨在杜絕業者規避辦理營利事業登記所需之營業分級、營業機具、營業場所等項目之查驗，以事前防止諸如賭博等威脅社會安寧、公共安全與危害國民，特別是兒童及少年身心健全發展之情事，目的洵屬正當，所採取之手段對目的之達成亦屬必要，符合憲法第二十三條比例原則之意旨，與憲法第八條、第十五條規定尚無牴觸。</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78" w:anchor="r653" w:history="1">
              <w:r w:rsidRPr="0034744C">
                <w:rPr>
                  <w:rStyle w:val="a7"/>
                  <w:rFonts w:cs="Times New Roman"/>
                  <w:sz w:val="24"/>
                  <w:lang w:eastAsia="zh-TW" w:bidi="ar-SA"/>
                </w:rPr>
                <w:t>653</w:t>
              </w:r>
            </w:hyperlink>
          </w:p>
        </w:tc>
        <w:tc>
          <w:tcPr>
            <w:tcW w:w="4437" w:type="pct"/>
            <w:shd w:val="clear" w:color="auto" w:fill="auto"/>
          </w:tcPr>
          <w:p w:rsidR="0049577B" w:rsidRPr="00C9725A" w:rsidRDefault="00AE1031" w:rsidP="00150351">
            <w:pPr>
              <w:ind w:leftChars="13" w:left="34"/>
              <w:rPr>
                <w:sz w:val="24"/>
              </w:rPr>
            </w:pPr>
            <w:bookmarkStart w:id="42" w:name="_Hlk523435799"/>
            <w:r w:rsidRPr="00C9725A">
              <w:rPr>
                <w:sz w:val="24"/>
              </w:rPr>
              <w:t>【解釋爭點】</w:t>
            </w:r>
            <w:r w:rsidR="0049577B" w:rsidRPr="00C9725A">
              <w:rPr>
                <w:sz w:val="24"/>
              </w:rPr>
              <w:t>羈押法</w:t>
            </w:r>
            <w:hyperlink r:id="rId179" w:anchor="a6" w:history="1">
              <w:r w:rsidR="0049577B" w:rsidRPr="000A3C2C">
                <w:rPr>
                  <w:rStyle w:val="a7"/>
                  <w:rFonts w:cs="Times New Roman"/>
                  <w:sz w:val="24"/>
                  <w:lang w:eastAsia="zh-TW" w:bidi="ar-SA"/>
                </w:rPr>
                <w:t>第六條</w:t>
              </w:r>
            </w:hyperlink>
            <w:r w:rsidR="0049577B" w:rsidRPr="00C9725A">
              <w:rPr>
                <w:sz w:val="24"/>
              </w:rPr>
              <w:t>及其施行細則第十四條第一項違憲？</w:t>
            </w:r>
          </w:p>
          <w:bookmarkEnd w:id="42"/>
          <w:p w:rsidR="0049577B" w:rsidRPr="00C9725A" w:rsidRDefault="00AE1031" w:rsidP="00AC6AC1">
            <w:pPr>
              <w:ind w:leftChars="13" w:left="34"/>
              <w:rPr>
                <w:kern w:val="0"/>
                <w:sz w:val="24"/>
              </w:rPr>
            </w:pPr>
            <w:r w:rsidRPr="00C9725A">
              <w:rPr>
                <w:sz w:val="24"/>
              </w:rPr>
              <w:t>【解釋文】</w:t>
            </w:r>
            <w:r w:rsidR="0049577B" w:rsidRPr="00C9725A">
              <w:rPr>
                <w:sz w:val="24"/>
              </w:rPr>
              <w:t>羈押法第六條及同法施行細則第十四條第一項之規定，不許受羈押被告向法院提起訴訟請求救濟之部分，與憲法第十六條保障人民訴訟權之意旨有違，相關機關至遲應於本解釋公布之日起二年內，依本解釋意旨，檢討修正羈押法及相關法規，就受羈押被告及時有效救濟之訴訟制度，訂定適當之規範。</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80" w:anchor="r664" w:history="1">
              <w:r w:rsidRPr="0034744C">
                <w:rPr>
                  <w:rStyle w:val="a7"/>
                  <w:rFonts w:cs="Times New Roman"/>
                  <w:sz w:val="24"/>
                  <w:lang w:eastAsia="zh-TW" w:bidi="ar-SA"/>
                </w:rPr>
                <w:t>664</w:t>
              </w:r>
            </w:hyperlink>
          </w:p>
        </w:tc>
        <w:tc>
          <w:tcPr>
            <w:tcW w:w="4437" w:type="pct"/>
            <w:shd w:val="clear" w:color="auto" w:fill="auto"/>
          </w:tcPr>
          <w:p w:rsidR="009670C0" w:rsidRDefault="009670C0" w:rsidP="00AC6AC1">
            <w:pPr>
              <w:ind w:leftChars="13" w:left="34"/>
              <w:rPr>
                <w:sz w:val="24"/>
              </w:rPr>
            </w:pPr>
            <w:r w:rsidRPr="009670C0">
              <w:rPr>
                <w:sz w:val="24"/>
              </w:rPr>
              <w:t>【解釋爭點】</w:t>
            </w:r>
            <w:hyperlink r:id="rId181" w:history="1">
              <w:r w:rsidRPr="009670C0">
                <w:rPr>
                  <w:rStyle w:val="a7"/>
                  <w:sz w:val="24"/>
                  <w:lang w:eastAsia="zh-TW"/>
                </w:rPr>
                <w:t>少年事件法</w:t>
              </w:r>
            </w:hyperlink>
            <w:r w:rsidRPr="009670C0">
              <w:rPr>
                <w:sz w:val="24"/>
              </w:rPr>
              <w:t>就常逃學逃家虞犯少年收容感化教育之規定違憲？</w:t>
            </w:r>
          </w:p>
          <w:p w:rsidR="0049577B" w:rsidRPr="00C9725A" w:rsidRDefault="00AE1031" w:rsidP="00AC6AC1">
            <w:pPr>
              <w:ind w:leftChars="13" w:left="34"/>
              <w:rPr>
                <w:kern w:val="0"/>
                <w:sz w:val="24"/>
              </w:rPr>
            </w:pPr>
            <w:r w:rsidRPr="00C9725A">
              <w:rPr>
                <w:sz w:val="24"/>
              </w:rPr>
              <w:t>【解釋文】</w:t>
            </w:r>
            <w:r w:rsidR="0049577B" w:rsidRPr="00C9725A">
              <w:rPr>
                <w:sz w:val="24"/>
              </w:rPr>
              <w:t>少年事件處理法第三條第二款第三目規定，經常逃學或逃家之少年，依其性格及環境，而有觸犯刑罰法律之虞者，由少年法院依該法處理之，係為維護虞犯少年健全自我成長所設之保護制度，尚難逕認其為違憲；惟該規定仍有涵蓋過廣與不明確之嫌，應儘速檢討改進。又少年事件處理法第二十六條第二款及第四十二條第一項第四款規定，就限制經常逃學或逃家虞犯少年人身自由部分，不符憲法第二十三條之比例原則，亦與憲法第二十二條保障少年人格權之意旨有違，應自本解釋公布之日起，至遲於屆滿一個月時，失其效力。</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82" w:anchor="r665" w:history="1">
              <w:r w:rsidRPr="0034744C">
                <w:rPr>
                  <w:rStyle w:val="a7"/>
                  <w:rFonts w:cs="Times New Roman"/>
                  <w:sz w:val="24"/>
                  <w:lang w:eastAsia="zh-TW" w:bidi="ar-SA"/>
                </w:rPr>
                <w:t>665</w:t>
              </w:r>
            </w:hyperlink>
          </w:p>
        </w:tc>
        <w:tc>
          <w:tcPr>
            <w:tcW w:w="4437" w:type="pct"/>
            <w:shd w:val="clear" w:color="auto" w:fill="auto"/>
          </w:tcPr>
          <w:p w:rsidR="0049577B" w:rsidRPr="00C9725A" w:rsidRDefault="00AE1031" w:rsidP="00150351">
            <w:pPr>
              <w:ind w:leftChars="13" w:left="34"/>
              <w:rPr>
                <w:sz w:val="24"/>
              </w:rPr>
            </w:pPr>
            <w:bookmarkStart w:id="43" w:name="_Hlk523436047"/>
            <w:r w:rsidRPr="00C9725A">
              <w:rPr>
                <w:sz w:val="24"/>
              </w:rPr>
              <w:t>【解釋爭點】</w:t>
            </w:r>
          </w:p>
          <w:p w:rsidR="0049577B" w:rsidRPr="00C9725A" w:rsidRDefault="0049577B" w:rsidP="00150351">
            <w:pPr>
              <w:ind w:leftChars="13" w:left="34"/>
              <w:rPr>
                <w:sz w:val="24"/>
              </w:rPr>
            </w:pPr>
            <w:r w:rsidRPr="00C9725A">
              <w:rPr>
                <w:sz w:val="24"/>
              </w:rPr>
              <w:t>１．臺北地院刑庭分案要點就相牽連案件併案規定；</w:t>
            </w:r>
          </w:p>
          <w:p w:rsidR="0049577B" w:rsidRPr="00C9725A" w:rsidRDefault="0049577B" w:rsidP="00150351">
            <w:pPr>
              <w:ind w:leftChars="13" w:left="34"/>
              <w:rPr>
                <w:sz w:val="24"/>
              </w:rPr>
            </w:pPr>
            <w:r w:rsidRPr="00C9725A">
              <w:rPr>
                <w:sz w:val="24"/>
              </w:rPr>
              <w:t>２．刑訴法重罪羈押、檢察官於審判中對停止羈押裁判抗告權規定，合憲？</w:t>
            </w:r>
          </w:p>
          <w:bookmarkEnd w:id="43"/>
          <w:p w:rsidR="0049577B" w:rsidRPr="00C9725A" w:rsidRDefault="00AE1031" w:rsidP="00150351">
            <w:pPr>
              <w:ind w:leftChars="13" w:left="34"/>
              <w:rPr>
                <w:sz w:val="24"/>
              </w:rPr>
            </w:pPr>
            <w:r w:rsidRPr="00C9725A">
              <w:rPr>
                <w:sz w:val="24"/>
              </w:rPr>
              <w:t>【解釋文】</w:t>
            </w:r>
          </w:p>
          <w:p w:rsidR="0049577B" w:rsidRPr="00C9725A" w:rsidRDefault="00AC6AC1" w:rsidP="00150351">
            <w:pPr>
              <w:ind w:leftChars="13" w:left="34"/>
              <w:rPr>
                <w:sz w:val="24"/>
              </w:rPr>
            </w:pPr>
            <w:r>
              <w:rPr>
                <w:sz w:val="24"/>
              </w:rPr>
              <w:t xml:space="preserve">　　</w:t>
            </w:r>
            <w:r w:rsidR="0049577B" w:rsidRPr="00C9725A">
              <w:rPr>
                <w:sz w:val="24"/>
              </w:rPr>
              <w:t>一、臺灣臺北地方法院刑事庭分案要點第十點及第四十三點規定，與憲法第十六條保障人民訴訟權之意旨，尚無違背。</w:t>
            </w:r>
          </w:p>
          <w:p w:rsidR="0049577B" w:rsidRPr="00C9725A" w:rsidRDefault="00AC6AC1" w:rsidP="00150351">
            <w:pPr>
              <w:ind w:leftChars="13" w:left="34"/>
              <w:rPr>
                <w:sz w:val="24"/>
              </w:rPr>
            </w:pPr>
            <w:r>
              <w:rPr>
                <w:sz w:val="24"/>
              </w:rPr>
              <w:t xml:space="preserve">　　</w:t>
            </w:r>
            <w:r w:rsidR="0049577B" w:rsidRPr="00C9725A">
              <w:rPr>
                <w:sz w:val="24"/>
              </w:rPr>
              <w:t>二、刑事訴訟法第一百零一條第一項第三款規定，於被告犯該款規定之罪，犯罪嫌疑重大，且有相當理由認為有逃亡、湮滅、偽造、變造證據或勾串共犯或證人之虞，非予羈押，顯難進行追訴、審判或執行者，得羈押之。於此範圍內，該條款規定符合憲法第二十三條之比例原則，與憲法第八條保障人民身體自由及第十六條保障人民訴訟權之意旨，尚無牴觸。</w:t>
            </w:r>
          </w:p>
          <w:p w:rsidR="0049577B" w:rsidRPr="00C9725A" w:rsidRDefault="00AC6AC1" w:rsidP="00150351">
            <w:pPr>
              <w:ind w:leftChars="13" w:left="34"/>
              <w:rPr>
                <w:sz w:val="24"/>
              </w:rPr>
            </w:pPr>
            <w:r>
              <w:rPr>
                <w:sz w:val="24"/>
              </w:rPr>
              <w:t xml:space="preserve">　　</w:t>
            </w:r>
            <w:r w:rsidR="0049577B" w:rsidRPr="00C9725A">
              <w:rPr>
                <w:sz w:val="24"/>
              </w:rPr>
              <w:t>三、刑事訴訟法第四百零三條第一項關於檢察官對於審判中法院所為停止羈押之裁定得提起抗告之規定部分，與憲法第十六條保障人民訴訟權之意旨，並無不符。</w:t>
            </w:r>
          </w:p>
          <w:p w:rsidR="0049577B" w:rsidRPr="00C9725A" w:rsidRDefault="00AC6AC1" w:rsidP="00150351">
            <w:pPr>
              <w:ind w:leftChars="13" w:left="34"/>
              <w:rPr>
                <w:kern w:val="0"/>
                <w:sz w:val="24"/>
              </w:rPr>
            </w:pPr>
            <w:r>
              <w:rPr>
                <w:sz w:val="24"/>
              </w:rPr>
              <w:t xml:space="preserve">　　</w:t>
            </w:r>
            <w:r w:rsidR="0049577B" w:rsidRPr="00C9725A">
              <w:rPr>
                <w:sz w:val="24"/>
              </w:rPr>
              <w:t>四、本件關於聲請命臺灣臺北地方法院停止審理九十七年度金矚重訴字第一號刑事案件，改依該法院中華民國九十七年十二月十二日之分案結果進行審理之暫時處分部分，已無審酌必要；關於聲請命該法院立即停止羈押聲請人之暫時處分部分，核與本院釋字第五八五號及第五九九號解釋意旨不符，均應予駁回。</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83" w:anchor="r669" w:history="1">
              <w:r w:rsidRPr="0034744C">
                <w:rPr>
                  <w:rStyle w:val="a7"/>
                  <w:rFonts w:cs="Times New Roman"/>
                  <w:sz w:val="24"/>
                  <w:lang w:eastAsia="zh-TW" w:bidi="ar-SA"/>
                </w:rPr>
                <w:t>669</w:t>
              </w:r>
            </w:hyperlink>
          </w:p>
        </w:tc>
        <w:tc>
          <w:tcPr>
            <w:tcW w:w="4437" w:type="pct"/>
            <w:shd w:val="clear" w:color="auto" w:fill="auto"/>
          </w:tcPr>
          <w:p w:rsidR="009670C0" w:rsidRPr="009670C0" w:rsidRDefault="009670C0" w:rsidP="009670C0">
            <w:pPr>
              <w:spacing w:line="240" w:lineRule="auto"/>
              <w:ind w:leftChars="0" w:left="0" w:rightChars="0" w:right="0"/>
              <w:rPr>
                <w:sz w:val="24"/>
              </w:rPr>
            </w:pPr>
            <w:r w:rsidRPr="009670C0">
              <w:rPr>
                <w:sz w:val="24"/>
              </w:rPr>
              <w:t>【解釋爭點】槍砲條例</w:t>
            </w:r>
            <w:hyperlink r:id="rId184" w:anchor="a8" w:history="1">
              <w:r w:rsidRPr="009670C0">
                <w:rPr>
                  <w:rStyle w:val="a7"/>
                  <w:sz w:val="24"/>
                  <w:lang w:eastAsia="zh-TW"/>
                </w:rPr>
                <w:t>第8條</w:t>
              </w:r>
            </w:hyperlink>
            <w:r w:rsidRPr="009670C0">
              <w:rPr>
                <w:sz w:val="24"/>
              </w:rPr>
              <w:t>第1項關於空氣槍之處罰規定違憲?</w:t>
            </w:r>
          </w:p>
          <w:p w:rsidR="0049577B" w:rsidRPr="00C9725A" w:rsidRDefault="00AE1031" w:rsidP="00AC6AC1">
            <w:pPr>
              <w:ind w:leftChars="13" w:left="34"/>
              <w:rPr>
                <w:kern w:val="0"/>
                <w:sz w:val="24"/>
              </w:rPr>
            </w:pPr>
            <w:r w:rsidRPr="00C9725A">
              <w:rPr>
                <w:sz w:val="24"/>
              </w:rPr>
              <w:t>【解釋文】</w:t>
            </w:r>
            <w:r w:rsidR="0049577B" w:rsidRPr="00C9725A">
              <w:rPr>
                <w:sz w:val="24"/>
              </w:rPr>
              <w:t>槍砲彈藥刀械管制條例第八條第一項規定：「未經許可，製造、販賣或運輸鋼筆槍、瓦斯槍、麻醉槍、獵槍、空氣槍或第四條第一項第一款所定其他可發射金屬或子彈具有殺傷力之各式槍砲者，處無期徒刑或五年以上有期徒刑，併科新臺幣一千萬元以下罰金。」其中以未經許可製造、販賣、運輸具殺傷力之空氣槍為處罰要件部分，不論行為人犯罪情節之輕重，均以無期徒刑或五年以上有期徒刑之重度自由刑相繩，對違法情節輕微、顯可憫恕之個案，法院縱適用刑法第五十九條規定酌減其刑，最低刑度仍達二年六月以上之有期徒刑，無從具體考量行為人所應負責任之輕微，為易科罰金或緩刑之宣告，尚嫌情輕法重，致罪責與處罰不相對應。首揭規定有關空氣槍部分，對犯該罪而情節輕微者，未併為得減輕其刑或另為適當刑度之規定，對人民受憲法第八條保障人身自由權所為之限制，有違憲法第二十三條之比例原則，應自本解釋公布之日起至遲於一年屆滿時，失其效力。</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85" w:anchor="r670" w:history="1">
              <w:r w:rsidRPr="0034744C">
                <w:rPr>
                  <w:rStyle w:val="a7"/>
                  <w:rFonts w:cs="Times New Roman"/>
                  <w:sz w:val="24"/>
                  <w:lang w:eastAsia="zh-TW" w:bidi="ar-SA"/>
                </w:rPr>
                <w:t>670</w:t>
              </w:r>
            </w:hyperlink>
          </w:p>
        </w:tc>
        <w:tc>
          <w:tcPr>
            <w:tcW w:w="4437" w:type="pct"/>
            <w:shd w:val="clear" w:color="auto" w:fill="auto"/>
          </w:tcPr>
          <w:p w:rsidR="0049577B" w:rsidRPr="009670C0" w:rsidRDefault="009670C0" w:rsidP="009670C0">
            <w:pPr>
              <w:spacing w:line="240" w:lineRule="auto"/>
              <w:ind w:leftChars="0" w:left="0" w:rightChars="0" w:right="0"/>
              <w:rPr>
                <w:sz w:val="22"/>
              </w:rPr>
            </w:pPr>
            <w:bookmarkStart w:id="44" w:name="_Hlk523436150"/>
            <w:r w:rsidRPr="009670C0">
              <w:rPr>
                <w:sz w:val="24"/>
              </w:rPr>
              <w:t>【解釋爭點】冤賠法</w:t>
            </w:r>
            <w:hyperlink r:id="rId186" w:anchor="b2" w:history="1">
              <w:r w:rsidRPr="009670C0">
                <w:rPr>
                  <w:rStyle w:val="a7"/>
                  <w:sz w:val="24"/>
                  <w:lang w:eastAsia="zh-TW"/>
                </w:rPr>
                <w:t>第2條</w:t>
              </w:r>
            </w:hyperlink>
            <w:r w:rsidRPr="009670C0">
              <w:rPr>
                <w:sz w:val="24"/>
              </w:rPr>
              <w:t>第3款因故意或重大過失受押不賠償違憲?</w:t>
            </w:r>
          </w:p>
          <w:bookmarkEnd w:id="44"/>
          <w:p w:rsidR="0049577B" w:rsidRPr="00C9725A" w:rsidRDefault="00AE1031" w:rsidP="00AC6AC1">
            <w:pPr>
              <w:ind w:leftChars="13" w:left="34"/>
              <w:rPr>
                <w:kern w:val="0"/>
                <w:sz w:val="24"/>
              </w:rPr>
            </w:pPr>
            <w:r w:rsidRPr="00C9725A">
              <w:rPr>
                <w:sz w:val="24"/>
              </w:rPr>
              <w:t>【解釋文】</w:t>
            </w:r>
            <w:r w:rsidR="0049577B" w:rsidRPr="00C9725A">
              <w:rPr>
                <w:sz w:val="24"/>
              </w:rPr>
              <w:t>受無罪判決確定之受害人，因有故意或重大過失行為致依刑事訴訟法第一百零一條第一項或軍事審判法第一百零二條第一項受羈押者，依冤獄賠償法第二條第三款規定，不得請求賠償，並未斟酌受害人致受羈押之行為，係涉嫌實現犯罪構成要件或係妨礙、誤導偵查審判，亦無論受害人致受羈押行為可歸責程度之輕重及因羈押所受損失之大小，皆一律排除全部之補償請求，並非避免補償失當或浮濫等情事所必要，不符冤獄賠償法對個別人民身體之自由，因實現國家刑罰權之公共利益，受有超越一般應容忍程度之特別犧牲時，給予所規範之補償，以符合憲法保障人民身體自由及平等權之立法意旨，而與憲法第二十三條之比例原則有違，應自本解釋公布之日起至遲於屆滿二年時失其效力。</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87" w:anchor="r677" w:history="1">
              <w:r w:rsidRPr="0034744C">
                <w:rPr>
                  <w:rStyle w:val="a7"/>
                  <w:rFonts w:cs="Times New Roman"/>
                  <w:sz w:val="24"/>
                  <w:lang w:eastAsia="zh-TW" w:bidi="ar-SA"/>
                </w:rPr>
                <w:t>677</w:t>
              </w:r>
            </w:hyperlink>
          </w:p>
        </w:tc>
        <w:tc>
          <w:tcPr>
            <w:tcW w:w="4437" w:type="pct"/>
            <w:shd w:val="clear" w:color="auto" w:fill="auto"/>
          </w:tcPr>
          <w:p w:rsidR="00600540" w:rsidRPr="00600540" w:rsidRDefault="00600540" w:rsidP="00600540">
            <w:pPr>
              <w:spacing w:line="240" w:lineRule="auto"/>
              <w:ind w:leftChars="0" w:left="0" w:rightChars="0" w:right="0"/>
              <w:rPr>
                <w:sz w:val="24"/>
              </w:rPr>
            </w:pPr>
            <w:r w:rsidRPr="00600540">
              <w:rPr>
                <w:sz w:val="24"/>
              </w:rPr>
              <w:t>【解釋爭點】</w:t>
            </w:r>
            <w:hyperlink r:id="rId188" w:history="1">
              <w:r w:rsidRPr="00600540">
                <w:rPr>
                  <w:rStyle w:val="a7"/>
                  <w:sz w:val="24"/>
                  <w:lang w:eastAsia="zh-TW"/>
                </w:rPr>
                <w:t>監獄行刑法</w:t>
              </w:r>
            </w:hyperlink>
            <w:r w:rsidRPr="00600540">
              <w:rPr>
                <w:sz w:val="24"/>
              </w:rPr>
              <w:t>關於執行期滿者，應於其刑期終了次日午前釋放之規定，違憲?</w:t>
            </w:r>
          </w:p>
          <w:p w:rsidR="0049577B" w:rsidRPr="00C9725A" w:rsidRDefault="00AE1031" w:rsidP="00150351">
            <w:pPr>
              <w:ind w:leftChars="13" w:left="34"/>
              <w:rPr>
                <w:sz w:val="24"/>
              </w:rPr>
            </w:pPr>
            <w:r w:rsidRPr="00C9725A">
              <w:rPr>
                <w:sz w:val="24"/>
              </w:rPr>
              <w:t>【解釋文】</w:t>
            </w:r>
            <w:r w:rsidR="0049577B" w:rsidRPr="00C9725A">
              <w:rPr>
                <w:sz w:val="24"/>
              </w:rPr>
              <w:t>監獄行刑法第八十三條第一項關於執行期滿者，應於其刑期終了之次日午前釋放之規定部分，使受刑人於刑期執行期滿後，未經法定程序仍受拘禁，侵害其人身自由，有違正當法律程序，且所採取限制受刑人身體自由之手段亦非必要，牴觸憲法第八條及第二十三條之規定，與本解釋意旨不符部分，應自中華民國九十九年六月一日起失其效力。有關機關應儘速依本解釋意旨，就受刑人釋放事宜予以妥善規範。相關規定修正前，受刑人應於其刑期終了當日之午前釋放。</w:t>
            </w:r>
          </w:p>
          <w:p w:rsidR="0049577B" w:rsidRPr="00C9725A" w:rsidRDefault="0049577B" w:rsidP="00150351">
            <w:pPr>
              <w:ind w:leftChars="13" w:left="34"/>
              <w:rPr>
                <w:sz w:val="24"/>
              </w:rPr>
            </w:pPr>
            <w:r w:rsidRPr="00C9725A">
              <w:rPr>
                <w:sz w:val="24"/>
              </w:rPr>
              <w:t xml:space="preserve">　　本件聲請人就上開監獄行刑法第八十三條第一項規定所為暫時處分之聲請部分，因本案業經作成解釋，無作成暫時處分之必要，應予駁回。</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89" w:anchor="r681" w:history="1">
              <w:r w:rsidRPr="0034744C">
                <w:rPr>
                  <w:rStyle w:val="a7"/>
                  <w:rFonts w:cs="Times New Roman"/>
                  <w:sz w:val="24"/>
                  <w:lang w:eastAsia="zh-TW" w:bidi="ar-SA"/>
                </w:rPr>
                <w:t>681</w:t>
              </w:r>
            </w:hyperlink>
          </w:p>
        </w:tc>
        <w:tc>
          <w:tcPr>
            <w:tcW w:w="4437" w:type="pct"/>
            <w:shd w:val="clear" w:color="auto" w:fill="auto"/>
          </w:tcPr>
          <w:p w:rsidR="0049577B" w:rsidRPr="00C9725A" w:rsidRDefault="00AE1031" w:rsidP="00150351">
            <w:pPr>
              <w:ind w:leftChars="13" w:left="34"/>
              <w:rPr>
                <w:sz w:val="24"/>
              </w:rPr>
            </w:pPr>
            <w:bookmarkStart w:id="45" w:name="_Hlk523436304"/>
            <w:r w:rsidRPr="00C9725A">
              <w:rPr>
                <w:sz w:val="24"/>
              </w:rPr>
              <w:t>【解釋爭點】</w:t>
            </w:r>
            <w:r w:rsidR="0049577B" w:rsidRPr="00C9725A">
              <w:rPr>
                <w:sz w:val="24"/>
              </w:rPr>
              <w:t>不服撤銷假釋處分，不得提起行政爭訟；如有異議，應俟執行殘刑時，向原裁判法院為之，違憲？</w:t>
            </w:r>
          </w:p>
          <w:bookmarkEnd w:id="45"/>
          <w:p w:rsidR="0049577B" w:rsidRPr="00C9725A" w:rsidRDefault="00AE1031" w:rsidP="00AC6AC1">
            <w:pPr>
              <w:ind w:leftChars="13" w:left="34"/>
              <w:rPr>
                <w:sz w:val="24"/>
              </w:rPr>
            </w:pPr>
            <w:r w:rsidRPr="00C9725A">
              <w:rPr>
                <w:sz w:val="24"/>
              </w:rPr>
              <w:t>【解釋文】</w:t>
            </w:r>
            <w:r w:rsidR="0049577B" w:rsidRPr="00C9725A">
              <w:rPr>
                <w:sz w:val="24"/>
              </w:rPr>
              <w:t>最高行政法院中華民國九十三年二月份庭長法官聯席會議決議：「假釋之撤銷屬刑事裁判執行之一環，為廣義之司法行政處分，如有不服，其救濟程序，應依刑事訴訟法第四百八十四條之規定，即俟檢察官指揮執行該假釋撤銷後之殘餘徒刑時，再由受刑人或其法定代理人或配偶向當初諭知該刑事裁判之法院聲明異議，不得提起行政爭訟。」及刑事訴訟法第四百八十四條規定：「受刑人或其法定代理人或配偶以檢察官執行之指揮為不當者，得向諭知該裁判之法院聲明異議。」並未剝奪人民就撤銷假釋處分依法向法院提起訴訟尋求救濟之機會，與憲法保障訴訟權之意旨尚無牴觸。惟受假釋人之假釋處分經撤銷者，依上開規定向法院聲明異議，須俟檢察官指揮執行殘餘刑期後，始得向法院提起救濟，對受假釋人訴訟權之保障尚非周全，相關機關應儘速予以檢討改進，俾使不服主管機關撤銷假釋之受假釋人，於入監執行殘餘刑期前，得適時向法院請求救濟。</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90" w:anchor="r690" w:history="1">
              <w:r w:rsidRPr="0034744C">
                <w:rPr>
                  <w:rStyle w:val="a7"/>
                  <w:rFonts w:cs="Times New Roman"/>
                  <w:sz w:val="24"/>
                  <w:lang w:eastAsia="zh-TW" w:bidi="ar-SA"/>
                </w:rPr>
                <w:t>690</w:t>
              </w:r>
            </w:hyperlink>
          </w:p>
        </w:tc>
        <w:tc>
          <w:tcPr>
            <w:tcW w:w="4437" w:type="pct"/>
            <w:shd w:val="clear" w:color="auto" w:fill="auto"/>
          </w:tcPr>
          <w:p w:rsidR="00600540" w:rsidRPr="00600540" w:rsidRDefault="00600540" w:rsidP="00600540">
            <w:pPr>
              <w:spacing w:line="240" w:lineRule="auto"/>
              <w:ind w:leftChars="0" w:left="0" w:rightChars="0" w:right="0"/>
              <w:rPr>
                <w:sz w:val="24"/>
              </w:rPr>
            </w:pPr>
            <w:r w:rsidRPr="00600540">
              <w:rPr>
                <w:sz w:val="24"/>
              </w:rPr>
              <w:t>【</w:t>
            </w:r>
            <w:r w:rsidRPr="00600540">
              <w:rPr>
                <w:rFonts w:hint="eastAsia"/>
                <w:sz w:val="24"/>
              </w:rPr>
              <w:t>爭點</w:t>
            </w:r>
            <w:r w:rsidRPr="00600540">
              <w:rPr>
                <w:sz w:val="24"/>
              </w:rPr>
              <w:t>】</w:t>
            </w:r>
            <w:r w:rsidRPr="00600540">
              <w:rPr>
                <w:rFonts w:hint="eastAsia"/>
                <w:sz w:val="24"/>
              </w:rPr>
              <w:t>91.1.31傳染病防治法</w:t>
            </w:r>
            <w:hyperlink r:id="rId191" w:anchor="a37" w:history="1">
              <w:r w:rsidRPr="00600540">
                <w:rPr>
                  <w:rStyle w:val="a7"/>
                  <w:rFonts w:hint="eastAsia"/>
                  <w:sz w:val="24"/>
                  <w:lang w:eastAsia="zh-TW"/>
                </w:rPr>
                <w:t>第37條</w:t>
              </w:r>
            </w:hyperlink>
            <w:r w:rsidRPr="00600540">
              <w:rPr>
                <w:rFonts w:hint="eastAsia"/>
                <w:sz w:val="24"/>
              </w:rPr>
              <w:t>第1項所定「必要之處置」包含強制隔離在內，違憲？</w:t>
            </w:r>
          </w:p>
          <w:p w:rsidR="0049577B" w:rsidRPr="00C9725A" w:rsidRDefault="00AE1031" w:rsidP="00150351">
            <w:pPr>
              <w:ind w:leftChars="13" w:left="34"/>
              <w:rPr>
                <w:sz w:val="24"/>
              </w:rPr>
            </w:pPr>
            <w:r w:rsidRPr="00C9725A">
              <w:rPr>
                <w:sz w:val="24"/>
              </w:rPr>
              <w:t>【解釋文】</w:t>
            </w:r>
            <w:r w:rsidR="0049577B" w:rsidRPr="00C9725A">
              <w:rPr>
                <w:sz w:val="24"/>
              </w:rPr>
              <w:t>中華民國九十一年一月三十日修正公布之傳染病防治法第三十七條第一項規定：「曾與傳染病病人接觸或疑似被傳染者，得由該管主管機關予以留驗；必要時，得令遷入指定之處所檢查，或施行預防接種等必要之處置。」關於必要之處置應包含強制隔離在內之部分，對人身自由之限制，尚不違反法律明確性原則，亦未牴觸憲法第二十三條之比例原則，與憲法第八條依正當法律程序之意旨尚無違背。</w:t>
            </w:r>
          </w:p>
          <w:p w:rsidR="0049577B" w:rsidRPr="00C9725A" w:rsidRDefault="0049577B" w:rsidP="00150351">
            <w:pPr>
              <w:ind w:leftChars="13" w:left="34"/>
              <w:rPr>
                <w:sz w:val="24"/>
              </w:rPr>
            </w:pPr>
            <w:r w:rsidRPr="00C9725A">
              <w:rPr>
                <w:sz w:val="24"/>
              </w:rPr>
              <w:t xml:space="preserve">　　曾與傳染病病人接觸或疑似被傳染者，於受強制隔離處置時，人身自由即遭受剝奪，為使其受隔離之期間能合理而不過長，仍宜明確規範強制隔離應有合理之最長期限，及決定施行強制隔離處置相關之組織、程序等辦法以資依循，並建立受隔離者或其親屬不服得及時請求法院救濟，暨對前述受強制隔離者予以合理補償之機制，相關機關宜儘速通盤檢討傳染病防治法制。</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92" w:anchor="r691" w:history="1">
              <w:r w:rsidRPr="0034744C">
                <w:rPr>
                  <w:rStyle w:val="a7"/>
                  <w:rFonts w:cs="Times New Roman"/>
                  <w:sz w:val="24"/>
                  <w:lang w:eastAsia="zh-TW" w:bidi="ar-SA"/>
                </w:rPr>
                <w:t>691</w:t>
              </w:r>
            </w:hyperlink>
          </w:p>
        </w:tc>
        <w:tc>
          <w:tcPr>
            <w:tcW w:w="4437" w:type="pct"/>
            <w:shd w:val="clear" w:color="auto" w:fill="auto"/>
          </w:tcPr>
          <w:p w:rsidR="0049577B" w:rsidRPr="00C9725A" w:rsidRDefault="00AE1031" w:rsidP="00150351">
            <w:pPr>
              <w:ind w:leftChars="13" w:left="34"/>
              <w:rPr>
                <w:sz w:val="24"/>
              </w:rPr>
            </w:pPr>
            <w:r w:rsidRPr="00C9725A">
              <w:rPr>
                <w:sz w:val="24"/>
              </w:rPr>
              <w:t>【解釋爭點】</w:t>
            </w:r>
            <w:r w:rsidR="0049577B" w:rsidRPr="00C9725A">
              <w:rPr>
                <w:sz w:val="24"/>
              </w:rPr>
              <w:t>受刑人不服行政機關否准假釋決定訴請救濟由何種法院審理？</w:t>
            </w:r>
          </w:p>
          <w:p w:rsidR="0049577B" w:rsidRPr="00C9725A" w:rsidRDefault="00AE1031" w:rsidP="00AC6AC1">
            <w:pPr>
              <w:ind w:leftChars="13" w:left="34"/>
              <w:rPr>
                <w:sz w:val="24"/>
              </w:rPr>
            </w:pPr>
            <w:r w:rsidRPr="00C9725A">
              <w:rPr>
                <w:sz w:val="24"/>
              </w:rPr>
              <w:t>【解釋文】</w:t>
            </w:r>
            <w:r w:rsidR="0049577B" w:rsidRPr="00C9725A">
              <w:rPr>
                <w:sz w:val="24"/>
              </w:rPr>
              <w:t>受刑人不服行政機關不予假釋之決定者，其救濟有待立法為通盤考量決定之。在相關法律修正前，由行政法院審理。</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93" w:anchor="r699" w:history="1">
              <w:r w:rsidRPr="0034744C">
                <w:rPr>
                  <w:rStyle w:val="a7"/>
                  <w:rFonts w:cs="Times New Roman"/>
                  <w:sz w:val="24"/>
                  <w:lang w:eastAsia="zh-TW" w:bidi="ar-SA"/>
                </w:rPr>
                <w:t>699</w:t>
              </w:r>
            </w:hyperlink>
          </w:p>
        </w:tc>
        <w:tc>
          <w:tcPr>
            <w:tcW w:w="4437" w:type="pct"/>
            <w:shd w:val="clear" w:color="auto" w:fill="auto"/>
          </w:tcPr>
          <w:p w:rsidR="0049577B" w:rsidRPr="00C9725A" w:rsidRDefault="00AE1031" w:rsidP="00150351">
            <w:pPr>
              <w:ind w:leftChars="13" w:left="34"/>
              <w:rPr>
                <w:sz w:val="24"/>
              </w:rPr>
            </w:pPr>
            <w:r w:rsidRPr="00C9725A">
              <w:rPr>
                <w:sz w:val="24"/>
              </w:rPr>
              <w:t>【解釋爭點】</w:t>
            </w:r>
            <w:r w:rsidR="0049577B" w:rsidRPr="00C9725A">
              <w:rPr>
                <w:sz w:val="24"/>
              </w:rPr>
              <w:t>汽車駕駛人拒絕酒測者，吊銷其駕照、禁其三年內考領駕照，並吊銷所持各級車類駕照之規定，違憲？</w:t>
            </w:r>
          </w:p>
          <w:p w:rsidR="0049577B" w:rsidRPr="00C9725A" w:rsidRDefault="00AE1031" w:rsidP="00AC6AC1">
            <w:pPr>
              <w:ind w:leftChars="13" w:left="34"/>
              <w:rPr>
                <w:sz w:val="24"/>
              </w:rPr>
            </w:pPr>
            <w:r w:rsidRPr="00C9725A">
              <w:rPr>
                <w:sz w:val="24"/>
              </w:rPr>
              <w:t>【解釋文】</w:t>
            </w:r>
            <w:r w:rsidR="0049577B" w:rsidRPr="00C9725A">
              <w:rPr>
                <w:sz w:val="24"/>
              </w:rPr>
              <w:t>道路交通管理處罰條例第三十五條第四項前段規定，汽車駕駛人拒絕接受同條第一項第一款酒精濃度測試之檢定者，吊銷其駕駛執照。同條例第六十七條第二項前段復規定，汽車駕駛人曾依第三十五條第四項前段規定吊銷駕駛執照者，三年內不得考領駕駛執照。又中華民國九十四年十二月十四日修正公布之同條例第六十八條另規定，汽車駕駛人因第三十五條第四項前段規定而受吊銷駕駛執照處分者，吊銷其持有各級車類之駕駛執照。上開規定與憲法第二十三條比例原則尚無牴觸，而與憲法保障人民行動自由及工作權之意旨無違。</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94" w:anchor="r708" w:history="1">
              <w:r w:rsidRPr="0034744C">
                <w:rPr>
                  <w:rStyle w:val="a7"/>
                  <w:rFonts w:cs="Times New Roman"/>
                  <w:sz w:val="24"/>
                  <w:lang w:eastAsia="zh-TW" w:bidi="ar-SA"/>
                </w:rPr>
                <w:t>708</w:t>
              </w:r>
            </w:hyperlink>
          </w:p>
        </w:tc>
        <w:tc>
          <w:tcPr>
            <w:tcW w:w="4437" w:type="pct"/>
            <w:shd w:val="clear" w:color="auto" w:fill="auto"/>
          </w:tcPr>
          <w:p w:rsidR="0049577B" w:rsidRPr="00C9725A" w:rsidRDefault="00AE1031" w:rsidP="00150351">
            <w:pPr>
              <w:ind w:leftChars="13" w:left="34"/>
              <w:rPr>
                <w:sz w:val="24"/>
              </w:rPr>
            </w:pPr>
            <w:r w:rsidRPr="00C9725A">
              <w:rPr>
                <w:sz w:val="24"/>
              </w:rPr>
              <w:t>【解釋爭點】</w:t>
            </w:r>
            <w:r w:rsidR="0049577B" w:rsidRPr="00C9725A">
              <w:rPr>
                <w:sz w:val="24"/>
              </w:rPr>
              <w:t>外國人受驅逐前由移民署為暫時收容，未有即時司法救濟；又逾越暫時收容期間之收容，非由法院審查決定，均違憲？</w:t>
            </w:r>
          </w:p>
          <w:p w:rsidR="0049577B" w:rsidRPr="00C9725A" w:rsidRDefault="00AE1031" w:rsidP="00150351">
            <w:pPr>
              <w:ind w:leftChars="13" w:left="34"/>
              <w:rPr>
                <w:sz w:val="24"/>
              </w:rPr>
            </w:pPr>
            <w:r w:rsidRPr="00C9725A">
              <w:rPr>
                <w:sz w:val="24"/>
              </w:rPr>
              <w:t>【解釋文】</w:t>
            </w:r>
            <w:r w:rsidR="0049577B" w:rsidRPr="00C9725A">
              <w:rPr>
                <w:sz w:val="24"/>
              </w:rPr>
              <w:t>中華民國九十六年十二月二十六日修正公布之入出國及移民法第三十八條第一項：「外國人有下列情形之一者，入出國及移民署得暫予收容……」（即一００年十一月二十三日修正公布同條項：「外國人有下列情形之一，……入出國及移民署得暫予收容……」）之規定，其因遣送所需合理作業期間之暫時收容部分，未賦予受暫時收容人即時之司法救濟；又逾越上開暫時收容期間之收容部分，非由法院審查決定，均有違憲法第八條第一項保障人民身體自由之意旨，應自本解釋公布之日起，至遲於屆滿二年時，失其效力。</w:t>
            </w:r>
          </w:p>
          <w:p w:rsidR="0049577B" w:rsidRPr="00C9725A" w:rsidRDefault="00AC6AC1" w:rsidP="00150351">
            <w:pPr>
              <w:ind w:leftChars="13" w:left="34"/>
              <w:rPr>
                <w:sz w:val="24"/>
              </w:rPr>
            </w:pPr>
            <w:r w:rsidRPr="00C9725A">
              <w:rPr>
                <w:sz w:val="24"/>
              </w:rPr>
              <w:t>【</w:t>
            </w:r>
            <w:r w:rsidR="0049577B" w:rsidRPr="00C9725A">
              <w:rPr>
                <w:sz w:val="24"/>
              </w:rPr>
              <w:t>李震山大法官不同意見書</w:t>
            </w:r>
            <w:r w:rsidRPr="00C9725A">
              <w:rPr>
                <w:sz w:val="24"/>
              </w:rPr>
              <w:t>】</w:t>
            </w:r>
          </w:p>
          <w:p w:rsidR="0049577B" w:rsidRPr="00C9725A" w:rsidRDefault="00AC6AC1" w:rsidP="00150351">
            <w:pPr>
              <w:ind w:leftChars="13" w:left="34"/>
              <w:rPr>
                <w:sz w:val="24"/>
              </w:rPr>
            </w:pPr>
            <w:r>
              <w:rPr>
                <w:sz w:val="24"/>
              </w:rPr>
              <w:t xml:space="preserve">　　</w:t>
            </w:r>
            <w:r w:rsidR="0049577B" w:rsidRPr="00C9725A">
              <w:rPr>
                <w:sz w:val="24"/>
              </w:rPr>
              <w:t>本件解釋既同意適用「法官保留」制度，表示認同人身自由剝奪之救濟急迫性，卻又同時創設以十五日為上限的「合理作業期間」制度，除予人挑戰、鬆動而蛀蝕人身自由剝奪應由法院「立即、迅速或不可遲延」介入的「二十四小時」憲法核心理念的疑慮外，並無助於增進行政效能與減輕司法負擔，恐難逃畫蛇添足、治絲益棼之評價以公權力所為剝奪人身自由的行政措施，往往是措施之決定與執行併行，而現有不服行政措施所設的修補或救濟制度，就人身自由剝奪事件權利受侵害的不可回復性與救濟急迫性觀點而言，大部分不是緩不濟急，就是亡羊補牢，至多僅為遲到的正義。</w:t>
            </w:r>
          </w:p>
          <w:p w:rsidR="0049577B" w:rsidRPr="00C9725A" w:rsidRDefault="00AC6AC1" w:rsidP="00150351">
            <w:pPr>
              <w:ind w:leftChars="13" w:left="34"/>
              <w:rPr>
                <w:sz w:val="24"/>
              </w:rPr>
            </w:pPr>
            <w:r>
              <w:rPr>
                <w:sz w:val="24"/>
              </w:rPr>
              <w:t xml:space="preserve">　　</w:t>
            </w:r>
            <w:r w:rsidR="0049577B" w:rsidRPr="00C9725A">
              <w:rPr>
                <w:sz w:val="24"/>
              </w:rPr>
              <w:t>例如：依行政程序法規定得宣告行政處分無效、撤銷、變更、廢止、失效或決定程序再開等；依訴願法或行政訴訟法提起行政爭訟，包括聲請停止執行；或依國家賠償法、刑事補償法追究國家責任等，大多程序費時、爭訟冗長。因此，憲法方允許人民於事發初始即得由事件關係人先行主觀認定公權力所為之人身自由剝奪是否「依法定程序」，或是否「合法」，並賦予其有請求法院即時介入為明快制約處置之權。就人身自由保障而言，只有類似制度設計較能有效保障人權，避免嗣後爭訟浪費司法或其他國家資源，甚至可累積人民對國家信賴，是理性且人性化之規範。</w:t>
            </w:r>
          </w:p>
          <w:p w:rsidR="0049577B" w:rsidRPr="00C9725A" w:rsidRDefault="0049577B" w:rsidP="00150351">
            <w:pPr>
              <w:ind w:leftChars="13" w:left="34"/>
              <w:rPr>
                <w:sz w:val="24"/>
              </w:rPr>
            </w:pPr>
            <w:r w:rsidRPr="00C9725A">
              <w:rPr>
                <w:sz w:val="24"/>
              </w:rPr>
              <w:t>憲法第八條第一項末句規定：「非依法定程序之逮捕、拘禁、審問、處罰，得拒絕之。」為確保「得拒絕」規定的踐履可能性，該條文分別以第二項與第三項規定之「主動移審」與「聲請提審」，以及第四項規定之「聲請追究」制度為配套，其前後規範之對象、實體與程序要件容有不同，但卻同聲一氣共三次提及「二十四小時」，三度提及「不得拒絕」，一處提及「不得遲延」，明白凸顯「法官保留」中法官介入時點的急迫性特質。因此，若將二十四小時比擬為災害的黃金救援時間，亦不為過。若將之從「法官保留」中抽離，將使「法官保留」淪為沒有魂魄的軀殼，只是人身自由保障的廉價裝飾品。因此，除尚須另經檢驗是否符合憲法規定意旨之法定障礙期間外，若未經修憲，應無由立法或司法機關造法變更「二十四小時」文義的空間。</w:t>
            </w:r>
          </w:p>
          <w:p w:rsidR="0049577B" w:rsidRPr="00C9725A" w:rsidRDefault="0049577B" w:rsidP="00150351">
            <w:pPr>
              <w:ind w:leftChars="13" w:left="34"/>
              <w:rPr>
                <w:sz w:val="24"/>
              </w:rPr>
            </w:pPr>
            <w:r w:rsidRPr="00C9725A">
              <w:rPr>
                <w:sz w:val="24"/>
              </w:rPr>
              <w:t>本件解釋所稱「合理作業期間」，是為準備遣送出國而設，作業上或有其必要。但其與憲法將「二十四小時」定位為人身自由剝奪救濟的「急迫審查期間」，性質上是風馬牛不相及，自無互相取代的空間。僅以「整體法秩序為價值判斷」的模糊辭令，或以「暫時收容」與「暫予收容」用語的隻字之差，試圖將兩者混為一談，予人憲法所定二十四小時「並不合理」的聯想，而得到「並不違反憲法第八條第一項保障人身自由之意旨，是此暫時收容之處分部分，尚無須經由法院審查決定」的結論，恐有失釋憲者立場而難以服人。其刻意規避憲法第八條所明示之「二十四小時」誡命，自行創造的「合理作業期間」，保障程度上甚至比某些立法還低，堂而皇之將十五日寫入必須修憲或再次釋憲始可能變更的本院解釋之內，滯化未來法制進步的空間，確實令人不安。逾越二十四小時的「合理作業期間」例子一開，性質相近的大陸地區人民及香港澳門居民強制出境前的暫予收容，若法律無合憲而得以排除差別對待的特別規定，即應等同辦理。而其他行政性質之剝奪人身自由措施，有關規範應否皆須比照本件解釋而由大法官明確決定「合理作業期間」方具正當性？不無疑慮。就以本院不久前才作成的釋字第六九○號解釋為例，該號解釋明白指出所涉被「強制收容」情形不適用「法官保留」原則，若要再設定類似的「合理作業期間」，恐須變更該號解釋之見解？此外，若將「合理作業期間」讓諸立法者以法律定之，其立法形成自由之有無，以及規定期間之長短等，則是另行衍生有無違反比例原則或平等原則的爭議，此或可從相關舊釋憲聲請案中，尋找出蛛絲馬跡。至於「合理作業期間」實際執行後，是否有助於提昇行政效能或減輕司法負擔，還是可能如同打開潘朶拉的盒子，使合憲性問題之質疑接踵而至，則有待觀察。綜上，憲法給公權力機關剝奪人身自由的「合理作業期間」，應該就只有二十四小時，本件解釋畫蛇添足自創為便於驅逐出國的合理作業期間，除予人挑戰、規避憲法的不良觀感外，若再經不當解讀與適用而異化憲法規定本旨，或被國際間斷章取義引為負面例證，將有害我國人權保障形象，弄巧成拙而得不償失。</w:t>
            </w:r>
          </w:p>
          <w:p w:rsidR="0049577B" w:rsidRPr="00C9725A" w:rsidRDefault="00E72734" w:rsidP="00150351">
            <w:pPr>
              <w:ind w:leftChars="13" w:left="34"/>
              <w:rPr>
                <w:sz w:val="24"/>
              </w:rPr>
            </w:pPr>
            <w:r w:rsidRPr="00E72734">
              <w:rPr>
                <w:rFonts w:hint="eastAsia"/>
                <w:sz w:val="24"/>
              </w:rPr>
              <w:t>【</w:t>
            </w:r>
            <w:r w:rsidR="0049577B" w:rsidRPr="00C9725A">
              <w:rPr>
                <w:sz w:val="24"/>
              </w:rPr>
              <w:t>陳春生大法官不同意見書</w:t>
            </w:r>
            <w:r w:rsidRPr="00E72734">
              <w:rPr>
                <w:rFonts w:hint="eastAsia"/>
                <w:sz w:val="24"/>
              </w:rPr>
              <w:t>】</w:t>
            </w:r>
          </w:p>
          <w:p w:rsidR="0049577B" w:rsidRPr="00C9725A" w:rsidRDefault="00AC6AC1" w:rsidP="00150351">
            <w:pPr>
              <w:ind w:leftChars="13" w:left="34"/>
              <w:rPr>
                <w:sz w:val="24"/>
              </w:rPr>
            </w:pPr>
            <w:r>
              <w:rPr>
                <w:sz w:val="24"/>
              </w:rPr>
              <w:t xml:space="preserve">　　</w:t>
            </w:r>
            <w:r w:rsidR="0049577B" w:rsidRPr="00C9725A">
              <w:rPr>
                <w:sz w:val="24"/>
              </w:rPr>
              <w:t>惟本號解釋創設「合理作業期間」之概念，並認為本號解釋合理作業期間為十五日，亦即，多數意見認為，暫時收容時間不宜過長，但只要不超過十五日，則被允許。換言之，系爭規定賦予入出國及移民署暫予收容被收容人可達六十日之期間，逾越上開十五日之合理作業期間，因此牴觸憲法保障人身自由之意旨云。事實上，此舉（即創設「合理作業期間」）乃不必要也不適當。</w:t>
            </w:r>
          </w:p>
          <w:p w:rsidR="0049577B" w:rsidRPr="00C9725A" w:rsidRDefault="00AC6AC1" w:rsidP="00150351">
            <w:pPr>
              <w:ind w:leftChars="13" w:left="34"/>
              <w:rPr>
                <w:sz w:val="24"/>
              </w:rPr>
            </w:pPr>
            <w:r>
              <w:rPr>
                <w:sz w:val="24"/>
              </w:rPr>
              <w:t xml:space="preserve">　　</w:t>
            </w:r>
            <w:r w:rsidR="0049577B" w:rsidRPr="00C9725A">
              <w:rPr>
                <w:sz w:val="24"/>
              </w:rPr>
              <w:t>一</w:t>
            </w:r>
            <w:r>
              <w:rPr>
                <w:rFonts w:ascii="新細明體" w:eastAsia="新細明體" w:hAnsi="新細明體" w:hint="eastAsia"/>
                <w:sz w:val="24"/>
              </w:rPr>
              <w:t>、</w:t>
            </w:r>
            <w:r w:rsidR="0049577B" w:rsidRPr="00C9725A">
              <w:rPr>
                <w:sz w:val="24"/>
              </w:rPr>
              <w:t>不必要者為，依本院釋字第三八四號解釋意旨，憲法第八條第一項所稱「依法定程序」，係指「凡限制人民身體自由之處置，不問其是否屬於刑事被告之身分，國家機關所依據之程序，須以法律規定，其內容更須實質正當，並符合憲法第二十三條所定相關之條件。」；又本院釋字第六三六號解釋理由書指出：「所謂法定程序，依本院歷來之解釋，凡拘束人民身體自由於特定處所，而與剝奪人民身體自由之刑罰無異者，不問其限制人民身體自由出於何種名義，除須有法律之依據外，尚須分別踐行正當法律程序，且所踐行之程序，應與限制刑事被告人身自由所踐行之正當法律程序相類。」依上開解釋之意旨，即使被限制人身自由者非刑事被告，也應該與限制刑事被告人身自由所踐行之正當法律程序相類。本案若給予合理作業期間，毋須法官保留，是否與本院釋字第三八四號及第六三六號解釋牴觸？相反地，只要履行法官保留原則（事前或事後），則不論合理作業期間之長短，都有正當理由。而本號解釋不採法官保留之審查基準，代之以提審制精神之解決方式，亦即賦予受暫予收容之外國人有立即聲請法院審查暫予收容處分決定之權利，此時，入出國及移民署應即於二十四小時內將受收容人移送法院，迅速裁定是否予以收容，亦為合理之解決方法，等同事後之法官保留，與上述兩號解釋保障人身自由之精神亦可相一致。因此，不必創設合理作業期間以為主管機關為暫時收容處分之正當性基礎。</w:t>
            </w:r>
          </w:p>
          <w:p w:rsidR="0049577B" w:rsidRPr="00C9725A" w:rsidRDefault="00AC6AC1" w:rsidP="00150351">
            <w:pPr>
              <w:ind w:leftChars="13" w:left="34"/>
              <w:rPr>
                <w:sz w:val="24"/>
              </w:rPr>
            </w:pPr>
            <w:r>
              <w:rPr>
                <w:sz w:val="24"/>
              </w:rPr>
              <w:t xml:space="preserve">　　</w:t>
            </w:r>
            <w:r w:rsidR="0049577B" w:rsidRPr="00C9725A">
              <w:rPr>
                <w:sz w:val="24"/>
              </w:rPr>
              <w:t>二</w:t>
            </w:r>
            <w:r>
              <w:rPr>
                <w:rFonts w:ascii="新細明體" w:eastAsia="新細明體" w:hAnsi="新細明體" w:hint="eastAsia"/>
                <w:sz w:val="24"/>
              </w:rPr>
              <w:t>、</w:t>
            </w:r>
            <w:r w:rsidR="0049577B" w:rsidRPr="00C9725A">
              <w:rPr>
                <w:sz w:val="24"/>
              </w:rPr>
              <w:t>不適當者為，若依本號解釋意旨，因入出國及移民署依系爭規定，以行政處分暫予收容受收容人六十日，欠缺合憲之正當性，則同樣論理，即使創設「合理作業期間」之概念，賦予入出國及移民署得以處分暫時收容受收容人達十五日之久，同樣欠缺合憲之正當性。實際上，本解釋只要依憲法第八條第一項、第二項後段與第三項之提審制精神（即應賦予受暫予收容之外國人有立即聲請法院審查暫予收容處分決定之權利，此時，入出國及移民署應即於二十四小時內將受收容人移送法院，迅速裁定是否予以收容），即得以系爭規定欠缺相關正當程序規範而違反憲法第八條為由宣告違憲，並應檢討改進六十日期間是否適當即可，而不必畫蛇添足地創設具體的合理作業期間「十五天」。從憲法第八條規定與本院釋字第三八四號及第六三六號解釋意旨，本號解釋所創設之合理作業期間「十五天」，與系爭規定之收容六十日期間，兩者雖有五十步與百步之不同，但同處於違憲之虞及不妥當之狀態，並無二致。</w:t>
            </w:r>
          </w:p>
          <w:p w:rsidR="003C1792" w:rsidRPr="00C9725A" w:rsidRDefault="00AC6AC1" w:rsidP="00150351">
            <w:pPr>
              <w:ind w:leftChars="13" w:left="34"/>
              <w:rPr>
                <w:sz w:val="24"/>
              </w:rPr>
            </w:pPr>
            <w:r>
              <w:rPr>
                <w:sz w:val="24"/>
              </w:rPr>
              <w:t xml:space="preserve">　　</w:t>
            </w:r>
            <w:r w:rsidR="0049577B" w:rsidRPr="00C9725A">
              <w:rPr>
                <w:sz w:val="24"/>
              </w:rPr>
              <w:t>三</w:t>
            </w:r>
            <w:r>
              <w:rPr>
                <w:rFonts w:ascii="新細明體" w:eastAsia="新細明體" w:hAnsi="新細明體" w:hint="eastAsia"/>
                <w:sz w:val="24"/>
              </w:rPr>
              <w:t>、</w:t>
            </w:r>
            <w:r w:rsidR="0049577B" w:rsidRPr="00C9725A">
              <w:rPr>
                <w:sz w:val="24"/>
              </w:rPr>
              <w:t>又從本院過去認為實質正當法律程序乃兼指實體法及程序法規定之內容（本院釋字第三八四號解釋參照）角度，本解釋似仍應審查系爭規定其立法之目的手段是否合比例，亦即將國家利益與外國人之人身自由保障之法益加以衡量。但本號解釋對此著墨較少，只以系爭規定之「目的」，乃基於外國人並無自由進入我國國境之權利，為防範其逃脫，俾能迅速將該外國人遣送出國，故「手段」上賦予入出國及移民署得處分暫時收容該外國人，當屬合理、必要云。揆諸外國如美國實務，對於程序是否「正當」，常須衡量受影響之私益、其（私益）因受錯誤剝奪之危險性與若賦予程序所具有之價值，以及因更嚴謹之程序所造成之國家負擔三者加以衡量。而本案惜未對所確保國家安全之公益與外國人人身自由保障之法益與踐行更嚴謹程序之成本負擔等加以衡量。總之，本席不贊成為審查系爭規定是否違憲，而創設合理作業期間之概念。一方面，此不啻賜予立法機關一尚方寶劍，因而產生憲法第八條人身自由保障之精神可能被架空之危險。他方面，行政機關更可能心存此概念，輕易地以合理作業期間作為實質上限制人民人身自由保障之藉口。</w:t>
            </w:r>
          </w:p>
          <w:p w:rsidR="0049577B" w:rsidRPr="00C9725A" w:rsidRDefault="002D4379" w:rsidP="00150351">
            <w:pPr>
              <w:ind w:leftChars="13" w:left="34"/>
              <w:rPr>
                <w:sz w:val="24"/>
              </w:rPr>
            </w:pPr>
            <w:r w:rsidRPr="002D4379">
              <w:rPr>
                <w:rFonts w:hint="eastAsia"/>
                <w:sz w:val="24"/>
              </w:rPr>
              <w:t>【</w:t>
            </w:r>
            <w:r w:rsidR="0049577B" w:rsidRPr="00C9725A">
              <w:rPr>
                <w:sz w:val="24"/>
              </w:rPr>
              <w:t>羅昌發大法官不同意見書</w:t>
            </w:r>
            <w:r w:rsidRPr="002D4379">
              <w:rPr>
                <w:rFonts w:hint="eastAsia"/>
                <w:sz w:val="24"/>
              </w:rPr>
              <w:t>】</w:t>
            </w:r>
          </w:p>
          <w:p w:rsidR="0049577B" w:rsidRPr="00C9725A" w:rsidRDefault="0034744C" w:rsidP="00150351">
            <w:pPr>
              <w:ind w:leftChars="13" w:left="34"/>
              <w:rPr>
                <w:sz w:val="24"/>
              </w:rPr>
            </w:pPr>
            <w:r>
              <w:rPr>
                <w:sz w:val="24"/>
              </w:rPr>
              <w:t xml:space="preserve">　　</w:t>
            </w:r>
            <w:r w:rsidR="0049577B" w:rsidRPr="00C9725A">
              <w:rPr>
                <w:sz w:val="24"/>
              </w:rPr>
              <w:t>一、有關外國人人身自由之保障應與本國人相同部分</w:t>
            </w:r>
          </w:p>
          <w:p w:rsidR="0049577B" w:rsidRPr="00C9725A" w:rsidRDefault="002D4379" w:rsidP="00150351">
            <w:pPr>
              <w:ind w:leftChars="13" w:left="34"/>
              <w:rPr>
                <w:sz w:val="24"/>
              </w:rPr>
            </w:pPr>
            <w:r>
              <w:rPr>
                <w:sz w:val="24"/>
              </w:rPr>
              <w:t xml:space="preserve">　　</w:t>
            </w:r>
            <w:r w:rsidR="0049577B" w:rsidRPr="00C9725A">
              <w:rPr>
                <w:sz w:val="24"/>
              </w:rPr>
              <w:t>（一）憲法第二章「人民之權利義務」對該章所用之「人民」一詞並未定義。該章除第七條規定「中華民國人民」之外，其餘有關憲法上基本權利之保障，均係以「人民」作為享有之主體，而未限制其國籍條件（見憲法第八條至第十九條、第二十一條、第二十二條及第二十四條）。故憲法所規定之基本權利，除性質上不符（例如外國人在我國並未享有與我國人相同之工作權及選舉權）或屬國家福利措施或社會扶助之享有（例如釋字第五六０號解釋對受聘僱之外國人在國外之眷屬發生死亡事故不得請領喪葬給付，認不違反憲法規定）等事項外，原則上自應給予外國人相同之保障。</w:t>
            </w:r>
          </w:p>
          <w:p w:rsidR="0049577B" w:rsidRPr="00C9725A" w:rsidRDefault="002D4379" w:rsidP="00150351">
            <w:pPr>
              <w:ind w:leftChars="13" w:left="34"/>
              <w:rPr>
                <w:sz w:val="24"/>
              </w:rPr>
            </w:pPr>
            <w:r>
              <w:rPr>
                <w:sz w:val="24"/>
              </w:rPr>
              <w:t xml:space="preserve">　　</w:t>
            </w:r>
            <w:r w:rsidR="0049577B" w:rsidRPr="00C9725A">
              <w:rPr>
                <w:sz w:val="24"/>
              </w:rPr>
              <w:t>（二）憲法第八條第一項規定：「人民身體之自由應予保障。除現行犯之逮捕由法律另定外，非經司法或警察機關依法定程序，不得逮捕拘禁。非由法院依法定程序，不得審問處罰。非依法定程序之逮捕、拘禁、審問、除罰，得拒絕之。」收容外國人，對其人身自由之限制之程度，相當於刑事之拘禁。法務部九十年十二月六日法檢字０二九九九五號函亦認受依法收容之外國人，屬於刑法第一百六十一條依法拘禁之人。多數意見以人身自由係基本人權，為人類一切自由、權利之根本，任何人不分國籍均應受保障，此為現代法治國家共同之準則；故我國憲法第八條關於人身自由之保障亦應及於外國人（見解釋理由書第一段）。本席對此敬表同意；並認此部分為有關我國</w:t>
            </w:r>
            <w:r w:rsidRPr="002D4379">
              <w:rPr>
                <w:bCs/>
                <w:iCs/>
              </w:rPr>
              <w:t>憲法</w:t>
            </w:r>
            <w:r w:rsidR="0049577B" w:rsidRPr="00C9725A">
              <w:rPr>
                <w:sz w:val="24"/>
              </w:rPr>
              <w:t>之重要宣示；且符合國際公約所定保護外國人基本權利之標準。實際上，法務部早於民國九十年即曾草擬「人權保障基本法草案」。該草案第七條規定：「國家對於停留或居留本國境內之外國人或無國籍人，應依法及國際條約或慣例，保障其基本人權。」此項法案雖未曾通過立法，但由其規定可知，有關保護外國人基本人權之意旨，國人早有認知，且有相當高度的共識。</w:t>
            </w:r>
          </w:p>
          <w:p w:rsidR="0049577B" w:rsidRPr="00C9725A" w:rsidRDefault="0034744C" w:rsidP="00150351">
            <w:pPr>
              <w:ind w:leftChars="13" w:left="34"/>
              <w:rPr>
                <w:sz w:val="24"/>
              </w:rPr>
            </w:pPr>
            <w:r>
              <w:rPr>
                <w:sz w:val="24"/>
              </w:rPr>
              <w:t xml:space="preserve">　　</w:t>
            </w:r>
            <w:r w:rsidR="0049577B" w:rsidRPr="00C9725A">
              <w:rPr>
                <w:sz w:val="24"/>
              </w:rPr>
              <w:t>二、有關收容屬人身自由之剝奪，必須踐行必要之司法程序及其他正當法律程序部分：</w:t>
            </w:r>
          </w:p>
          <w:p w:rsidR="0049577B" w:rsidRPr="00C9725A" w:rsidRDefault="0034744C" w:rsidP="00150351">
            <w:pPr>
              <w:ind w:leftChars="13" w:left="34"/>
              <w:rPr>
                <w:sz w:val="24"/>
              </w:rPr>
            </w:pPr>
            <w:r>
              <w:rPr>
                <w:sz w:val="24"/>
              </w:rPr>
              <w:t xml:space="preserve">　　</w:t>
            </w:r>
            <w:r w:rsidR="0049577B" w:rsidRPr="00C9725A">
              <w:rPr>
                <w:sz w:val="24"/>
              </w:rPr>
              <w:t>（一）多數意見認系爭規定之收容，雖與刑事羈押與處罰之性質不同，然仍係拘束受收容外國人於一定處所，使其與外界隔離，故屬剝奪人身自由之一種態樣，屬嚴重干預人民身體自由之強制處分。依憲法第八條第一項規定意旨，自須踐行必要之司法程序或其他正當法律程序（見解釋理由書第三段）。其將收容之強制處分納入憲法第八條第一項有關「人民身體之自由應予保障」之規定，與前述國際公約及原則將「任何形式之拘禁或監禁」一體納入規範之意旨相同。本席敬表同意。</w:t>
            </w:r>
          </w:p>
          <w:p w:rsidR="0049577B" w:rsidRPr="00C9725A" w:rsidRDefault="0034744C" w:rsidP="00150351">
            <w:pPr>
              <w:ind w:leftChars="13" w:left="34"/>
              <w:rPr>
                <w:sz w:val="24"/>
              </w:rPr>
            </w:pPr>
            <w:r>
              <w:rPr>
                <w:sz w:val="24"/>
              </w:rPr>
              <w:t xml:space="preserve">　　</w:t>
            </w:r>
            <w:r w:rsidR="0049577B" w:rsidRPr="00C9725A">
              <w:rPr>
                <w:sz w:val="24"/>
              </w:rPr>
              <w:t>（二）多數意見另以刑事被告與非刑事被告所受人身自由之限制，在目的、方式與程度上容有差異，故認其踐行之司法程序或其他正當法律程序並非必須相同（見解釋理由書第三段）。本席同意刑事程序與其他法律程序之下限制人身自由目的或有差異，然以本件收容之情形而言，外國人之人身自由亦係完全遭剝奪；其程度與刑事被告所受人身自由之限制，並無差異。故其踐行之司法程序及其他正當法律程序雖未必完全相同，但亦不應有過大差異（詳下述），以免不當侵害外國人之人身自由。</w:t>
            </w:r>
          </w:p>
          <w:p w:rsidR="0049577B" w:rsidRPr="00C9725A" w:rsidRDefault="0034744C" w:rsidP="00150351">
            <w:pPr>
              <w:ind w:leftChars="13" w:left="34"/>
              <w:rPr>
                <w:sz w:val="24"/>
              </w:rPr>
            </w:pPr>
            <w:r>
              <w:rPr>
                <w:sz w:val="24"/>
              </w:rPr>
              <w:t xml:space="preserve">　　</w:t>
            </w:r>
            <w:r w:rsidR="0049577B" w:rsidRPr="00C9725A">
              <w:rPr>
                <w:sz w:val="24"/>
              </w:rPr>
              <w:t>（三）多數意見認為，在十五日為上限之合理時間內，因入出國及移民署尚須代為辦理旅行文件及購買機票等事項，以便辦理遣送作業，故其所為「暫時」收容之處分，並不違反憲法第八條第一項保障人身自由之意旨，而無須由法院審查決定。本席對此歉難認同：</w:t>
            </w:r>
          </w:p>
          <w:p w:rsidR="0049577B" w:rsidRPr="00C9725A" w:rsidRDefault="00CF1603" w:rsidP="00150351">
            <w:pPr>
              <w:ind w:leftChars="13" w:left="34"/>
              <w:rPr>
                <w:sz w:val="24"/>
              </w:rPr>
            </w:pPr>
            <w:r>
              <w:rPr>
                <w:sz w:val="24"/>
              </w:rPr>
              <w:t xml:space="preserve">　　</w:t>
            </w:r>
            <w:r w:rsidR="0049577B" w:rsidRPr="00C9725A">
              <w:rPr>
                <w:sz w:val="24"/>
              </w:rPr>
              <w:t>1</w:t>
            </w:r>
            <w:r w:rsidR="003C1792" w:rsidRPr="00C9725A">
              <w:rPr>
                <w:sz w:val="24"/>
              </w:rPr>
              <w:t>.</w:t>
            </w:r>
            <w:r w:rsidR="0049577B" w:rsidRPr="00C9725A">
              <w:rPr>
                <w:sz w:val="24"/>
              </w:rPr>
              <w:t>多數意見雖將此十五日期間定為將來為此修改法律時立法之「上限」；然本解釋不啻開立空白支票，使立法機關得以立法方式賦予行政機關自行決定限制外國人人身自由長達十五日之權，而無須由法院決定。多數意見雖以「暫時」收容稱之，然其限制人身自由之本質，與後續收容毫無不同，侵害外國人身自由甚為嚴重。</w:t>
            </w:r>
          </w:p>
          <w:p w:rsidR="0049577B" w:rsidRPr="00C9725A" w:rsidRDefault="0034744C" w:rsidP="00150351">
            <w:pPr>
              <w:ind w:leftChars="13" w:left="34"/>
              <w:rPr>
                <w:sz w:val="24"/>
              </w:rPr>
            </w:pPr>
            <w:r>
              <w:rPr>
                <w:sz w:val="24"/>
              </w:rPr>
              <w:t xml:space="preserve">　　</w:t>
            </w:r>
            <w:r w:rsidR="0049577B" w:rsidRPr="00C9725A">
              <w:rPr>
                <w:sz w:val="24"/>
              </w:rPr>
              <w:t>2</w:t>
            </w:r>
            <w:r w:rsidR="003C1792" w:rsidRPr="00C9725A">
              <w:rPr>
                <w:sz w:val="24"/>
              </w:rPr>
              <w:t>.</w:t>
            </w:r>
            <w:r w:rsidR="0049577B" w:rsidRPr="00C9725A">
              <w:rPr>
                <w:sz w:val="24"/>
              </w:rPr>
              <w:t>在現行法下，收容時間之上限，原則上為一百二十日（即第一次收容之六十日加上延長收容之六十日；旅行文件欠缺之情形，則另得更為延長；見入出國及移民法第三十八條第二項「前項收容以六十日為限，收容期間屆滿，入出國及移民署在事實上認有繼續收容之必要，得延長收容六十日，以一次為限。但受收容人所持護照或旅行文件遺失或失效，尚未能換發、補發或延期者，得延長收容至有效證件備齊後三十日止」之規定；原因案件所適用之九十六年十二月二十六日修正公布之同法第三十八條第二項規定內容則為「前項收容以六十日為限；必要時，入出國及移民署得延長至遣送出國為止」）。在本解釋之下，外國人受收容之時間之上限（包括本解釋所稱之十五日作業時間），有可能反而延長為一百三十五日（即第一次收容之六十日期間加上延長收容之六十日之外，另加上本解釋所增加之十五日所謂「合理作業期間」）。換言之，如立法機關完全以本解釋所賦予之最大範圍作為立法基準，將反而導致外國人遭收容之最長期間，較現行最長收容時間更延長十五日之不利情形。以白話而言，可能導致「愈解釋對外國人愈不利」的結果。</w:t>
            </w:r>
          </w:p>
          <w:p w:rsidR="0049577B" w:rsidRPr="00C9725A" w:rsidRDefault="0034744C" w:rsidP="00150351">
            <w:pPr>
              <w:ind w:leftChars="13" w:left="34"/>
              <w:rPr>
                <w:sz w:val="24"/>
              </w:rPr>
            </w:pPr>
            <w:r>
              <w:rPr>
                <w:sz w:val="24"/>
              </w:rPr>
              <w:t xml:space="preserve">　　</w:t>
            </w:r>
            <w:r w:rsidR="0049577B" w:rsidRPr="00C9725A">
              <w:rPr>
                <w:sz w:val="24"/>
              </w:rPr>
              <w:t>3</w:t>
            </w:r>
            <w:r w:rsidR="003C1792" w:rsidRPr="00C9725A">
              <w:rPr>
                <w:sz w:val="24"/>
              </w:rPr>
              <w:t>.</w:t>
            </w:r>
            <w:r w:rsidR="0049577B" w:rsidRPr="00C9725A">
              <w:rPr>
                <w:sz w:val="24"/>
              </w:rPr>
              <w:t>將來立法不論將上限定為十五日或較少日數（如十日），該期間之性質亦將甚有疑義。假若立法機關將所謂「合理作業時間」定為十五日；在此期限內（甚至在正式收容之二個六十日期間內），主管機關不問有無積極進行遣送程序抑或完全停滯辦理驅逐出國之程序（例如行政機關藉由所謂「暫時」收容，方便檢察機關傳喚被收容人，使其以他案之證人身分應訊），均將不構成違反本號解釋所示原則。此與前述ECHR 所要求為採行驅逐出國之目的而為拘禁之情形，必須該驅逐出國之行動「正在進行」之標準不符。</w:t>
            </w:r>
          </w:p>
          <w:p w:rsidR="0049577B" w:rsidRPr="00C9725A" w:rsidRDefault="0034744C" w:rsidP="00150351">
            <w:pPr>
              <w:ind w:leftChars="13" w:left="34"/>
              <w:rPr>
                <w:sz w:val="24"/>
              </w:rPr>
            </w:pPr>
            <w:r>
              <w:rPr>
                <w:sz w:val="24"/>
              </w:rPr>
              <w:t xml:space="preserve">　　</w:t>
            </w:r>
            <w:r w:rsidR="0049577B" w:rsidRPr="00C9725A">
              <w:rPr>
                <w:sz w:val="24"/>
              </w:rPr>
              <w:t>4</w:t>
            </w:r>
            <w:r w:rsidR="003C1792" w:rsidRPr="00C9725A">
              <w:rPr>
                <w:sz w:val="24"/>
              </w:rPr>
              <w:t>.</w:t>
            </w:r>
            <w:r w:rsidR="0049577B" w:rsidRPr="00C9725A">
              <w:rPr>
                <w:sz w:val="24"/>
              </w:rPr>
              <w:t>前述國際公約及原則雖僅要求刑事指控下之逮捕拘禁應被主動迅即移送法官或其他經法律授權行使司法權的官員，而未明確規定其他原因之拘禁亦應主動迅即移送法院或其他經授權行使司法權之官員；然本號解釋所創造之「暫時」收容概念，仍係完全剝奪外國人之人身自由；其允許可能長達十五日之「暫時」收容由入出國及移民署決定，而非由行使司法權之機關加以決定，即有違反國際人權標準之疑慮。且收容與否，涉及重要法律要件之判斷；如現行法第三十八條第一項所規定之「非予收容，顯難強制驅逐出國」之要件，即屬宜由司法機關判斷之重要法律要件。「暫時」收容顯然亦須符合此要件。如將此要件之符合與否委由行政機關判斷，極易導致行政機關圖本身作業之方便，而完全忽視此一要件之精神及其嚴格性，形成恣意之情形。現行由行政機關決定是否收容之實務，即顯然未認真衡量此一重要之收容要件。</w:t>
            </w:r>
          </w:p>
          <w:p w:rsidR="0049577B" w:rsidRPr="00C9725A" w:rsidRDefault="0034744C" w:rsidP="00150351">
            <w:pPr>
              <w:ind w:leftChars="13" w:left="34"/>
              <w:rPr>
                <w:sz w:val="24"/>
              </w:rPr>
            </w:pPr>
            <w:r>
              <w:rPr>
                <w:sz w:val="24"/>
              </w:rPr>
              <w:t xml:space="preserve">　　</w:t>
            </w:r>
            <w:r w:rsidR="0049577B" w:rsidRPr="00C9725A">
              <w:rPr>
                <w:sz w:val="24"/>
              </w:rPr>
              <w:t>5</w:t>
            </w:r>
            <w:r w:rsidR="003C1792" w:rsidRPr="00C9725A">
              <w:rPr>
                <w:sz w:val="24"/>
              </w:rPr>
              <w:t>.</w:t>
            </w:r>
            <w:r w:rsidR="0049577B" w:rsidRPr="00C9725A">
              <w:rPr>
                <w:sz w:val="24"/>
              </w:rPr>
              <w:t>憲法第八條之明文並無類似此種以十五日為上限，賦予行政機關限制人身自由權限之內容；且無法由該條意旨推論得知有此種以十五日為上限得剝奪人身自由之意含。憲法第八條第二項前段規定：「人民因犯罪嫌疑被逮捕拘禁時，其逮捕拘禁機關應將逮捕拘禁原因，以書面告知本人及其本人指定之親友，並至遲於二十四小時內移送該管法院審問。」外國人收容之目的雖與因犯罪嫌疑而逮捕拘禁之目的不同，然就其完全剝奪人身自由之情形而論，兩者並無本質上差異。故驟然將二十四小時之嚴格標準，降為十五日之極寬鬆標準，已背離憲法第八條第二項保障人身自由之意旨。</w:t>
            </w:r>
          </w:p>
          <w:p w:rsidR="0049577B" w:rsidRPr="00C9725A" w:rsidRDefault="0034744C" w:rsidP="00150351">
            <w:pPr>
              <w:ind w:leftChars="13" w:left="34"/>
              <w:rPr>
                <w:sz w:val="24"/>
              </w:rPr>
            </w:pPr>
            <w:r>
              <w:rPr>
                <w:sz w:val="24"/>
              </w:rPr>
              <w:t xml:space="preserve">　　</w:t>
            </w:r>
            <w:r w:rsidR="0049577B" w:rsidRPr="00C9725A">
              <w:rPr>
                <w:sz w:val="24"/>
              </w:rPr>
              <w:t>6</w:t>
            </w:r>
            <w:r w:rsidR="003C1792" w:rsidRPr="00C9725A">
              <w:rPr>
                <w:sz w:val="24"/>
              </w:rPr>
              <w:t>.</w:t>
            </w:r>
            <w:r w:rsidR="0049577B" w:rsidRPr="00C9725A">
              <w:rPr>
                <w:sz w:val="24"/>
              </w:rPr>
              <w:t>解釋憲法應由憲法文字或其精神推衍，而非反而基於行政機關之實務作業為解釋基礎。多數意見創造此十五日之行政機關限制人身自由期間之上限，係以入出國及移民署一０二年一月九日移署專一蓮字第一０二００一一四五七號函所稱「十五日內可遣送約百分之七十之受收容人出國」為唯一依據。然該函係相關機關於現行法（六十日加六十日收容期限）前提下之平均作業時間。如職司保障人權之釋憲機關要求儘早由法院介入收容之決定（即收容之初即採法官保留），自將促使主管機關積極辦理遣送作業，則其平均作業時間是否仍須十五日，有待驗證。憲法解釋以行政部門之作業實務為基礎，而非要求作業實務必須以憲法保障人權之標準為基礎；此例一開，令人不安。</w:t>
            </w:r>
          </w:p>
          <w:p w:rsidR="0049577B" w:rsidRPr="00C9725A" w:rsidRDefault="0034744C" w:rsidP="00150351">
            <w:pPr>
              <w:ind w:leftChars="13" w:left="34"/>
              <w:rPr>
                <w:sz w:val="24"/>
              </w:rPr>
            </w:pPr>
            <w:r>
              <w:rPr>
                <w:sz w:val="24"/>
              </w:rPr>
              <w:t xml:space="preserve">　　</w:t>
            </w:r>
            <w:r w:rsidR="0049577B" w:rsidRPr="00C9725A">
              <w:rPr>
                <w:sz w:val="24"/>
              </w:rPr>
              <w:t>（四）多數意見賦予受收容人於暫時收容期間，要求入出國及移民署於二十四小時內移由法院審查是否予以收容（見解釋理由書第三段）。本席對此部分所揭示保障收容人即時救濟機會之原則，敬表同意。多數意見雖未直接引用憲法第八條第二項後段「本人或他人亦得聲請該管法院，於二十四小時內向逮捕之機關提審」之規定作為解釋依據，其對人民身體自由保障之效果與提審對人民保障之效果並無實質差異。此亦與前述國際人權規範所要求「任何人不論係因任何原因遭逮捕或拘禁而被剝奪自由，均有權向法院提起訴訟（按：在我國法下即為向法院聲請提審），以便法庭能不拖延地決定其所遭拘禁是否合法」之標準相當。然多數意見如直接引用憲法第八條第二項後段有關提審之規定作為解釋依據，應更符合憲法意旨（詳後述）。</w:t>
            </w:r>
          </w:p>
          <w:p w:rsidR="0049577B" w:rsidRPr="00C9725A" w:rsidRDefault="0034744C" w:rsidP="00150351">
            <w:pPr>
              <w:ind w:leftChars="13" w:left="34"/>
              <w:rPr>
                <w:sz w:val="24"/>
              </w:rPr>
            </w:pPr>
            <w:r>
              <w:rPr>
                <w:sz w:val="24"/>
              </w:rPr>
              <w:t xml:space="preserve">　　</w:t>
            </w:r>
            <w:r w:rsidR="0049577B" w:rsidRPr="00C9725A">
              <w:rPr>
                <w:sz w:val="24"/>
              </w:rPr>
              <w:t>（五）多數意見有關以受收容人可理解之語言告知收容原因、不服之救濟、通知親友及使領館等論述（見解釋理由書第三段），本席敬表同意。此與前述國際人權標準原則上相符。然多數意見未明確提及正當法律程序之內涵，亦應包括要求主管機關於收容過程中及收容之後所應符合之人性尊嚴待遇；應有補充之必要。例如，現行作業下，收容過程係施以與犯罪嫌疑人、刑事被告或有罪判決確定之人相同之戒具；而現行收容設施係將受收容人置於鐵窗密織之牢籠內生活，且受收容人之間欠缺基本的隱私保護；凡此均有檢討餘地。</w:t>
            </w:r>
          </w:p>
          <w:p w:rsidR="0049577B" w:rsidRPr="00C9725A" w:rsidRDefault="0034744C" w:rsidP="00150351">
            <w:pPr>
              <w:ind w:leftChars="13" w:left="34"/>
              <w:rPr>
                <w:sz w:val="24"/>
              </w:rPr>
            </w:pPr>
            <w:r w:rsidRPr="0034744C">
              <w:rPr>
                <w:rFonts w:hint="eastAsia"/>
                <w:sz w:val="24"/>
              </w:rPr>
              <w:t>【</w:t>
            </w:r>
            <w:r w:rsidR="0049577B" w:rsidRPr="00C9725A">
              <w:rPr>
                <w:sz w:val="24"/>
              </w:rPr>
              <w:t>陳新民大法官不同意見書</w:t>
            </w:r>
            <w:r w:rsidRPr="0034744C">
              <w:rPr>
                <w:rFonts w:hint="eastAsia"/>
                <w:sz w:val="24"/>
              </w:rPr>
              <w:t>】</w:t>
            </w:r>
          </w:p>
          <w:p w:rsidR="0049577B" w:rsidRPr="00C9725A" w:rsidRDefault="0034744C" w:rsidP="00150351">
            <w:pPr>
              <w:ind w:leftChars="13" w:left="34"/>
              <w:rPr>
                <w:sz w:val="24"/>
              </w:rPr>
            </w:pPr>
            <w:r w:rsidRPr="0034744C">
              <w:rPr>
                <w:rFonts w:hint="eastAsia"/>
                <w:sz w:val="24"/>
              </w:rPr>
              <w:t>【</w:t>
            </w:r>
            <w:r w:rsidR="0049577B" w:rsidRPr="00C9725A">
              <w:rPr>
                <w:sz w:val="24"/>
              </w:rPr>
              <w:t>釋字第七○八號解釋部分不同意見書</w:t>
            </w:r>
            <w:r w:rsidRPr="0034744C">
              <w:rPr>
                <w:rFonts w:hint="eastAsia"/>
                <w:sz w:val="24"/>
              </w:rPr>
              <w:t>】</w:t>
            </w:r>
          </w:p>
          <w:p w:rsidR="0049577B" w:rsidRPr="00C9725A" w:rsidRDefault="0034744C" w:rsidP="00150351">
            <w:pPr>
              <w:ind w:leftChars="13" w:left="34"/>
              <w:rPr>
                <w:sz w:val="24"/>
              </w:rPr>
            </w:pPr>
            <w:r>
              <w:rPr>
                <w:sz w:val="24"/>
              </w:rPr>
              <w:t xml:space="preserve">　　</w:t>
            </w:r>
            <w:r w:rsidR="0049577B" w:rsidRPr="00C9725A">
              <w:rPr>
                <w:sz w:val="24"/>
              </w:rPr>
              <w:t>本席(陳新民大法官)爰提出部分不同意見，以披陳其要義如下：</w:t>
            </w:r>
          </w:p>
          <w:p w:rsidR="0049577B" w:rsidRPr="00C9725A" w:rsidRDefault="0034744C" w:rsidP="00150351">
            <w:pPr>
              <w:ind w:leftChars="13" w:left="34"/>
              <w:rPr>
                <w:sz w:val="24"/>
              </w:rPr>
            </w:pPr>
            <w:r>
              <w:rPr>
                <w:sz w:val="24"/>
              </w:rPr>
              <w:t xml:space="preserve">　　</w:t>
            </w:r>
            <w:r w:rsidR="0049577B" w:rsidRPr="00C9725A">
              <w:rPr>
                <w:sz w:val="24"/>
              </w:rPr>
              <w:t>一、強制收容措施應經法院許可</w:t>
            </w:r>
          </w:p>
          <w:p w:rsidR="0049577B" w:rsidRPr="00C9725A" w:rsidRDefault="0034744C" w:rsidP="00150351">
            <w:pPr>
              <w:ind w:leftChars="13" w:left="34"/>
              <w:rPr>
                <w:sz w:val="24"/>
              </w:rPr>
            </w:pPr>
            <w:r>
              <w:rPr>
                <w:sz w:val="24"/>
              </w:rPr>
              <w:t xml:space="preserve">　　</w:t>
            </w:r>
            <w:r w:rsidR="0049577B" w:rsidRPr="00C9725A">
              <w:rPr>
                <w:sz w:val="24"/>
              </w:rPr>
              <w:t>（一）收容措施的定性與刑事羈押並無不同本號解釋係以憲法第八條人身自由之規定，作為檢驗目前強制收容待遣送回國外國人制度的合憲性問題。多數意見大致上肯認受收容人儘管不是屬於刑事被告，但是毫無疑問地，強制收容的制度已經和刑事羈押，不論是外觀上或實質上，完全沒有差異。此觀乎受收容人拘禁於監獄般的收容處所；收容所管理措施與監獄完全一致；移民署管理人員擁有司法警察（官）之身分；可行使戒具與警械；逃脫者必須擔負刑事逃脫罪名。故依據本院釋字第六三六號解釋之意旨，對於任何涉及人民身體自由之限制，如達一定之限度而與刑罰無異，即應適用嚴格的法律明確性原則，以及與限制刑事被告人身自由所應踐行之正當法律程序相類。該號解釋明顯援引「與刑罰無異的拘束人身自由」，便與刑罰的規定一樣應適用嚴格的法律明確性原則，與正當法律程序，包括了相關之二十四小時內移送法院之制度，以及法官保留原則。既然收容措施具有一定的目的（遣送出國所為的保全措施），也如同刑事拘禁一樣（具有刑事羈押或處罰之目的），雖然性質與目的不同，但兩者所受到之最高度強制性剝奪人身自由，則完全一樣。更何況收容的「保全目的」，也和犯罪嫌疑人的羈押所要追求的「保全目的」（避免勾串證人、湮滅證物），沒有太大的差異。因此多數意見（在解釋理由書第三段）區分收容目的與刑事羈押目的之不同，從而導出為了收容目的，可以賦予行政機關擁有十五日之行政處分權，其理由並不充分。收容措施既然已經屬於典型的拘禁行為，且與刑罰無異，即應適用憲法第八條關於人身自由保障，特別是第二項「法官保留原則」的適用。按我國大法官已經在多次的解釋中強調了憲法第八條保障的張力：例如不限於刑事被告（本院釋字第三八四號解釋）、警察與司法機關採廣義解釋，及於所有可行使逮捕與拘禁的公權力機關（本院釋字第五八八號解釋）。性質上只要是屬於刑事拘禁，大法官對實施「法官保留原則」的立場是十分堅定而不移的。相形之下，如果沒有類似刑事處罰性質，而具有重大的公共利益，且兼有保護個人的利益時，則在符合比例原則的前提下，可以不必實施嚴格的法官保留，但應該另創有效迅速的救濟程序，最明顯的莫如隔離處分的問題（防治傳染疾病蔓延所作出的本院釋字第六九○號解釋），便是一例。因此，本號解釋原因案件，理應遵循本院大法官近年來一貫的立場，對於屬於刑事性質、且外觀與實質完全與刑事拘禁的收容措施相類似事件，即應適用嚴格的法官保留原則不可。</w:t>
            </w:r>
          </w:p>
          <w:p w:rsidR="0049577B" w:rsidRPr="00C9725A" w:rsidRDefault="0034744C" w:rsidP="00150351">
            <w:pPr>
              <w:ind w:leftChars="13" w:left="34"/>
              <w:rPr>
                <w:sz w:val="24"/>
              </w:rPr>
            </w:pPr>
            <w:r>
              <w:rPr>
                <w:sz w:val="24"/>
              </w:rPr>
              <w:t xml:space="preserve">　　</w:t>
            </w:r>
            <w:r w:rsidR="0049577B" w:rsidRPr="00C9725A">
              <w:rPr>
                <w:sz w:val="24"/>
              </w:rPr>
              <w:t>（二）系爭規定忽視了法院作為保障人身安全的「保衛者」角色</w:t>
            </w:r>
          </w:p>
          <w:p w:rsidR="0049577B" w:rsidRPr="00C9725A" w:rsidRDefault="0034744C" w:rsidP="00150351">
            <w:pPr>
              <w:ind w:leftChars="13" w:left="34"/>
              <w:rPr>
                <w:sz w:val="24"/>
              </w:rPr>
            </w:pPr>
            <w:r>
              <w:rPr>
                <w:sz w:val="24"/>
              </w:rPr>
              <w:t xml:space="preserve">　　</w:t>
            </w:r>
            <w:r w:rsidR="0049577B" w:rsidRPr="00C9725A">
              <w:rPr>
                <w:sz w:val="24"/>
              </w:rPr>
              <w:t>本號解釋多數意見之所以拒絕法官保留原則的適用，而許可由行政機關（移民署）可以完全決定對外國人為逮捕與拘禁的措施，而冠以「暫時收容」的名稱，理由乃是：「有利遣返作業所需」。這是明顯地以「目的使手段合法」（Der   Zweck heiligt die Mittel）!正如同任何公權力對人身自由的侵害，都可能為了達到某一個目的之藉口。且這些侵犯都可能是違法與濫權，且情況可能極頻繁與嚴重，我國憲法才會在第八條中耗費許多的篇幅（共二一○字），構築出一個綿密的法網，以確保人民的人身自由。既然公權力不可假借某種公共利益及立法目的，侵犯一般國民之人身自由，對外國人民也不可以「執行遣返作業」為由，作為侵犯人身自由的藉口也。因此我國憲法第八條（特別在第二項中），建立公權力機關應在二十四小時內，移送給法院審核公權力逮捕與拘禁是否合法的法官保留制度，顯示出我國制憲者乃沿襲英美法制，將法院視為人身自由之「保衛者」。系爭規定排除逮捕拘禁機關對待遣返者應於二十四小時內移送法院之義務，似乎誤認為法院一旦介入審此收容措施，將會阻擾遣返作業云云。按「救濟不影響執行」乃是我國各種法律救濟的原則，唯有在急迫時才可例外的聲請法院為停止原處分之執行（行政訴訟法第一百一十六條第三項）。故不能以法院擁有對公權力措施的審查權，便認為會干擾、影響原處分之執行也。法官保留的原意在審核公權力之措施，是否具有合法性，以及是否有權力濫用之虞。一旦法院確認公權力之逮捕與拘禁乃合法且無權力濫用，即可肯認該公權力之合法性。因為法官正是法規範的最佳詮釋者，而非行政機關也。在外國人遣返前的逮捕與拘禁，正是（行政法院）法官可以發揮其審查合法性的良機。按我國對外國人的入境是乃採取嚴格的管制措施，任何外國人的入境與居留資料不僅完</w:t>
            </w:r>
            <w:r w:rsidR="0049577B" w:rsidRPr="00C9725A">
              <w:rPr>
                <w:kern w:val="0"/>
                <w:sz w:val="24"/>
              </w:rPr>
              <w:t>備，且已完全電腦化。移民署逮捕任何構成驅逐出境要件之外國人，自應能很快的移送至法院，</w:t>
            </w:r>
            <w:r w:rsidR="0049577B" w:rsidRPr="00C9725A">
              <w:rPr>
                <w:sz w:val="24"/>
              </w:rPr>
              <w:t>證明符合收容的要件。此情形之易，比起警察機關向法院提出可信，且證明犯罪人有羈押必要之證據，相差不知凡幾。故實施法官保留制度何困難之有？而且一旦形成了定制後，例如仿效先進國家建立「移民法庭」或「移民法官」制度後，即可累積經驗，更可以加快審核的程序與精確度，這也是我國司法改革將朝向「專業法庭」的一個努力方向也。</w:t>
            </w:r>
          </w:p>
          <w:p w:rsidR="0049577B" w:rsidRPr="00C9725A" w:rsidRDefault="0034744C" w:rsidP="00150351">
            <w:pPr>
              <w:ind w:leftChars="13" w:left="34"/>
              <w:rPr>
                <w:sz w:val="24"/>
              </w:rPr>
            </w:pPr>
            <w:r>
              <w:rPr>
                <w:sz w:val="24"/>
              </w:rPr>
              <w:t xml:space="preserve">　　</w:t>
            </w:r>
            <w:r w:rsidR="0049577B" w:rsidRPr="00C9725A">
              <w:rPr>
                <w:sz w:val="24"/>
              </w:rPr>
              <w:t>（三）收容之理由—驅逐處分之合法性，亦應由法官一併審查</w:t>
            </w:r>
          </w:p>
          <w:p w:rsidR="0049577B" w:rsidRPr="00C9725A" w:rsidRDefault="0034744C" w:rsidP="00E72734">
            <w:pPr>
              <w:ind w:leftChars="13" w:left="34"/>
              <w:rPr>
                <w:sz w:val="24"/>
              </w:rPr>
            </w:pPr>
            <w:r>
              <w:rPr>
                <w:sz w:val="24"/>
              </w:rPr>
              <w:t xml:space="preserve">　　</w:t>
            </w:r>
            <w:r w:rsidR="0049577B" w:rsidRPr="00C9725A">
              <w:rPr>
                <w:sz w:val="24"/>
              </w:rPr>
              <w:t>本號解釋多數意見既然肯認外國人民之人身自由，受到收容處分的嚴格侵害，故應當受到充分的法律救濟程序保護。但這種保護，僅限於可以聲請法官審查此收容處分之合法性，卻不及於審查原因處分—驅逐出境處分的合法性之上。此見諸於解釋理由書第六段提及：「</w:t>
            </w:r>
            <w:r w:rsidR="0049577B" w:rsidRPr="00C9725A">
              <w:rPr>
                <w:rFonts w:ascii="MS Mincho" w:eastAsia="MS Mincho" w:hAnsi="MS Mincho" w:cs="MS Mincho" w:hint="eastAsia"/>
                <w:sz w:val="24"/>
              </w:rPr>
              <w:t>⋯⋯</w:t>
            </w:r>
            <w:r w:rsidR="0049577B" w:rsidRPr="00C9725A">
              <w:rPr>
                <w:sz w:val="24"/>
              </w:rPr>
              <w:t>受收容人對於暫時收容處分表示不服，或要求由法院審查決定是否予以收容，而由法院裁定時，原暫時收容處分之效力為何，以及法院裁定得審查之範圍，有無必要就驅逐出國處分一併納入審查等整體規定，相關機關至遲應於本解釋公布之日起二年內，依本解釋意旨檢討修正系爭規定及相關法律，屆期未完成修法者，系爭規定與憲法不符部分失其效力。」即可得知多數意見將此問題推給立法者考量，基本上並不認定法院應當依職權或依聲請，即應對原因處分進行審查。這種典型「鋸箭法」的詮釋，也脫離了一般事理解釋之當然。移民署之所以要將外國人強行逮捕與囚禁於收容所，僅有一個簡單之目的—準備驅逐出境；而移民署此一公權力也必須完全依法行政—不僅需具備合法性，且沒有裁量與權力濫用之虞；同時，以被收容者的立場而言，其對強制收容措施的不服與賦予法律救濟之必要，難道僅是對暫時剝奪其人身自由之處分不服，而無對即將實施之驅逐出境的處分不服之可能性乎？可想像的情況，例如：爭執並沒有收容的必要。現行條文第三十八條在一○○年十一月二十三日修正後，已增加「</w:t>
            </w:r>
            <w:r w:rsidR="0049577B" w:rsidRPr="00C9725A">
              <w:rPr>
                <w:rFonts w:ascii="MS Mincho" w:eastAsia="MS Mincho" w:hAnsi="MS Mincho" w:cs="MS Mincho" w:hint="eastAsia"/>
                <w:sz w:val="24"/>
              </w:rPr>
              <w:t>⋯⋯</w:t>
            </w:r>
            <w:r w:rsidR="0049577B" w:rsidRPr="00C9725A">
              <w:rPr>
                <w:sz w:val="24"/>
              </w:rPr>
              <w:t>非予收容，顯難強制出國者」的文字，俾符合比例原則。此即賦予了法官審查驅逐處分有無合法性與權力濫用之權限也。支持法官無庸將原因處分（驅逐處分）一併納入法官審查的範圍，理由也基於：受收容人仍得依據目前行政救濟之管道，對於驅逐處分提起訴願與行政訴訟，顯然已足以保障受收容人之權利云云。這種立論脫離現實太遠。試問：一般提起訴願後，至提起行政訴訟，起碼三個月至五個月（訴願法第八十五條）。此時，絕大多數的受收容人早已被遣送出國矣。現行制度毫無提供救濟之實益。此亦可以實際的資料予以驗證：自民國九十六年一月二日至一○一年九月三十日為止，總共提出四件訴願（其中三件訴願不受理，一件駁回），與提出兩件行政訴訟（一件上訴駁回，一件廢棄原判決）。對照近年來每一年受到強制收容之人數，平均約七千人之多，可見得提起訴願與行政訴訟，毫無實益，也早為受收容人所預知也。至如同本院釋字第六九○號解釋已針對某些暫時性剝奪人身自由事件（隔離傳染病患）的救濟，必須另闢他方，以補救一般行政救濟之緩慢，以及更具備專業性。在本案的情形，也有相同的必要性。同時，以行政法學而論，暫時收容的行為只不過是一個執行行為（乃為執行驅逐處分而採行之行為）亦屬於事實行為，而不一定非獨立成為一個行政處分不可。這個事實行為，猶如拖吊違規停車之汽車，屬於行政執行的問題。也因此執行之公權力可以使用警械及戒具等器具，如同警察在拖吊違規車輛可使用吊車、鎮暴警察於驅逐違法聚眾之集會可使用警械等用具一般，亦能對人身自由造成一定之侵犯。而此些行政強制行為，並不視為單獨存在的行政處分也。本號解釋多數意見顯然忽視了收容行為具有事實行為與執行行為的屬性，顯有不當。再則，多數意見將原因處分（驅逐處分）的合法性置於法院審查範圍之外，而對從屬性質的執行行為（吾人亦很難稱之為「執行處分」），列為受收容人可獲得法律救濟的主要對象。這種捨本逐末「只求果不求因」，吾人不妨舉一例以明其謬誤，例如：在民事訴訟中如涉及利息債務之法律關係，當被告爭執連本金債權存在都有疑慮時，法官卻不能審查之，而只能侷限於判斷利息存在否之問題，是否真能解決爭議？對當事人的權利能更有保障乎？</w:t>
            </w:r>
          </w:p>
        </w:tc>
      </w:tr>
      <w:tr w:rsidR="0049577B" w:rsidRPr="00B40DC1" w:rsidTr="00C4640B">
        <w:tc>
          <w:tcPr>
            <w:tcW w:w="563" w:type="pct"/>
            <w:shd w:val="clear" w:color="auto" w:fill="auto"/>
          </w:tcPr>
          <w:p w:rsidR="0049577B" w:rsidRPr="00C9725A" w:rsidRDefault="0049577B" w:rsidP="00C4640B">
            <w:pPr>
              <w:ind w:leftChars="-41" w:left="-107" w:rightChars="-41" w:right="-107"/>
              <w:jc w:val="left"/>
              <w:rPr>
                <w:sz w:val="24"/>
              </w:rPr>
            </w:pPr>
            <w:r w:rsidRPr="00C9725A">
              <w:rPr>
                <w:sz w:val="24"/>
              </w:rPr>
              <w:t>釋字</w:t>
            </w:r>
            <w:hyperlink r:id="rId195" w:anchor="r710" w:history="1">
              <w:r w:rsidRPr="0034744C">
                <w:rPr>
                  <w:rStyle w:val="a7"/>
                  <w:rFonts w:cs="Times New Roman"/>
                  <w:sz w:val="24"/>
                  <w:lang w:eastAsia="zh-TW" w:bidi="ar-SA"/>
                </w:rPr>
                <w:t>710</w:t>
              </w:r>
            </w:hyperlink>
          </w:p>
        </w:tc>
        <w:tc>
          <w:tcPr>
            <w:tcW w:w="4437" w:type="pct"/>
            <w:shd w:val="clear" w:color="auto" w:fill="auto"/>
          </w:tcPr>
          <w:p w:rsidR="0049577B" w:rsidRPr="002744C6" w:rsidRDefault="00AE1031" w:rsidP="00150351">
            <w:pPr>
              <w:ind w:leftChars="13" w:left="34"/>
              <w:rPr>
                <w:sz w:val="24"/>
                <w:szCs w:val="24"/>
              </w:rPr>
            </w:pPr>
            <w:r w:rsidRPr="002744C6">
              <w:rPr>
                <w:sz w:val="24"/>
                <w:szCs w:val="24"/>
              </w:rPr>
              <w:t>【解釋爭點】</w:t>
            </w:r>
            <w:r w:rsidR="0049577B" w:rsidRPr="002744C6">
              <w:rPr>
                <w:sz w:val="24"/>
                <w:szCs w:val="24"/>
              </w:rPr>
              <w:t>兩岸條例就強制大陸地區人民出境，未予申辯機會；又就暫予收容，未明定事由及期限，均違憲？強制出境辦法所定收容事由未經法律明確授權，亦違憲？</w:t>
            </w:r>
          </w:p>
          <w:p w:rsidR="0049577B" w:rsidRPr="002744C6" w:rsidRDefault="00AE1031" w:rsidP="00150351">
            <w:pPr>
              <w:ind w:leftChars="13" w:left="34"/>
              <w:rPr>
                <w:sz w:val="24"/>
                <w:szCs w:val="24"/>
              </w:rPr>
            </w:pPr>
            <w:r w:rsidRPr="002744C6">
              <w:rPr>
                <w:sz w:val="24"/>
                <w:szCs w:val="24"/>
              </w:rPr>
              <w:t>【解釋文】</w:t>
            </w:r>
            <w:r w:rsidR="0049577B" w:rsidRPr="002744C6">
              <w:rPr>
                <w:sz w:val="24"/>
                <w:szCs w:val="24"/>
              </w:rPr>
              <w:t>中華民國九十二年十月二十九日修正公布之臺灣地區與大陸地區人民關係條例第十八條第一項規定：「進入臺灣地區之大陸地區人民，有下列情形之一者，治安機關得逕行強制出境。……」（該條於九十八年七月一日為文字修正）除因危害國家安全或社會秩序而須為急速處分之情形外，對於經許可合法入境之大陸地區人民，未予申辯之機會，即得逕行強制出境部分，有違憲法正當法律程序原則，不符憲法第十條保障遷徙自由之意旨。同條第二項規定：「前項大陸地區人民，於強制出境前，得暫予收容……」（即九十八年七月一日修正公布之同條例第十八條第三項），未能顯示應限於非暫予收容顯難強制出境者，始得暫予收容之意旨，亦未明定暫予收容之事由，有違法律明確性原則；於因執行遣送所需合理作業期間內之暫時收容部分，未予受暫時收容人即時之司法救濟；於逾越前開暫時收容期間之收容部分，未由法院審查決定，均有違憲法正當法律程序原則，不符憲法第八條保障人身自由之意旨。又同條例關於暫予收容未設期間限制，有導致受收容人身體自由遭受過度剝奪之虞，有違憲法第二十三條比例原則，亦不符憲法第八條保障人身自由之意旨。前揭第十八條第一項與本解釋意旨不符部分及第二項關於暫予收容之規定均應自本解釋公布之日起，至遲於屆滿二年時失其效力。</w:t>
            </w:r>
          </w:p>
          <w:p w:rsidR="0049577B" w:rsidRPr="002744C6" w:rsidRDefault="0049577B" w:rsidP="00150351">
            <w:pPr>
              <w:ind w:leftChars="13" w:left="34"/>
              <w:rPr>
                <w:sz w:val="24"/>
                <w:szCs w:val="24"/>
              </w:rPr>
            </w:pPr>
            <w:r w:rsidRPr="002744C6">
              <w:rPr>
                <w:sz w:val="24"/>
                <w:szCs w:val="24"/>
              </w:rPr>
              <w:t xml:space="preserve">　　臺灣地區與大陸地區人民關係條例施行細則第十五條規定：「本條例第十八條第一項第一款所定未經許可入境者，包括持偽造、變造之護照、旅行證或其他相類之證書、有事實足認係通謀虛偽結婚經撤銷或廢止其許可或以其他非法之方法入境者在內。」九十三年三月一日訂定發布之大陸地區人民申請進入臺灣地區面談管理辦法第十條第三款規定：「大陸地區人民接受面談，有下列情形之一者，其申請案不予許可；已許可者，應撤銷或廢止其許可：……三、經面談後，申請人、依親對象無同居之事實或說詞有重大瑕疵。」（即九十八年八月二十日修正發布之同辦法第十四條第二款）及第十一條規定：「大陸地區人民抵達機場、港口或已入境，經通知面談，有前條各款情形之一者，其許可應予撤銷或廢止，並註銷其入出境許可證件，逕行強制出境或限令十日內出境。」（九十八年八月二十日修正發布之同辦法第十五條刪除「逕行強制出境或限令十日內出境」等字）均未逾越九十二年十月二十九日修正公布之臺灣地區與大陸地區人民關係條例第十八條第一項之規定，與法律保留原則尚無違背。</w:t>
            </w:r>
          </w:p>
          <w:p w:rsidR="0049577B" w:rsidRPr="002744C6" w:rsidRDefault="0049577B" w:rsidP="00150351">
            <w:pPr>
              <w:ind w:leftChars="13" w:left="34"/>
              <w:rPr>
                <w:sz w:val="24"/>
                <w:szCs w:val="24"/>
              </w:rPr>
            </w:pPr>
            <w:r w:rsidRPr="002744C6">
              <w:rPr>
                <w:sz w:val="24"/>
                <w:szCs w:val="24"/>
              </w:rPr>
              <w:t xml:space="preserve">　　八十八年十月二十七日訂定發布之大陸地區人民及香港澳門居民強制出境處理辦法第五條規定：「強制出境前，有下列情形之一者，得暫予收容。一、前條第二項各款所定情形。二、因天災或航空器、船舶故障，不能依規定強制出境者。三、得逕行強制出境之大陸地區人民、香港或澳門居民，無大陸地區、香港、澳門或第三國家旅行證件者。四、其他因故不能立即強制出境者。」（九十九年三月二十四日修正發布移列為同辦法第六條：「執行大陸地區人民、香港或澳門居民強制出境前，有下列情形之一者，得暫予收容：一、因天災或航空器、船舶故障，不能依規定強制出境。二、得逕行強制出境之大陸地區人民、香港或澳門居民，無大陸地區、香港、澳門或第三國家旅行證件。三、其他因故不能立即強制出境。」）未經法律明確授權，違反法律保留原則，應自本解釋公布之日起，至遲於屆滿二年時失其效力。</w:t>
            </w:r>
          </w:p>
          <w:p w:rsidR="003C1792" w:rsidRPr="002744C6" w:rsidRDefault="0034744C" w:rsidP="00150351">
            <w:pPr>
              <w:ind w:leftChars="13" w:left="34"/>
              <w:rPr>
                <w:sz w:val="24"/>
                <w:szCs w:val="24"/>
              </w:rPr>
            </w:pPr>
            <w:r w:rsidRPr="002744C6">
              <w:rPr>
                <w:rFonts w:hint="eastAsia"/>
                <w:kern w:val="0"/>
                <w:sz w:val="24"/>
                <w:szCs w:val="24"/>
              </w:rPr>
              <w:t>【</w:t>
            </w:r>
            <w:r w:rsidR="0049577B" w:rsidRPr="002744C6">
              <w:rPr>
                <w:kern w:val="0"/>
                <w:sz w:val="24"/>
                <w:szCs w:val="24"/>
              </w:rPr>
              <w:t>李震山</w:t>
            </w:r>
            <w:r w:rsidR="0049577B" w:rsidRPr="002744C6">
              <w:rPr>
                <w:sz w:val="24"/>
                <w:szCs w:val="24"/>
              </w:rPr>
              <w:t>大法官不同意見書</w:t>
            </w:r>
            <w:r w:rsidRPr="002744C6">
              <w:rPr>
                <w:rFonts w:hint="eastAsia"/>
                <w:sz w:val="24"/>
                <w:szCs w:val="24"/>
              </w:rPr>
              <w:t>】</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一、創設「合理作業期間」之制度，既不合憲法意旨，又未必有助於實務運作</w:t>
            </w:r>
          </w:p>
          <w:p w:rsidR="0049577B" w:rsidRPr="002744C6" w:rsidRDefault="0049577B" w:rsidP="00150351">
            <w:pPr>
              <w:ind w:leftChars="13" w:left="34"/>
              <w:rPr>
                <w:sz w:val="24"/>
                <w:szCs w:val="24"/>
              </w:rPr>
            </w:pPr>
            <w:r w:rsidRPr="002744C6">
              <w:rPr>
                <w:sz w:val="24"/>
                <w:szCs w:val="24"/>
              </w:rPr>
              <w:t>憲法第八條第四項所指稱之「人民」、「非法逮捕拘禁」及「他人」等要件之內涵，經本院歷來相關解釋，已逐漸能撥雲霧見天日。就「人民」兩字而言，依本院釋字第七○八號解釋：「人身自由係基本人權，為人類一切自由、權利之根本，任何人不分國籍均應受保障，此為現代法治國家共同之準則。故我國憲法第八條關於人身自由之保障亦應及於外國人，使與本國人同受保障。」以之連結本院釋字第三八四號解釋：「凡限制人民身體自由之處置，不問其是否屬於刑事被告之身分，國家機關所依據之程序，須以法律規定，其內容更須實質正當，並符合憲法第二十三條所定相關之條件。」人身自由保障之對象既不分本國人與外國人，亦不因其是否為刑事被告而有別。至就「非法逮捕拘禁」一詞，依本院釋字第三九二號解釋：「人民被法院以外之任何機關非法逮捕拘禁時，其本人或他人得向逮捕拘禁地之地方法院或其所隸屬之高等法院聲請提審。以『非法逮捕拘禁』為聲請提審之條件（按：指舊提審法第一條規定），與憲法前開之規定有所違背（按：指憲法第八條第二項）。」是故，憲法第八條所稱之逮捕拘禁，並無區別合法與非法之必要。至於「他人」所指涉者，若再以本院釋字第七○八號解釋為例，主管機關於處分或裁定收容之後，除應即通知本人外，仍應通知「指定之在臺親友或其原籍國駐華使領館或授權機關」，後者自亦屬得代「本人」向法院請求追究之「他人」，順此，其他雖未被正式通知而素來關心人身自由保障之相關民間團體與個人，不違反「本人」意願下，自不能被排除於「他人」之外。於前述要件下，當主管機關嚴格遵守正當程序明確告知並無語言障礙的被收容大陸人民，其得遂行的救濟權利，並通知依法應受通知者，加上範圍無限寬廣的「他人」，若因此形成每案皆向法院「聲請追究」，或於合理作業期間屆滿前之多數案件皆可能「隨時」向法院聲請追究的情形，並非不可想像。若果，法院與逮捕拘禁機關皆須遵守「二十四小時」的誡命，與實質「由逮捕、拘禁機關主動移審」之結果，相去並不遠，創設「合理作業期間」的必要性，所剩無幾。然釋憲者對於該等情形，並未抱持「功虧一簣」或「為德不卒」而應彌補缺漏的正向思考，反之，卻費盡心機而甘冒違憲大不韙地創設「合理作業期間」，除徒生魚目混珠、畫蛇添足之懷疑外，該刻意的時間區隔，究竟還會有多少提昇行政效能，減輕司法負擔之「實務」或「務實」實益，本席實難以索解。</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二、憲法第八條固分為四項規定，各項規定間卻存在著不容切割的互通血脈</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憲法第八條分為四項，各項的規範內容或重點有所不同，彼此間究係如環環緊密相扣的鏈條，或係得各自獨立的四個扣環，釋憲者對該項議題答案的確信程度，影響違憲審查之解釋原則的走向甚鉅。就前者而言，須取決於四項規定彼此之間是否有一以貫之的堅實共通信念，得作為憲法第八條追求的共善與義理之互通血脈，且經得起時間與空間向度的嚴格考驗。就此，「人身自由剝奪或限制之救濟或追究，應能由法院即時介入審查」的憲法核心意旨，能否當之無愧，值得從以下觀點審視之：首先，憲法第八條具有與其他基本權利保障有別的規範形式理性，極其明顯，並且在實質內容上更以「憲法保留」的高度，謹慎防免立法者依憲法第二十三條概括限制規定恣意侵害人身自由本質內容</w:t>
            </w:r>
            <w:r w:rsidR="003C1792" w:rsidRPr="002744C6">
              <w:rPr>
                <w:sz w:val="24"/>
                <w:szCs w:val="24"/>
              </w:rPr>
              <w:t>(</w:t>
            </w:r>
            <w:r w:rsidR="0049577B" w:rsidRPr="002744C6">
              <w:rPr>
                <w:sz w:val="24"/>
                <w:szCs w:val="24"/>
              </w:rPr>
              <w:t>Wesensgehalt</w:t>
            </w:r>
            <w:r w:rsidR="00587200">
              <w:rPr>
                <w:sz w:val="24"/>
                <w:szCs w:val="24"/>
              </w:rPr>
              <w:t>)</w:t>
            </w:r>
            <w:r w:rsidR="0049577B" w:rsidRPr="002744C6">
              <w:rPr>
                <w:sz w:val="24"/>
                <w:szCs w:val="24"/>
              </w:rPr>
              <w:t>可能之流弊，而採類似德國基本法保障基本權利「限制的限制」</w:t>
            </w:r>
            <w:r w:rsidR="003C1792" w:rsidRPr="002744C6">
              <w:rPr>
                <w:sz w:val="24"/>
                <w:szCs w:val="24"/>
              </w:rPr>
              <w:t>(</w:t>
            </w:r>
            <w:r w:rsidR="0049577B" w:rsidRPr="002744C6">
              <w:rPr>
                <w:sz w:val="24"/>
                <w:szCs w:val="24"/>
              </w:rPr>
              <w:t>Schranken Schranken</w:t>
            </w:r>
            <w:r w:rsidR="00587200">
              <w:rPr>
                <w:sz w:val="24"/>
                <w:szCs w:val="24"/>
              </w:rPr>
              <w:t>)</w:t>
            </w:r>
            <w:r w:rsidR="0049577B" w:rsidRPr="002744C6">
              <w:rPr>
                <w:sz w:val="24"/>
                <w:szCs w:val="24"/>
              </w:rPr>
              <w:t>之雙重管制去制約公權力，尤其是限縮立法形成的空間。而本院長年有關人身自由保障的釋憲成果，不論從法律保留、法律明確性、法律授權明確性原則等面向，皆亦步亦趨地責令法規範應體現人身自由保障的重要性與優位性（本院釋字第四四三號、五二二號、第五二三號、第五五九號及第六三六號等解釋參照）。其次，人身自由受剝奪或限制有不可回復性，從而救濟或追究有其急迫性，為落實此常識性的問題，憲法第八條乃三次提及「二十四小時」，藉以框限應由法官介入的可容忍或合理期間，此方屬憲法本意的「合理作業期間」。其三，為落實前述憲法的規範意旨，法院被認為屬公權力中較能公正獨立行使職權者，其乃成為人身自由保障關係中制衡逮捕拘禁機關之不二人選，且憲法第八條共七次提及「法院」而指涉「法官保留」之本意，至為明顯。前述共通信念既符合權力分立相互制衡原理，又能充分彰顯主權在民原理及憲政理性，且其正當性已歷經時間與空間向度的嚴格考驗，為憲政文明國家所普遍接受，自不難成為憲法第八條各項間信念與邏輯內在一貫性的互通血脈，使該條具備整全性，是殊難想像憲法第八條各項能脫離前述血脈而分別獨立存在。詎料，近年來釋憲實務，卻出現強調以違法逮捕拘禁與合法逮捕拘禁之別、以刑事被告與非刑事被告之分、以主動移審與因聲請而被動移審之差，甚至以本就有合憲性疑慮的「提審法」作為解釋憲法依據等異論，不斷挑戰前述信念與邏輯，試圖拉扯負荷力低的扣環連結處，一旦各環因而不再緊密聯結，有司就更有機會為維護行政作業方便與減輕司法負擔，將各環把玩於股掌之間，或依己意對各項規定咬文嚼字一番。「合理作業期間」正是在此種氛圍下的典型產物，馴致悖離憲法保障人身自由的主軸，豈能默爾而息。</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三、釋憲者詮釋憲法第八條不應一再製造「鐘擺效應」，而應扮演定分止爭的「司法天秤」角色</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本院長年來有關人身自由的解釋，大都能基於權力分立相互制衡原理，盡力履行維護憲法第八條各項規定內在邏輯一貫性之義務，謹慎扮演司法天秤的角色，以收定分止爭之效。惟自釋字第五八八號解釋提出：「惟刑事被告與非刑事被告之人身自由限制，畢竟有其本質上之差異，是其必須踐行之司法程序或其他正當法律程序，自非均須同一不可。」直接衝擊且鬆動前曾述及：「凡限制人民身體自由之處置，不問其是否屬於刑事被告之身分，國家機關所依據之程序，須以法律規定，其內容更須實質正當，並符合憲法第二十三條所定相關之條件」之歷來見解，預留「鐘擺效應」的伏筆，且具體地顯現在釋字第六九○號解釋，其幾乎擺向毫不設防的一端，致本院經年逐案辛苦所奠下保障非刑事被告人身自由的基礎嚴重鬆動。所幸，釋字第七○八號解釋以憲法第八條第四項規定，再讓鐘擺回向到憲法的軸線，但卻又另創「合理作業期間」，在「二十四小時」與「十五天」間，開啟擺盪可能空間。來到本件解釋，則又在「二十四小時」與「尊重立法形成自由」間另行預留更大幅度的鐘擺空間。此種搖擺不定且不易捉摸的立場，與違憲審查者在人身自由保障領域所樹立「我心如秤」的「手執天秤」嚴謹形象，實大相逕庭。再退一步而言，若欲將憲法第八條「二十四小時」規定延長，就涉及嚴肅的修憲問題，不能以釋憲方式說變就變，不論是採「十五天」，或是採「委由立法者決定」模式的「合理作業期間」，皆將難逃「以釋憲之名，行修憲之實」的訾議。未來立法者於審酌不同情形後，所定之「合理作業期間」若被質疑過長，或各規範所定期間之標準與長短不一，必將滋生是否合乎比例原則或平等原則之問題。未來更難保，立法者不會以國家安全、社會秩序或公共利益為理由，將取捨失當、輕重倒置之「合理作業期間」枷鎖，以一時政治多數決，由外國人、大陸人民接著再套在本國人民身上，對此，人民只能馨香禱祝，莫再歷史重演。</w:t>
            </w:r>
          </w:p>
          <w:p w:rsidR="0049577B" w:rsidRPr="002744C6" w:rsidRDefault="0034744C" w:rsidP="00150351">
            <w:pPr>
              <w:ind w:leftChars="13" w:left="34"/>
              <w:rPr>
                <w:sz w:val="24"/>
                <w:szCs w:val="24"/>
              </w:rPr>
            </w:pPr>
            <w:r w:rsidRPr="002744C6">
              <w:rPr>
                <w:rFonts w:hint="eastAsia"/>
                <w:kern w:val="0"/>
                <w:sz w:val="24"/>
                <w:szCs w:val="24"/>
              </w:rPr>
              <w:t>【</w:t>
            </w:r>
            <w:r w:rsidR="0049577B" w:rsidRPr="002744C6">
              <w:rPr>
                <w:kern w:val="0"/>
                <w:sz w:val="24"/>
                <w:szCs w:val="24"/>
              </w:rPr>
              <w:t>陳春生</w:t>
            </w:r>
            <w:r w:rsidR="0049577B" w:rsidRPr="002744C6">
              <w:rPr>
                <w:sz w:val="24"/>
                <w:szCs w:val="24"/>
              </w:rPr>
              <w:t>大法官不同意見書</w:t>
            </w:r>
            <w:r w:rsidRPr="002744C6">
              <w:rPr>
                <w:rFonts w:hint="eastAsia"/>
                <w:sz w:val="24"/>
                <w:szCs w:val="24"/>
              </w:rPr>
              <w:t>】</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一、本號解釋不應繼續援用釋字第七零八號解所創造之「合理作業期間」用語</w:t>
            </w:r>
          </w:p>
          <w:p w:rsidR="0049577B" w:rsidRPr="002744C6" w:rsidRDefault="0049577B" w:rsidP="00150351">
            <w:pPr>
              <w:ind w:leftChars="13" w:left="34"/>
              <w:rPr>
                <w:sz w:val="24"/>
                <w:szCs w:val="24"/>
              </w:rPr>
            </w:pPr>
            <w:r w:rsidRPr="002744C6">
              <w:rPr>
                <w:sz w:val="24"/>
                <w:szCs w:val="24"/>
              </w:rPr>
              <w:t>如同本席於該號解釋意見書中所述，釋字第七０八號解釋於外國人收容制度中創設「合理作業期間」，此乃不必要與不妥當之舉。因釋字第七０八號解釋即使不創造「合理作業期間」之名詞，同樣可以達到該號解釋之意旨與目的，為何要創造一個憲法上所無，且賦予立法者可以正當化限制或剝奪人身自由依據之合理作業期</w:t>
            </w:r>
          </w:p>
          <w:p w:rsidR="0049577B" w:rsidRPr="002744C6" w:rsidRDefault="0049577B" w:rsidP="00150351">
            <w:pPr>
              <w:ind w:leftChars="13" w:left="34"/>
              <w:rPr>
                <w:sz w:val="24"/>
                <w:szCs w:val="24"/>
              </w:rPr>
            </w:pPr>
            <w:r w:rsidRPr="002744C6">
              <w:rPr>
                <w:sz w:val="24"/>
                <w:szCs w:val="24"/>
              </w:rPr>
              <w:t>間之工具？至為不妥。</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二、本號解釋與釋字第七０八號解釋，其各該系爭規定規範之構造與解釋客體不同</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比較入出國及移民法與兩岸關係條例，關於暫予收容的事由，入出國及移民法第三十八條第一項列舉四種情形非予收容，顯難強制驅逐出國者。而現行強制出境處理辦法第六條規定得暫予收容事由如下：「因天災或航空器、船舶故障，不能依規定強制出境」、「得逕行強制出境之大陸地區人民、香港或澳門居民，無大陸地區、香港、澳門或第三國家旅行證件」、「其他因故不能立即強制出境」等三個事由，其中「其他因故不能立即強制出境」又是概括規定。雖然有上開強制出境處理辦法第六條規定，其收容的事由，卻無類似入出國及移民法的「非予收容，顯難強制驅逐出國」之規定。而同辦法第六條「其他因故不能立即強制出境」之規定，等於賦予主管機關相當大的裁量權限，且非規定於形式之法律，亦不妥當。</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三、前已述及，大陸地區人民與外國人於中華民國憲法秩序下之法地位並不相同，於本號解釋更無必要繼續援用釋字第七零八號解釋所創「合理作業期間」之解釋工具。</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四、如果自釋字第七０八號解釋後，本院仍持續強調如十五日之合理作業期間，則將來憲法第八條有關人身自由之保障，立法者是否可能逃避憲法第八條第二項明文規定拘束人身自由二十四小時之限制，而援引釋字第七０八號解釋，行使十五日之合理作業期間的立法權限？若容許立法者有此一權限，則很令人擔心將來「十五日之合理作業期間」實質上變成憲法第八條第一項之不成文規定，則大法官實質上已是憲法第八條之修憲者。</w:t>
            </w:r>
            <w:r w:rsidR="0049577B" w:rsidRPr="002744C6">
              <w:rPr>
                <w:sz w:val="24"/>
                <w:szCs w:val="24"/>
              </w:rPr>
              <w:cr/>
            </w:r>
            <w:r w:rsidRPr="002744C6">
              <w:rPr>
                <w:sz w:val="24"/>
                <w:szCs w:val="24"/>
              </w:rPr>
              <w:t xml:space="preserve">　　</w:t>
            </w:r>
            <w:r w:rsidR="0049577B" w:rsidRPr="002744C6">
              <w:rPr>
                <w:sz w:val="24"/>
                <w:szCs w:val="24"/>
              </w:rPr>
              <w:t>大陸地區人民之法地位與其自由、權利之保障與限制之法源問題，值得學界與實務界再予深化探討。本院今後應揚棄本號解釋所援用之來自釋字第七０八 號解釋「合理作業期間」概念，以及諸如「十五日」合理作業期間用語，以避免大法官成為憲法第八條之修憲者。</w:t>
            </w:r>
          </w:p>
          <w:p w:rsidR="0049577B" w:rsidRPr="002744C6" w:rsidRDefault="00594C80" w:rsidP="00150351">
            <w:pPr>
              <w:ind w:leftChars="13" w:left="34"/>
              <w:rPr>
                <w:sz w:val="24"/>
                <w:szCs w:val="24"/>
              </w:rPr>
            </w:pPr>
            <w:r w:rsidRPr="002744C6">
              <w:rPr>
                <w:rFonts w:hint="eastAsia"/>
                <w:kern w:val="0"/>
                <w:sz w:val="24"/>
                <w:szCs w:val="24"/>
              </w:rPr>
              <w:t>【</w:t>
            </w:r>
            <w:r w:rsidR="0049577B" w:rsidRPr="002744C6">
              <w:rPr>
                <w:kern w:val="0"/>
                <w:sz w:val="24"/>
                <w:szCs w:val="24"/>
              </w:rPr>
              <w:t>陳新民</w:t>
            </w:r>
            <w:r w:rsidR="0049577B" w:rsidRPr="002744C6">
              <w:rPr>
                <w:sz w:val="24"/>
                <w:szCs w:val="24"/>
              </w:rPr>
              <w:t>大法官不同意見書</w:t>
            </w:r>
            <w:r w:rsidRPr="002744C6">
              <w:rPr>
                <w:rFonts w:hint="eastAsia"/>
                <w:sz w:val="24"/>
                <w:szCs w:val="24"/>
              </w:rPr>
              <w:t>】</w:t>
            </w:r>
          </w:p>
          <w:p w:rsidR="0049577B" w:rsidRPr="002744C6" w:rsidRDefault="0034744C" w:rsidP="00150351">
            <w:pPr>
              <w:ind w:leftChars="13" w:left="34"/>
              <w:rPr>
                <w:sz w:val="24"/>
                <w:szCs w:val="24"/>
              </w:rPr>
            </w:pPr>
            <w:r w:rsidRPr="002744C6">
              <w:rPr>
                <w:sz w:val="24"/>
                <w:szCs w:val="24"/>
              </w:rPr>
              <w:t xml:space="preserve">　　</w:t>
            </w:r>
            <w:r w:rsidR="0049577B" w:rsidRPr="002744C6">
              <w:rPr>
                <w:sz w:val="24"/>
                <w:szCs w:val="24"/>
              </w:rPr>
              <w:t>正當法律程序的「羅生門」現象：本號解釋雖然援引了正當法律程序的原則來保障經合法入境的大陸地區人民，應和獲得居留權之大陸地區人民一樣，於強制出境前擁有申辯的機會。同時宣示治安機關暫時收容大陸地區人民時，應以書面告知受收容人暫時收容原因及不服之救濟方法；受收容人一經表示不服，或要求由法院審查時，暫時收容機關也應於二十四小時內，移送法院裁定是否收容(解釋理由書第三段)。雖然本席認為此見解對於改變現制，是有正面的價值，但此種低標準的改進，也僅是達到兩公約期盼的低標準，即屬於「小善」的目標而已。</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本號解釋賡續本院釋字第七○八號解釋的立論，拒絕法官保留原則的適用，認為可由治安機關進行決定大陸地區人民之強制出境。已經否認讓法院作為保障人身自由的「保衛者」的角色。以本院大法官一貫之解釋觀之，只要涉及到人身自由的剝奪，已經嚴重到類似刑罰的程度時，不論是否屬於刑事被告，都應受到憲法第八條人身自由之保障（本院釋字第三八四號、第三九二號及第六三六號解釋）由於人身自由為普是人權，不分國籍皆應擁有，乃法治國家共同原則（本院釋字第七○八號解釋），且鑒於人身自由已為普世人權，大法官本院釋字第七○八號解釋亦承認此為不分國籍者皆應享受之人權，並乃法治國家之通則，本號解釋當應延續之。為了維繫本院大法官重視人身自由，以及實施法官保留的「體系正義」，對於剝奪外國人及大陸地區人民人身自由的決定，應當交由法官裁決，方符合憲法之規定矣。此外復以我國對外國人及大陸地區人民入臺資料已全部電腦化，復加法院遍佈全國，實施法官保留的客觀條件幾乎沒有任何窒礙可言。本席在本院釋字第七○八號解釋號不同意見書已經一再指陳之，然而本號解釋卻未對此缺憾重新檢討，以致有一錯再錯之憾！</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又與本院釋字第七○八號解釋一樣，本號解釋也援引正當法律程序的原則，兩號解釋皆承認治安機關於強制收容待遣返之外國人與大陸地區人民後，需要一段「合理作業期間」。此合理作業期間無庸獲得法官許可，故可稱為是「行政特權」之裁決空間。為兩號解釋在合理作業期間上，卻有不一致之情形。本院釋字第七0 八號解導出了外國人遣送合理作業期間為十五日為上限，即連立法者也不得延長之；對大陸地區人民遣送作業，本號解釋卻未設此上限，交由立法者決定。同樣地，對外國人暫時收容必要時可達六十日（入出國及移民法第三十八條第二項）；對大陸地區人民暫時收容作業則交由立法者自由決定。本號解釋雖然仍宣示，超過法定暫時收容期間後，仍須由法官決定是否繼續收容。但對外國人與大陸地區人民差別待遇之大，已極明顯矣！</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既云正當法律程序，理當可由立法者依據事務本質以及事務不同特性，而容有在目的、方式與程式上的差異。但必須有一定的思維與判斷標準。對於類似的案例，如有異於前例時，理應詳盡說明的義務。這也是立法與司法必須尊奉「體系正義」、避免恣意的「自我節制」。否則每一案都可你說我言、自認其是，將會嚴重的敗壞法律安定性的原則。</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就以正當法律程序與剝奪人身自由的關係而言，本院大法官解釋過往對人身自由的剝奪採行嚴格的標準，並實行法官保留，已形成定律。誠然在不具有處罰性質而有保護個人利益性質之拘禁（如本院釋字六六四號解釋對少年虞犯之預防性收容）；以及兼具私益與公益之防護性拘禁（如本院釋字第六九○號對感染傳染病者之隔離處置），本院大法官縱使擺脫以往見解，而認為無庸實施法官保留。但此例外之見解亦不牴觸以往保障人身自由的嚴格標準。然如今接連兩號涉及剝奪人身自由，且屬於類似刑罰性質的解釋，同樣援引保障人身自由與正當法律程序之原則，不但作出與以往類似案例不同的結論。除了不實施法官保留原則外，對於大陸地區人民被剝奪自由者，只要求主管機關給予申辯的機會而已。對比本院釋字第四九一號解釋賦予公務員，遭到免職處分時，應在處分做成前，給予申訴的機會，作為權利救濟第一步（其次還有立場公正之委員會決議、處分應附記理由及救濟程序之訓示等）。在此涉及人身自由之行政處分卻僅給其採最低標準的人權保障之申訴一途，其保障密度甚低矣！</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再仔細分析本號及本院釋字第七0八號解釋的理論架構與結論，也相互齟齬。如此一來，正當法律程序原則的闡釋與人身自由保障的功能，便形成「三頭馬車」，本席也不禁想起日本文學家芥川龍之介的名作「羅生門」—正當法律程序的概念，果真幻化為各說各話的「羅生門」乎？特別是本號解釋多數意見仍將正當法律程序原則作為解釋的主軸，來捍衛大陸地區人民的人身與遷徙自由，也令人覺得有「明察秋毫、不見輿薪」之憾！前已論及，兩岸關係條例第九十五條之三，既已明白排除了行政程序法之適用，顯示出立法者不欲將確保依法行政與防止行政權濫用最重要的利器—行政程序法之規定，適用於兩岸事務上，從而剝奪了涉及兩岸人民權利事務獲得正當法律程序保障之機會。故在兩岸事務上防止行政機關可能濫權的規範，例如行政程序法第一○二條以下關於作出限制或剝奪人民自由與權利處分前，應給予陳述意見的機會或舉行聽證；行政程序法第一一七條以下有關行政處分的撤銷、廢止與信賴保護相關規定等，都不能適用在兩岸事務的行政處分之上。從而，行政程序法第四條至第十條，關於行政行為的一般原理原則例如依法行政原則、內容明確性原則、平等原則、比例原則、誠信原則、對當事人有利不利情形應一律注意及裁量權的界限等，都應對兩岸事務之行政權行使有拘束力，但既然具體的程序已排除適用，上述原理原則便顯得空泛而無力。</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本號解釋多數意見卻不論究行政程序法的「排除適用」，反而斤斤於個別事項（例如給予申辯機會）的法律正當程序之實踐，其效果當屬片面、微末矣。豈不知「皮之不存，毛之焉附」之道理乎？此在小枝節的努力，期盼兩岸事務都能實踐正當法律程序，豈非「緣木求魚」乎?</w:t>
            </w:r>
          </w:p>
          <w:p w:rsidR="0049577B" w:rsidRPr="002744C6" w:rsidRDefault="00594C80" w:rsidP="00150351">
            <w:pPr>
              <w:ind w:leftChars="13" w:left="34"/>
              <w:rPr>
                <w:sz w:val="24"/>
                <w:szCs w:val="24"/>
              </w:rPr>
            </w:pPr>
            <w:r w:rsidRPr="002744C6">
              <w:rPr>
                <w:rFonts w:hint="eastAsia"/>
                <w:kern w:val="0"/>
                <w:sz w:val="24"/>
                <w:szCs w:val="24"/>
              </w:rPr>
              <w:t>【</w:t>
            </w:r>
            <w:r w:rsidR="0049577B" w:rsidRPr="002744C6">
              <w:rPr>
                <w:kern w:val="0"/>
                <w:sz w:val="24"/>
                <w:szCs w:val="24"/>
              </w:rPr>
              <w:t>黃茂榮</w:t>
            </w:r>
            <w:r w:rsidR="0049577B" w:rsidRPr="002744C6">
              <w:rPr>
                <w:sz w:val="24"/>
                <w:szCs w:val="24"/>
              </w:rPr>
              <w:t>大法官不同意見書</w:t>
            </w:r>
            <w:r w:rsidRPr="002744C6">
              <w:rPr>
                <w:rFonts w:hint="eastAsia"/>
                <w:sz w:val="24"/>
                <w:szCs w:val="24"/>
              </w:rPr>
              <w:t>】</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由行政機關決定收容屬於行政收容。其事由雖與刑事羈押不同，但其對於被收容人之人身自由的拘束並無差異。是故，就行政收容，被收容人還是應有憲法第八條關於正當法律程序及法官保留原則之適用。不同者為：強制出境處分的部分，因為具有非國民在邊境之入出境日常管制的性質，所以針對個案，其行政編制的層級及組織之人數不可能太高。然即使如此，仍應保留在受處分人聲明不符時之即時的行政救濟程序，不可墨守一般行政之常規，循一般之訴願或行政訴訟的程序處理。此外，當其涉及暫予收容之人身自由的直接限制時，更應按法官保留原則之精神，規劃合適於邊關入出境管理之作業需要的規定：縱使認為行政收容不須先經法院裁定，但只要被收容人對於暫予收容之處分表示不服，即至遲應在二十四小時內移送該管法院審問（憲法第八條第二項）。惟鑑於如有強制出境處理辦法第六條第一、二款所定因天災或航空器、船舶故障，不能依規定強制出境；或因得逕行強制出境之大陸地區人民、香港或澳門居民，無大陸地區、香港、澳門或第三國家旅行證件，以致事實上不能執行強制出境之處分，則縱使規定應在收容前，一概移送法院審理，可能也於事無補。是故，可規定有該二款事由之情形時，得暫不依職權移送法院審理。然在收容經過通常該二款規定之障礙事由可能消滅之期間時，入出國及移民署仍應依職權移送法院審理，以裁定是否准予收容，以防止因行政懈怠，不必要的延長收容期間。要之，在受處分人聲明不服時，即應於二十四小時內；在其未聲明不服時，相關法律應規定，在經過法定之一定期間時，應依職權，移送法院審理，是否准許暫予收容，以避免因被收容人怯於聲請移送，而發生不必要之收容的情事。</w:t>
            </w:r>
          </w:p>
          <w:p w:rsidR="0049577B" w:rsidRPr="002744C6" w:rsidRDefault="0049577B" w:rsidP="00150351">
            <w:pPr>
              <w:ind w:leftChars="13" w:left="34"/>
              <w:rPr>
                <w:sz w:val="24"/>
                <w:szCs w:val="24"/>
              </w:rPr>
            </w:pPr>
            <w:r w:rsidRPr="002744C6">
              <w:rPr>
                <w:sz w:val="24"/>
                <w:szCs w:val="24"/>
              </w:rPr>
              <w:t>此外，關於暫予收容，猶如刑事羈押，應有最長期限的限制。而收容處所設置及管理辦法第四條第三項卻規定：第一項之收容以六十日為限；必要時，得延長至遣送出境為止。」該項沒有最長期間之限制。此外，關於暫予收容期間，以收容處所設置及管理辦法加以規定，亦與前述關於暫予收容事由，以強制出境處理辦法加以規定一樣，有未經法律明確授權，違反法律保留原則的情形。對此，本號解釋以該收容期間未設期間限制，宣告其與憲法第二十三條所定比例原則有違。</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就此，本號解釋雖解釋，因上開規定之欠缺，兩岸關係條例第十八條第一項有違憲法正當法律程序原則；另「於因執行遣送所需合理作業期間內之暫時收容部分，未予受暫時收容人即時之司法救濟；於逾越前開暫時收容期間之收容部分，未由法院審查決定，均有違憲法正當法律程序原則，不符憲法第八條保障人身自由之意旨。又同條例關於暫予收容未設期間限制，有導致受收容人身體自由遭受過度剝奪之虞，與憲法第二十三條比例原則有違，亦有違憲法第八條保障人身自由之意旨。」但其解釋內容，一方面未明確指出「應予受暫時收容人即時之司法救濟」的內容所指為何，以及關於「執行遣送所需合理作業期間」的論述，可能引起收容期間長短之合理性的爭議，以致不能有效避過爭議，規定在一定期間經過時，即應將暫予收容案件，導入法官保留原則之適用的正軌。按法官保留原則之適用，在制度上為適合不同類型之應強制出境者的人身保障需要，並節省行政及司法資源，在實質上不減損對於人身自由之保障力度的前提下，可將法官保留原則之適用規劃為：因聲請而被動移送，以及因法定期間經過而應依職權主動移送該管法院審問。憲法第八條明文規定，受主動之法官保留原則適用的刑事拘禁，其拘禁人身自由之機關，至遲應於二十四小時內移送該管法院審問。其餘情形，雖應依該條之規範意旨，給予實質上同等之法官保留的憲法保障，但其保障機制，仍不妨針對個別類型之保障需要，規劃為因聲請而為移送之被動的法官保留，但仍應輔以因法定期間經過而依職權移送之主動的法官保留。收容之合理法定期間的規定具有雙重意義：(1)規定限制自由之合理上限，超出該期限，收容機關應主動移送法院裁定得否繼續收容。(2</w:t>
            </w:r>
            <w:r w:rsidR="00587200">
              <w:rPr>
                <w:sz w:val="24"/>
                <w:szCs w:val="24"/>
              </w:rPr>
              <w:t>)</w:t>
            </w:r>
            <w:r w:rsidR="0049577B" w:rsidRPr="002744C6">
              <w:rPr>
                <w:sz w:val="24"/>
                <w:szCs w:val="24"/>
              </w:rPr>
              <w:t>該合理期間之規定不排除被收容人在被收容之始，即得聲請移送法院裁定得否暫予收容，以及收容機關應努力儘速遣返。</w:t>
            </w:r>
          </w:p>
          <w:p w:rsidR="0049577B" w:rsidRPr="002744C6" w:rsidRDefault="00594C80" w:rsidP="00150351">
            <w:pPr>
              <w:ind w:leftChars="13" w:left="34"/>
              <w:rPr>
                <w:sz w:val="24"/>
                <w:szCs w:val="24"/>
              </w:rPr>
            </w:pPr>
            <w:r w:rsidRPr="002744C6">
              <w:rPr>
                <w:rFonts w:hint="eastAsia"/>
                <w:kern w:val="0"/>
                <w:sz w:val="24"/>
                <w:szCs w:val="24"/>
              </w:rPr>
              <w:t>【</w:t>
            </w:r>
            <w:r w:rsidR="0049577B" w:rsidRPr="002744C6">
              <w:rPr>
                <w:kern w:val="0"/>
                <w:sz w:val="24"/>
                <w:szCs w:val="24"/>
              </w:rPr>
              <w:t>葉百修</w:t>
            </w:r>
            <w:r w:rsidR="0049577B" w:rsidRPr="002744C6">
              <w:rPr>
                <w:sz w:val="24"/>
                <w:szCs w:val="24"/>
              </w:rPr>
              <w:t>大法官不同意見書(</w:t>
            </w:r>
            <w:r w:rsidR="0049577B" w:rsidRPr="002744C6">
              <w:rPr>
                <w:kern w:val="0"/>
                <w:sz w:val="24"/>
                <w:szCs w:val="24"/>
              </w:rPr>
              <w:t>釋字710)</w:t>
            </w:r>
            <w:r w:rsidRPr="002744C6">
              <w:rPr>
                <w:rFonts w:hint="eastAsia"/>
                <w:sz w:val="24"/>
                <w:szCs w:val="24"/>
              </w:rPr>
              <w:t>】</w:t>
            </w:r>
          </w:p>
          <w:p w:rsidR="00CF1603" w:rsidRPr="002744C6" w:rsidRDefault="00594C80" w:rsidP="00150351">
            <w:pPr>
              <w:ind w:leftChars="13" w:left="34"/>
              <w:rPr>
                <w:sz w:val="24"/>
                <w:szCs w:val="24"/>
              </w:rPr>
            </w:pPr>
            <w:r w:rsidRPr="002744C6">
              <w:rPr>
                <w:sz w:val="24"/>
                <w:szCs w:val="24"/>
              </w:rPr>
              <w:t xml:space="preserve">　　</w:t>
            </w:r>
            <w:r w:rsidR="0049577B" w:rsidRPr="002744C6">
              <w:rPr>
                <w:sz w:val="24"/>
                <w:szCs w:val="24"/>
              </w:rPr>
              <w:t>一、多數意見對於憲法人身自由保障與法官保留原則之適用略而不談</w:t>
            </w:r>
          </w:p>
          <w:p w:rsidR="0049577B" w:rsidRPr="002744C6" w:rsidRDefault="0049577B" w:rsidP="00150351">
            <w:pPr>
              <w:ind w:leftChars="13" w:left="34"/>
              <w:rPr>
                <w:sz w:val="24"/>
                <w:szCs w:val="24"/>
              </w:rPr>
            </w:pPr>
            <w:r w:rsidRPr="002744C6">
              <w:rPr>
                <w:sz w:val="24"/>
                <w:szCs w:val="24"/>
              </w:rPr>
              <w:t>本件解釋顯然涉及憲法保障人身自由之限制或剝奪，依據本院歷來解釋所確立之原則，應採法官保留原則，本席業已於本院釋字第七０八號解釋中，針對外國人收容之案件，以協同意見書表示此看法。本件解釋多數意見完全忽視此要求與本院歷來解釋之意旨，僅以正當法律程序作為本件解釋之審查原則，對於聲請人聲請本院解釋憲法之此部分關於有無適用法官保留原則之主張與論據，絲毫沒有論及，故意略而不談，對於本件解釋之理由，顯有不足。</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二、多數意見於本件解釋所詮釋之正當法律程序，與釋字第七０八號解釋前後不一</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本件解釋多數意見所確立之正當法律程序之內涵，本應與釋字第七０八號解釋所確立之內涵保持一致。本席業已於釋字第七０八號解釋所提出之協同意見書表達相關看法。有關暫予收容之處分，釋字第七０八號解釋固然認為尚無須經由法院為之，然而這種行政處分作成前之正當法律程序，本院既於釋字第七０九號解釋，以「除應規定主管機關應設置公平、專業及多元之適當組織以行審議外，並應按主管機關之審查事項、處分之內容與效力、權利限制程度等之不同，規定應踐行之正當行政程序，包括應規定確保利害關係人知悉相關資訊之可能性，及許其適時向主管機關以言詞或書面陳述意見，以主張或維護其權利。</w:t>
            </w:r>
            <w:r w:rsidR="0049577B" w:rsidRPr="002744C6">
              <w:rPr>
                <w:rFonts w:ascii="MS Mincho" w:eastAsia="MS Mincho" w:hAnsi="MS Mincho" w:cs="MS Mincho" w:hint="eastAsia"/>
                <w:sz w:val="24"/>
                <w:szCs w:val="24"/>
              </w:rPr>
              <w:t>⋯⋯</w:t>
            </w:r>
            <w:r w:rsidR="0049577B" w:rsidRPr="002744C6">
              <w:rPr>
                <w:sz w:val="24"/>
                <w:szCs w:val="24"/>
              </w:rPr>
              <w:t>並應規定由主管機關以公開方式舉辦聽證，使利害關係人得到場以言詞為意見之陳述及論辯後，斟酌全部聽證紀錄，說明採納及不採納之理由作成核定，始無違於憲法保障人民財產權及居住自由之意旨。」釋字第七０八號解釋於涉及人民財產權及居住自由，尚且有如此嚴謹之正當法律程序原則之適用，本件解釋多數意見於涉及「行使憲法所保障其他自由權利之前提」之人身自由保障，卻僅以逕行強制規定「未明定治安機關應給予申辯之機會」為由，即認與憲法上正當法律程序原則有違，兩相比較下，人身自由所謂行使憲法所保障其他自由權利之前提之重要性，豈非淪為空談？況該規定於九十八年七月一日修正公布兩岸關係條例第十八條第二項之規定時，尚增訂內政部入出國及移民署於強制經合法許可入境之大陸地區人民出境前，「得召開審查會，並給予當事人陳述意見之機會」，本件解釋多數意見立於解釋憲法之高度，豈可僅止於「得」字與「應」字間一字之差而自滿？又豈能於現行法律規範尚可召開審查會並給予當事人陳述意見之機會，卻退縮至「應給予申辯之機會」，而大幅限縮正當法律程序適用於「經合法許可入境之大陸地區人民」之人身自由保障範圍？</w:t>
            </w:r>
          </w:p>
          <w:p w:rsidR="0049577B" w:rsidRPr="002744C6" w:rsidRDefault="00594C80" w:rsidP="00150351">
            <w:pPr>
              <w:ind w:leftChars="13" w:left="34"/>
              <w:rPr>
                <w:sz w:val="24"/>
                <w:szCs w:val="24"/>
              </w:rPr>
            </w:pPr>
            <w:r w:rsidRPr="002744C6">
              <w:rPr>
                <w:sz w:val="24"/>
                <w:szCs w:val="24"/>
              </w:rPr>
              <w:t xml:space="preserve">　　</w:t>
            </w:r>
            <w:r w:rsidR="0049577B" w:rsidRPr="002744C6">
              <w:rPr>
                <w:sz w:val="24"/>
                <w:szCs w:val="24"/>
              </w:rPr>
              <w:t>三、正當法律程序所謂「正當」，有逐案判斷之必要</w:t>
            </w:r>
          </w:p>
          <w:p w:rsidR="00F91FB1" w:rsidRPr="002744C6" w:rsidRDefault="00594C80" w:rsidP="00150351">
            <w:pPr>
              <w:ind w:leftChars="13" w:left="34"/>
              <w:rPr>
                <w:sz w:val="24"/>
                <w:szCs w:val="24"/>
              </w:rPr>
            </w:pPr>
            <w:r w:rsidRPr="002744C6">
              <w:rPr>
                <w:sz w:val="24"/>
                <w:szCs w:val="24"/>
              </w:rPr>
              <w:t xml:space="preserve">　　</w:t>
            </w:r>
            <w:r w:rsidR="0049577B" w:rsidRPr="002744C6">
              <w:rPr>
                <w:sz w:val="24"/>
                <w:szCs w:val="24"/>
              </w:rPr>
              <w:t>憲法上正當法律程序之適用，其所需踐行之內涵，如何構成所謂「正當」，應視個案情形而加以認定；於涉及人民受逕行強制出境處分後之正當法律程序原則之適用，則涉及國家安全或社會秩序與人身自由或其他憲法權利保障兩者間之利益衡量。因此，假設：</w:t>
            </w:r>
          </w:p>
          <w:p w:rsidR="00F91FB1" w:rsidRPr="002744C6" w:rsidRDefault="00F91FB1" w:rsidP="00150351">
            <w:pPr>
              <w:ind w:leftChars="13" w:left="34"/>
              <w:rPr>
                <w:sz w:val="24"/>
                <w:szCs w:val="24"/>
              </w:rPr>
            </w:pPr>
            <w:r w:rsidRPr="002744C6">
              <w:rPr>
                <w:sz w:val="24"/>
                <w:szCs w:val="24"/>
              </w:rPr>
              <w:t xml:space="preserve">　　</w:t>
            </w:r>
            <w:r w:rsidR="0049577B" w:rsidRPr="002744C6">
              <w:rPr>
                <w:sz w:val="24"/>
                <w:szCs w:val="24"/>
              </w:rPr>
              <w:t>（一）自始非法入境或持有入境許可而事後遭撤銷者</w:t>
            </w:r>
          </w:p>
          <w:p w:rsidR="0049577B" w:rsidRPr="002744C6" w:rsidRDefault="00F91FB1" w:rsidP="00150351">
            <w:pPr>
              <w:ind w:leftChars="13" w:left="34"/>
              <w:rPr>
                <w:sz w:val="24"/>
                <w:szCs w:val="24"/>
              </w:rPr>
            </w:pPr>
            <w:r w:rsidRPr="002744C6">
              <w:rPr>
                <w:sz w:val="24"/>
                <w:szCs w:val="24"/>
              </w:rPr>
              <w:t xml:space="preserve">　　</w:t>
            </w:r>
            <w:r w:rsidR="0049577B" w:rsidRPr="002744C6">
              <w:rPr>
                <w:sz w:val="24"/>
                <w:szCs w:val="24"/>
              </w:rPr>
              <w:t>自始非法入境（例如偷渡）或持有入境許可而事後遭撤銷者，不問其事後撤銷之原因為何，均因為欠缺信賴保護，而基於國家安全或社會秩序之考量，此時因事涉急迫，且危害國家安全或社會秩序之危險可能性較高，與對於此種情形下大陸地區人民之人身自由保障間兩相權衡，有關機關得逕行強制驅逐出境，尚無須踐行相關正當法律程序。為此種可能性之舉證，仍應視個案加以判斷，換言之，若上開情形有需要特別保護人身自由之必要，例如兒童或者尋求庇護者，則應給予正當法律程序原則之保障。</w:t>
            </w:r>
          </w:p>
          <w:p w:rsidR="00594C80" w:rsidRPr="002744C6" w:rsidRDefault="00F91FB1" w:rsidP="00150351">
            <w:pPr>
              <w:ind w:leftChars="13" w:left="34"/>
              <w:rPr>
                <w:sz w:val="24"/>
                <w:szCs w:val="24"/>
              </w:rPr>
            </w:pPr>
            <w:r w:rsidRPr="002744C6">
              <w:rPr>
                <w:sz w:val="24"/>
                <w:szCs w:val="24"/>
              </w:rPr>
              <w:t xml:space="preserve">　　</w:t>
            </w:r>
            <w:r w:rsidR="0049577B" w:rsidRPr="002744C6">
              <w:rPr>
                <w:sz w:val="24"/>
                <w:szCs w:val="24"/>
              </w:rPr>
              <w:t>（二）持有合法入境許可而事後遭廢止者</w:t>
            </w:r>
          </w:p>
          <w:p w:rsidR="0049577B" w:rsidRPr="002744C6" w:rsidRDefault="00F91FB1" w:rsidP="00150351">
            <w:pPr>
              <w:ind w:leftChars="13" w:left="34"/>
              <w:rPr>
                <w:sz w:val="24"/>
                <w:szCs w:val="24"/>
              </w:rPr>
            </w:pPr>
            <w:r w:rsidRPr="002744C6">
              <w:rPr>
                <w:sz w:val="24"/>
                <w:szCs w:val="24"/>
              </w:rPr>
              <w:t xml:space="preserve">　　</w:t>
            </w:r>
            <w:r w:rsidR="0049577B" w:rsidRPr="002744C6">
              <w:rPr>
                <w:sz w:val="24"/>
                <w:szCs w:val="24"/>
              </w:rPr>
              <w:t>持有合法入境許可而事後遭廢止，由於當事人已具有合法在臺灣地區居住遷徙之權利，則不問其合法入境許可遭廢止之事由為何，其居住遷徙之自由應同等受憲法之保障，參照本院釋字第七０八號解釋之意旨，則逕行強制出境規定未對此情形之大陸地區人民給予有效的權利保護，與憲法保障人民居住遷徙自由與正當法律程序之意旨即有不符。此時，對於持有合法入境許可而事後遭廢止者，其人身自由之限制或剝奪，則應踐行相關之正當法律程序。</w:t>
            </w:r>
          </w:p>
          <w:p w:rsidR="0049577B" w:rsidRPr="002744C6" w:rsidRDefault="00F91FB1" w:rsidP="00150351">
            <w:pPr>
              <w:ind w:leftChars="13" w:left="34"/>
              <w:rPr>
                <w:sz w:val="24"/>
                <w:szCs w:val="24"/>
              </w:rPr>
            </w:pPr>
            <w:r w:rsidRPr="002744C6">
              <w:rPr>
                <w:sz w:val="24"/>
                <w:szCs w:val="24"/>
              </w:rPr>
              <w:t xml:space="preserve">　　</w:t>
            </w:r>
            <w:r w:rsidR="0049577B" w:rsidRPr="002744C6">
              <w:rPr>
                <w:sz w:val="24"/>
                <w:szCs w:val="24"/>
              </w:rPr>
              <w:t>四、僅以暫予收容作為防止脫逃之唯一手段，不符比例原則</w:t>
            </w:r>
          </w:p>
          <w:p w:rsidR="0049577B" w:rsidRPr="002744C6" w:rsidRDefault="00F91FB1" w:rsidP="00150351">
            <w:pPr>
              <w:ind w:leftChars="13" w:left="34"/>
              <w:rPr>
                <w:sz w:val="24"/>
                <w:szCs w:val="24"/>
              </w:rPr>
            </w:pPr>
            <w:r w:rsidRPr="002744C6">
              <w:rPr>
                <w:sz w:val="24"/>
                <w:szCs w:val="24"/>
              </w:rPr>
              <w:t xml:space="preserve">　　</w:t>
            </w:r>
            <w:r w:rsidR="0049577B" w:rsidRPr="002744C6">
              <w:rPr>
                <w:sz w:val="24"/>
                <w:szCs w:val="24"/>
              </w:rPr>
              <w:t>系爭規定採用於強制出境前，得予以暫予收容作為確保強制出境之必要手段，然僅以暫予收容為防止待驅逐出境之人脫逃之唯一手段，而未設有其他侵害較小之手段，例如第三人書面保證、責付、繳交保證金或限制住居等，與憲法比例原則之意旨不符。</w:t>
            </w:r>
          </w:p>
          <w:p w:rsidR="0049577B" w:rsidRPr="002744C6" w:rsidRDefault="00F91FB1" w:rsidP="00150351">
            <w:pPr>
              <w:ind w:leftChars="13" w:left="34"/>
              <w:rPr>
                <w:sz w:val="24"/>
                <w:szCs w:val="24"/>
              </w:rPr>
            </w:pPr>
            <w:r w:rsidRPr="002744C6">
              <w:rPr>
                <w:sz w:val="24"/>
                <w:szCs w:val="24"/>
              </w:rPr>
              <w:t xml:space="preserve">　　</w:t>
            </w:r>
            <w:r w:rsidR="0049577B" w:rsidRPr="002744C6">
              <w:rPr>
                <w:sz w:val="24"/>
                <w:szCs w:val="24"/>
              </w:rPr>
              <w:t>五、收容事由應屬絕對法律保留事項</w:t>
            </w:r>
          </w:p>
          <w:p w:rsidR="0049577B" w:rsidRPr="002744C6" w:rsidRDefault="00F91FB1" w:rsidP="00150351">
            <w:pPr>
              <w:ind w:leftChars="13" w:left="34"/>
              <w:rPr>
                <w:sz w:val="24"/>
                <w:szCs w:val="24"/>
              </w:rPr>
            </w:pPr>
            <w:r w:rsidRPr="002744C6">
              <w:rPr>
                <w:sz w:val="24"/>
                <w:szCs w:val="24"/>
              </w:rPr>
              <w:t xml:space="preserve">　　</w:t>
            </w:r>
            <w:r w:rsidR="0049577B" w:rsidRPr="002744C6">
              <w:rPr>
                <w:sz w:val="24"/>
                <w:szCs w:val="24"/>
              </w:rPr>
              <w:t>本件解釋多數意見最值得重視的論點，則在於變更本院歷來解釋就法律保留原則於人身自由保障之適用。關於暫予收容規定，兩岸關係條例僅以「前項大陸地區人民，於強制出境前，得暫予收容，</w:t>
            </w:r>
            <w:r w:rsidR="0049577B" w:rsidRPr="002744C6">
              <w:rPr>
                <w:rFonts w:ascii="MS Mincho" w:eastAsia="MS Mincho" w:hAnsi="MS Mincho" w:cs="MS Mincho" w:hint="eastAsia"/>
                <w:sz w:val="24"/>
                <w:szCs w:val="24"/>
              </w:rPr>
              <w:t>⋯⋯</w:t>
            </w:r>
            <w:r w:rsidR="0049577B" w:rsidRPr="002744C6">
              <w:rPr>
                <w:sz w:val="24"/>
                <w:szCs w:val="24"/>
              </w:rPr>
              <w:t>。」而上開大陸地區人民及香港澳門居民強制出境處理辦法第五條逕行規定得暫予收容之事由，多數意見既然承認暫予收容屬對人民身體自由之剝奪，其事由卻可由法律直接規定或法律具體明確授權之命令定之，而對法律保留原則於人身自由之保障，放寬其適用標準，本席深感憂慮。按本院於釋字第四四三號解釋理由書所謂「憲法所定人民之自由及權利範圍甚廣，凡不妨害社會秩序公共利益者，均受保障。惟並非一切自由及權利均無分軒輊受憲法毫無差別之保障：關於人民身體之自由，憲法第八條規定即較為詳盡，其中內容屬於憲法保留之事項者，縱令立法機關，亦不得制定法律加以限制（參照本院釋字第三九二號解釋理由書），而憲法第七條、第九條至第十八條、第二十一條及第二十二條之各種自由及權利，則於符合憲法第二十三條之條件下，得以法律限制之。至何種事項應以法律直接規範或得委由命令予以規定，與所謂規範密度有關，應視規範對象、內容或法益本身及其所受限制之輕重而容許合理之差異：諸如剝奪人民生命或限制人民身體自由者，必須遵守罪刑法定主義，以制定法律之方式為之；涉及人民其他自由權利之限制者，亦應由法律加以規定，如以法律授權主管機關發布命令為補充規定時，其授權應符合具體明確之原則；若僅屬與執行法律之細節性、技術性次要事項，則得由主管機關發布命令為必要之規範，雖因而對人民產生不便或輕微影響，尚非憲法所不許。」是採用層級化之法律保留體系，已為本院歷來解釋之一貫見解。因此，對於剝奪人民生命或限制人民身體自由，所採取者係嚴格法律保留，尤以涉及刑事處罰，自然有罪刑法定主義之適用，而於單純剝奪或限制人民身體自由者，其仍應以制定法律之方式為之。由於本院歷來解釋對於憲法上人身自由保障之重視，一方面於形式上以絕對法律保留原則加以確保，另一方面，則透過正當法律程序原則於法律實體規範上加以保障，此兩項保障方式互為唇齒，一旦於形式上放寬，唇亡則齒寒，絕對法律保留原則一旦退守，則正當法律程序將無落實之可能。本件解釋多數意見間接援引本院釋字第五二二號解釋，認「刑罰法規關係人民生命、自由及財產權益至鉅，自應依循罪刑法定主義，以制定法律之方式為之，如法律授權主管機關發布命令為補充規定時，須自授權之法律規定中得預見其行為之可罰，方符刑罰明確性原則。」然釋字第五二二號解釋之適用，係以刑事法規之處罰，其中不見得全然涉及人民生命、身體自由之保障，故而有可能於涉及人身自由以外之其他自由權或財產權為內容之處罰時，於原則上適用罪刑法定主義，應以制定法律之方式為之外，對於相關「補充規定」，方可由法律授權主管機關發布命令，且須自授權之法律規定中得預見其行為之可罰，方符刑罰明確性原則。亦，於可由法律授權主管機關發布命令之情形，方有法律「本身」授權是否明確的問題，此係法律明確性問題，而非涉及授權明確性問題。授權明確性原則之適用，僅於相對法律保留原則之適用情形下，始有討論的空間，於絕對法律保留事項，則遑論授權與否及是否明確之問題。</w:t>
            </w:r>
          </w:p>
          <w:p w:rsidR="0049577B" w:rsidRPr="002744C6" w:rsidRDefault="00F91FB1" w:rsidP="00150351">
            <w:pPr>
              <w:ind w:leftChars="13" w:left="34"/>
              <w:rPr>
                <w:sz w:val="24"/>
                <w:szCs w:val="24"/>
              </w:rPr>
            </w:pPr>
            <w:r w:rsidRPr="002744C6">
              <w:rPr>
                <w:sz w:val="24"/>
                <w:szCs w:val="24"/>
              </w:rPr>
              <w:t xml:space="preserve">　　</w:t>
            </w:r>
            <w:r w:rsidR="0049577B" w:rsidRPr="002744C6">
              <w:rPr>
                <w:sz w:val="24"/>
                <w:szCs w:val="24"/>
              </w:rPr>
              <w:t>關於憲法上人身自由之保障，本院歷來解釋均認為應採絕對法律保留原則之適用，例如本院釋字第五五九號解釋即已明確闡釋：「基於法治國家之基本原則，凡涉及人身自由之限制事項，應以法律定之；涉及財產權者，則得依其限制之程度，以法律或法律明確授權之命令予以規範。惟法律本身若已就人身之處置為明文之規定者，應非不得以法律具體明確之授權委由主管機關執行之。至主管機關依法律概括授權所發布之命令若僅屬細節性、技術性之次要事項者，並非法所不許。」換言之，除非法律本身已有明文規定，而於此明文規定之「補充規定」，始得由法律以具體明確之授權委由主管機關執行之。然本件解釋多數意見就暫予收容事由規定，卻以釋字第五五九號解釋認可由法律具體明確授權之命令為之，其中不察，實為差之毫釐、失之千里。因此，縱然多數意見認兩岸關係條例中暫予收容事由規定，因「其文義過於寬泛，未能顯示應限於非暫予收容顯難強制出境者，始得暫予收容之意旨」，顯未就其收容事由應明確由法律明文定之而認暫予收容事由規定違憲，巧妙地解釋因「法律規定不夠明確」，而可能導致主管機關於大陸地區人民及香港澳門居民強制出境處理辦法第五條逕行規定得暫予收容之情形；然而，假如暫予收容事由屬絕對法律保留事項，則有何「委由治安機關自行裁量」，或者「未明確授權主管機關」以上開辦法補充規定得暫予收容事由之可能性？換言之，本件解釋多數意見認暫予收容事由規定牴觸法律明確性原則、上開辦法違反法律保留原則，然而上開辦法違反法律保留原則，是因為兩岸關係條例第十八條第六項對於上開辦法之授權不夠明確，導致其逾越該條例之授權範圍而牴觸法律保留，而不是因為暫予收容事由規定牴觸法律保留原則，而導致上開辦法牴觸法律保留原則而違憲。本件解釋多數意見對於收容事由之規範，輕易將其於法律規範中剔除，容忍可由具有明確授權之行政命令為之，無疑是法治國原則的倒退，甚至棄守。</w:t>
            </w:r>
          </w:p>
          <w:p w:rsidR="0049577B" w:rsidRPr="002744C6" w:rsidRDefault="009B228E" w:rsidP="00150351">
            <w:pPr>
              <w:ind w:leftChars="13" w:left="34"/>
              <w:rPr>
                <w:sz w:val="24"/>
                <w:szCs w:val="24"/>
              </w:rPr>
            </w:pPr>
            <w:r w:rsidRPr="002744C6">
              <w:rPr>
                <w:rFonts w:hint="eastAsia"/>
                <w:kern w:val="0"/>
                <w:sz w:val="24"/>
                <w:szCs w:val="24"/>
              </w:rPr>
              <w:t>【</w:t>
            </w:r>
            <w:r w:rsidR="0049577B" w:rsidRPr="002744C6">
              <w:rPr>
                <w:kern w:val="0"/>
                <w:sz w:val="24"/>
                <w:szCs w:val="24"/>
              </w:rPr>
              <w:t>羅昌發</w:t>
            </w:r>
            <w:r w:rsidR="0049577B" w:rsidRPr="002744C6">
              <w:rPr>
                <w:sz w:val="24"/>
                <w:szCs w:val="24"/>
              </w:rPr>
              <w:t>大法官不同意見書(</w:t>
            </w:r>
            <w:r w:rsidR="0049577B" w:rsidRPr="002744C6">
              <w:rPr>
                <w:kern w:val="0"/>
                <w:sz w:val="24"/>
                <w:szCs w:val="24"/>
              </w:rPr>
              <w:t>釋字710)</w:t>
            </w:r>
            <w:r w:rsidRPr="002744C6">
              <w:rPr>
                <w:rFonts w:hint="eastAsia"/>
                <w:sz w:val="24"/>
                <w:szCs w:val="24"/>
              </w:rPr>
              <w:t>】</w:t>
            </w:r>
          </w:p>
          <w:p w:rsidR="0049577B" w:rsidRPr="002744C6" w:rsidRDefault="00F91FB1" w:rsidP="00150351">
            <w:pPr>
              <w:ind w:leftChars="13" w:left="34"/>
              <w:rPr>
                <w:sz w:val="24"/>
                <w:szCs w:val="24"/>
              </w:rPr>
            </w:pPr>
            <w:r w:rsidRPr="002744C6">
              <w:rPr>
                <w:sz w:val="24"/>
                <w:szCs w:val="24"/>
              </w:rPr>
              <w:t xml:space="preserve">　　</w:t>
            </w:r>
            <w:r w:rsidR="0049577B" w:rsidRPr="002744C6">
              <w:rPr>
                <w:sz w:val="24"/>
                <w:szCs w:val="24"/>
              </w:rPr>
              <w:t>然暫予收容之事由，事關何種情形下大陸地區人民之人身自由將受剝奪，屬於極為重大之事項。多數意見認為得以法律明確授權之行政命令予以規範（廣義的法律保留）。本席認有重大疑義；強制收容之事由實應採國會保留為是（狹義的法律保留）。---蓋本院釋字第五五九號解釋針對涉及人身自由事項是否應有國會保留（亦即僅得以法律規定，而不得以法律授權之行政命令規定）之適用，曾揭示謂：「基於法治國家之基本原則，凡涉及人身自由之限制事項，應以法律定之；涉及財產權者，則得依其限制之程度，以法律或法律明確授權之命令予以規範。惟法律本身若已就人身之處置為明文之規定者，應非不得以法律具體明確之授權委由主管機關執行之。至主管機關依法律概括授權所發布之命令若僅屬細節性、技術性之次要事項者，並非法所不許。」換言之，在涉及限制人身自由之事項，得以法律授權之行政命令定之者，僅有兩種情形：其一，僅係授權主管機關執行法律明文之處置規定者（但須有具體明確之法律授權）；其二，僅屬於細節性或技術性之次要事項者（此部分得以概括之方式授權）。由於收容本身為嚴重剝奪人身自由之國家行為，其在何種情形與條件下得以收容，絕非單純屬於執行法律所定處置規定之事項；且該等收容之事由，將決定大陸地區人民是否在一定期間內喪失人身自由，自更非細節性或技術性之次要事項。故收容之事由與條件，應無以法律授權行政機關以發布命令之方式訂定之餘地。本席對多數意見所認得以法律明確授權之行政命令，訂定收容之事由，未敢認同。---本院釋字第七０八號解釋針對收容外國人以便遣送其出境之程序，曾創設十五日之遣送「合理作業期間」之概念（在此期間內，主管機關並不主動將收容案件移送法院裁定；但在該期間內，收容人仍得聲請法院審查收容之決定）（見該號解釋理由書第三段）。本席於該號解釋所提出之意見書表示「多數意見雖將此十五日期間定為將來為此修改法律時立法之『上限』；然本解釋不啻開立空白支票，使立法機關得以立法方式賦予行政機關自行決定限制外國人人身自由長達十五日之權，而無須由法院決定。多數意見雖以『暫時』收容稱之，然其限制人身自由之本質，與後續收容毫無不同，侵害外國人身自由甚為嚴重。」「憲法解釋以行政部門之作業實務為基礎，而非要求作業實務必須以憲法保障人權之標準為基礎；此例一開，令人不安。」</w:t>
            </w:r>
          </w:p>
          <w:p w:rsidR="0049577B" w:rsidRPr="002744C6" w:rsidRDefault="009B228E" w:rsidP="00150351">
            <w:pPr>
              <w:ind w:leftChars="13" w:left="34"/>
              <w:rPr>
                <w:sz w:val="24"/>
                <w:szCs w:val="24"/>
              </w:rPr>
            </w:pPr>
            <w:r w:rsidRPr="002744C6">
              <w:rPr>
                <w:sz w:val="24"/>
                <w:szCs w:val="24"/>
              </w:rPr>
              <w:t xml:space="preserve">　　</w:t>
            </w:r>
            <w:r w:rsidR="0049577B" w:rsidRPr="002744C6">
              <w:rPr>
                <w:sz w:val="24"/>
                <w:szCs w:val="24"/>
              </w:rPr>
              <w:t>本號解釋多數意見不但並未放棄「合理遣送作業期間」之概念，甚至刻意不納入釋字第七０八號解釋所訂定之十五日上限（見本號解釋理由書第三段），完全任由立法者裁量該期間之長短。其不啻向立法者宣告，將來為遣送作業而暫時收容，得訂定較十五日更長之期間，由主管機關從容處理遣送作業，亦無須主動移由法院決定收容是否必要。其侵害受收容之大陸人民人身自由之疑慮，更甚於侵害受收容之外國人人身自由。本席對於合理作業期間內無須主動移送法院，以及所謂合理作業期間毫無時間上限之意見，實難同意。</w:t>
            </w:r>
          </w:p>
        </w:tc>
      </w:tr>
      <w:tr w:rsidR="0049577B" w:rsidRPr="00B40DC1" w:rsidTr="00C4640B">
        <w:tc>
          <w:tcPr>
            <w:tcW w:w="563" w:type="pct"/>
            <w:shd w:val="clear" w:color="auto" w:fill="auto"/>
          </w:tcPr>
          <w:p w:rsidR="0049577B" w:rsidRPr="00B40DC1" w:rsidRDefault="0049577B" w:rsidP="00C4640B">
            <w:pPr>
              <w:ind w:leftChars="-41" w:left="-107" w:rightChars="-41" w:right="-107"/>
              <w:jc w:val="left"/>
            </w:pPr>
            <w:r w:rsidRPr="00B40DC1">
              <w:t>釋字</w:t>
            </w:r>
            <w:hyperlink r:id="rId196" w:anchor="r720" w:history="1">
              <w:r w:rsidRPr="002744C6">
                <w:rPr>
                  <w:rStyle w:val="a7"/>
                  <w:rFonts w:cs="Times New Roman"/>
                  <w:lang w:eastAsia="zh-TW" w:bidi="ar-SA"/>
                </w:rPr>
                <w:t>720</w:t>
              </w:r>
            </w:hyperlink>
          </w:p>
        </w:tc>
        <w:tc>
          <w:tcPr>
            <w:tcW w:w="4437" w:type="pct"/>
            <w:shd w:val="clear" w:color="auto" w:fill="auto"/>
          </w:tcPr>
          <w:p w:rsidR="003C1792" w:rsidRPr="002744C6" w:rsidRDefault="00AE1031" w:rsidP="00150351">
            <w:pPr>
              <w:ind w:leftChars="13" w:left="34"/>
              <w:rPr>
                <w:sz w:val="24"/>
                <w:szCs w:val="24"/>
              </w:rPr>
            </w:pPr>
            <w:r w:rsidRPr="002744C6">
              <w:rPr>
                <w:sz w:val="24"/>
                <w:szCs w:val="24"/>
              </w:rPr>
              <w:t>【解釋爭點】</w:t>
            </w:r>
            <w:hyperlink r:id="rId197" w:history="1">
              <w:r w:rsidR="0049577B" w:rsidRPr="002744C6">
                <w:rPr>
                  <w:rStyle w:val="a7"/>
                  <w:rFonts w:cs="Times New Roman"/>
                  <w:sz w:val="24"/>
                  <w:szCs w:val="24"/>
                  <w:lang w:eastAsia="zh-TW" w:bidi="ar-SA"/>
                </w:rPr>
                <w:t>羈押法</w:t>
              </w:r>
            </w:hyperlink>
            <w:r w:rsidR="0049577B" w:rsidRPr="002744C6">
              <w:rPr>
                <w:sz w:val="24"/>
                <w:szCs w:val="24"/>
              </w:rPr>
              <w:t>規修正前，受羈押被告不服申訴決定之訴訟救濟方法？</w:t>
            </w:r>
          </w:p>
          <w:p w:rsidR="0049577B" w:rsidRPr="002744C6" w:rsidRDefault="00AE1031" w:rsidP="00150351">
            <w:pPr>
              <w:ind w:leftChars="13" w:left="34"/>
              <w:rPr>
                <w:sz w:val="24"/>
                <w:szCs w:val="24"/>
              </w:rPr>
            </w:pPr>
            <w:r w:rsidRPr="002744C6">
              <w:rPr>
                <w:sz w:val="24"/>
                <w:szCs w:val="24"/>
              </w:rPr>
              <w:t>【解釋文】</w:t>
            </w:r>
            <w:r w:rsidR="0049577B" w:rsidRPr="002744C6">
              <w:rPr>
                <w:sz w:val="24"/>
                <w:szCs w:val="24"/>
              </w:rPr>
              <w:t>羈押法第六條及同法施行細則第十四條第一項之規定，不許受羈押被告向法院提起訴訟請求救濟之部分，業經本院釋字第六五三號解釋，以其與憲法第十六條保障人民訴訟權之意旨有違，宣告相關機關至遲應於解釋公布之日起二年內，依解釋意旨，檢討修正羈押法及相關法規，就受羈押被告及時有效救濟之訴訟制度，訂定適當之規範在案。在相關法規修正公布前，受羈押被告對有關機關之申訴決定不服者，應許其準用刑事訴訟法第四百十六條等有關準抗告之規定，向裁定羈押之法院請求救濟。本院釋字第六五三號解釋應予補充。</w:t>
            </w:r>
          </w:p>
        </w:tc>
      </w:tr>
      <w:tr w:rsidR="0049577B" w:rsidRPr="00B40DC1" w:rsidTr="00C4640B">
        <w:tc>
          <w:tcPr>
            <w:tcW w:w="563" w:type="pct"/>
            <w:shd w:val="clear" w:color="auto" w:fill="auto"/>
          </w:tcPr>
          <w:p w:rsidR="0049577B" w:rsidRPr="00B40DC1" w:rsidRDefault="0049577B" w:rsidP="00C4640B">
            <w:pPr>
              <w:ind w:leftChars="-41" w:left="-107" w:rightChars="-41" w:right="-107"/>
              <w:jc w:val="left"/>
            </w:pPr>
            <w:r w:rsidRPr="00B40DC1">
              <w:t>釋字</w:t>
            </w:r>
            <w:hyperlink r:id="rId198" w:anchor="r737" w:history="1">
              <w:r w:rsidRPr="002744C6">
                <w:rPr>
                  <w:rStyle w:val="a7"/>
                  <w:rFonts w:cs="Times New Roman"/>
                  <w:lang w:eastAsia="zh-TW" w:bidi="ar-SA"/>
                </w:rPr>
                <w:t>737</w:t>
              </w:r>
            </w:hyperlink>
          </w:p>
        </w:tc>
        <w:tc>
          <w:tcPr>
            <w:tcW w:w="4437" w:type="pct"/>
            <w:shd w:val="clear" w:color="auto" w:fill="auto"/>
          </w:tcPr>
          <w:p w:rsidR="002744C6" w:rsidRPr="002744C6" w:rsidRDefault="002744C6" w:rsidP="002744C6">
            <w:pPr>
              <w:spacing w:line="240" w:lineRule="auto"/>
              <w:ind w:leftChars="0" w:left="0" w:rightChars="0" w:right="0"/>
              <w:rPr>
                <w:sz w:val="24"/>
                <w:szCs w:val="24"/>
              </w:rPr>
            </w:pPr>
            <w:r w:rsidRPr="002744C6">
              <w:rPr>
                <w:rFonts w:hint="eastAsia"/>
                <w:sz w:val="24"/>
                <w:szCs w:val="24"/>
              </w:rPr>
              <w:t>【爭點】依刑事訴訟法</w:t>
            </w:r>
            <w:r w:rsidRPr="002744C6">
              <w:rPr>
                <w:rFonts w:ascii="Arial Unicode MS" w:hAnsi="Arial Unicode MS" w:hint="eastAsia"/>
                <w:sz w:val="24"/>
                <w:szCs w:val="24"/>
              </w:rPr>
              <w:t>第</w:t>
            </w:r>
            <w:hyperlink r:id="rId199" w:anchor="a33" w:history="1">
              <w:r w:rsidRPr="002744C6">
                <w:rPr>
                  <w:rStyle w:val="a7"/>
                  <w:rFonts w:ascii="Arial Unicode MS" w:hAnsi="Arial Unicode MS" w:hint="eastAsia"/>
                  <w:sz w:val="24"/>
                  <w:szCs w:val="24"/>
                  <w:lang w:eastAsia="zh-TW"/>
                </w:rPr>
                <w:t>三十三</w:t>
              </w:r>
            </w:hyperlink>
            <w:r w:rsidRPr="002744C6">
              <w:rPr>
                <w:rFonts w:hint="eastAsia"/>
                <w:sz w:val="24"/>
                <w:szCs w:val="24"/>
              </w:rPr>
              <w:t>條第一項、</w:t>
            </w:r>
            <w:r w:rsidRPr="002744C6">
              <w:rPr>
                <w:rFonts w:ascii="Arial Unicode MS" w:hAnsi="Arial Unicode MS" w:hint="eastAsia"/>
                <w:sz w:val="24"/>
                <w:szCs w:val="24"/>
              </w:rPr>
              <w:t>第</w:t>
            </w:r>
            <w:hyperlink r:id="rId200" w:anchor="a101" w:history="1">
              <w:r w:rsidRPr="002744C6">
                <w:rPr>
                  <w:rStyle w:val="a7"/>
                  <w:rFonts w:ascii="Arial Unicode MS" w:hAnsi="Arial Unicode MS" w:hint="eastAsia"/>
                  <w:sz w:val="24"/>
                  <w:szCs w:val="24"/>
                  <w:lang w:eastAsia="zh-TW"/>
                </w:rPr>
                <w:t>一百零一</w:t>
              </w:r>
            </w:hyperlink>
            <w:r w:rsidRPr="002744C6">
              <w:rPr>
                <w:rFonts w:hint="eastAsia"/>
                <w:sz w:val="24"/>
                <w:szCs w:val="24"/>
              </w:rPr>
              <w:t>條第三項規定，犯罪嫌疑人及其辯護人於偵查中羈押審查程序得從而獲知之卷證資訊，僅為聲請羈押事由所依據之事實，是否合憲？</w:t>
            </w:r>
          </w:p>
          <w:p w:rsidR="0049577B" w:rsidRPr="002744C6" w:rsidRDefault="00AE1031" w:rsidP="00150351">
            <w:pPr>
              <w:ind w:leftChars="13" w:left="34"/>
              <w:rPr>
                <w:sz w:val="24"/>
                <w:szCs w:val="24"/>
              </w:rPr>
            </w:pPr>
            <w:r w:rsidRPr="002744C6">
              <w:rPr>
                <w:sz w:val="24"/>
                <w:szCs w:val="24"/>
              </w:rPr>
              <w:t>【解釋文】</w:t>
            </w:r>
            <w:r w:rsidR="0049577B" w:rsidRPr="002744C6">
              <w:rPr>
                <w:sz w:val="24"/>
                <w:szCs w:val="24"/>
              </w:rPr>
              <w:t>本於憲法第八條及第十六條人身自由及訴訟權應予保障之意旨，對人身自由之剝奪尤應遵循正當法律程序原則。偵查中之羈押審查程序，應以適當方式及時使犯罪嫌疑人及其辯護人獲知檢察官據以聲請羈押之理由；除有事實足認有湮滅、偽造、變造證據或勾串共犯或證人等危害偵查目的或危害他人生命、身體之虞，得予限制或禁止者外，並使其獲知聲請羈押之有關證據，俾利其有效行使防禦權，始符憲法正當法律程序原則之要求。其獲知之方式，不以檢閱卷證並抄錄或攝影為必要。刑事訴訟法第三十三條第一項規定：「辯護人於審判中得檢閱卷宗及證物並得抄錄或攝影。」同法第一百零一條第三項規定：「第一項各款所依據之事實，應告知被告及其辯護人，並記載於筆錄。」整體觀察，偵查中之犯罪嫌疑人及其辯護人僅受告知羈押事由所據之事實，與上開意旨不符。有關機關應於本解釋公布之日起一年內，基於本解釋意旨，修正刑事訴訟法妥為規定。逾期未完成修法，法院之偵查中羈押審查程序，應依本解釋意旨行之。</w:t>
            </w:r>
          </w:p>
        </w:tc>
      </w:tr>
    </w:tbl>
    <w:p w:rsidR="003C1792" w:rsidRDefault="00C4640B" w:rsidP="006B5D0A">
      <w:pPr>
        <w:ind w:leftChars="0" w:left="0"/>
        <w:jc w:val="left"/>
      </w:pPr>
      <w:r w:rsidRPr="00C4640B">
        <w:rPr>
          <w:rFonts w:hint="eastAsia"/>
        </w:rPr>
        <w:t>【</w:t>
      </w:r>
      <w:r w:rsidR="0049577B" w:rsidRPr="00B40DC1">
        <w:t>本表資料來源</w:t>
      </w:r>
      <w:r w:rsidRPr="00C4640B">
        <w:rPr>
          <w:rFonts w:hint="eastAsia"/>
        </w:rPr>
        <w:t>】</w:t>
      </w:r>
      <w:r w:rsidR="0049577B" w:rsidRPr="00B40DC1">
        <w:t>司法院</w:t>
      </w:r>
      <w:r w:rsidR="003C1792">
        <w:t>(</w:t>
      </w:r>
      <w:r w:rsidR="0049577B" w:rsidRPr="00B40DC1">
        <w:t>2018)，法學資料檢索系統，</w:t>
      </w:r>
      <w:hyperlink r:id="rId201" w:history="1">
        <w:r w:rsidR="0049577B" w:rsidRPr="00B40DC1">
          <w:rPr>
            <w:rStyle w:val="a7"/>
            <w:lang w:eastAsia="zh-TW"/>
          </w:rPr>
          <w:t>http://jirs.judicial.gov.tw/Index.htm</w:t>
        </w:r>
      </w:hyperlink>
      <w:r w:rsidR="0049577B" w:rsidRPr="00B40DC1">
        <w:t>，並經由作者自行整理。</w:t>
      </w:r>
    </w:p>
    <w:p w:rsidR="003C20F7" w:rsidRDefault="003C20F7" w:rsidP="00FF6603">
      <w:pPr>
        <w:ind w:leftChars="0" w:left="0"/>
        <w:rPr>
          <w:lang w:val="en"/>
        </w:rPr>
      </w:pPr>
    </w:p>
    <w:p w:rsidR="0049577B" w:rsidRPr="00B40DC1" w:rsidRDefault="00FF6603" w:rsidP="00FF6603">
      <w:pPr>
        <w:ind w:leftChars="0" w:left="0"/>
      </w:pPr>
      <w:r>
        <w:rPr>
          <w:lang w:val="en"/>
        </w:rPr>
        <w:t xml:space="preserve">　　</w:t>
      </w:r>
      <w:r w:rsidR="0049577B" w:rsidRPr="00B40DC1">
        <w:rPr>
          <w:lang w:val="en"/>
        </w:rPr>
        <w:t>對於</w:t>
      </w:r>
      <w:r w:rsidR="0049577B" w:rsidRPr="00B40DC1">
        <w:t>外來人口之收容管理是否會侵犯人權？理論上，收容已嚴重地侵犯人身自由，應會侵犯人權。但假若符合憲法</w:t>
      </w:r>
      <w:hyperlink r:id="rId202" w:anchor="a8" w:history="1">
        <w:r w:rsidR="0049577B" w:rsidRPr="003C20F7">
          <w:rPr>
            <w:rStyle w:val="a7"/>
            <w:rFonts w:cs="Times New Roman"/>
            <w:lang w:eastAsia="zh-TW" w:bidi="ar-SA"/>
          </w:rPr>
          <w:t>第8條</w:t>
        </w:r>
      </w:hyperlink>
      <w:r w:rsidR="0049577B" w:rsidRPr="00B40DC1">
        <w:t>與第</w:t>
      </w:r>
      <w:hyperlink r:id="rId203" w:anchor="a23" w:history="1">
        <w:r w:rsidR="0049577B" w:rsidRPr="003C20F7">
          <w:rPr>
            <w:rStyle w:val="a7"/>
            <w:rFonts w:cs="Times New Roman"/>
            <w:lang w:eastAsia="zh-TW" w:bidi="ar-SA"/>
          </w:rPr>
          <w:t>23條</w:t>
        </w:r>
      </w:hyperlink>
      <w:r w:rsidR="0049577B" w:rsidRPr="00B40DC1">
        <w:t>之要求，應不致於侵犯人權。台灣於民國104年2月4日公布之新移民法，其中之第38條第1項之規定，給予移民官對於外國人擁有15日之暫予收容之權力，完全與我國憲</w:t>
      </w:r>
      <w:r w:rsidR="002D4379" w:rsidRPr="00B40DC1">
        <w:t>法</w:t>
      </w:r>
      <w:hyperlink r:id="rId204" w:anchor="a8" w:history="1">
        <w:r w:rsidR="002D4379" w:rsidRPr="003C20F7">
          <w:rPr>
            <w:rStyle w:val="a7"/>
            <w:rFonts w:cs="Times New Roman"/>
            <w:lang w:eastAsia="zh-TW" w:bidi="ar-SA"/>
          </w:rPr>
          <w:t>第8條</w:t>
        </w:r>
      </w:hyperlink>
      <w:r w:rsidR="0049577B" w:rsidRPr="00B40DC1">
        <w:t>背道而馳，業已「非常嚴重地」侵犯外國人之人性尊嚴與人身自由權，宜儘速修法，改由法官裁決對於外國人是否須進行「暫予收容」。</w:t>
      </w:r>
    </w:p>
    <w:p w:rsidR="0049577B" w:rsidRPr="00B40DC1" w:rsidRDefault="00FF6603" w:rsidP="00FF6603">
      <w:pPr>
        <w:ind w:leftChars="0" w:left="0"/>
      </w:pPr>
      <w:r>
        <w:t xml:space="preserve">　　</w:t>
      </w:r>
      <w:r w:rsidR="0049577B" w:rsidRPr="00B40DC1">
        <w:t>假若，由移民官決定對於外國人是否加以暫予收容，本書認為，此種之暫予收容管理機制與法制，相當嚴重地侵犯外國人人權，這是一個非常不文明、嚴重地侵犯外國人之人性尊嚴與不先進之立法例，此種之立法例，視外國人之人性尊嚴與人身自由為無物，嚴重地踐踏我國憲</w:t>
      </w:r>
      <w:r w:rsidR="002D4379" w:rsidRPr="00B40DC1">
        <w:t>法</w:t>
      </w:r>
      <w:hyperlink r:id="rId205" w:anchor="a8" w:history="1">
        <w:r w:rsidR="002D4379" w:rsidRPr="003C20F7">
          <w:rPr>
            <w:rStyle w:val="a7"/>
            <w:rFonts w:cs="Times New Roman"/>
            <w:lang w:eastAsia="zh-TW" w:bidi="ar-SA"/>
          </w:rPr>
          <w:t>第8條</w:t>
        </w:r>
      </w:hyperlink>
      <w:r w:rsidR="0049577B" w:rsidRPr="00B40DC1">
        <w:t>之立憲原意，個人表示反對，與非常遺憾之意。</w:t>
      </w:r>
    </w:p>
    <w:p w:rsidR="0049577B" w:rsidRPr="00B40DC1" w:rsidRDefault="00FF6603" w:rsidP="00FF6603">
      <w:pPr>
        <w:ind w:leftChars="0" w:left="0"/>
        <w:rPr>
          <w:kern w:val="0"/>
        </w:rPr>
      </w:pPr>
      <w:r>
        <w:t xml:space="preserve">　　</w:t>
      </w:r>
      <w:r w:rsidR="0049577B" w:rsidRPr="00B40DC1">
        <w:t>於民國104年(2015年)1月，入出國及移民法</w:t>
      </w:r>
      <w:hyperlink r:id="rId206" w:anchor="b38" w:history="1">
        <w:r w:rsidR="0049577B" w:rsidRPr="00316E41">
          <w:rPr>
            <w:rStyle w:val="a7"/>
            <w:rFonts w:cs="Times New Roman"/>
            <w:lang w:eastAsia="zh-TW" w:bidi="ar-SA"/>
          </w:rPr>
          <w:t>第38條</w:t>
        </w:r>
      </w:hyperlink>
      <w:r w:rsidR="0049577B" w:rsidRPr="00B40DC1">
        <w:t>有關</w:t>
      </w:r>
      <w:r w:rsidR="0049577B" w:rsidRPr="00B40DC1">
        <w:rPr>
          <w:kern w:val="0"/>
        </w:rPr>
        <w:t>暫予</w:t>
      </w:r>
      <w:r w:rsidR="0049577B" w:rsidRPr="00B40DC1">
        <w:t>收容之規範，有進行修正，同時，並在同法---</w:t>
      </w:r>
      <w:hyperlink r:id="rId207" w:history="1">
        <w:r w:rsidR="0049577B" w:rsidRPr="004B3637">
          <w:rPr>
            <w:rStyle w:val="a7"/>
            <w:rFonts w:cs="Times New Roman"/>
            <w:lang w:eastAsia="zh-TW" w:bidi="ar-SA"/>
          </w:rPr>
          <w:t>入出國及移民法</w:t>
        </w:r>
      </w:hyperlink>
      <w:r w:rsidR="0049577B" w:rsidRPr="00B40DC1">
        <w:t>之中，新增</w:t>
      </w:r>
      <w:hyperlink r:id="rId208" w:anchor="b38b1" w:history="1">
        <w:r w:rsidR="0049577B" w:rsidRPr="00316E41">
          <w:rPr>
            <w:rStyle w:val="a7"/>
            <w:rFonts w:cs="Times New Roman"/>
            <w:lang w:eastAsia="zh-TW" w:bidi="ar-SA"/>
          </w:rPr>
          <w:t>第38-1條</w:t>
        </w:r>
      </w:hyperlink>
      <w:r w:rsidR="0049577B" w:rsidRPr="00B40DC1">
        <w:t>、</w:t>
      </w:r>
      <w:hyperlink r:id="rId209" w:anchor="b38b2" w:history="1">
        <w:r w:rsidR="0049577B" w:rsidRPr="00316E41">
          <w:rPr>
            <w:rStyle w:val="a7"/>
            <w:rFonts w:cs="Times New Roman"/>
            <w:lang w:eastAsia="zh-TW" w:bidi="ar-SA"/>
          </w:rPr>
          <w:t>第38-2條</w:t>
        </w:r>
      </w:hyperlink>
      <w:r w:rsidR="0049577B" w:rsidRPr="00B40DC1">
        <w:t>、</w:t>
      </w:r>
      <w:hyperlink r:id="rId210" w:anchor="b38b3" w:history="1">
        <w:r w:rsidR="0049577B" w:rsidRPr="00316E41">
          <w:rPr>
            <w:rStyle w:val="a7"/>
            <w:rFonts w:cs="Times New Roman"/>
            <w:lang w:eastAsia="zh-TW" w:bidi="ar-SA"/>
          </w:rPr>
          <w:t>第38-3條</w:t>
        </w:r>
      </w:hyperlink>
      <w:r w:rsidR="0049577B" w:rsidRPr="00B40DC1">
        <w:t>、</w:t>
      </w:r>
      <w:hyperlink r:id="rId211" w:anchor="b38b4" w:history="1">
        <w:r w:rsidR="0049577B" w:rsidRPr="00316E41">
          <w:rPr>
            <w:rStyle w:val="a7"/>
            <w:rFonts w:cs="Times New Roman"/>
            <w:lang w:eastAsia="zh-TW" w:bidi="ar-SA"/>
          </w:rPr>
          <w:t>第38-4條</w:t>
        </w:r>
      </w:hyperlink>
      <w:r w:rsidR="0049577B" w:rsidRPr="00B40DC1">
        <w:t>、</w:t>
      </w:r>
      <w:hyperlink r:id="rId212" w:anchor="b38b5" w:history="1">
        <w:r w:rsidR="0049577B" w:rsidRPr="00316E41">
          <w:rPr>
            <w:rStyle w:val="a7"/>
            <w:rFonts w:cs="Times New Roman"/>
            <w:lang w:eastAsia="zh-TW" w:bidi="ar-SA"/>
          </w:rPr>
          <w:t>第38-5條</w:t>
        </w:r>
      </w:hyperlink>
      <w:r w:rsidR="0049577B" w:rsidRPr="00B40DC1">
        <w:t>、</w:t>
      </w:r>
      <w:hyperlink r:id="rId213" w:anchor="b38b6" w:history="1">
        <w:r w:rsidR="0049577B" w:rsidRPr="00316E41">
          <w:rPr>
            <w:rStyle w:val="a7"/>
            <w:rFonts w:cs="Times New Roman"/>
            <w:lang w:eastAsia="zh-TW" w:bidi="ar-SA"/>
          </w:rPr>
          <w:t>第38-6條</w:t>
        </w:r>
      </w:hyperlink>
      <w:r w:rsidR="0049577B" w:rsidRPr="00B40DC1">
        <w:t>、</w:t>
      </w:r>
      <w:hyperlink r:id="rId214" w:anchor="b38b7" w:history="1">
        <w:r w:rsidR="0049577B" w:rsidRPr="00316E41">
          <w:rPr>
            <w:rStyle w:val="a7"/>
            <w:rFonts w:cs="Times New Roman"/>
            <w:lang w:eastAsia="zh-TW" w:bidi="ar-SA"/>
          </w:rPr>
          <w:t>第38-7條</w:t>
        </w:r>
      </w:hyperlink>
      <w:r w:rsidR="0049577B" w:rsidRPr="00B40DC1">
        <w:t>、</w:t>
      </w:r>
      <w:hyperlink r:id="rId215" w:anchor="b38b8" w:history="1">
        <w:r w:rsidR="0049577B" w:rsidRPr="00316E41">
          <w:rPr>
            <w:rStyle w:val="a7"/>
            <w:rFonts w:cs="Times New Roman"/>
            <w:lang w:eastAsia="zh-TW" w:bidi="ar-SA"/>
          </w:rPr>
          <w:t>第38-8條</w:t>
        </w:r>
      </w:hyperlink>
      <w:r w:rsidR="0049577B" w:rsidRPr="00B40DC1">
        <w:t>與</w:t>
      </w:r>
      <w:hyperlink r:id="rId216" w:anchor="b38b9" w:history="1">
        <w:r w:rsidR="0049577B" w:rsidRPr="00316E41">
          <w:rPr>
            <w:rStyle w:val="a7"/>
            <w:rFonts w:cs="Times New Roman"/>
            <w:lang w:eastAsia="zh-TW" w:bidi="ar-SA"/>
          </w:rPr>
          <w:t>第38-9條</w:t>
        </w:r>
      </w:hyperlink>
      <w:r w:rsidR="0049577B" w:rsidRPr="00B40DC1">
        <w:t>等條文</w:t>
      </w:r>
      <w:r w:rsidR="0049577B" w:rsidRPr="00B40DC1">
        <w:rPr>
          <w:kern w:val="0"/>
        </w:rPr>
        <w:t>。目前的暫予收容管理的執行問題，主要之問題點，在於未完全地落實嚴格與事前法官保留之原則；亦即，</w:t>
      </w:r>
      <w:r w:rsidR="0049577B" w:rsidRPr="00B40DC1">
        <w:t>入出國及移民</w:t>
      </w:r>
      <w:r w:rsidR="00997BC5" w:rsidRPr="00B40DC1">
        <w:t>法</w:t>
      </w:r>
      <w:hyperlink r:id="rId217" w:anchor="b38" w:history="1">
        <w:r w:rsidR="00997BC5" w:rsidRPr="00316E41">
          <w:rPr>
            <w:rStyle w:val="a7"/>
            <w:rFonts w:cs="Times New Roman"/>
            <w:lang w:eastAsia="zh-TW" w:bidi="ar-SA"/>
          </w:rPr>
          <w:t>第38條</w:t>
        </w:r>
      </w:hyperlink>
      <w:r w:rsidR="0049577B" w:rsidRPr="00B40DC1">
        <w:t>第1項之暫予收容處分之決定與作成，並非由「法官」裁決，而係由</w:t>
      </w:r>
      <w:r w:rsidR="0049577B" w:rsidRPr="00B40DC1">
        <w:rPr>
          <w:kern w:val="0"/>
        </w:rPr>
        <w:t>「移民署移民官」裁決暫予收容。</w:t>
      </w:r>
    </w:p>
    <w:p w:rsidR="0049577B" w:rsidRPr="00B40DC1" w:rsidRDefault="00FF6603" w:rsidP="00FF6603">
      <w:pPr>
        <w:ind w:leftChars="0" w:left="0"/>
      </w:pPr>
      <w:r>
        <w:t xml:space="preserve">　　</w:t>
      </w:r>
      <w:r w:rsidR="0049577B" w:rsidRPr="00B40DC1">
        <w:t>個人認為，這是很不好、很落後、很落伍與不文明之立法方式，主要之問題點，因侵犯外來人口人身自由之決定，移民官應無權作此決定，主要之法理：移民官係移民行政官，而非「法官」（judge），立場不公正，易於出於行政上之方便，球員兼裁判官，濫行暫予收容外國人。入出國及移民</w:t>
      </w:r>
      <w:r w:rsidR="00997BC5" w:rsidRPr="00B40DC1">
        <w:t>法</w:t>
      </w:r>
      <w:hyperlink r:id="rId218" w:anchor="b38" w:history="1">
        <w:r w:rsidR="00997BC5" w:rsidRPr="00316E41">
          <w:rPr>
            <w:rStyle w:val="a7"/>
            <w:rFonts w:cs="Times New Roman"/>
            <w:lang w:eastAsia="zh-TW" w:bidi="ar-SA"/>
          </w:rPr>
          <w:t>第38條</w:t>
        </w:r>
      </w:hyperlink>
      <w:r w:rsidR="0049577B" w:rsidRPr="00B40DC1">
        <w:t>第1項之立法，賦予「移民官」等同於「法官」之權限，恐違反憲</w:t>
      </w:r>
      <w:r w:rsidR="002D4379" w:rsidRPr="00B40DC1">
        <w:t>法</w:t>
      </w:r>
      <w:hyperlink r:id="rId219" w:anchor="a8" w:history="1">
        <w:r w:rsidR="002D4379" w:rsidRPr="003C20F7">
          <w:rPr>
            <w:rStyle w:val="a7"/>
            <w:rFonts w:cs="Times New Roman"/>
            <w:lang w:eastAsia="zh-TW" w:bidi="ar-SA"/>
          </w:rPr>
          <w:t>第8條</w:t>
        </w:r>
      </w:hyperlink>
      <w:r w:rsidR="0049577B" w:rsidRPr="00B40DC1">
        <w:t>之規定。</w:t>
      </w:r>
    </w:p>
    <w:p w:rsidR="0049577B" w:rsidRPr="00B40DC1" w:rsidRDefault="00FF6603" w:rsidP="00FF6603">
      <w:pPr>
        <w:ind w:leftChars="0" w:left="0"/>
      </w:pPr>
      <w:r>
        <w:rPr>
          <w:lang w:bidi="bn-IN"/>
        </w:rPr>
        <w:t xml:space="preserve">　　</w:t>
      </w:r>
      <w:r w:rsidR="0049577B" w:rsidRPr="00B40DC1">
        <w:rPr>
          <w:lang w:bidi="bn-IN"/>
        </w:rPr>
        <w:t>在外國立法例方面，先進民主國家對於</w:t>
      </w:r>
      <w:r w:rsidR="0049577B" w:rsidRPr="00B40DC1">
        <w:t>外來人口</w:t>
      </w:r>
      <w:r w:rsidR="0049577B" w:rsidRPr="00B40DC1">
        <w:rPr>
          <w:lang w:bidi="bn-IN"/>
        </w:rPr>
        <w:t>所進行之移民收容處分，比較偏向於</w:t>
      </w:r>
      <w:r w:rsidR="0049577B" w:rsidRPr="00B40DC1">
        <w:t>須經由法院(court)決定，而非由移民官決定之。玆以2004年德國居留法(Residence Act)為例，根據德國居留法第62條</w:t>
      </w:r>
      <w:r w:rsidR="0049577B" w:rsidRPr="00C4640B">
        <w:rPr>
          <w:rStyle w:val="af7"/>
          <w:rFonts w:eastAsia="新細明體"/>
          <w:sz w:val="20"/>
        </w:rPr>
        <w:footnoteReference w:id="83"/>
      </w:r>
      <w:r w:rsidR="0049577B" w:rsidRPr="00B40DC1">
        <w:t>之規範，為了順利執行驅逐出國之處分，對於外來人口之收容，可分為三大類：1、準備性收容(the preparation of deportation)；2、確保性收容(for the purpose of safeguarding deportation)；3、暫時性收容(temporary custody )，而以上3種之收容，均須經由法院裁定，而非依據行政機關之行政處分。是以，台灣對於外來人口所裁處之收容處分，似乎，宜經由法院裁定為妥，俾利保障外來人口之人身自由。</w:t>
      </w:r>
    </w:p>
    <w:p w:rsidR="0049577B" w:rsidRPr="00B40DC1" w:rsidRDefault="00FF6603" w:rsidP="00FF6603">
      <w:pPr>
        <w:ind w:leftChars="0" w:left="0"/>
      </w:pPr>
      <w:r>
        <w:t xml:space="preserve">　　</w:t>
      </w:r>
      <w:r w:rsidR="0049577B" w:rsidRPr="00B40DC1">
        <w:t>另外，依據德國基本法第104條第2項之規定</w:t>
      </w:r>
      <w:r w:rsidR="0049577B" w:rsidRPr="00C4640B">
        <w:rPr>
          <w:rStyle w:val="af7"/>
          <w:rFonts w:eastAsia="新細明體"/>
          <w:sz w:val="20"/>
        </w:rPr>
        <w:footnoteReference w:id="84"/>
      </w:r>
      <w:r w:rsidR="0049577B" w:rsidRPr="00B40DC1">
        <w:t>，「唯有法官，始得有權判決可否對於人民加以剝奪自由及其持續之時間(</w:t>
      </w:r>
      <w:r w:rsidR="0049577B" w:rsidRPr="00B40DC1">
        <w:rPr>
          <w:lang w:bidi="bn-IN"/>
        </w:rPr>
        <w:t>Only a judge may rule upon the permissibility or continuation of any deprivation of liberty.)</w:t>
      </w:r>
      <w:r w:rsidR="0049577B" w:rsidRPr="00B40DC1">
        <w:t>。假若對於人身自由之剝奪，並非根據法官所裁決之司法命令(</w:t>
      </w:r>
      <w:r w:rsidR="0049577B" w:rsidRPr="00B40DC1">
        <w:rPr>
          <w:lang w:bidi="bn-IN"/>
        </w:rPr>
        <w:t>If such a deprivation is not based on a judicial order)</w:t>
      </w:r>
      <w:r w:rsidR="0049577B" w:rsidRPr="00B40DC1">
        <w:t>，則須以迅速不遲延之方式，取得法官之司法命令(</w:t>
      </w:r>
      <w:r w:rsidR="0049577B" w:rsidRPr="00B40DC1">
        <w:rPr>
          <w:lang w:bidi="bn-IN"/>
        </w:rPr>
        <w:t>a judicial decision shall be obtained without delay)。</w:t>
      </w:r>
      <w:r w:rsidR="0049577B" w:rsidRPr="00B40DC1">
        <w:t>」</w:t>
      </w:r>
    </w:p>
    <w:p w:rsidR="0049577B" w:rsidRPr="00B40DC1" w:rsidRDefault="00FF6603" w:rsidP="00FF6603">
      <w:pPr>
        <w:ind w:leftChars="0" w:left="0"/>
      </w:pPr>
      <w:r>
        <w:t xml:space="preserve">　　</w:t>
      </w:r>
      <w:r w:rsidR="0049577B" w:rsidRPr="00B40DC1">
        <w:t>上述德國基本法第104條第2項之規定，係站在憲法之層級，明定剝奪人身之自由，須適用嚴格之法官保留原則；且此等對於人身自由保障，亦有效地及於外來人口之收容處分，不限於刑事嫌疑犯。亦即，對於外來人口之收容處分，亦須適用德國基本法第104條第2項之規定。唯有法官，始得有權判決可否對於外來人口加以剝奪自由及其持續之時間；假若對於外來人口人身自由之剝奪，並非根據法官所裁決之司法命令(</w:t>
      </w:r>
      <w:r w:rsidR="0049577B" w:rsidRPr="00B40DC1">
        <w:rPr>
          <w:kern w:val="0"/>
          <w:lang w:bidi="bn-IN"/>
        </w:rPr>
        <w:t>If such a deprivation is not based on a judicial order)</w:t>
      </w:r>
      <w:r w:rsidR="0049577B" w:rsidRPr="00B40DC1">
        <w:t>，則須以迅速不遲延之方式，取得法官之司法命令(</w:t>
      </w:r>
      <w:r w:rsidR="0049577B" w:rsidRPr="00B40DC1">
        <w:rPr>
          <w:kern w:val="0"/>
          <w:lang w:bidi="bn-IN"/>
        </w:rPr>
        <w:t>a judicial decision shall be obtained without delay)。由上可知，</w:t>
      </w:r>
      <w:r w:rsidR="0049577B" w:rsidRPr="00B40DC1">
        <w:t>德國基本法第104條第2項之規定，亦適用於外來人口之收容，亦顯見德國基本法第104條第2項對於外來人口人身自由之保障，非常重視之。</w:t>
      </w:r>
    </w:p>
    <w:p w:rsidR="0049577B" w:rsidRPr="00B40DC1" w:rsidRDefault="00FF6603" w:rsidP="00FF6603">
      <w:pPr>
        <w:ind w:leftChars="0" w:left="0"/>
      </w:pPr>
      <w:r>
        <w:t xml:space="preserve">　　</w:t>
      </w:r>
      <w:r w:rsidR="0049577B" w:rsidRPr="00B40DC1">
        <w:t>本書認為，上述德國基本法第104條第2項之立憲例及德國居留法第62條之立法例，值得我國參考與仿效之。根據司法院釋字</w:t>
      </w:r>
      <w:hyperlink r:id="rId220" w:anchor="r708" w:history="1">
        <w:r w:rsidR="0049577B" w:rsidRPr="003C20F7">
          <w:rPr>
            <w:rStyle w:val="a7"/>
            <w:rFonts w:cs="Times New Roman"/>
            <w:lang w:eastAsia="zh-TW" w:bidi="ar-SA"/>
          </w:rPr>
          <w:t>第708號</w:t>
        </w:r>
      </w:hyperlink>
      <w:r w:rsidR="003A6AD0" w:rsidRPr="00B40DC1">
        <w:t>及</w:t>
      </w:r>
      <w:hyperlink r:id="rId221" w:anchor="r710" w:history="1">
        <w:r w:rsidR="003A6AD0" w:rsidRPr="003C20F7">
          <w:rPr>
            <w:rStyle w:val="a7"/>
            <w:rFonts w:cs="Times New Roman"/>
            <w:lang w:eastAsia="zh-TW" w:bidi="ar-SA"/>
          </w:rPr>
          <w:t>第710號</w:t>
        </w:r>
      </w:hyperlink>
      <w:r w:rsidR="0049577B" w:rsidRPr="00B40DC1">
        <w:t>之解釋，對於外來人口所裁處之暫予收容處分，並非刑事上之人身自由之剝奪，此種之論證，並非妥適。主要之理由，不論是何種形式之人身自由之剝奪，其本質均是相同，須適用嚴格之法官保留原則。司法院釋</w:t>
      </w:r>
      <w:r w:rsidR="003A6AD0" w:rsidRPr="00B40DC1">
        <w:t>字</w:t>
      </w:r>
      <w:hyperlink r:id="rId222" w:anchor="r708" w:history="1">
        <w:r w:rsidR="003A6AD0" w:rsidRPr="003C20F7">
          <w:rPr>
            <w:rStyle w:val="a7"/>
            <w:rFonts w:cs="Times New Roman"/>
            <w:lang w:eastAsia="zh-TW" w:bidi="ar-SA"/>
          </w:rPr>
          <w:t>第708號</w:t>
        </w:r>
      </w:hyperlink>
      <w:r w:rsidR="0049577B" w:rsidRPr="00B40DC1">
        <w:t>及</w:t>
      </w:r>
      <w:hyperlink r:id="rId223" w:anchor="r710" w:history="1">
        <w:r w:rsidR="0049577B" w:rsidRPr="003C20F7">
          <w:rPr>
            <w:rStyle w:val="a7"/>
            <w:rFonts w:cs="Times New Roman"/>
            <w:lang w:eastAsia="zh-TW" w:bidi="ar-SA"/>
          </w:rPr>
          <w:t>第710號</w:t>
        </w:r>
      </w:hyperlink>
      <w:r w:rsidR="0049577B" w:rsidRPr="00B40DC1">
        <w:t>之解釋，已造成外來人口與本國人未享有同等之人身自由保障，外來人口之人身自由保障，處於相當劣勢之態勢，已令外來人口成為二等之人民，恐有違反憲</w:t>
      </w:r>
      <w:r w:rsidR="000E2576">
        <w:rPr>
          <w:rFonts w:hint="eastAsia"/>
        </w:rPr>
        <w:t>法</w:t>
      </w:r>
      <w:hyperlink r:id="rId224"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t>平等條款之規定。</w:t>
      </w:r>
    </w:p>
    <w:p w:rsidR="0049577B" w:rsidRPr="00B40DC1" w:rsidRDefault="00FF6603" w:rsidP="00FF6603">
      <w:pPr>
        <w:ind w:leftChars="0" w:left="0"/>
      </w:pPr>
      <w:r>
        <w:t xml:space="preserve">　　</w:t>
      </w:r>
      <w:r w:rsidR="0049577B" w:rsidRPr="00B40DC1">
        <w:t>再者，司法院釋</w:t>
      </w:r>
      <w:r w:rsidR="00977F08" w:rsidRPr="00B40DC1">
        <w:t>字</w:t>
      </w:r>
      <w:hyperlink r:id="rId225" w:anchor="r710" w:history="1">
        <w:r w:rsidR="00977F08" w:rsidRPr="003C20F7">
          <w:rPr>
            <w:rStyle w:val="a7"/>
            <w:rFonts w:cs="Times New Roman"/>
            <w:lang w:eastAsia="zh-TW" w:bidi="ar-SA"/>
          </w:rPr>
          <w:t>第七一０號</w:t>
        </w:r>
      </w:hyperlink>
      <w:r w:rsidR="0049577B" w:rsidRPr="00B40DC1">
        <w:t>解釋所要處理之爭議，係為兩岸條例就強制大陸地區人民出境，未予申辯機會；又就暫予收容，未明定事由及期限，均違憲否？強制出境辦法所定收容事由未經法律明確授權，亦違憲否？在上述司法院釋字</w:t>
      </w:r>
      <w:hyperlink r:id="rId226" w:anchor="r710" w:history="1">
        <w:r w:rsidR="0049577B" w:rsidRPr="003C20F7">
          <w:rPr>
            <w:rStyle w:val="a7"/>
            <w:rFonts w:cs="Times New Roman"/>
            <w:lang w:eastAsia="zh-TW" w:bidi="ar-SA"/>
          </w:rPr>
          <w:t>第七一０號</w:t>
        </w:r>
      </w:hyperlink>
      <w:r w:rsidR="0049577B" w:rsidRPr="00B40DC1">
        <w:t>理由書之中，明文表示：暫時收容之處分無須經由法院為之。關於此種論點，本書認為已嚴重地侵害大陸地區人民之人身自由權利，並非良善之機制，同時，已明確地嚴重違反憲</w:t>
      </w:r>
      <w:r w:rsidR="000E2576">
        <w:rPr>
          <w:rFonts w:hint="eastAsia"/>
        </w:rPr>
        <w:t>法</w:t>
      </w:r>
      <w:hyperlink r:id="rId227"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t>及</w:t>
      </w:r>
      <w:hyperlink r:id="rId228" w:anchor="a8" w:history="1">
        <w:r w:rsidR="003A6AD0" w:rsidRPr="003C20F7">
          <w:rPr>
            <w:rStyle w:val="a7"/>
            <w:rFonts w:cs="Times New Roman"/>
            <w:lang w:eastAsia="zh-TW" w:bidi="ar-SA"/>
          </w:rPr>
          <w:t>第8條</w:t>
        </w:r>
      </w:hyperlink>
      <w:r w:rsidR="0049577B" w:rsidRPr="00B40DC1">
        <w:t>之規定。</w:t>
      </w:r>
    </w:p>
    <w:p w:rsidR="0049577B" w:rsidRPr="00B40DC1" w:rsidRDefault="00FF6603" w:rsidP="00FF6603">
      <w:pPr>
        <w:ind w:leftChars="0" w:left="0"/>
      </w:pPr>
      <w:r>
        <w:t xml:space="preserve">　　</w:t>
      </w:r>
      <w:r w:rsidR="0049577B" w:rsidRPr="00B40DC1">
        <w:t>由釋憲者所自行創設之「合理作業期間」制度，本書認為，它是誤謬的，是違憲的，是落後與不先進的，已嚴重地侵犯與污辱大陸地區人民之人身自由權利與人性尊嚴，大陸地區人民已淪為次等與附屬之人民。相較於上述德國基本法第104條第2項之規定(須適用嚴格之法官保留原則)，釋</w:t>
      </w:r>
      <w:r w:rsidR="003A6AD0" w:rsidRPr="00B40DC1">
        <w:t>字</w:t>
      </w:r>
      <w:hyperlink r:id="rId229" w:anchor="r710" w:history="1">
        <w:r w:rsidR="003A6AD0" w:rsidRPr="003C20F7">
          <w:rPr>
            <w:rStyle w:val="a7"/>
            <w:rFonts w:cs="Times New Roman"/>
            <w:lang w:eastAsia="zh-TW" w:bidi="ar-SA"/>
          </w:rPr>
          <w:t>第七一０號</w:t>
        </w:r>
      </w:hyperlink>
      <w:r w:rsidR="0049577B" w:rsidRPr="00B40DC1">
        <w:t>理由書之論述，相當地落後與不先進。</w:t>
      </w:r>
    </w:p>
    <w:p w:rsidR="0049577B" w:rsidRPr="00B40DC1" w:rsidRDefault="00FF6603" w:rsidP="00FF6603">
      <w:pPr>
        <w:ind w:leftChars="0" w:left="0"/>
      </w:pPr>
      <w:r>
        <w:t xml:space="preserve">　　</w:t>
      </w:r>
      <w:r w:rsidR="0049577B" w:rsidRPr="00B40DC1">
        <w:t>有關於李震山大法官於釋</w:t>
      </w:r>
      <w:r w:rsidR="003A6AD0" w:rsidRPr="00B40DC1">
        <w:t>字</w:t>
      </w:r>
      <w:hyperlink r:id="rId230" w:anchor="r710" w:history="1">
        <w:r w:rsidR="003A6AD0" w:rsidRPr="003C20F7">
          <w:rPr>
            <w:rStyle w:val="a7"/>
            <w:rFonts w:cs="Times New Roman"/>
            <w:lang w:eastAsia="zh-TW" w:bidi="ar-SA"/>
          </w:rPr>
          <w:t>第七一０號</w:t>
        </w:r>
      </w:hyperlink>
      <w:r w:rsidR="0049577B" w:rsidRPr="00B40DC1">
        <w:t>解釋部分不同意見書中之人身自由之保障之看法，本書完全贊同之。李震山大法官於釋</w:t>
      </w:r>
      <w:r w:rsidR="003A6AD0" w:rsidRPr="00B40DC1">
        <w:t>字</w:t>
      </w:r>
      <w:hyperlink r:id="rId231" w:anchor="r710" w:history="1">
        <w:r w:rsidR="003A6AD0" w:rsidRPr="003C20F7">
          <w:rPr>
            <w:rStyle w:val="a7"/>
            <w:rFonts w:cs="Times New Roman"/>
            <w:lang w:eastAsia="zh-TW" w:bidi="ar-SA"/>
          </w:rPr>
          <w:t>第七一０號</w:t>
        </w:r>
      </w:hyperlink>
      <w:r w:rsidR="0049577B" w:rsidRPr="00B40DC1">
        <w:t>解釋部分不同意見書中指出，釋字</w:t>
      </w:r>
      <w:hyperlink r:id="rId232" w:anchor="r710" w:history="1">
        <w:r w:rsidR="0049577B" w:rsidRPr="003A6AD0">
          <w:rPr>
            <w:rStyle w:val="a7"/>
            <w:rFonts w:cs="Times New Roman"/>
            <w:lang w:eastAsia="zh-TW" w:bidi="ar-SA"/>
          </w:rPr>
          <w:t>第710號</w:t>
        </w:r>
      </w:hyperlink>
      <w:r w:rsidR="0049577B" w:rsidRPr="00B40DC1">
        <w:t>具有以下之特色：</w:t>
      </w:r>
    </w:p>
    <w:p w:rsidR="00FF6603" w:rsidRPr="00FF6603" w:rsidRDefault="00FF6603" w:rsidP="00FF6603">
      <w:pPr>
        <w:ind w:leftChars="0" w:left="0"/>
      </w:pPr>
      <w:r w:rsidRPr="00FF6603">
        <w:rPr>
          <w:rFonts w:hint="eastAsia"/>
        </w:rPr>
        <w:t xml:space="preserve">　　</w:t>
      </w:r>
      <w:r w:rsidRPr="00FF6603">
        <w:t>1.司法院釋</w:t>
      </w:r>
      <w:r w:rsidR="003A6AD0" w:rsidRPr="00B40DC1">
        <w:t>字</w:t>
      </w:r>
      <w:hyperlink r:id="rId233" w:anchor="r708" w:history="1">
        <w:r w:rsidR="003A6AD0" w:rsidRPr="003C20F7">
          <w:rPr>
            <w:rStyle w:val="a7"/>
            <w:rFonts w:cs="Times New Roman"/>
            <w:lang w:eastAsia="zh-TW" w:bidi="ar-SA"/>
          </w:rPr>
          <w:t>第708號</w:t>
        </w:r>
      </w:hyperlink>
      <w:r w:rsidR="00916E3B" w:rsidRPr="00B40DC1">
        <w:t>及</w:t>
      </w:r>
      <w:hyperlink r:id="rId234" w:anchor="r710" w:history="1">
        <w:r w:rsidR="00916E3B" w:rsidRPr="003C20F7">
          <w:rPr>
            <w:rStyle w:val="a7"/>
            <w:rFonts w:cs="Times New Roman"/>
            <w:lang w:eastAsia="zh-TW" w:bidi="ar-SA"/>
          </w:rPr>
          <w:t>第710號</w:t>
        </w:r>
      </w:hyperlink>
      <w:r w:rsidRPr="00FF6603">
        <w:t>之兩號解釋有關「合理作業期間」內容上之主要差別在於，釋</w:t>
      </w:r>
      <w:r w:rsidR="003A6AD0" w:rsidRPr="00B40DC1">
        <w:t>字</w:t>
      </w:r>
      <w:hyperlink r:id="rId235" w:anchor="r708" w:history="1">
        <w:r w:rsidR="003A6AD0" w:rsidRPr="003C20F7">
          <w:rPr>
            <w:rStyle w:val="a7"/>
            <w:rFonts w:cs="Times New Roman"/>
            <w:lang w:eastAsia="zh-TW" w:bidi="ar-SA"/>
          </w:rPr>
          <w:t>第708號</w:t>
        </w:r>
      </w:hyperlink>
      <w:r w:rsidRPr="00FF6603">
        <w:t>由釋憲者親自定有十五天的暫時收容期間上限，釋</w:t>
      </w:r>
      <w:r w:rsidR="003A6AD0" w:rsidRPr="00B40DC1">
        <w:t>字</w:t>
      </w:r>
      <w:hyperlink r:id="rId236" w:anchor="r710" w:history="1">
        <w:r w:rsidR="003A6AD0" w:rsidRPr="003A6AD0">
          <w:rPr>
            <w:rStyle w:val="a7"/>
            <w:rFonts w:cs="Times New Roman"/>
            <w:lang w:eastAsia="zh-TW" w:bidi="ar-SA"/>
          </w:rPr>
          <w:t>第710號</w:t>
        </w:r>
      </w:hyperlink>
      <w:r w:rsidRPr="00FF6603">
        <w:t>則改採尊重立法形成權，由國會斟酌實際需要以法律決定暫時收容期間。</w:t>
      </w:r>
    </w:p>
    <w:p w:rsidR="00FF6603" w:rsidRPr="00FF6603" w:rsidRDefault="00FF6603" w:rsidP="00FF6603">
      <w:pPr>
        <w:ind w:leftChars="0" w:left="0"/>
      </w:pPr>
      <w:r w:rsidRPr="00FF6603">
        <w:rPr>
          <w:rFonts w:hint="eastAsia"/>
        </w:rPr>
        <w:t xml:space="preserve">　　</w:t>
      </w:r>
      <w:r w:rsidRPr="00FF6603">
        <w:t>2.違憲審查者顯有意棄守</w:t>
      </w:r>
      <w:hyperlink r:id="rId237" w:history="1">
        <w:r w:rsidRPr="00E26F8A">
          <w:rPr>
            <w:rStyle w:val="a7"/>
            <w:rFonts w:cs="Times New Roman"/>
            <w:lang w:eastAsia="zh-TW" w:bidi="ar-SA"/>
          </w:rPr>
          <w:t>憲法</w:t>
        </w:r>
      </w:hyperlink>
      <w:r w:rsidRPr="00FF6603">
        <w:t>在此領域，依權力分立相互制衡原則所賦予的把關工作。</w:t>
      </w:r>
    </w:p>
    <w:p w:rsidR="00FF6603" w:rsidRPr="00FF6603" w:rsidRDefault="00FF6603" w:rsidP="00FF6603">
      <w:pPr>
        <w:ind w:leftChars="0" w:left="0"/>
      </w:pPr>
      <w:r w:rsidRPr="00FF6603">
        <w:rPr>
          <w:rFonts w:hint="eastAsia"/>
        </w:rPr>
        <w:t xml:space="preserve">　　</w:t>
      </w:r>
      <w:r w:rsidRPr="00FF6603">
        <w:t>3.創設「合理作業期間」之制度，既不合</w:t>
      </w:r>
      <w:hyperlink r:id="rId238" w:history="1">
        <w:r w:rsidR="00E26F8A" w:rsidRPr="00E26F8A">
          <w:rPr>
            <w:rStyle w:val="a7"/>
            <w:rFonts w:cs="Times New Roman"/>
            <w:lang w:eastAsia="zh-TW" w:bidi="ar-SA"/>
          </w:rPr>
          <w:t>憲法</w:t>
        </w:r>
      </w:hyperlink>
      <w:r w:rsidRPr="00FF6603">
        <w:t>意旨，又未必有助於實務運作。</w:t>
      </w:r>
    </w:p>
    <w:p w:rsidR="0049577B" w:rsidRPr="00FF6603" w:rsidRDefault="00FF6603" w:rsidP="00FF6603">
      <w:pPr>
        <w:ind w:leftChars="0" w:left="0"/>
      </w:pPr>
      <w:r w:rsidRPr="00FF6603">
        <w:rPr>
          <w:rFonts w:hint="eastAsia"/>
        </w:rPr>
        <w:t xml:space="preserve">　　</w:t>
      </w:r>
      <w:r w:rsidRPr="00FF6603">
        <w:t>4.由釋憲者創設「合理作業期間」制度，它是誤謬的，是違憲的。</w:t>
      </w:r>
    </w:p>
    <w:p w:rsidR="0049577B" w:rsidRPr="00B40DC1" w:rsidRDefault="00916E3B" w:rsidP="00FF6603">
      <w:pPr>
        <w:ind w:leftChars="0" w:left="0"/>
      </w:pPr>
      <w:r>
        <w:rPr>
          <w:kern w:val="0"/>
        </w:rPr>
        <w:t xml:space="preserve">　　</w:t>
      </w:r>
      <w:r w:rsidR="0049577B" w:rsidRPr="00B40DC1">
        <w:rPr>
          <w:kern w:val="0"/>
        </w:rPr>
        <w:t>有關於李震山大法官於釋</w:t>
      </w:r>
      <w:r w:rsidR="003A6AD0" w:rsidRPr="00B40DC1">
        <w:t>字</w:t>
      </w:r>
      <w:hyperlink r:id="rId239" w:anchor="r710" w:history="1">
        <w:r w:rsidR="003A6AD0" w:rsidRPr="003C20F7">
          <w:rPr>
            <w:rStyle w:val="a7"/>
            <w:rFonts w:cs="Times New Roman"/>
            <w:lang w:eastAsia="zh-TW" w:bidi="ar-SA"/>
          </w:rPr>
          <w:t>第七一０號</w:t>
        </w:r>
      </w:hyperlink>
      <w:r w:rsidR="0049577B" w:rsidRPr="00B40DC1">
        <w:rPr>
          <w:kern w:val="0"/>
        </w:rPr>
        <w:t>解釋部分不同意見書中之人身自由之保障之看法，本書完全贊同之。</w:t>
      </w:r>
      <w:r w:rsidR="0049577B" w:rsidRPr="00B40DC1">
        <w:t>另外，值得加以特別關注之議題，係對於外來人口所進行之收容處分，近年來，國際社會逐漸流行若干代替收容之措施，諸如：對於外來人口進行社區評估與安置模式等等，儘量避免對於外來人口進行移民收容，以社區評估與安置模式取代移民收容。根據國際收容聯盟(International Detention Coalition, IDC)之實證調查之結果，移民收容之手段，逐漸已成為其他可替代收容措施均不可行之時，始運用之最後手段，亦即，對於外來人口進行移民收容，係一種最後手段性及例外性</w:t>
      </w:r>
      <w:r w:rsidR="0049577B" w:rsidRPr="00FF6603">
        <w:rPr>
          <w:rStyle w:val="af7"/>
          <w:rFonts w:eastAsia="新細明體"/>
          <w:sz w:val="20"/>
        </w:rPr>
        <w:footnoteReference w:id="85"/>
      </w:r>
      <w:r w:rsidR="0049577B" w:rsidRPr="00B40DC1">
        <w:t>。</w:t>
      </w:r>
    </w:p>
    <w:p w:rsidR="0049577B" w:rsidRPr="00B40DC1" w:rsidRDefault="00FF6603" w:rsidP="00FF6603">
      <w:pPr>
        <w:ind w:leftChars="0" w:left="0"/>
      </w:pPr>
      <w:r>
        <w:t xml:space="preserve">　　</w:t>
      </w:r>
      <w:r w:rsidR="0049577B" w:rsidRPr="00B40DC1">
        <w:t>有關於替代收容的政策，在台灣之</w:t>
      </w:r>
      <w:hyperlink r:id="rId240" w:history="1">
        <w:r w:rsidR="004B3637" w:rsidRPr="004B3637">
          <w:rPr>
            <w:rStyle w:val="a7"/>
            <w:rFonts w:cs="Times New Roman"/>
            <w:lang w:eastAsia="zh-TW" w:bidi="ar-SA"/>
          </w:rPr>
          <w:t>入出國及移民法</w:t>
        </w:r>
      </w:hyperlink>
      <w:r w:rsidR="0049577B" w:rsidRPr="00B40DC1">
        <w:t>之法律規範體系之中，係規範於入出國及移民</w:t>
      </w:r>
      <w:r w:rsidR="00997BC5" w:rsidRPr="00B40DC1">
        <w:t>法</w:t>
      </w:r>
      <w:hyperlink r:id="rId241" w:anchor="b38" w:history="1">
        <w:r w:rsidR="00997BC5" w:rsidRPr="00316E41">
          <w:rPr>
            <w:rStyle w:val="a7"/>
            <w:rFonts w:cs="Times New Roman"/>
            <w:lang w:eastAsia="zh-TW" w:bidi="ar-SA"/>
          </w:rPr>
          <w:t>第38條</w:t>
        </w:r>
      </w:hyperlink>
      <w:r w:rsidR="0049577B" w:rsidRPr="00B40DC1">
        <w:t>第2項。根據「台灣人權促進會」於2011年所出版之乙書：「替代收容－避免非必要的移工移民收容：各國經驗」中之第20頁所介紹之替代收容機制，包括</w:t>
      </w:r>
      <w:r w:rsidR="0049577B" w:rsidRPr="00FF6603">
        <w:rPr>
          <w:rStyle w:val="af7"/>
          <w:rFonts w:eastAsia="新細明體"/>
          <w:sz w:val="20"/>
        </w:rPr>
        <w:footnoteReference w:id="86"/>
      </w:r>
      <w:r w:rsidR="0049577B" w:rsidRPr="00B40DC1">
        <w:t>：1.將外國人安置於私人安排之住所；2.與家人、朋友或親戚共同居住；3.與社區居民共住；4.將外國人安置於政府資助之住所；5.慈善團體資助之私人住所；6.尋求庇護者之開放接待所；7.將外國人安置於難民與尋求庇護者之開放中心；7.難民營與人道救援之庇護處所；8.無家人陪伴，或單獨旅行之未成年庇護所；9.寄養家庭或育幼院；10.針對於貧窮之非正規移民所設置之庇護所；11.遊民庇護所或中途之家；12.準備離開該國之移民中心。</w:t>
      </w:r>
    </w:p>
    <w:p w:rsidR="0049577B" w:rsidRPr="00B40DC1" w:rsidRDefault="00FF6603" w:rsidP="00FF6603">
      <w:pPr>
        <w:ind w:leftChars="0" w:left="0"/>
      </w:pPr>
      <w:r>
        <w:t xml:space="preserve">　　</w:t>
      </w:r>
      <w:r w:rsidR="0049577B" w:rsidRPr="00B40DC1">
        <w:t>國外之替代收容政策，對於我國而言，應頗具備參考性。根據「台灣人權促進會」所出版之「替代收容－避免非必要的移工移民收容：各國經驗」中第19頁之內容，替代收容之作法，係為「社區評估與安置模式」（The Community Assessment and Placement Model，簡稱為CAP），CAP之5個關鍵性程序，乃為：1.以不須收容為假設前提；2.篩選與評估個案；3.評估社區環境；4.必要時，在社區內採取因應作法；5.僅在特殊，且無其他方式時，始採用收容手段</w:t>
      </w:r>
      <w:r w:rsidR="0049577B" w:rsidRPr="00FF6603">
        <w:rPr>
          <w:rStyle w:val="af7"/>
          <w:rFonts w:eastAsia="新細明體"/>
          <w:sz w:val="20"/>
        </w:rPr>
        <w:footnoteReference w:id="87"/>
      </w:r>
      <w:r w:rsidR="0049577B" w:rsidRPr="00B40DC1">
        <w:t>。在國外之替代收容機制之中，最核心之作法，係為假設「收容是不必須的前提」之精神，台灣有必要學習之。台灣之作法，係為假定「收容是必要的前提」，業已違反國際潮流。</w:t>
      </w:r>
    </w:p>
    <w:p w:rsidR="0049577B" w:rsidRPr="00B40DC1" w:rsidRDefault="00FF6603" w:rsidP="00FF6603">
      <w:pPr>
        <w:ind w:leftChars="0" w:left="0"/>
      </w:pPr>
      <w:r>
        <w:t xml:space="preserve">　　</w:t>
      </w:r>
      <w:r w:rsidR="0049577B" w:rsidRPr="00B40DC1">
        <w:t>本書對於「社區安置」（The Community Assessment and Placement Model, CAP）之機制，相當贊成；相對而論，「暫予收容」應是最後手段性。根據「國際收容聯盟」（(International Detention Coalition, IDC）之統計資料，在歐洲，CAP非常普及；收容政策並無法有效地遏制非法移民之現象</w:t>
      </w:r>
      <w:r w:rsidR="0049577B" w:rsidRPr="00FF6603">
        <w:rPr>
          <w:rStyle w:val="af7"/>
          <w:rFonts w:eastAsia="新細明體"/>
          <w:sz w:val="20"/>
        </w:rPr>
        <w:footnoteReference w:id="88"/>
      </w:r>
      <w:r w:rsidR="0049577B" w:rsidRPr="00B40DC1">
        <w:t>。個人認為，既然，IDC主張收容是一項無效之機制，台灣移民署宜認真地思考多研發新式之CAP機制，以替代收容。</w:t>
      </w:r>
    </w:p>
    <w:p w:rsidR="0049577B" w:rsidRPr="00B40DC1" w:rsidRDefault="00FF6603" w:rsidP="00C9725A">
      <w:pPr>
        <w:spacing w:line="240" w:lineRule="auto"/>
        <w:ind w:leftChars="0" w:left="0" w:rightChars="0" w:right="0"/>
        <w:rPr>
          <w:kern w:val="0"/>
        </w:rPr>
      </w:pPr>
      <w:r>
        <w:rPr>
          <w:kern w:val="0"/>
        </w:rPr>
        <w:t xml:space="preserve">　　</w:t>
      </w:r>
      <w:r w:rsidR="0049577B" w:rsidRPr="00B40DC1">
        <w:rPr>
          <w:kern w:val="0"/>
        </w:rPr>
        <w:t>依照目前移民</w:t>
      </w:r>
      <w:r w:rsidR="00997BC5" w:rsidRPr="00B40DC1">
        <w:t>法</w:t>
      </w:r>
      <w:hyperlink r:id="rId242" w:anchor="b38" w:history="1">
        <w:r w:rsidR="00997BC5" w:rsidRPr="00316E41">
          <w:rPr>
            <w:rStyle w:val="a7"/>
            <w:rFonts w:cs="Times New Roman"/>
            <w:lang w:eastAsia="zh-TW" w:bidi="ar-SA"/>
          </w:rPr>
          <w:t>第38條</w:t>
        </w:r>
      </w:hyperlink>
      <w:r w:rsidR="0049577B" w:rsidRPr="00B40DC1">
        <w:rPr>
          <w:kern w:val="0"/>
        </w:rPr>
        <w:t>第2項之規定，民間團體可以充任、外國人之「具保人」，或為外國人繳納「保證金」，避免外國人遭受移民署之「暫予收容」，在此情形之下，民間團體宜善盡具保人之職責，避免外國人違反暫予收容替代處分。</w:t>
      </w:r>
      <w:r w:rsidR="0049577B" w:rsidRPr="00B40DC1">
        <w:t>勵馨基金會曾表示，他們往往無法決定涉及刑事案件之移工，能否被勵馨基金會收容？此外，包含新事社服中心、關愛之家等民間團體，都有過受庇護人外國人逃逸之情形，國內之NGO團體，其非常憂心是否應負擔連帶之刑事法律責任？此部分，作者認為，應是不用負擔連帶之刑事法律責任，宜對</w:t>
      </w:r>
      <w:r w:rsidR="0049577B" w:rsidRPr="00B40DC1">
        <w:rPr>
          <w:kern w:val="0"/>
        </w:rPr>
        <w:t>民間團體</w:t>
      </w:r>
      <w:r w:rsidR="0049577B" w:rsidRPr="00B40DC1">
        <w:t>廣加宣傳。不過，</w:t>
      </w:r>
      <w:r w:rsidR="0049577B" w:rsidRPr="00B40DC1">
        <w:rPr>
          <w:kern w:val="0"/>
        </w:rPr>
        <w:t>依照目前移民</w:t>
      </w:r>
      <w:r w:rsidR="00997BC5" w:rsidRPr="00B40DC1">
        <w:t>法</w:t>
      </w:r>
      <w:hyperlink r:id="rId243" w:anchor="b38" w:history="1">
        <w:r w:rsidR="00997BC5" w:rsidRPr="00316E41">
          <w:rPr>
            <w:rStyle w:val="a7"/>
            <w:rFonts w:cs="Times New Roman"/>
            <w:lang w:eastAsia="zh-TW" w:bidi="ar-SA"/>
          </w:rPr>
          <w:t>第38條</w:t>
        </w:r>
      </w:hyperlink>
      <w:r w:rsidR="0049577B" w:rsidRPr="00B40DC1">
        <w:rPr>
          <w:kern w:val="0"/>
        </w:rPr>
        <w:t>第2項之規定，民間團體先前為外國人繳納之「保證金」，有可能會被移民署沒收。</w:t>
      </w:r>
    </w:p>
    <w:p w:rsidR="0049577B" w:rsidRPr="00B40DC1" w:rsidRDefault="00C4640B" w:rsidP="00C9725A">
      <w:pPr>
        <w:spacing w:line="240" w:lineRule="auto"/>
        <w:ind w:leftChars="0" w:left="0" w:rightChars="0" w:right="0"/>
      </w:pPr>
      <w:r>
        <w:t xml:space="preserve">　　</w:t>
      </w:r>
      <w:r w:rsidR="0049577B" w:rsidRPr="00B40DC1">
        <w:t>再者，我國執法機關與人員，在回應非法移民問題時，常常易侵犯非法移民者之人權；是以，民間團體可以充任外國人人權之守護神，強力地監督移民署之違法或不合理之作為。從此角度而言，民間團體在移民人權之領域上，具有極高度之重要性。</w:t>
      </w:r>
    </w:p>
    <w:p w:rsidR="0049577B" w:rsidRPr="00B40DC1" w:rsidRDefault="00FF6603" w:rsidP="00C9725A">
      <w:pPr>
        <w:spacing w:line="240" w:lineRule="auto"/>
        <w:ind w:leftChars="0" w:left="0" w:rightChars="0" w:right="0"/>
      </w:pPr>
      <w:r>
        <w:t xml:space="preserve">　　</w:t>
      </w:r>
      <w:r w:rsidR="0049577B" w:rsidRPr="00B40DC1">
        <w:t>為了強化對外來人口之人身自由權之保障機制，我國宜進行修憲，勿再將人身自由權之保障機制，區分為因犯罪嫌疑被逮捕拘禁時之刑事被告與非刑事被告，同時，</w:t>
      </w:r>
      <w:hyperlink r:id="rId244" w:history="1">
        <w:r w:rsidR="00E26F8A" w:rsidRPr="00E26F8A">
          <w:rPr>
            <w:rStyle w:val="a7"/>
            <w:rFonts w:cs="Times New Roman"/>
            <w:lang w:eastAsia="zh-TW" w:bidi="ar-SA"/>
          </w:rPr>
          <w:t>憲法</w:t>
        </w:r>
      </w:hyperlink>
      <w:r w:rsidR="0049577B" w:rsidRPr="00B40DC1">
        <w:t>本文亦宜明訂對於外來人口之人身自由權之保障機制，等同於我國之國民，均一體適用「絕對法官保留」，如此，始能確實保障外來人口之人身自由權。</w:t>
      </w:r>
    </w:p>
    <w:p w:rsidR="0049577B" w:rsidRPr="00B40DC1" w:rsidRDefault="00AC6AC1" w:rsidP="00AC6AC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2F19DE">
      <w:pPr>
        <w:pStyle w:val="2"/>
        <w:rPr>
          <w:lang w:val="en"/>
        </w:rPr>
      </w:pPr>
      <w:bookmarkStart w:id="46" w:name="_肆、憲法與外來人口「政治庇護權」(Right_of_asylum)"/>
      <w:bookmarkEnd w:id="46"/>
      <w:r w:rsidRPr="00B40DC1">
        <w:t>肆、憲法與外來人口「政治庇護權」(Right of asylum)</w:t>
      </w:r>
    </w:p>
    <w:p w:rsidR="0049577B" w:rsidRPr="00B40DC1" w:rsidRDefault="00FF6603" w:rsidP="008F3E2A">
      <w:pPr>
        <w:ind w:leftChars="54" w:left="140"/>
        <w:rPr>
          <w:kern w:val="0"/>
          <w:lang w:bidi="bn-IN"/>
        </w:rPr>
      </w:pPr>
      <w:r>
        <w:rPr>
          <w:lang w:val="en"/>
        </w:rPr>
        <w:t xml:space="preserve">　　</w:t>
      </w:r>
      <w:r w:rsidR="0049577B" w:rsidRPr="00B40DC1">
        <w:t>依據德國基本法第16條之1</w:t>
      </w:r>
      <w:r w:rsidR="0049577B" w:rsidRPr="00FF6603">
        <w:rPr>
          <w:rStyle w:val="af7"/>
          <w:rFonts w:eastAsia="新細明體"/>
          <w:sz w:val="20"/>
        </w:rPr>
        <w:footnoteReference w:id="89"/>
      </w:r>
      <w:r w:rsidR="0049577B" w:rsidRPr="00B40DC1">
        <w:t>第1項之規定，「受政治迫害者，享有庇護權(</w:t>
      </w:r>
      <w:r w:rsidR="0049577B" w:rsidRPr="00B40DC1">
        <w:rPr>
          <w:kern w:val="0"/>
          <w:lang w:bidi="bn-IN"/>
        </w:rPr>
        <w:t>Right of asylum)</w:t>
      </w:r>
      <w:r w:rsidR="0049577B" w:rsidRPr="00B40DC1">
        <w:t>。」反觀我國</w:t>
      </w:r>
      <w:hyperlink r:id="rId245" w:history="1">
        <w:r w:rsidR="002D4379" w:rsidRPr="002D4379">
          <w:rPr>
            <w:rStyle w:val="a7"/>
            <w:rFonts w:cs="Times New Roman" w:hint="eastAsia"/>
            <w:lang w:eastAsia="zh-TW" w:bidi="ar-SA"/>
          </w:rPr>
          <w:t>憲法</w:t>
        </w:r>
      </w:hyperlink>
      <w:r w:rsidR="0049577B" w:rsidRPr="00B40DC1">
        <w:t>，並未明定受政治迫害者，享有庇護權(</w:t>
      </w:r>
      <w:r w:rsidR="0049577B" w:rsidRPr="00B40DC1">
        <w:rPr>
          <w:kern w:val="0"/>
          <w:lang w:bidi="bn-IN"/>
        </w:rPr>
        <w:t>Right of asylum)</w:t>
      </w:r>
      <w:r w:rsidR="0049577B" w:rsidRPr="00B40DC1">
        <w:t>。此為我國</w:t>
      </w:r>
      <w:hyperlink r:id="rId246" w:history="1">
        <w:r w:rsidR="002D4379" w:rsidRPr="002D4379">
          <w:rPr>
            <w:rStyle w:val="a7"/>
            <w:rFonts w:cs="Times New Roman" w:hint="eastAsia"/>
            <w:lang w:eastAsia="zh-TW" w:bidi="ar-SA"/>
          </w:rPr>
          <w:t>憲法</w:t>
        </w:r>
      </w:hyperlink>
      <w:r w:rsidR="0049577B" w:rsidRPr="00B40DC1">
        <w:t>之漏洞，似宜透由修憲之方式，加以補強。如欲作為一個文明且重視人權之國家，我國</w:t>
      </w:r>
      <w:hyperlink r:id="rId247" w:history="1">
        <w:r w:rsidR="002D4379" w:rsidRPr="002D4379">
          <w:rPr>
            <w:rStyle w:val="a7"/>
            <w:rFonts w:cs="Times New Roman" w:hint="eastAsia"/>
            <w:lang w:eastAsia="zh-TW" w:bidi="ar-SA"/>
          </w:rPr>
          <w:t>憲法</w:t>
        </w:r>
      </w:hyperlink>
      <w:r w:rsidR="0049577B" w:rsidRPr="00B40DC1">
        <w:t>實宜賦予外來人口享有政治上之庇護權(</w:t>
      </w:r>
      <w:r w:rsidR="0049577B" w:rsidRPr="00B40DC1">
        <w:rPr>
          <w:kern w:val="0"/>
          <w:lang w:bidi="bn-IN"/>
        </w:rPr>
        <w:t>Right of asylum)。</w:t>
      </w:r>
    </w:p>
    <w:p w:rsidR="0049577B" w:rsidRPr="00B40DC1" w:rsidRDefault="008F3E2A" w:rsidP="008F3E2A">
      <w:pPr>
        <w:ind w:leftChars="54" w:left="140"/>
        <w:rPr>
          <w:lang w:val="en"/>
        </w:rPr>
      </w:pPr>
      <w:r>
        <w:rPr>
          <w:lang w:bidi="bn-IN"/>
        </w:rPr>
        <w:t xml:space="preserve">　　</w:t>
      </w:r>
      <w:r w:rsidR="0049577B" w:rsidRPr="00B40DC1">
        <w:rPr>
          <w:lang w:bidi="bn-IN"/>
        </w:rPr>
        <w:t>就目前之實況而論，</w:t>
      </w:r>
      <w:r w:rsidR="0049577B" w:rsidRPr="00B40DC1">
        <w:t>我國</w:t>
      </w:r>
      <w:hyperlink r:id="rId248" w:history="1">
        <w:r w:rsidR="002D4379" w:rsidRPr="002D4379">
          <w:rPr>
            <w:rStyle w:val="a7"/>
            <w:rFonts w:cs="Times New Roman" w:hint="eastAsia"/>
            <w:lang w:eastAsia="zh-TW" w:bidi="ar-SA"/>
          </w:rPr>
          <w:t>憲法</w:t>
        </w:r>
      </w:hyperlink>
      <w:r w:rsidR="0049577B" w:rsidRPr="00B40DC1">
        <w:t>尚未明文地賦予外來人口享有政治上之庇護權(</w:t>
      </w:r>
      <w:r w:rsidR="0049577B" w:rsidRPr="00B40DC1">
        <w:rPr>
          <w:lang w:bidi="bn-IN"/>
        </w:rPr>
        <w:t>Right of asylum)。由為</w:t>
      </w:r>
      <w:r w:rsidR="0049577B" w:rsidRPr="00B40DC1">
        <w:t>我國</w:t>
      </w:r>
      <w:hyperlink r:id="rId249" w:history="1">
        <w:r w:rsidR="002D4379" w:rsidRPr="002D4379">
          <w:rPr>
            <w:rStyle w:val="a7"/>
            <w:rFonts w:cs="Times New Roman" w:hint="eastAsia"/>
            <w:lang w:eastAsia="zh-TW" w:bidi="ar-SA"/>
          </w:rPr>
          <w:t>憲法</w:t>
        </w:r>
      </w:hyperlink>
      <w:r w:rsidR="0049577B" w:rsidRPr="00B40DC1">
        <w:t>尚未明文地賦予外來人口享有政治上之庇護權(</w:t>
      </w:r>
      <w:r w:rsidR="0049577B" w:rsidRPr="00B40DC1">
        <w:rPr>
          <w:lang w:bidi="bn-IN"/>
        </w:rPr>
        <w:t>Right of asylum)，本書認為，此種之立憲例，非常不文明與不進步。</w:t>
      </w:r>
    </w:p>
    <w:p w:rsidR="0049577B" w:rsidRPr="00B40DC1" w:rsidRDefault="00AC6AC1" w:rsidP="00AC6AC1">
      <w:pPr>
        <w:jc w:val="right"/>
        <w:rPr>
          <w:lang w:val="en"/>
        </w:rPr>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2F19DE">
      <w:pPr>
        <w:pStyle w:val="2"/>
        <w:rPr>
          <w:lang w:val="en"/>
        </w:rPr>
      </w:pPr>
      <w:bookmarkStart w:id="47" w:name="_伍、憲法與外來人口所享有之權利與應盡之義務"/>
      <w:bookmarkEnd w:id="47"/>
      <w:r w:rsidRPr="00B40DC1">
        <w:t>伍、憲法與外來人口所享有之權利與應盡之義務</w:t>
      </w:r>
    </w:p>
    <w:p w:rsidR="0049577B" w:rsidRPr="00B40DC1" w:rsidRDefault="00FF6603" w:rsidP="008F3E2A">
      <w:pPr>
        <w:ind w:leftChars="54" w:left="140"/>
      </w:pPr>
      <w:r>
        <w:rPr>
          <w:lang w:val="en"/>
        </w:rPr>
        <w:t xml:space="preserve">　　</w:t>
      </w:r>
      <w:r w:rsidR="0049577B" w:rsidRPr="00B40DC1">
        <w:t>本書之作者，茲舉瑞典憲法為例，於瑞典憲法（Sweden Constitution）之中，瑞典公民所應享有之權利與其應盡之義務，係不同於外國人（foreigner）；故於瑞典憲法之中，外國人之人權之立憲規範，係規定於瑞典憲法第2章基本人權暨自由（chapter 2, Fundamental Rights and Freedoms）中之第20條；在第2章第20條之中，係用於專門規範外國人之基本權利；以下，擬針對瑞典憲法第2章第20條之內涵，作進一步之介紹。第20條共分為3項，第1項共有9款；同條第2項，則共有8款，此2項明文規範外國人權利之種類，主要之內容，如下所述：</w:t>
      </w:r>
    </w:p>
    <w:p w:rsidR="0049577B" w:rsidRPr="00B40DC1" w:rsidRDefault="00FF6603" w:rsidP="008F3E2A">
      <w:pPr>
        <w:ind w:leftChars="54" w:left="140"/>
      </w:pPr>
      <w:r>
        <w:t xml:space="preserve">　　</w:t>
      </w:r>
      <w:r w:rsidR="0049577B" w:rsidRPr="00B40DC1">
        <w:t>瑞典憲法第2章基本人權暨自由（chapter 2, Fundamental Rights and Freedoms）中之第20條第1項之內容，係規定於瑞典境內之外國人（A foreigner within the Realm），其與瑞典公民（a Swedish Citizen）同樣地所享有之平等權之範疇；亦即，於第20條第1項第1款至第9款之領域，外國人與瑞典公民享有平等之權利（shall be equated with a Swedish Citizen）；這是憲法上之要求與誡命。</w:t>
      </w:r>
    </w:p>
    <w:p w:rsidR="0049577B" w:rsidRPr="00B40DC1" w:rsidRDefault="00FF6603" w:rsidP="008F3E2A">
      <w:pPr>
        <w:ind w:leftChars="54" w:left="140"/>
      </w:pPr>
      <w:r>
        <w:t xml:space="preserve">　　</w:t>
      </w:r>
      <w:r w:rsidR="0049577B" w:rsidRPr="00B40DC1">
        <w:t>瑞典憲法第2章基本人權暨自由（chapter 2, Fundamental Rights and Freedoms）中之第20條第1項第1款之內容，乃規定瑞典政府有憲法上之義務，應努力防止外國人被強迫參與（加）任何之集會，而該集會係要表達某項之意見；亦要防止外國人被強迫參與任何之示威遊行或其他表達之活動（other expression of opinion）；亦要防止外國人被強迫參與任何之宗教集會或集會（any religions congregation or other association）。</w:t>
      </w:r>
    </w:p>
    <w:p w:rsidR="0049577B" w:rsidRPr="00B40DC1" w:rsidRDefault="008F3E2A" w:rsidP="008F3E2A">
      <w:pPr>
        <w:ind w:leftChars="54" w:left="140"/>
      </w:pPr>
      <w:r>
        <w:t xml:space="preserve">　　</w:t>
      </w:r>
      <w:r w:rsidR="0049577B" w:rsidRPr="00B40DC1">
        <w:t>瑞典憲法第2章基本人權暨自由（chapter 2, Fundamental Rights and Freedoms）中之第20條第1項第2款之內容，乃在規定外國人在涉及電子資料處理（electronic data processing）之區塊，亦即，在資訊權之領域，外國人享有「人格完整性」（personal integrity）；亦即，在瑞典，外國人享有資訊權之人格完整性。透由憲法之命令，外國人享有資訊權。</w:t>
      </w:r>
    </w:p>
    <w:p w:rsidR="0049577B" w:rsidRPr="00B40DC1" w:rsidRDefault="00FF6603" w:rsidP="008F3E2A">
      <w:pPr>
        <w:ind w:leftChars="54" w:left="140"/>
      </w:pPr>
      <w:r>
        <w:t xml:space="preserve">　　</w:t>
      </w:r>
      <w:r w:rsidR="0049577B" w:rsidRPr="00B40DC1">
        <w:t>瑞典憲法第2章基本人權暨自由（chapter 2, Fundamental Rights and Freedoms）中之第20條第1項第3款：本款規定，對於外國人，不得執行死刑（capital punishment），不得體罰（corporal punishment）、不得施加酷刑（torture），亦不得基於強制或預防醫學之需求，而對外國人進行醫療處遇（干預）（protection against medical intervention aimed at extorting or preventing statements）。在瑞典，透由憲法上之誡命，外國人享有生命權、生存權、身體不受傷害權與醫療處遇自主決定權。</w:t>
      </w:r>
    </w:p>
    <w:p w:rsidR="0049577B" w:rsidRPr="00B40DC1" w:rsidRDefault="008F3E2A" w:rsidP="008F3E2A">
      <w:pPr>
        <w:ind w:leftChars="54" w:left="140"/>
      </w:pPr>
      <w:r>
        <w:t xml:space="preserve">　　</w:t>
      </w:r>
      <w:r w:rsidR="0049577B" w:rsidRPr="00B40DC1">
        <w:t>瑞典憲法第2章基本人權暨自由（chapter 2, Fundamental Rights and Freedoms）中之第20條第1項第4款：對於外國人，假若係基於其業已觸犯某種犯行（on account of a criminal offence），或者，基於外國人涉嫌觸犯某種犯行之虞（on grounds of suspicion of having committed such an offence）之理由與原因，而剝奪外國人之人身自由，此時，外國人享有接受法院審理之權利，亦即，外國人擁有受審權（tested before a court of law）。</w:t>
      </w:r>
    </w:p>
    <w:p w:rsidR="0049577B" w:rsidRPr="00B40DC1" w:rsidRDefault="00FF6603" w:rsidP="008F3E2A">
      <w:pPr>
        <w:ind w:leftChars="54" w:left="140"/>
      </w:pPr>
      <w:r>
        <w:t xml:space="preserve">　　</w:t>
      </w:r>
      <w:r w:rsidR="0049577B" w:rsidRPr="00B40DC1">
        <w:t>瑞典憲法第2章基本人權暨自由（chapter 2, Fundamental Rights and Freedoms）中之第20條第1項第5款：對外國人之刑事處罰（penal sanctions）、犯行之法律效果（effects of criminal acts）、稅收、與費用（fees），禁止使用溯及既往（retroactive）之方式執行之。以刑罰為例，禁止溯及既往。</w:t>
      </w:r>
    </w:p>
    <w:p w:rsidR="0049577B" w:rsidRPr="00B40DC1" w:rsidRDefault="00FF6603" w:rsidP="00DC6142">
      <w:pPr>
        <w:spacing w:line="240" w:lineRule="auto"/>
        <w:ind w:leftChars="0" w:left="142" w:rightChars="0"/>
      </w:pPr>
      <w:r>
        <w:t xml:space="preserve">　　</w:t>
      </w:r>
      <w:r w:rsidR="0049577B" w:rsidRPr="00B40DC1">
        <w:t>瑞典憲法第2章基本人權暨自由（chapter 2, Fundamental Rights and Freedoms）中之第20條第1項第6款：對於外國人，禁止設置特種之法庭，審訊特殊之案件（protection against the establishment of a court to try a particular case）。</w:t>
      </w:r>
    </w:p>
    <w:p w:rsidR="0049577B" w:rsidRPr="00B40DC1" w:rsidRDefault="00FF6603" w:rsidP="00DC6142">
      <w:pPr>
        <w:spacing w:line="240" w:lineRule="auto"/>
        <w:ind w:leftChars="0" w:left="142" w:rightChars="0"/>
      </w:pPr>
      <w:r>
        <w:t xml:space="preserve">　　</w:t>
      </w:r>
      <w:r w:rsidR="0049577B" w:rsidRPr="00B40DC1">
        <w:t>瑞典憲法第2章基本人權暨自由（chapter 2, Fundamental Rights and Freedoms）中之第20條第1項第7款：本款規定，對於外國人而言，不得因其特殊之種族、膚色（skin color）、人種（ethnic origin）或性別，而加以歧視。亦即，外國人亦享有平等權。</w:t>
      </w:r>
    </w:p>
    <w:p w:rsidR="0049577B" w:rsidRPr="00B40DC1" w:rsidRDefault="00FF6603" w:rsidP="00DC6142">
      <w:pPr>
        <w:spacing w:line="240" w:lineRule="auto"/>
        <w:ind w:leftChars="0" w:left="142" w:rightChars="0"/>
      </w:pPr>
      <w:r>
        <w:t xml:space="preserve">　　</w:t>
      </w:r>
      <w:r w:rsidR="0049577B" w:rsidRPr="00B40DC1">
        <w:t>瑞典憲法第2章基本人權暨自由（chapter 2, Fundamental Rights and Freedoms）中之第20條第1項第8款：外國人享有罷工權（take strike）；外國籍之雇主，亦享有停工權利（lock-out action）。亦即，外國人仍享有罷工與停工權。</w:t>
      </w:r>
    </w:p>
    <w:p w:rsidR="0049577B" w:rsidRPr="00B40DC1" w:rsidRDefault="00FF6603" w:rsidP="00DC6142">
      <w:pPr>
        <w:ind w:leftChars="54" w:left="140"/>
      </w:pPr>
      <w:r>
        <w:t xml:space="preserve">　　</w:t>
      </w:r>
      <w:r w:rsidR="0049577B" w:rsidRPr="00B40DC1">
        <w:t>瑞典憲法第2章基本人權暨自由（chapter 2, Fundamental Rights and Freedoms）中之第20條第1項第9款：外國人之財產如被徵收（用）或其他類似於徵收（用）之處置（in cases of expropriation or other such disposition），其享有補償權（the right to compensation）。</w:t>
      </w:r>
    </w:p>
    <w:p w:rsidR="0049577B" w:rsidRPr="00B40DC1" w:rsidRDefault="00FF6603" w:rsidP="00DC6142">
      <w:pPr>
        <w:ind w:leftChars="54" w:left="140"/>
      </w:pPr>
      <w:r>
        <w:t xml:space="preserve">　　</w:t>
      </w:r>
      <w:r w:rsidR="0049577B" w:rsidRPr="00B40DC1">
        <w:t>瑞典憲法第2章基本人權暨自由（chapter 2, Fundamental Rights and Freedoms）中之第20條第2項：本項規定，除非法律另有特殊之規定（Unless otherwise provided by special rules of law），外國人在第20條第2項第1款至第8款之領域之中，與瑞典公民享有一致性之平等權利（a foreigner within the Realm shall be equated with a Swedish citizen）。</w:t>
      </w:r>
    </w:p>
    <w:p w:rsidR="0049577B" w:rsidRPr="00B40DC1" w:rsidRDefault="003C20F7" w:rsidP="00DC6142">
      <w:pPr>
        <w:ind w:leftChars="54" w:left="140"/>
      </w:pPr>
      <w:r>
        <w:t xml:space="preserve">　　</w:t>
      </w:r>
      <w:r w:rsidR="0049577B" w:rsidRPr="00B40DC1">
        <w:t>瑞典憲法第2章基本人權暨自由（chapter 2, Fundamental Rights and Freedoms）中之第20條第2項第1款：外國人享有（言論）表達自由（freedom of expression）；資訊自由權（freedom of information）；集會自由權（freedom of assembly）；參與遊行自由權（freedom to demonstrate）；結社自由權（freedom of association）；與宗教信仰自由權（freedom of nor ship）。</w:t>
      </w:r>
    </w:p>
    <w:p w:rsidR="0049577B" w:rsidRPr="00B40DC1" w:rsidRDefault="00DC6142" w:rsidP="00DC6142">
      <w:pPr>
        <w:ind w:leftChars="54" w:left="140"/>
      </w:pPr>
      <w:r>
        <w:t xml:space="preserve">　　</w:t>
      </w:r>
      <w:r w:rsidR="0049577B" w:rsidRPr="00B40DC1">
        <w:t>瑞典憲法第2章基本人權暨自由（chapter 2, Fundamental Rights and Freedoms）中之第20條第2項第2款：禁止所有強迫外國人發表（表達）特定之意見（看法）（protection against all coercion to divulge an opinion）。</w:t>
      </w:r>
    </w:p>
    <w:p w:rsidR="0049577B" w:rsidRPr="00B40DC1" w:rsidRDefault="00DC6142" w:rsidP="00DC6142">
      <w:pPr>
        <w:ind w:leftChars="54" w:left="140"/>
      </w:pPr>
      <w:r>
        <w:t xml:space="preserve">　　</w:t>
      </w:r>
      <w:r w:rsidR="0049577B" w:rsidRPr="00B40DC1">
        <w:t>瑞典憲法第2章基本人權暨自由（chapter 2, Fundamental Rights and Freedoms）中之第20條第2項第3款：對於外國人之身體權，禁止加以侵犯（physical violation）；外國人享有免於物理搜索權（against physical search）；外國人亦享有免於住宅搜索權（against hones searches）；外國人享有免於其他相類似於入侵行為之權利（against other similar intrusions）；外國人亦享有秘密通訊之權利（against violations of confidential communications）。</w:t>
      </w:r>
    </w:p>
    <w:p w:rsidR="0049577B" w:rsidRPr="00B40DC1" w:rsidRDefault="00DC6142" w:rsidP="00DC6142">
      <w:pPr>
        <w:ind w:leftChars="54" w:left="140"/>
      </w:pPr>
      <w:r>
        <w:t xml:space="preserve">　　</w:t>
      </w:r>
      <w:r w:rsidR="0049577B" w:rsidRPr="00B40DC1">
        <w:t>瑞典憲法第2章基本人權暨自由（chapter 2, Fundamental Rights and Freedoms）中之第20條第2項第4款：外國人享有人身自由權（protection against deprivation of liberty）。在台灣，根據司法院釋</w:t>
      </w:r>
      <w:r w:rsidR="003A6AD0" w:rsidRPr="00B40DC1">
        <w:t>字</w:t>
      </w:r>
      <w:hyperlink r:id="rId250" w:anchor="r708" w:history="1">
        <w:r w:rsidR="003A6AD0" w:rsidRPr="003C20F7">
          <w:rPr>
            <w:rStyle w:val="a7"/>
            <w:rFonts w:cs="Times New Roman"/>
            <w:lang w:eastAsia="zh-TW" w:bidi="ar-SA"/>
          </w:rPr>
          <w:t>第708號</w:t>
        </w:r>
      </w:hyperlink>
      <w:r w:rsidR="0049577B" w:rsidRPr="00B40DC1">
        <w:t>解釋文與釋</w:t>
      </w:r>
      <w:r w:rsidR="003A6AD0" w:rsidRPr="00B40DC1">
        <w:t>字</w:t>
      </w:r>
      <w:hyperlink r:id="rId251" w:anchor="r710" w:history="1">
        <w:r w:rsidR="003A6AD0" w:rsidRPr="003A6AD0">
          <w:rPr>
            <w:rStyle w:val="a7"/>
            <w:rFonts w:cs="Times New Roman"/>
            <w:lang w:eastAsia="zh-TW" w:bidi="ar-SA"/>
          </w:rPr>
          <w:t>第710號</w:t>
        </w:r>
      </w:hyperlink>
      <w:r w:rsidR="0049577B" w:rsidRPr="00B40DC1">
        <w:t>解釋文之意旨，外來人口之人身自由，不等同於我國公民之人身自由；但是，在瑞典，憲法誡命要求，外國人之人身自由，等同於瑞典公民之人身自由。可知，我國在保護外來人口之人身自由之部分，仍待多加精進與努力。</w:t>
      </w:r>
    </w:p>
    <w:p w:rsidR="0049577B" w:rsidRPr="00B40DC1" w:rsidRDefault="00DC6142" w:rsidP="00DC6142">
      <w:pPr>
        <w:ind w:leftChars="54" w:left="140"/>
      </w:pPr>
      <w:r>
        <w:t xml:space="preserve">　　</w:t>
      </w:r>
      <w:r w:rsidR="0049577B" w:rsidRPr="00B40DC1">
        <w:t>瑞典憲法第2章基本人權暨自由（chapter 2, Fundamental Rights and Freedoms）中之第20條第2項第5款：對於外國人，假若係基於其業已違反非刑事類犯行（other than a criminal offence）之違法行為，或者，基於外國人涉嫌違反非刑事類犯行之違法行為之虞（suspicion of having committed such an offence），而剝奪外國人人身自由之時，外國人享有接受法院審理之權利（the right to have tested before a court）。換言之，假若對於外國人進行非刑事類之收容或留置，仍須適用「法官保留原則」。</w:t>
      </w:r>
    </w:p>
    <w:p w:rsidR="0049577B" w:rsidRPr="00B40DC1" w:rsidRDefault="00DC6142" w:rsidP="00DC6142">
      <w:pPr>
        <w:ind w:leftChars="54" w:left="140"/>
      </w:pPr>
      <w:r>
        <w:t xml:space="preserve">　　</w:t>
      </w:r>
      <w:r w:rsidR="0049577B" w:rsidRPr="00B40DC1">
        <w:t>瑞典憲法第2章基本人權暨自由（chapter 2, Fundamental Rights and Freedoms）中之第20條第2項第6款：法院於審理外國人案件之程序時，適用「公開」原則（public court proceedings）。</w:t>
      </w:r>
    </w:p>
    <w:p w:rsidR="0049577B" w:rsidRPr="00B40DC1" w:rsidRDefault="00DC6142" w:rsidP="00DC6142">
      <w:pPr>
        <w:ind w:leftChars="54" w:left="140"/>
      </w:pPr>
      <w:r>
        <w:t xml:space="preserve">　　</w:t>
      </w:r>
      <w:r w:rsidR="0049577B" w:rsidRPr="00B40DC1">
        <w:t>瑞典憲法第2章基本人權暨自由（chapter 2, Fundamental Rights and Freedoms）中之第20條第2項第7款：外國人享有其意見不受侵犯之自由權利（protection against violations on grounds of opinion）。</w:t>
      </w:r>
    </w:p>
    <w:p w:rsidR="0049577B" w:rsidRPr="00B40DC1" w:rsidRDefault="00DC6142" w:rsidP="00DC6142">
      <w:pPr>
        <w:ind w:leftChars="54" w:left="140"/>
      </w:pPr>
      <w:r>
        <w:t xml:space="preserve">　　</w:t>
      </w:r>
      <w:r w:rsidR="0049577B" w:rsidRPr="00B40DC1">
        <w:t>瑞典憲法第2章基本人權暨自由（chapter 2, Fundamental Rights and Freedoms）中之第20條第2項第8款：作家（authors）、藝術家與攝影師（photographers），針對於其作品，享有著作權（the rights to their works）。</w:t>
      </w:r>
    </w:p>
    <w:p w:rsidR="0049577B" w:rsidRPr="00B40DC1" w:rsidRDefault="00DC6142" w:rsidP="00DC6142">
      <w:pPr>
        <w:ind w:leftChars="54" w:left="140"/>
      </w:pPr>
      <w:r>
        <w:t xml:space="preserve">　　</w:t>
      </w:r>
      <w:r w:rsidR="0049577B" w:rsidRPr="00B40DC1">
        <w:t>在西方較先進與文明之民主國家之中 ，愈來愈重視人民之「遊行」。本書茲以瑞典憲法為例，在瑞典憲法第2章「人民基本權利暨自由」第1條第1項第4款之中，明文賦予瑞典人民有「遊行示威」之權利，本款規定，瑞典人民擁有「遊行示威之自由權利」（freedom to demonstrate），其乃指人民有權利「組織」或「實際參與」在公眾場所之任何遊行示威之活動（the freedom to organize or take part in any demonstration in a public place）。</w:t>
      </w:r>
    </w:p>
    <w:p w:rsidR="0049577B" w:rsidRPr="00B40DC1" w:rsidRDefault="00DC6142" w:rsidP="00DC6142">
      <w:pPr>
        <w:ind w:leftChars="54" w:left="140"/>
      </w:pPr>
      <w:r>
        <w:t xml:space="preserve">　　</w:t>
      </w:r>
      <w:r w:rsidR="0049577B" w:rsidRPr="00B40DC1">
        <w:t>在台灣，我國人民是否擁有「遊行示威權利」（freedom to demonstrate）？在憲法條文之中，未作非常明確之規定，殊屬相當可惜之處，我國未來修憲時，宜仿照瑞典憲法第2章「人民基本權利暨自由」第1條第1項第4款之立憲模式，明文賦予我國之人民，包括外國人，均平等地享有「遊行示威權」。此項之權利，乃屬於基本權利（fundamental right），我</w:t>
      </w:r>
      <w:r w:rsidR="002D4379" w:rsidRPr="00B40DC1">
        <w:t>國</w:t>
      </w:r>
      <w:hyperlink r:id="rId252" w:history="1">
        <w:r w:rsidR="002D4379" w:rsidRPr="002D4379">
          <w:rPr>
            <w:rStyle w:val="a7"/>
            <w:rFonts w:cs="Times New Roman" w:hint="eastAsia"/>
            <w:lang w:eastAsia="zh-TW" w:bidi="ar-SA"/>
          </w:rPr>
          <w:t>憲法</w:t>
        </w:r>
      </w:hyperlink>
      <w:r w:rsidR="0049577B" w:rsidRPr="00B40DC1">
        <w:t>宜明文保障之為佳。</w:t>
      </w:r>
    </w:p>
    <w:p w:rsidR="0049577B" w:rsidRPr="00B40DC1" w:rsidRDefault="00AC6AC1" w:rsidP="00AC6AC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3C1792" w:rsidRDefault="0049577B" w:rsidP="002F19DE">
      <w:pPr>
        <w:pStyle w:val="2"/>
      </w:pPr>
      <w:bookmarkStart w:id="48" w:name="_陸、憲法與外來人口政治上之選舉權與任公職權利"/>
      <w:bookmarkEnd w:id="48"/>
      <w:r w:rsidRPr="00B40DC1">
        <w:t xml:space="preserve">陸、憲法與外來人口政治上之選舉權與任公職權利 </w:t>
      </w:r>
    </w:p>
    <w:p w:rsidR="0049577B" w:rsidRPr="00B40DC1" w:rsidRDefault="00DC6142" w:rsidP="00DC6142">
      <w:pPr>
        <w:ind w:leftChars="54" w:left="140"/>
      </w:pPr>
      <w:r>
        <w:rPr>
          <w:lang w:val="en"/>
        </w:rPr>
        <w:t xml:space="preserve">　　</w:t>
      </w:r>
      <w:r w:rsidR="0049577B" w:rsidRPr="00B40DC1">
        <w:t>玆以芬蘭憲法第14條為例，本條主要係規定政治上之選舉權與任公職權利；依據芬蘭憲法第14條第3項之規定</w:t>
      </w:r>
      <w:r w:rsidR="0049577B" w:rsidRPr="00DC6142">
        <w:rPr>
          <w:rStyle w:val="af7"/>
          <w:rFonts w:eastAsia="新細明體"/>
          <w:sz w:val="20"/>
        </w:rPr>
        <w:footnoteReference w:id="90"/>
      </w:r>
      <w:r w:rsidR="0049577B" w:rsidRPr="00B40DC1">
        <w:t>，已取得永久居留資格之外國人(</w:t>
      </w:r>
      <w:r w:rsidR="0049577B" w:rsidRPr="00B40DC1">
        <w:rPr>
          <w:lang w:bidi="bn-IN"/>
        </w:rPr>
        <w:t>every foreigner permanently resident in Finland)</w:t>
      </w:r>
      <w:r w:rsidR="0049577B" w:rsidRPr="00B40DC1">
        <w:t>，於其年齡達到18歲之後(</w:t>
      </w:r>
      <w:r w:rsidR="0049577B" w:rsidRPr="00B40DC1">
        <w:rPr>
          <w:lang w:bidi="bn-IN"/>
        </w:rPr>
        <w:t>having attained eighteen years of age)</w:t>
      </w:r>
      <w:r w:rsidR="0049577B" w:rsidRPr="00B40DC1">
        <w:t>，有權參與市政選舉及市政公投之投票行為(</w:t>
      </w:r>
      <w:r w:rsidR="0049577B" w:rsidRPr="00B40DC1">
        <w:rPr>
          <w:lang w:bidi="bn-IN"/>
        </w:rPr>
        <w:t>has the right to vote in municipal elections and municipal referendums)</w:t>
      </w:r>
      <w:r w:rsidR="0049577B" w:rsidRPr="00B40DC1">
        <w:t>；上述之投票行為，由法律另定之(</w:t>
      </w:r>
      <w:r w:rsidR="0049577B" w:rsidRPr="00B40DC1">
        <w:rPr>
          <w:lang w:bidi="bn-IN"/>
        </w:rPr>
        <w:t>as provided by an Act)</w:t>
      </w:r>
      <w:r w:rsidR="0049577B" w:rsidRPr="00B40DC1">
        <w:t>。有關於具有永久居留資格外國人在芬蘭市政機關任公職等之其他相關參政權利(</w:t>
      </w:r>
      <w:r w:rsidR="0049577B" w:rsidRPr="00B40DC1">
        <w:rPr>
          <w:lang w:bidi="bn-IN"/>
        </w:rPr>
        <w:t>Provisions on the right to otherwise participate in municipal government)</w:t>
      </w:r>
      <w:r w:rsidR="0049577B" w:rsidRPr="00B40DC1">
        <w:t>，亦由法律明文規定之(</w:t>
      </w:r>
      <w:r w:rsidR="0049577B" w:rsidRPr="00B40DC1">
        <w:rPr>
          <w:lang w:bidi="bn-IN"/>
        </w:rPr>
        <w:t>are laid down by an Act)</w:t>
      </w:r>
      <w:r w:rsidR="0049577B" w:rsidRPr="00B40DC1">
        <w:t>。</w:t>
      </w:r>
    </w:p>
    <w:p w:rsidR="0049577B" w:rsidRPr="00B40DC1" w:rsidRDefault="00DC6142" w:rsidP="00DC6142">
      <w:pPr>
        <w:ind w:leftChars="54" w:left="140"/>
      </w:pPr>
      <w:r>
        <w:t xml:space="preserve">　　</w:t>
      </w:r>
      <w:r w:rsidR="0049577B" w:rsidRPr="00B40DC1">
        <w:t>為了有效提升台灣實質上之國際競爭力、創造力與生產力，及營造有利於外國人生活之有善與舒適生活環境及機能，對於在台灣境內已取得永久居留資格之外國人，在憲法法理部分，可將其認定為準本國人，基此，我國</w:t>
      </w:r>
      <w:hyperlink r:id="rId253" w:history="1">
        <w:r w:rsidR="002D4379" w:rsidRPr="002D4379">
          <w:rPr>
            <w:rStyle w:val="a7"/>
            <w:rFonts w:cs="Times New Roman" w:hint="eastAsia"/>
            <w:lang w:eastAsia="zh-TW" w:bidi="ar-SA"/>
          </w:rPr>
          <w:t>憲法</w:t>
        </w:r>
      </w:hyperlink>
      <w:r w:rsidR="0049577B" w:rsidRPr="00B40DC1">
        <w:t>似亦宜比照芬蘭憲法第14條之立憲模式，明文賦予及規範保障外國人政治上之選舉權與任公職權利。</w:t>
      </w:r>
    </w:p>
    <w:p w:rsidR="0049577B" w:rsidRPr="00B40DC1" w:rsidRDefault="00AC6AC1" w:rsidP="00AC6AC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3C1792" w:rsidRDefault="0049577B" w:rsidP="002F19DE">
      <w:pPr>
        <w:pStyle w:val="2"/>
      </w:pPr>
      <w:bookmarkStart w:id="49" w:name="_柒、憲法與外來人口生命權(含人身自由權)之保障----以廢止死刑、無期"/>
      <w:bookmarkEnd w:id="49"/>
      <w:r w:rsidRPr="00B40DC1">
        <w:t xml:space="preserve">柒、憲法與外來人口生命權(含人身自由權)之保障----以廢止死刑、無期徒刑為核心 </w:t>
      </w:r>
    </w:p>
    <w:p w:rsidR="0049577B" w:rsidRPr="00B40DC1" w:rsidRDefault="00DC6142" w:rsidP="003C20F7">
      <w:pPr>
        <w:spacing w:line="240" w:lineRule="auto"/>
        <w:ind w:leftChars="0" w:left="0" w:rightChars="0" w:right="0"/>
      </w:pPr>
      <w:r>
        <w:t xml:space="preserve">　　</w:t>
      </w:r>
      <w:r w:rsidR="0049577B" w:rsidRPr="00B40DC1">
        <w:t>本書擬透由相關分析及多元迴歸分析，利用我國境內之相關數據，分析民國81年(1992)至105年間(2016)之死刑執行人數，其與下列各個變項之相關性：當年度之刑案發生率、下年度之刑案發生率、當年度之刑案發生件數、下年度之刑案發生件數、當年度窃盜發生件數、下年度窃盜發生件數、當年度暴力犯罪發生件數、下年度暴力犯罪發生件數</w:t>
      </w:r>
      <w:r w:rsidR="0049577B" w:rsidRPr="00AC6AC1">
        <w:rPr>
          <w:rStyle w:val="af7"/>
          <w:rFonts w:eastAsia="新細明體"/>
          <w:sz w:val="20"/>
        </w:rPr>
        <w:footnoteReference w:id="91"/>
      </w:r>
      <w:r w:rsidR="0049577B" w:rsidRPr="00B40DC1">
        <w:t>、、、等等之相關性，且檢定與說明死刑與抑制整體犯罪並無強烈之關聯性；進而利用多元迴歸分析，檢視、發現死刑(含無期徒刑)執行人數(自變項)，對於相關(重大)犯罪，並無抑制之影響力，故本書建議，宜在</w:t>
      </w:r>
      <w:hyperlink r:id="rId254" w:history="1">
        <w:r w:rsidR="00E26F8A" w:rsidRPr="00E26F8A">
          <w:rPr>
            <w:rStyle w:val="a7"/>
            <w:rFonts w:cs="Times New Roman"/>
            <w:lang w:eastAsia="zh-TW" w:bidi="ar-SA"/>
          </w:rPr>
          <w:t>憲法</w:t>
        </w:r>
      </w:hyperlink>
      <w:r w:rsidR="0049577B" w:rsidRPr="00B40DC1">
        <w:t>本文之中，明文規範廢止死刑(含無期徒刑)，而廢止死刑(含無期徒刑)適用之對象，包括本國人與外來人口(內含外國人)，亦即，完全地廢止死刑(含無期徒刑)。亦即，站在</w:t>
      </w:r>
      <w:hyperlink r:id="rId255" w:history="1">
        <w:r w:rsidR="00E26F8A" w:rsidRPr="00E26F8A">
          <w:rPr>
            <w:rStyle w:val="a7"/>
            <w:rFonts w:cs="Times New Roman"/>
            <w:lang w:eastAsia="zh-TW" w:bidi="ar-SA"/>
          </w:rPr>
          <w:t>憲法</w:t>
        </w:r>
      </w:hyperlink>
      <w:r w:rsidR="0049577B" w:rsidRPr="00B40DC1">
        <w:t>之高度，利用廢止死刑(含無期徒刑)，充分保障外來人口及本國人民之生命權(含人身自由權)。</w:t>
      </w:r>
    </w:p>
    <w:p w:rsidR="0049577B" w:rsidRPr="00B40DC1" w:rsidRDefault="00AC6AC1" w:rsidP="00AC6AC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7A92" w:rsidRDefault="0049577B" w:rsidP="00E736D6">
      <w:pPr>
        <w:pStyle w:val="4"/>
        <w:rPr>
          <w:lang w:eastAsia="zh-TW"/>
        </w:rPr>
      </w:pPr>
      <w:r w:rsidRPr="00817A92">
        <w:rPr>
          <w:lang w:eastAsia="zh-TW"/>
        </w:rPr>
        <w:t>表2、1992年至2016年間之死刑執行人數、當年度之刑案發生率、下年度之刑案發生率、當年度之刑案發生件數、下年度之刑案發生件數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9"/>
        <w:gridCol w:w="1629"/>
        <w:gridCol w:w="1630"/>
        <w:gridCol w:w="1629"/>
        <w:gridCol w:w="1629"/>
        <w:gridCol w:w="1772"/>
      </w:tblGrid>
      <w:tr w:rsidR="0049577B" w:rsidRPr="00B40DC1" w:rsidTr="003C20F7">
        <w:trPr>
          <w:tblHeader/>
        </w:trPr>
        <w:tc>
          <w:tcPr>
            <w:tcW w:w="1629" w:type="dxa"/>
            <w:shd w:val="clear" w:color="auto" w:fill="FAF0FA"/>
          </w:tcPr>
          <w:p w:rsidR="0049577B" w:rsidRPr="00C9725A" w:rsidRDefault="0049577B" w:rsidP="00D20F89">
            <w:pPr>
              <w:spacing w:line="240" w:lineRule="auto"/>
              <w:ind w:leftChars="0" w:left="0" w:rightChars="0" w:right="0"/>
              <w:rPr>
                <w:sz w:val="24"/>
              </w:rPr>
            </w:pPr>
            <w:r w:rsidRPr="00C9725A">
              <w:rPr>
                <w:sz w:val="24"/>
              </w:rPr>
              <w:t>民國之年代區別year</w:t>
            </w:r>
          </w:p>
        </w:tc>
        <w:tc>
          <w:tcPr>
            <w:tcW w:w="1629" w:type="dxa"/>
            <w:shd w:val="clear" w:color="auto" w:fill="FAF0FA"/>
          </w:tcPr>
          <w:p w:rsidR="0049577B" w:rsidRPr="00C9725A" w:rsidRDefault="0049577B" w:rsidP="00D20F89">
            <w:pPr>
              <w:spacing w:line="240" w:lineRule="auto"/>
              <w:ind w:leftChars="0" w:left="0" w:rightChars="0" w:right="0"/>
              <w:rPr>
                <w:sz w:val="24"/>
              </w:rPr>
            </w:pPr>
            <w:r w:rsidRPr="00C9725A">
              <w:rPr>
                <w:sz w:val="24"/>
              </w:rPr>
              <w:t>死刑執行人數(death)</w:t>
            </w:r>
          </w:p>
        </w:tc>
        <w:tc>
          <w:tcPr>
            <w:tcW w:w="1630" w:type="dxa"/>
            <w:shd w:val="clear" w:color="auto" w:fill="FAF0FA"/>
          </w:tcPr>
          <w:p w:rsidR="0049577B" w:rsidRPr="00C9725A" w:rsidRDefault="0049577B" w:rsidP="00D20F89">
            <w:pPr>
              <w:spacing w:line="240" w:lineRule="auto"/>
              <w:ind w:leftChars="0" w:left="0" w:rightChars="0" w:right="0"/>
              <w:rPr>
                <w:sz w:val="24"/>
              </w:rPr>
            </w:pPr>
            <w:r w:rsidRPr="00C9725A">
              <w:rPr>
                <w:sz w:val="24"/>
              </w:rPr>
              <w:t>當年度之刑案發生率(件/十萬人)(crimerate)</w:t>
            </w:r>
          </w:p>
        </w:tc>
        <w:tc>
          <w:tcPr>
            <w:tcW w:w="1629" w:type="dxa"/>
            <w:shd w:val="clear" w:color="auto" w:fill="FAF0FA"/>
          </w:tcPr>
          <w:p w:rsidR="0049577B" w:rsidRPr="00C9725A" w:rsidRDefault="0049577B" w:rsidP="00D20F89">
            <w:pPr>
              <w:spacing w:line="240" w:lineRule="auto"/>
              <w:ind w:leftChars="0" w:left="0" w:rightChars="0" w:right="0"/>
              <w:rPr>
                <w:sz w:val="24"/>
              </w:rPr>
            </w:pPr>
            <w:r w:rsidRPr="00C9725A">
              <w:rPr>
                <w:sz w:val="24"/>
              </w:rPr>
              <w:t>下年度之刑案發生率(件/十萬人)</w:t>
            </w:r>
            <w:r w:rsidR="003C1792" w:rsidRPr="00C9725A">
              <w:rPr>
                <w:sz w:val="24"/>
              </w:rPr>
              <w:t>(</w:t>
            </w:r>
            <w:r w:rsidRPr="00C9725A">
              <w:rPr>
                <w:sz w:val="24"/>
              </w:rPr>
              <w:t>crimeratenext)</w:t>
            </w:r>
          </w:p>
        </w:tc>
        <w:tc>
          <w:tcPr>
            <w:tcW w:w="1629" w:type="dxa"/>
            <w:shd w:val="clear" w:color="auto" w:fill="FAF0FA"/>
          </w:tcPr>
          <w:p w:rsidR="0049577B" w:rsidRPr="00C9725A" w:rsidRDefault="0049577B" w:rsidP="00D20F89">
            <w:pPr>
              <w:spacing w:line="240" w:lineRule="auto"/>
              <w:ind w:leftChars="0" w:left="0" w:rightChars="0" w:right="0"/>
              <w:rPr>
                <w:sz w:val="24"/>
              </w:rPr>
            </w:pPr>
            <w:r w:rsidRPr="00C9725A">
              <w:rPr>
                <w:sz w:val="24"/>
              </w:rPr>
              <w:t>當年度之刑案發生件數(offenses)</w:t>
            </w:r>
          </w:p>
        </w:tc>
        <w:tc>
          <w:tcPr>
            <w:tcW w:w="1772" w:type="dxa"/>
            <w:shd w:val="clear" w:color="auto" w:fill="FAF0FA"/>
          </w:tcPr>
          <w:p w:rsidR="0049577B" w:rsidRPr="00C9725A" w:rsidRDefault="0049577B" w:rsidP="00D20F89">
            <w:pPr>
              <w:spacing w:line="240" w:lineRule="auto"/>
              <w:ind w:leftChars="0" w:left="0" w:rightChars="0" w:right="0"/>
              <w:rPr>
                <w:sz w:val="24"/>
              </w:rPr>
            </w:pPr>
            <w:r w:rsidRPr="00C9725A">
              <w:rPr>
                <w:sz w:val="24"/>
              </w:rPr>
              <w:t>下年度之刑案發生件數(offensesnext)</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81</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35.00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1399.45</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1530.96</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289052.00</w:t>
            </w:r>
          </w:p>
        </w:tc>
        <w:tc>
          <w:tcPr>
            <w:tcW w:w="1772" w:type="dxa"/>
          </w:tcPr>
          <w:p w:rsidR="0049577B" w:rsidRPr="00D20F89" w:rsidRDefault="0049577B" w:rsidP="00D20F89">
            <w:pPr>
              <w:ind w:leftChars="40" w:left="104"/>
              <w:jc w:val="center"/>
              <w:rPr>
                <w:sz w:val="24"/>
                <w:szCs w:val="24"/>
              </w:rPr>
            </w:pPr>
            <w:r w:rsidRPr="00D20F89">
              <w:rPr>
                <w:sz w:val="24"/>
                <w:szCs w:val="24"/>
              </w:rPr>
              <w:t>319179.00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82</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18.00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1530.96</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1537.73</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319179.00</w:t>
            </w:r>
          </w:p>
        </w:tc>
        <w:tc>
          <w:tcPr>
            <w:tcW w:w="1772" w:type="dxa"/>
          </w:tcPr>
          <w:p w:rsidR="0049577B" w:rsidRPr="00D20F89" w:rsidRDefault="0049577B" w:rsidP="00D20F89">
            <w:pPr>
              <w:ind w:leftChars="40" w:left="104"/>
              <w:jc w:val="center"/>
              <w:rPr>
                <w:sz w:val="24"/>
                <w:szCs w:val="24"/>
              </w:rPr>
            </w:pPr>
            <w:r w:rsidRPr="00D20F89">
              <w:rPr>
                <w:sz w:val="24"/>
                <w:szCs w:val="24"/>
              </w:rPr>
              <w:t>323459.00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83</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17.00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1537.73</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2023.25</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323459.00</w:t>
            </w:r>
          </w:p>
        </w:tc>
        <w:tc>
          <w:tcPr>
            <w:tcW w:w="1772" w:type="dxa"/>
          </w:tcPr>
          <w:p w:rsidR="0049577B" w:rsidRPr="00D20F89" w:rsidRDefault="0049577B" w:rsidP="00D20F89">
            <w:pPr>
              <w:ind w:leftChars="40" w:left="104"/>
              <w:jc w:val="center"/>
              <w:rPr>
                <w:sz w:val="24"/>
                <w:szCs w:val="24"/>
              </w:rPr>
            </w:pPr>
            <w:r w:rsidRPr="00D20F89">
              <w:rPr>
                <w:sz w:val="24"/>
                <w:szCs w:val="24"/>
              </w:rPr>
              <w:t>429233.00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84</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16.00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2023.25</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2132.60</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429233.00</w:t>
            </w:r>
          </w:p>
        </w:tc>
        <w:tc>
          <w:tcPr>
            <w:tcW w:w="1772" w:type="dxa"/>
          </w:tcPr>
          <w:p w:rsidR="0049577B" w:rsidRPr="00D20F89" w:rsidRDefault="0049577B" w:rsidP="00D20F89">
            <w:pPr>
              <w:ind w:leftChars="40" w:left="104"/>
              <w:jc w:val="center"/>
              <w:rPr>
                <w:sz w:val="24"/>
                <w:szCs w:val="24"/>
              </w:rPr>
            </w:pPr>
            <w:r w:rsidRPr="00D20F89">
              <w:rPr>
                <w:sz w:val="24"/>
                <w:szCs w:val="24"/>
              </w:rPr>
              <w:t>456117.00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85</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22.00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2132.60</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1971.08</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456117.00</w:t>
            </w:r>
          </w:p>
        </w:tc>
        <w:tc>
          <w:tcPr>
            <w:tcW w:w="1772" w:type="dxa"/>
          </w:tcPr>
          <w:p w:rsidR="0049577B" w:rsidRPr="00D20F89" w:rsidRDefault="0049577B" w:rsidP="00D20F89">
            <w:pPr>
              <w:ind w:leftChars="40" w:left="104"/>
              <w:jc w:val="center"/>
              <w:rPr>
                <w:sz w:val="24"/>
                <w:szCs w:val="24"/>
              </w:rPr>
            </w:pPr>
            <w:r w:rsidRPr="00D20F89">
              <w:rPr>
                <w:sz w:val="24"/>
                <w:szCs w:val="24"/>
              </w:rPr>
              <w:t>426425.00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86</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38.00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1971.08</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1989.92</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426425.00</w:t>
            </w:r>
          </w:p>
        </w:tc>
        <w:tc>
          <w:tcPr>
            <w:tcW w:w="1772" w:type="dxa"/>
          </w:tcPr>
          <w:p w:rsidR="0049577B" w:rsidRPr="00D20F89" w:rsidRDefault="0049577B" w:rsidP="00D20F89">
            <w:pPr>
              <w:ind w:leftChars="40" w:left="104"/>
              <w:jc w:val="center"/>
              <w:rPr>
                <w:sz w:val="24"/>
                <w:szCs w:val="24"/>
              </w:rPr>
            </w:pPr>
            <w:r w:rsidRPr="00D20F89">
              <w:rPr>
                <w:sz w:val="24"/>
                <w:szCs w:val="24"/>
              </w:rPr>
              <w:t>434513.00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87</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32.00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1989.92</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1754.80</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434513.00</w:t>
            </w:r>
          </w:p>
        </w:tc>
        <w:tc>
          <w:tcPr>
            <w:tcW w:w="1772" w:type="dxa"/>
          </w:tcPr>
          <w:p w:rsidR="0049577B" w:rsidRPr="00D20F89" w:rsidRDefault="0049577B" w:rsidP="00D20F89">
            <w:pPr>
              <w:ind w:leftChars="40" w:left="104"/>
              <w:jc w:val="center"/>
              <w:rPr>
                <w:sz w:val="24"/>
                <w:szCs w:val="24"/>
              </w:rPr>
            </w:pPr>
            <w:r w:rsidRPr="00D20F89">
              <w:rPr>
                <w:sz w:val="24"/>
                <w:szCs w:val="24"/>
              </w:rPr>
              <w:t>386241.00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88</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24.00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1754.80</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1976.69</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386241.00</w:t>
            </w:r>
          </w:p>
        </w:tc>
        <w:tc>
          <w:tcPr>
            <w:tcW w:w="1772" w:type="dxa"/>
          </w:tcPr>
          <w:p w:rsidR="0049577B" w:rsidRPr="00D20F89" w:rsidRDefault="0049577B" w:rsidP="00D20F89">
            <w:pPr>
              <w:ind w:leftChars="40" w:left="104"/>
              <w:jc w:val="center"/>
              <w:rPr>
                <w:sz w:val="24"/>
                <w:szCs w:val="24"/>
              </w:rPr>
            </w:pPr>
            <w:r w:rsidRPr="00D20F89">
              <w:rPr>
                <w:sz w:val="24"/>
                <w:szCs w:val="24"/>
              </w:rPr>
              <w:t>438520.00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89</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24.00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1976.69</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2196.56</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438520.00</w:t>
            </w:r>
          </w:p>
        </w:tc>
        <w:tc>
          <w:tcPr>
            <w:tcW w:w="1772" w:type="dxa"/>
          </w:tcPr>
          <w:p w:rsidR="0049577B" w:rsidRPr="00D20F89" w:rsidRDefault="0049577B" w:rsidP="00D20F89">
            <w:pPr>
              <w:ind w:leftChars="40" w:left="104"/>
              <w:jc w:val="center"/>
              <w:rPr>
                <w:sz w:val="24"/>
                <w:szCs w:val="24"/>
              </w:rPr>
            </w:pPr>
            <w:r w:rsidRPr="00D20F89">
              <w:rPr>
                <w:sz w:val="24"/>
                <w:szCs w:val="24"/>
              </w:rPr>
              <w:t>490736.00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90</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10.00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2196.56</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2240.95</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490736.00</w:t>
            </w:r>
          </w:p>
        </w:tc>
        <w:tc>
          <w:tcPr>
            <w:tcW w:w="1772" w:type="dxa"/>
          </w:tcPr>
          <w:p w:rsidR="0049577B" w:rsidRPr="00D20F89" w:rsidRDefault="0049577B" w:rsidP="00D20F89">
            <w:pPr>
              <w:ind w:leftChars="40" w:left="104"/>
              <w:jc w:val="center"/>
              <w:rPr>
                <w:sz w:val="24"/>
                <w:szCs w:val="24"/>
              </w:rPr>
            </w:pPr>
            <w:r w:rsidRPr="00D20F89">
              <w:rPr>
                <w:sz w:val="24"/>
                <w:szCs w:val="24"/>
              </w:rPr>
              <w:t>503389.00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91</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9.00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2240.95</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2192.80</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503389.00</w:t>
            </w:r>
          </w:p>
        </w:tc>
        <w:tc>
          <w:tcPr>
            <w:tcW w:w="1772" w:type="dxa"/>
          </w:tcPr>
          <w:p w:rsidR="0049577B" w:rsidRPr="00D20F89" w:rsidRDefault="0049577B" w:rsidP="00D20F89">
            <w:pPr>
              <w:ind w:leftChars="40" w:left="104"/>
              <w:jc w:val="center"/>
              <w:rPr>
                <w:sz w:val="24"/>
                <w:szCs w:val="24"/>
              </w:rPr>
            </w:pPr>
            <w:r w:rsidRPr="00D20F89">
              <w:rPr>
                <w:sz w:val="24"/>
                <w:szCs w:val="24"/>
              </w:rPr>
              <w:t>494755.00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92</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7.00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2192.80</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2306.30</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494755.00</w:t>
            </w:r>
          </w:p>
        </w:tc>
        <w:tc>
          <w:tcPr>
            <w:tcW w:w="1772" w:type="dxa"/>
          </w:tcPr>
          <w:p w:rsidR="0049577B" w:rsidRPr="00D20F89" w:rsidRDefault="0049577B" w:rsidP="00D20F89">
            <w:pPr>
              <w:ind w:leftChars="40" w:left="104"/>
              <w:jc w:val="center"/>
              <w:rPr>
                <w:sz w:val="24"/>
                <w:szCs w:val="24"/>
              </w:rPr>
            </w:pPr>
            <w:r w:rsidRPr="00D20F89">
              <w:rPr>
                <w:sz w:val="24"/>
                <w:szCs w:val="24"/>
              </w:rPr>
              <w:t>522305.00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93</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3.00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2306.30</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2442.21</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522305.00</w:t>
            </w:r>
          </w:p>
        </w:tc>
        <w:tc>
          <w:tcPr>
            <w:tcW w:w="1772" w:type="dxa"/>
          </w:tcPr>
          <w:p w:rsidR="0049577B" w:rsidRPr="00D20F89" w:rsidRDefault="0049577B" w:rsidP="00D20F89">
            <w:pPr>
              <w:ind w:leftChars="40" w:left="104"/>
              <w:jc w:val="center"/>
              <w:rPr>
                <w:sz w:val="24"/>
                <w:szCs w:val="24"/>
              </w:rPr>
            </w:pPr>
            <w:r w:rsidRPr="00D20F89">
              <w:rPr>
                <w:sz w:val="24"/>
                <w:szCs w:val="24"/>
              </w:rPr>
              <w:t>555109.00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94</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3.00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2442.21</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2246.76</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555109.00</w:t>
            </w:r>
          </w:p>
        </w:tc>
        <w:tc>
          <w:tcPr>
            <w:tcW w:w="1772" w:type="dxa"/>
          </w:tcPr>
          <w:p w:rsidR="0049577B" w:rsidRPr="00D20F89" w:rsidRDefault="0049577B" w:rsidP="00D20F89">
            <w:pPr>
              <w:ind w:leftChars="40" w:left="104"/>
              <w:jc w:val="center"/>
              <w:rPr>
                <w:sz w:val="24"/>
                <w:szCs w:val="24"/>
              </w:rPr>
            </w:pPr>
            <w:r w:rsidRPr="00D20F89">
              <w:rPr>
                <w:sz w:val="24"/>
                <w:szCs w:val="24"/>
              </w:rPr>
              <w:t>512788.00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95</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2246.76</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2146.03</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512788.00</w:t>
            </w:r>
          </w:p>
        </w:tc>
        <w:tc>
          <w:tcPr>
            <w:tcW w:w="1772" w:type="dxa"/>
          </w:tcPr>
          <w:p w:rsidR="0049577B" w:rsidRPr="00D20F89" w:rsidRDefault="0049577B" w:rsidP="00D20F89">
            <w:pPr>
              <w:ind w:leftChars="40" w:left="104"/>
              <w:jc w:val="center"/>
              <w:rPr>
                <w:sz w:val="24"/>
                <w:szCs w:val="24"/>
              </w:rPr>
            </w:pPr>
            <w:r w:rsidRPr="00D20F89">
              <w:rPr>
                <w:sz w:val="24"/>
                <w:szCs w:val="24"/>
              </w:rPr>
              <w:t>491815.00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96</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2146.03</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1971.67</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491815.00</w:t>
            </w:r>
          </w:p>
        </w:tc>
        <w:tc>
          <w:tcPr>
            <w:tcW w:w="1772" w:type="dxa"/>
          </w:tcPr>
          <w:p w:rsidR="0049577B" w:rsidRPr="00D20F89" w:rsidRDefault="0049577B" w:rsidP="00D20F89">
            <w:pPr>
              <w:ind w:leftChars="40" w:left="104"/>
              <w:jc w:val="center"/>
              <w:rPr>
                <w:sz w:val="24"/>
                <w:szCs w:val="24"/>
              </w:rPr>
            </w:pPr>
            <w:r w:rsidRPr="00D20F89">
              <w:rPr>
                <w:sz w:val="24"/>
                <w:szCs w:val="24"/>
              </w:rPr>
              <w:t>453439.00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97</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1971.67</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1672.88</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453439.00</w:t>
            </w:r>
          </w:p>
        </w:tc>
        <w:tc>
          <w:tcPr>
            <w:tcW w:w="1772" w:type="dxa"/>
          </w:tcPr>
          <w:p w:rsidR="0049577B" w:rsidRPr="00D20F89" w:rsidRDefault="0049577B" w:rsidP="00D20F89">
            <w:pPr>
              <w:ind w:leftChars="40" w:left="104"/>
              <w:jc w:val="center"/>
              <w:rPr>
                <w:sz w:val="24"/>
                <w:szCs w:val="24"/>
              </w:rPr>
            </w:pPr>
            <w:r w:rsidRPr="00D20F89">
              <w:rPr>
                <w:sz w:val="24"/>
                <w:szCs w:val="24"/>
              </w:rPr>
              <w:t>386075.00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98</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1672.88</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1607.25</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386075.00</w:t>
            </w:r>
          </w:p>
        </w:tc>
        <w:tc>
          <w:tcPr>
            <w:tcW w:w="1772" w:type="dxa"/>
          </w:tcPr>
          <w:p w:rsidR="0049577B" w:rsidRPr="00D20F89" w:rsidRDefault="0049577B" w:rsidP="00D20F89">
            <w:pPr>
              <w:ind w:leftChars="40" w:left="104"/>
              <w:jc w:val="center"/>
              <w:rPr>
                <w:sz w:val="24"/>
                <w:szCs w:val="24"/>
              </w:rPr>
            </w:pPr>
            <w:r w:rsidRPr="00D20F89">
              <w:rPr>
                <w:sz w:val="24"/>
                <w:szCs w:val="24"/>
              </w:rPr>
              <w:t>371934.00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99</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4.00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1607.25</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1499.01</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371934.00</w:t>
            </w:r>
          </w:p>
        </w:tc>
        <w:tc>
          <w:tcPr>
            <w:tcW w:w="1772" w:type="dxa"/>
          </w:tcPr>
          <w:p w:rsidR="0049577B" w:rsidRPr="00D20F89" w:rsidRDefault="0049577B" w:rsidP="00D20F89">
            <w:pPr>
              <w:ind w:leftChars="40" w:left="104"/>
              <w:jc w:val="center"/>
              <w:rPr>
                <w:sz w:val="24"/>
                <w:szCs w:val="24"/>
              </w:rPr>
            </w:pPr>
            <w:r w:rsidRPr="00D20F89">
              <w:rPr>
                <w:sz w:val="24"/>
                <w:szCs w:val="24"/>
              </w:rPr>
              <w:t>347674.00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100</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5.00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1499.01</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1363.78</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347674.00</w:t>
            </w:r>
          </w:p>
        </w:tc>
        <w:tc>
          <w:tcPr>
            <w:tcW w:w="1772" w:type="dxa"/>
          </w:tcPr>
          <w:p w:rsidR="0049577B" w:rsidRPr="00D20F89" w:rsidRDefault="0049577B" w:rsidP="00D20F89">
            <w:pPr>
              <w:ind w:leftChars="40" w:left="104"/>
              <w:jc w:val="center"/>
              <w:rPr>
                <w:sz w:val="24"/>
                <w:szCs w:val="24"/>
              </w:rPr>
            </w:pPr>
            <w:r w:rsidRPr="00D20F89">
              <w:rPr>
                <w:sz w:val="24"/>
                <w:szCs w:val="24"/>
              </w:rPr>
              <w:t>317356.00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101</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6.00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1363.78</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1280.66</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317356.00</w:t>
            </w:r>
          </w:p>
        </w:tc>
        <w:tc>
          <w:tcPr>
            <w:tcW w:w="1772" w:type="dxa"/>
          </w:tcPr>
          <w:p w:rsidR="0049577B" w:rsidRPr="00D20F89" w:rsidRDefault="0049577B" w:rsidP="00D20F89">
            <w:pPr>
              <w:ind w:leftChars="40" w:left="104"/>
              <w:jc w:val="center"/>
              <w:rPr>
                <w:sz w:val="24"/>
                <w:szCs w:val="24"/>
              </w:rPr>
            </w:pPr>
            <w:r w:rsidRPr="00D20F89">
              <w:rPr>
                <w:sz w:val="24"/>
                <w:szCs w:val="24"/>
              </w:rPr>
              <w:t>298967.00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102</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6.00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1280.66</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1308.77</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298967.00</w:t>
            </w:r>
          </w:p>
        </w:tc>
        <w:tc>
          <w:tcPr>
            <w:tcW w:w="1772" w:type="dxa"/>
          </w:tcPr>
          <w:p w:rsidR="0049577B" w:rsidRPr="00D20F89" w:rsidRDefault="0049577B" w:rsidP="00D20F89">
            <w:pPr>
              <w:ind w:leftChars="40" w:left="104"/>
              <w:jc w:val="center"/>
              <w:rPr>
                <w:sz w:val="24"/>
                <w:szCs w:val="24"/>
              </w:rPr>
            </w:pPr>
            <w:r w:rsidRPr="00D20F89">
              <w:rPr>
                <w:sz w:val="24"/>
                <w:szCs w:val="24"/>
              </w:rPr>
              <w:t>306300.00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103</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5.00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1308.77</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1269.24</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306300.00</w:t>
            </w:r>
          </w:p>
        </w:tc>
        <w:tc>
          <w:tcPr>
            <w:tcW w:w="1772" w:type="dxa"/>
          </w:tcPr>
          <w:p w:rsidR="0049577B" w:rsidRPr="00D20F89" w:rsidRDefault="0049577B" w:rsidP="00D20F89">
            <w:pPr>
              <w:ind w:leftChars="40" w:left="104"/>
              <w:jc w:val="center"/>
              <w:rPr>
                <w:sz w:val="24"/>
                <w:szCs w:val="24"/>
              </w:rPr>
            </w:pPr>
            <w:r w:rsidRPr="00D20F89">
              <w:rPr>
                <w:sz w:val="24"/>
                <w:szCs w:val="24"/>
              </w:rPr>
              <w:t>297800.00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104</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6.00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1269.24</w:t>
            </w:r>
          </w:p>
        </w:tc>
        <w:tc>
          <w:tcPr>
            <w:tcW w:w="1629" w:type="dxa"/>
            <w:shd w:val="clear" w:color="auto" w:fill="auto"/>
          </w:tcPr>
          <w:p w:rsidR="0049577B" w:rsidRPr="00D20F89" w:rsidRDefault="0049577B" w:rsidP="00D20F89">
            <w:pPr>
              <w:ind w:leftChars="-15" w:left="-39"/>
              <w:jc w:val="center"/>
              <w:rPr>
                <w:sz w:val="24"/>
                <w:szCs w:val="24"/>
              </w:rPr>
            </w:pPr>
            <w:r w:rsidRPr="00D20F89">
              <w:rPr>
                <w:sz w:val="24"/>
                <w:szCs w:val="24"/>
              </w:rPr>
              <w:t>1253.75</w:t>
            </w: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297800.00</w:t>
            </w:r>
          </w:p>
        </w:tc>
        <w:tc>
          <w:tcPr>
            <w:tcW w:w="1772" w:type="dxa"/>
          </w:tcPr>
          <w:p w:rsidR="0049577B" w:rsidRPr="00D20F89" w:rsidRDefault="0049577B" w:rsidP="00D20F89">
            <w:pPr>
              <w:ind w:leftChars="40" w:left="104"/>
              <w:jc w:val="center"/>
              <w:rPr>
                <w:sz w:val="24"/>
                <w:szCs w:val="24"/>
              </w:rPr>
            </w:pPr>
            <w:r w:rsidRPr="00D20F89">
              <w:rPr>
                <w:sz w:val="24"/>
                <w:szCs w:val="24"/>
              </w:rPr>
              <w:t>294831.00</w:t>
            </w:r>
          </w:p>
        </w:tc>
      </w:tr>
      <w:tr w:rsidR="0049577B" w:rsidRPr="00B40DC1" w:rsidTr="003C20F7">
        <w:tc>
          <w:tcPr>
            <w:tcW w:w="1629" w:type="dxa"/>
            <w:shd w:val="clear" w:color="auto" w:fill="auto"/>
          </w:tcPr>
          <w:p w:rsidR="0049577B" w:rsidRPr="00D20F89" w:rsidRDefault="0049577B" w:rsidP="00D20F89">
            <w:pPr>
              <w:ind w:leftChars="11" w:left="29"/>
              <w:jc w:val="center"/>
              <w:rPr>
                <w:sz w:val="24"/>
                <w:szCs w:val="24"/>
              </w:rPr>
            </w:pPr>
            <w:r w:rsidRPr="00D20F89">
              <w:rPr>
                <w:sz w:val="24"/>
                <w:szCs w:val="24"/>
              </w:rPr>
              <w:t>105</w:t>
            </w:r>
          </w:p>
        </w:tc>
        <w:tc>
          <w:tcPr>
            <w:tcW w:w="1629" w:type="dxa"/>
            <w:shd w:val="clear" w:color="auto" w:fill="auto"/>
          </w:tcPr>
          <w:p w:rsidR="0049577B" w:rsidRPr="00D20F89" w:rsidRDefault="0049577B" w:rsidP="00D20F89">
            <w:pPr>
              <w:ind w:leftChars="0" w:left="0"/>
              <w:jc w:val="center"/>
              <w:rPr>
                <w:sz w:val="24"/>
                <w:szCs w:val="24"/>
              </w:rPr>
            </w:pPr>
            <w:r w:rsidRPr="00D20F89">
              <w:rPr>
                <w:sz w:val="24"/>
                <w:szCs w:val="24"/>
              </w:rPr>
              <w:t>1.00</w:t>
            </w:r>
          </w:p>
        </w:tc>
        <w:tc>
          <w:tcPr>
            <w:tcW w:w="1630" w:type="dxa"/>
            <w:shd w:val="clear" w:color="auto" w:fill="auto"/>
          </w:tcPr>
          <w:p w:rsidR="0049577B" w:rsidRPr="00D20F89" w:rsidRDefault="0049577B" w:rsidP="00D20F89">
            <w:pPr>
              <w:ind w:leftChars="11" w:left="29"/>
              <w:jc w:val="center"/>
              <w:rPr>
                <w:sz w:val="24"/>
                <w:szCs w:val="24"/>
              </w:rPr>
            </w:pPr>
            <w:r w:rsidRPr="00D20F89">
              <w:rPr>
                <w:sz w:val="24"/>
                <w:szCs w:val="24"/>
              </w:rPr>
              <w:t>1253.75</w:t>
            </w:r>
          </w:p>
        </w:tc>
        <w:tc>
          <w:tcPr>
            <w:tcW w:w="1629" w:type="dxa"/>
            <w:shd w:val="clear" w:color="auto" w:fill="auto"/>
          </w:tcPr>
          <w:p w:rsidR="0049577B" w:rsidRPr="00D20F89" w:rsidRDefault="0049577B" w:rsidP="00D20F89">
            <w:pPr>
              <w:ind w:leftChars="-15" w:left="-39"/>
              <w:jc w:val="center"/>
              <w:rPr>
                <w:sz w:val="24"/>
                <w:szCs w:val="24"/>
              </w:rPr>
            </w:pPr>
          </w:p>
        </w:tc>
        <w:tc>
          <w:tcPr>
            <w:tcW w:w="1629" w:type="dxa"/>
            <w:shd w:val="clear" w:color="auto" w:fill="auto"/>
          </w:tcPr>
          <w:p w:rsidR="0049577B" w:rsidRPr="00D20F89" w:rsidRDefault="0049577B" w:rsidP="00D20F89">
            <w:pPr>
              <w:ind w:leftChars="12" w:left="31"/>
              <w:jc w:val="center"/>
              <w:rPr>
                <w:sz w:val="24"/>
                <w:szCs w:val="24"/>
              </w:rPr>
            </w:pPr>
            <w:r w:rsidRPr="00D20F89">
              <w:rPr>
                <w:sz w:val="24"/>
                <w:szCs w:val="24"/>
              </w:rPr>
              <w:t>294831.00</w:t>
            </w:r>
          </w:p>
        </w:tc>
        <w:tc>
          <w:tcPr>
            <w:tcW w:w="1772" w:type="dxa"/>
          </w:tcPr>
          <w:p w:rsidR="0049577B" w:rsidRPr="00D20F89" w:rsidRDefault="0049577B" w:rsidP="00D20F89">
            <w:pPr>
              <w:ind w:leftChars="40" w:left="104"/>
              <w:jc w:val="center"/>
              <w:rPr>
                <w:sz w:val="24"/>
                <w:szCs w:val="24"/>
              </w:rPr>
            </w:pPr>
          </w:p>
        </w:tc>
      </w:tr>
    </w:tbl>
    <w:p w:rsidR="0049577B" w:rsidRDefault="00817A92" w:rsidP="00D20F89">
      <w:pPr>
        <w:spacing w:line="240" w:lineRule="auto"/>
        <w:ind w:leftChars="0" w:left="0" w:rightChars="0" w:right="0"/>
      </w:pPr>
      <w:r>
        <w:t>【資料來源】</w:t>
      </w:r>
      <w:r w:rsidR="0049577B" w:rsidRPr="00B40DC1">
        <w:t>本表之原始數據資料來源如下---中華民國統計資訊網(2018)；法務部統計處(2018)；行政院主計總處(2018)；內政部統計處(2018)；內政部警政署(2018)；內政部警政署刑事警察局(2018)；台灣人權促進會(2018)。</w:t>
      </w:r>
    </w:p>
    <w:p w:rsidR="00817A92" w:rsidRPr="00B40DC1" w:rsidRDefault="00817A92" w:rsidP="000D26BB"/>
    <w:p w:rsidR="00817A92" w:rsidRDefault="00817A92" w:rsidP="00D20F89">
      <w:pPr>
        <w:spacing w:line="240" w:lineRule="auto"/>
        <w:ind w:leftChars="0" w:left="0" w:rightChars="0" w:right="0"/>
      </w:pPr>
      <w:r>
        <w:t xml:space="preserve">　　</w:t>
      </w:r>
      <w:r w:rsidR="0049577B" w:rsidRPr="00B40DC1">
        <w:t>由下表1992年至2016年間之死刑執行人數與當年度之刑案發生率(件/十萬)、下年度之刑案發生率(件/十萬人</w:t>
      </w:r>
      <w:r w:rsidR="00587200">
        <w:t>)</w:t>
      </w:r>
      <w:r w:rsidR="0049577B" w:rsidRPr="00B40DC1">
        <w:t>Pearson 相關表可得知，死刑執行人數與當年度之刑案發生率(件/十萬)、下年度之刑案發生率，均未達到統計上之相關性。死刑執行人數與當年度之刑案發生率(件/十萬)、下年度之刑案發生率之相關性，均不高。尤其是死刑執行人數與當年度之刑案發生率(件/十萬)之相關性，非常地微弱，Pearson相關性僅是-.004，未達到統計上之Pearson相關性。</w:t>
      </w:r>
    </w:p>
    <w:p w:rsidR="00817A92" w:rsidRDefault="003C20F7" w:rsidP="003C20F7">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817A92" w:rsidP="00E736D6">
      <w:pPr>
        <w:pStyle w:val="4"/>
        <w:rPr>
          <w:lang w:eastAsia="zh-TW"/>
        </w:rPr>
      </w:pPr>
      <w:r w:rsidRPr="00B40DC1">
        <w:rPr>
          <w:lang w:eastAsia="zh-TW"/>
        </w:rPr>
        <w:t>表3、1992年至2016年間之死刑執行人數與當年度之刑案發生率(件/十萬)、下年度之刑案發生率(件/十萬人</w:t>
      </w:r>
      <w:r w:rsidR="00587200">
        <w:rPr>
          <w:lang w:eastAsia="zh-TW"/>
        </w:rPr>
        <w:t>)</w:t>
      </w:r>
      <w:r w:rsidRPr="00B40DC1">
        <w:rPr>
          <w:lang w:eastAsia="zh-TW"/>
        </w:rPr>
        <w:t>Pearson 相關表</w:t>
      </w:r>
    </w:p>
    <w:tbl>
      <w:tblPr>
        <w:tblW w:w="9781"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843"/>
        <w:gridCol w:w="1559"/>
        <w:gridCol w:w="2127"/>
        <w:gridCol w:w="2551"/>
      </w:tblGrid>
      <w:tr w:rsidR="0049577B" w:rsidRPr="00B40DC1" w:rsidTr="00D20F89">
        <w:trPr>
          <w:cantSplit/>
        </w:trPr>
        <w:tc>
          <w:tcPr>
            <w:tcW w:w="3544" w:type="dxa"/>
            <w:gridSpan w:val="2"/>
            <w:tcBorders>
              <w:top w:val="single" w:sz="4" w:space="0" w:color="auto"/>
              <w:left w:val="single" w:sz="4" w:space="0" w:color="auto"/>
              <w:bottom w:val="single" w:sz="4" w:space="0" w:color="auto"/>
              <w:right w:val="single" w:sz="4" w:space="0" w:color="auto"/>
            </w:tcBorders>
            <w:shd w:val="clear" w:color="auto" w:fill="EFFDFF"/>
            <w:vAlign w:val="center"/>
          </w:tcPr>
          <w:p w:rsidR="0049577B" w:rsidRPr="00D20F89" w:rsidRDefault="0049577B" w:rsidP="00D20F89">
            <w:pPr>
              <w:spacing w:line="240" w:lineRule="auto"/>
              <w:ind w:leftChars="0" w:left="0" w:rightChars="0" w:right="0"/>
              <w:rPr>
                <w:sz w:val="24"/>
              </w:rPr>
            </w:pPr>
          </w:p>
        </w:tc>
        <w:tc>
          <w:tcPr>
            <w:tcW w:w="1559" w:type="dxa"/>
            <w:tcBorders>
              <w:top w:val="single" w:sz="4" w:space="0" w:color="auto"/>
              <w:left w:val="single" w:sz="4" w:space="0" w:color="auto"/>
              <w:bottom w:val="single" w:sz="4" w:space="0" w:color="auto"/>
              <w:right w:val="single" w:sz="4" w:space="0" w:color="auto"/>
            </w:tcBorders>
            <w:shd w:val="clear" w:color="auto" w:fill="EFFDFF"/>
            <w:vAlign w:val="center"/>
          </w:tcPr>
          <w:p w:rsidR="0049577B" w:rsidRPr="00D20F89" w:rsidRDefault="0049577B" w:rsidP="00D20F89">
            <w:pPr>
              <w:spacing w:line="240" w:lineRule="auto"/>
              <w:ind w:leftChars="0" w:left="0" w:rightChars="0" w:right="0"/>
              <w:jc w:val="center"/>
              <w:rPr>
                <w:sz w:val="24"/>
              </w:rPr>
            </w:pPr>
            <w:r w:rsidRPr="00D20F89">
              <w:rPr>
                <w:sz w:val="24"/>
              </w:rPr>
              <w:t>死刑執行人數</w:t>
            </w:r>
          </w:p>
        </w:tc>
        <w:tc>
          <w:tcPr>
            <w:tcW w:w="2127" w:type="dxa"/>
            <w:tcBorders>
              <w:top w:val="single" w:sz="4" w:space="0" w:color="auto"/>
              <w:left w:val="single" w:sz="4" w:space="0" w:color="auto"/>
              <w:bottom w:val="single" w:sz="4" w:space="0" w:color="auto"/>
              <w:right w:val="single" w:sz="4" w:space="0" w:color="auto"/>
            </w:tcBorders>
            <w:shd w:val="clear" w:color="auto" w:fill="EFFDFF"/>
            <w:vAlign w:val="center"/>
          </w:tcPr>
          <w:p w:rsidR="0049577B" w:rsidRPr="00D20F89" w:rsidRDefault="0049577B" w:rsidP="00D20F89">
            <w:pPr>
              <w:spacing w:line="240" w:lineRule="auto"/>
              <w:ind w:leftChars="0" w:left="0" w:rightChars="0" w:right="0"/>
              <w:jc w:val="center"/>
              <w:rPr>
                <w:sz w:val="24"/>
              </w:rPr>
            </w:pPr>
            <w:r w:rsidRPr="00D20F89">
              <w:rPr>
                <w:sz w:val="24"/>
              </w:rPr>
              <w:t>當年度之刑案發生率(件/十萬)</w:t>
            </w:r>
          </w:p>
        </w:tc>
        <w:tc>
          <w:tcPr>
            <w:tcW w:w="2551" w:type="dxa"/>
            <w:tcBorders>
              <w:top w:val="single" w:sz="4" w:space="0" w:color="auto"/>
              <w:left w:val="single" w:sz="4" w:space="0" w:color="auto"/>
              <w:bottom w:val="single" w:sz="4" w:space="0" w:color="auto"/>
              <w:right w:val="single" w:sz="4" w:space="0" w:color="auto"/>
            </w:tcBorders>
            <w:shd w:val="clear" w:color="auto" w:fill="EFFDFF"/>
            <w:vAlign w:val="center"/>
          </w:tcPr>
          <w:p w:rsidR="00C164DA" w:rsidRDefault="0049577B" w:rsidP="00D20F89">
            <w:pPr>
              <w:spacing w:line="240" w:lineRule="auto"/>
              <w:ind w:leftChars="0" w:left="0" w:rightChars="0" w:right="0"/>
              <w:jc w:val="center"/>
              <w:rPr>
                <w:sz w:val="24"/>
              </w:rPr>
            </w:pPr>
            <w:r w:rsidRPr="00D20F89">
              <w:rPr>
                <w:sz w:val="24"/>
              </w:rPr>
              <w:t>下年度之刑案發生率</w:t>
            </w:r>
          </w:p>
          <w:p w:rsidR="0049577B" w:rsidRPr="00D20F89" w:rsidRDefault="0049577B" w:rsidP="00D20F89">
            <w:pPr>
              <w:spacing w:line="240" w:lineRule="auto"/>
              <w:ind w:leftChars="0" w:left="0" w:rightChars="0" w:right="0"/>
              <w:jc w:val="center"/>
              <w:rPr>
                <w:sz w:val="24"/>
              </w:rPr>
            </w:pPr>
            <w:r w:rsidRPr="00D20F89">
              <w:rPr>
                <w:sz w:val="24"/>
              </w:rPr>
              <w:t>(件/十萬人)</w:t>
            </w:r>
          </w:p>
        </w:tc>
      </w:tr>
      <w:tr w:rsidR="0049577B" w:rsidRPr="00B40DC1" w:rsidTr="00D20F89">
        <w:trPr>
          <w:cantSplit/>
        </w:trPr>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rPr>
                <w:sz w:val="24"/>
              </w:rPr>
            </w:pPr>
            <w:r w:rsidRPr="00D20F89">
              <w:rPr>
                <w:sz w:val="24"/>
              </w:rPr>
              <w:t>死刑執行人數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r w:rsidRPr="00D20F89">
              <w:rPr>
                <w:sz w:val="24"/>
              </w:rPr>
              <w:t>Pearson 相關</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-.004</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.088</w:t>
            </w:r>
          </w:p>
        </w:tc>
      </w:tr>
      <w:tr w:rsidR="0049577B" w:rsidRPr="00B40DC1" w:rsidTr="00D20F89">
        <w:trPr>
          <w:cantSplit/>
        </w:trPr>
        <w:tc>
          <w:tcPr>
            <w:tcW w:w="1701" w:type="dxa"/>
            <w:vMerge/>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rPr>
                <w:sz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r w:rsidRPr="00D20F89">
              <w:rPr>
                <w:sz w:val="24"/>
              </w:rPr>
              <w:t>顯著性</w:t>
            </w:r>
            <w:r w:rsidR="003C1792" w:rsidRPr="00D20F89">
              <w:rPr>
                <w:sz w:val="24"/>
              </w:rPr>
              <w:t>(</w:t>
            </w:r>
            <w:r w:rsidRPr="00D20F89">
              <w:rPr>
                <w:sz w:val="24"/>
              </w:rPr>
              <w:t>單尾)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20F89" w:rsidRDefault="0049577B" w:rsidP="00D20F89">
            <w:pPr>
              <w:spacing w:line="240" w:lineRule="auto"/>
              <w:ind w:leftChars="0" w:left="0" w:rightChars="0" w:right="0"/>
              <w:jc w:val="center"/>
              <w:rPr>
                <w:sz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.492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.341</w:t>
            </w:r>
          </w:p>
        </w:tc>
      </w:tr>
      <w:tr w:rsidR="0049577B" w:rsidRPr="00B40DC1" w:rsidTr="00D20F89">
        <w:trPr>
          <w:cantSplit/>
        </w:trPr>
        <w:tc>
          <w:tcPr>
            <w:tcW w:w="1701" w:type="dxa"/>
            <w:vMerge/>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rPr>
                <w:sz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r w:rsidRPr="00D20F89">
              <w:rPr>
                <w:sz w:val="24"/>
              </w:rPr>
              <w:t>個數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25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25</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24</w:t>
            </w:r>
          </w:p>
        </w:tc>
      </w:tr>
      <w:tr w:rsidR="0049577B" w:rsidRPr="00B40DC1" w:rsidTr="00D20F89">
        <w:trPr>
          <w:cantSplit/>
        </w:trPr>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rPr>
                <w:sz w:val="24"/>
              </w:rPr>
            </w:pPr>
            <w:r w:rsidRPr="00D20F89">
              <w:rPr>
                <w:sz w:val="24"/>
              </w:rPr>
              <w:t>當年度之刑案發生率(件/十萬)</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r w:rsidRPr="00D20F89">
              <w:rPr>
                <w:sz w:val="24"/>
              </w:rPr>
              <w:t>Pearson 相關</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-.004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1E5891">
            <w:pPr>
              <w:spacing w:line="240" w:lineRule="auto"/>
              <w:ind w:leftChars="0" w:left="0" w:rightChars="0" w:right="0"/>
              <w:jc w:val="center"/>
              <w:rPr>
                <w:sz w:val="24"/>
              </w:rPr>
            </w:pPr>
            <w:r w:rsidRPr="00D20F89">
              <w:rPr>
                <w:sz w:val="24"/>
              </w:rPr>
              <w:t>.894</w:t>
            </w:r>
            <w:r w:rsidR="001E5891">
              <w:rPr>
                <w:rFonts w:ascii="Arial Unicode MS" w:hAnsi="Arial Unicode MS" w:cs="新細明體" w:hint="eastAsia"/>
                <w:color w:val="5F5F5F"/>
                <w:sz w:val="18"/>
              </w:rPr>
              <w:t>＊＊</w:t>
            </w:r>
          </w:p>
        </w:tc>
      </w:tr>
      <w:tr w:rsidR="0049577B" w:rsidRPr="00B40DC1" w:rsidTr="00D20F89">
        <w:trPr>
          <w:cantSplit/>
        </w:trPr>
        <w:tc>
          <w:tcPr>
            <w:tcW w:w="1701" w:type="dxa"/>
            <w:vMerge/>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rPr>
                <w:sz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r w:rsidRPr="00D20F89">
              <w:rPr>
                <w:sz w:val="24"/>
              </w:rPr>
              <w:t>顯著性</w:t>
            </w:r>
            <w:r w:rsidR="003C1792" w:rsidRPr="00D20F89">
              <w:rPr>
                <w:sz w:val="24"/>
              </w:rPr>
              <w:t>(</w:t>
            </w:r>
            <w:r w:rsidRPr="00D20F89">
              <w:rPr>
                <w:sz w:val="24"/>
              </w:rPr>
              <w:t>單尾)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.492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20F89" w:rsidRDefault="0049577B" w:rsidP="00D20F89">
            <w:pPr>
              <w:spacing w:line="240" w:lineRule="auto"/>
              <w:ind w:leftChars="0" w:left="0" w:rightChars="0" w:right="0"/>
              <w:jc w:val="center"/>
              <w:rPr>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.000</w:t>
            </w:r>
          </w:p>
        </w:tc>
      </w:tr>
      <w:tr w:rsidR="0049577B" w:rsidRPr="00B40DC1" w:rsidTr="00D20F89">
        <w:trPr>
          <w:cantSplit/>
        </w:trPr>
        <w:tc>
          <w:tcPr>
            <w:tcW w:w="1701" w:type="dxa"/>
            <w:vMerge/>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rPr>
                <w:sz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r w:rsidRPr="00D20F89">
              <w:rPr>
                <w:sz w:val="24"/>
              </w:rPr>
              <w:t>個數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25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25</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24</w:t>
            </w:r>
          </w:p>
        </w:tc>
      </w:tr>
      <w:tr w:rsidR="0049577B" w:rsidRPr="00B40DC1" w:rsidTr="00D20F89">
        <w:trPr>
          <w:cantSplit/>
        </w:trPr>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rPr>
                <w:sz w:val="24"/>
              </w:rPr>
            </w:pPr>
            <w:r w:rsidRPr="00D20F89">
              <w:rPr>
                <w:sz w:val="24"/>
              </w:rPr>
              <w:t>下年度之刑案發生率(件/十萬人</w:t>
            </w:r>
            <w:r w:rsidR="00587200">
              <w:rPr>
                <w:sz w:val="24"/>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r w:rsidRPr="00D20F89">
              <w:rPr>
                <w:sz w:val="24"/>
              </w:rPr>
              <w:t>Pearson 相關</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.088</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.894</w:t>
            </w:r>
            <w:r w:rsidR="001E5891">
              <w:rPr>
                <w:rFonts w:ascii="Arial Unicode MS" w:hAnsi="Arial Unicode MS" w:cs="新細明體" w:hint="eastAsia"/>
                <w:color w:val="5F5F5F"/>
                <w:sz w:val="18"/>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1</w:t>
            </w:r>
          </w:p>
        </w:tc>
      </w:tr>
      <w:tr w:rsidR="0049577B" w:rsidRPr="00B40DC1" w:rsidTr="00D20F89">
        <w:trPr>
          <w:cantSplit/>
        </w:trPr>
        <w:tc>
          <w:tcPr>
            <w:tcW w:w="1701" w:type="dxa"/>
            <w:vMerge/>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r w:rsidRPr="00D20F89">
              <w:rPr>
                <w:sz w:val="24"/>
              </w:rPr>
              <w:t>顯著性</w:t>
            </w:r>
            <w:r w:rsidR="003C1792" w:rsidRPr="00D20F89">
              <w:rPr>
                <w:sz w:val="24"/>
              </w:rPr>
              <w:t>(</w:t>
            </w:r>
            <w:r w:rsidRPr="00D20F89">
              <w:rPr>
                <w:sz w:val="24"/>
              </w:rPr>
              <w:t>單尾)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.341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.000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20F89" w:rsidRDefault="0049577B" w:rsidP="00D20F89">
            <w:pPr>
              <w:spacing w:line="240" w:lineRule="auto"/>
              <w:ind w:leftChars="0" w:left="0" w:rightChars="0" w:right="0"/>
              <w:jc w:val="center"/>
              <w:rPr>
                <w:sz w:val="24"/>
              </w:rPr>
            </w:pPr>
          </w:p>
        </w:tc>
      </w:tr>
      <w:tr w:rsidR="0049577B" w:rsidRPr="00B40DC1" w:rsidTr="00D20F89">
        <w:trPr>
          <w:cantSplit/>
        </w:trPr>
        <w:tc>
          <w:tcPr>
            <w:tcW w:w="1701" w:type="dxa"/>
            <w:vMerge/>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142" w:rightChars="0" w:right="0"/>
              <w:rPr>
                <w:sz w:val="24"/>
              </w:rPr>
            </w:pPr>
            <w:r w:rsidRPr="00D20F89">
              <w:rPr>
                <w:sz w:val="24"/>
              </w:rPr>
              <w:t>個數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24</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49577B" w:rsidP="00D20F89">
            <w:pPr>
              <w:spacing w:line="240" w:lineRule="auto"/>
              <w:ind w:leftChars="0" w:left="0" w:rightChars="0" w:right="0"/>
              <w:jc w:val="center"/>
              <w:rPr>
                <w:sz w:val="24"/>
              </w:rPr>
            </w:pPr>
            <w:r w:rsidRPr="00D20F89">
              <w:rPr>
                <w:sz w:val="24"/>
              </w:rPr>
              <w:t>24</w:t>
            </w:r>
          </w:p>
        </w:tc>
      </w:tr>
      <w:tr w:rsidR="0049577B" w:rsidRPr="00B40DC1" w:rsidTr="00817A92">
        <w:trPr>
          <w:cantSplit/>
        </w:trPr>
        <w:tc>
          <w:tcPr>
            <w:tcW w:w="9781" w:type="dxa"/>
            <w:gridSpan w:val="5"/>
            <w:tcBorders>
              <w:top w:val="single" w:sz="4" w:space="0" w:color="auto"/>
              <w:left w:val="single" w:sz="4" w:space="0" w:color="auto"/>
              <w:bottom w:val="single" w:sz="4" w:space="0" w:color="auto"/>
              <w:right w:val="single" w:sz="4" w:space="0" w:color="auto"/>
            </w:tcBorders>
            <w:shd w:val="clear" w:color="auto" w:fill="FFFFFF"/>
          </w:tcPr>
          <w:p w:rsidR="0049577B" w:rsidRPr="00D20F89" w:rsidRDefault="001E5891" w:rsidP="00D20F89">
            <w:pPr>
              <w:spacing w:line="240" w:lineRule="auto"/>
              <w:ind w:leftChars="0" w:left="0" w:rightChars="0" w:right="0"/>
              <w:rPr>
                <w:sz w:val="24"/>
              </w:rPr>
            </w:pPr>
            <w:r>
              <w:rPr>
                <w:rFonts w:ascii="Arial Unicode MS" w:hAnsi="Arial Unicode MS" w:cs="新細明體" w:hint="eastAsia"/>
                <w:color w:val="5F5F5F"/>
                <w:sz w:val="18"/>
              </w:rPr>
              <w:t>＊＊</w:t>
            </w:r>
            <w:r w:rsidR="003C1792" w:rsidRPr="00D20F89">
              <w:rPr>
                <w:sz w:val="24"/>
              </w:rPr>
              <w:t>.</w:t>
            </w:r>
            <w:r w:rsidR="0049577B" w:rsidRPr="00D20F89">
              <w:rPr>
                <w:sz w:val="24"/>
              </w:rPr>
              <w:t>在顯著水準為0.01時</w:t>
            </w:r>
            <w:r w:rsidR="003C1792" w:rsidRPr="00D20F89">
              <w:rPr>
                <w:sz w:val="24"/>
              </w:rPr>
              <w:t>(</w:t>
            </w:r>
            <w:r w:rsidR="0049577B" w:rsidRPr="00D20F89">
              <w:rPr>
                <w:sz w:val="24"/>
              </w:rPr>
              <w:t>單尾)，相關顯著。</w:t>
            </w:r>
          </w:p>
        </w:tc>
      </w:tr>
    </w:tbl>
    <w:p w:rsidR="0049577B" w:rsidRPr="00B40DC1" w:rsidRDefault="0049577B" w:rsidP="000D26BB"/>
    <w:p w:rsidR="0049577B" w:rsidRPr="00B40DC1" w:rsidRDefault="00817A92" w:rsidP="00D20F89">
      <w:pPr>
        <w:spacing w:line="240" w:lineRule="auto"/>
        <w:ind w:leftChars="0" w:left="0" w:rightChars="0" w:right="0"/>
      </w:pPr>
      <w:r>
        <w:t xml:space="preserve">　　</w:t>
      </w:r>
      <w:r w:rsidR="0049577B" w:rsidRPr="00B40DC1">
        <w:t>由下表1992年至2016年間之死刑執行人數與當年度之刑案發生件數、下年度之刑案發生件數Pearson 相關表可得知，死刑執行人數與當年度之刑案發生件數、下年度之刑案發生件數，均未達到統計上之Pearson相關性。亦即，死刑執行人數與當年度之刑案發生件數之間，未具有統計上之Pearson相關性。再者，死刑執行人數與下年度之刑案發生件數之間，亦未具有統計上之Pearson相關性。死刑執行人數與下年度之刑案發生件數之間之Pearson相關性，僅是-.035，可謂微不足道。死刑執行人數與下年度之刑案發生件數之間，兩個變項是相互獨立之變項，死刑執行人數之變項，其並不會與下年度之刑案發生件數之變項，產生相關性，兩者是相互不相關的。</w:t>
      </w:r>
    </w:p>
    <w:p w:rsidR="0049577B" w:rsidRPr="00B40DC1" w:rsidRDefault="00151AD5" w:rsidP="00151AD5">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7A92" w:rsidRDefault="0049577B" w:rsidP="00E736D6">
      <w:pPr>
        <w:pStyle w:val="4"/>
        <w:rPr>
          <w:lang w:eastAsia="zh-TW"/>
        </w:rPr>
      </w:pPr>
      <w:r w:rsidRPr="00817A92">
        <w:rPr>
          <w:lang w:eastAsia="zh-TW"/>
        </w:rPr>
        <w:t>表4、1992年至2016年間之死刑執行人數與當年度之刑案發生件數、下年度之刑案發生件數Pearson 相關表</w:t>
      </w:r>
    </w:p>
    <w:tbl>
      <w:tblPr>
        <w:tblW w:w="962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7"/>
        <w:gridCol w:w="1984"/>
        <w:gridCol w:w="2693"/>
        <w:gridCol w:w="2835"/>
      </w:tblGrid>
      <w:tr w:rsidR="0049577B" w:rsidRPr="00B40DC1" w:rsidTr="00E26F8A">
        <w:trPr>
          <w:cantSplit/>
        </w:trPr>
        <w:tc>
          <w:tcPr>
            <w:tcW w:w="4101" w:type="dxa"/>
            <w:gridSpan w:val="2"/>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E26F8A" w:rsidRDefault="0049577B" w:rsidP="00D20F89">
            <w:pPr>
              <w:spacing w:line="240" w:lineRule="auto"/>
              <w:ind w:leftChars="0" w:left="0" w:rightChars="0" w:right="0"/>
              <w:rPr>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E26F8A" w:rsidRDefault="0049577B" w:rsidP="00D20F89">
            <w:pPr>
              <w:spacing w:line="240" w:lineRule="auto"/>
              <w:ind w:leftChars="0" w:left="0" w:rightChars="0" w:right="0"/>
              <w:jc w:val="center"/>
              <w:rPr>
                <w:sz w:val="24"/>
              </w:rPr>
            </w:pPr>
            <w:r w:rsidRPr="00E26F8A">
              <w:rPr>
                <w:sz w:val="24"/>
              </w:rPr>
              <w:t>當年度之刑案發生件數</w:t>
            </w:r>
          </w:p>
        </w:tc>
        <w:tc>
          <w:tcPr>
            <w:tcW w:w="2835" w:type="dxa"/>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E26F8A" w:rsidRDefault="0049577B" w:rsidP="00D20F89">
            <w:pPr>
              <w:spacing w:line="240" w:lineRule="auto"/>
              <w:ind w:leftChars="0" w:left="0" w:rightChars="0" w:right="0"/>
              <w:jc w:val="center"/>
              <w:rPr>
                <w:sz w:val="24"/>
              </w:rPr>
            </w:pPr>
            <w:r w:rsidRPr="00E26F8A">
              <w:rPr>
                <w:sz w:val="24"/>
              </w:rPr>
              <w:t>下年度之刑案發生件數</w:t>
            </w:r>
          </w:p>
        </w:tc>
      </w:tr>
      <w:tr w:rsidR="0049577B" w:rsidRPr="00B40DC1" w:rsidTr="00E26F8A">
        <w:trPr>
          <w:cantSplit/>
        </w:trPr>
        <w:tc>
          <w:tcPr>
            <w:tcW w:w="2117"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死刑執行人數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Pearson 相關</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-.139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-.035</w:t>
            </w:r>
          </w:p>
        </w:tc>
      </w:tr>
      <w:tr w:rsidR="0049577B" w:rsidRPr="00B40DC1" w:rsidTr="00E26F8A">
        <w:trPr>
          <w:cantSplit/>
        </w:trPr>
        <w:tc>
          <w:tcPr>
            <w:tcW w:w="2117" w:type="dxa"/>
            <w:vMerge/>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顯著性</w:t>
            </w:r>
            <w:r w:rsidR="003C1792" w:rsidRPr="00E26F8A">
              <w:rPr>
                <w:sz w:val="24"/>
              </w:rPr>
              <w:t>(</w:t>
            </w:r>
            <w:r w:rsidRPr="00E26F8A">
              <w:rPr>
                <w:sz w:val="24"/>
              </w:rPr>
              <w:t>單尾)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.254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.436</w:t>
            </w:r>
          </w:p>
        </w:tc>
      </w:tr>
      <w:tr w:rsidR="0049577B" w:rsidRPr="00B40DC1" w:rsidTr="00E26F8A">
        <w:trPr>
          <w:cantSplit/>
        </w:trPr>
        <w:tc>
          <w:tcPr>
            <w:tcW w:w="2117" w:type="dxa"/>
            <w:vMerge/>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個數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25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24</w:t>
            </w:r>
          </w:p>
        </w:tc>
      </w:tr>
      <w:tr w:rsidR="0049577B" w:rsidRPr="00B40DC1" w:rsidTr="00E26F8A">
        <w:trPr>
          <w:cantSplit/>
        </w:trPr>
        <w:tc>
          <w:tcPr>
            <w:tcW w:w="2117"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當年度之刑案發生件數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Pearson 相關</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.893</w:t>
            </w:r>
            <w:r w:rsidR="001E5891" w:rsidRPr="001E5891">
              <w:rPr>
                <w:rFonts w:hint="eastAsia"/>
                <w:sz w:val="20"/>
                <w:szCs w:val="20"/>
              </w:rPr>
              <w:t>＊＊</w:t>
            </w:r>
          </w:p>
        </w:tc>
      </w:tr>
      <w:tr w:rsidR="0049577B" w:rsidRPr="00B40DC1" w:rsidTr="00E26F8A">
        <w:trPr>
          <w:cantSplit/>
        </w:trPr>
        <w:tc>
          <w:tcPr>
            <w:tcW w:w="2117" w:type="dxa"/>
            <w:vMerge/>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顯著性</w:t>
            </w:r>
            <w:r w:rsidR="003C1792" w:rsidRPr="00E26F8A">
              <w:rPr>
                <w:sz w:val="24"/>
              </w:rPr>
              <w:t>(</w:t>
            </w:r>
            <w:r w:rsidRPr="00E26F8A">
              <w:rPr>
                <w:sz w:val="24"/>
              </w:rPr>
              <w:t>單尾)</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E26F8A" w:rsidRDefault="0049577B" w:rsidP="00D20F89">
            <w:pPr>
              <w:spacing w:line="240" w:lineRule="auto"/>
              <w:ind w:leftChars="0" w:left="0" w:rightChars="0" w:right="0"/>
              <w:jc w:val="center"/>
              <w:rPr>
                <w:sz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.000</w:t>
            </w:r>
          </w:p>
        </w:tc>
      </w:tr>
      <w:tr w:rsidR="0049577B" w:rsidRPr="00B40DC1" w:rsidTr="00E26F8A">
        <w:trPr>
          <w:cantSplit/>
        </w:trPr>
        <w:tc>
          <w:tcPr>
            <w:tcW w:w="2117" w:type="dxa"/>
            <w:vMerge/>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個數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25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24</w:t>
            </w:r>
          </w:p>
        </w:tc>
      </w:tr>
      <w:tr w:rsidR="0049577B" w:rsidRPr="00B40DC1" w:rsidTr="00E26F8A">
        <w:trPr>
          <w:cantSplit/>
        </w:trPr>
        <w:tc>
          <w:tcPr>
            <w:tcW w:w="2117"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下年度之刑案發生件數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Pearson 相關</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.893</w:t>
            </w:r>
            <w:r w:rsidR="001E5891" w:rsidRPr="001E5891">
              <w:rPr>
                <w:rFonts w:hint="eastAsia"/>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1</w:t>
            </w:r>
          </w:p>
        </w:tc>
      </w:tr>
      <w:tr w:rsidR="0049577B" w:rsidRPr="00B40DC1" w:rsidTr="00E26F8A">
        <w:trPr>
          <w:cantSplit/>
        </w:trPr>
        <w:tc>
          <w:tcPr>
            <w:tcW w:w="2117" w:type="dxa"/>
            <w:vMerge/>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rPr>
                <w:sz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顯著性</w:t>
            </w:r>
            <w:r w:rsidR="003C1792" w:rsidRPr="00E26F8A">
              <w:rPr>
                <w:sz w:val="24"/>
              </w:rPr>
              <w:t>(</w:t>
            </w:r>
            <w:r w:rsidRPr="00E26F8A">
              <w:rPr>
                <w:sz w:val="24"/>
              </w:rPr>
              <w:t>單尾)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.000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E26F8A" w:rsidRDefault="0049577B" w:rsidP="00D20F89">
            <w:pPr>
              <w:spacing w:line="240" w:lineRule="auto"/>
              <w:ind w:leftChars="0" w:left="0" w:rightChars="0" w:right="0"/>
              <w:jc w:val="center"/>
              <w:rPr>
                <w:sz w:val="24"/>
              </w:rPr>
            </w:pPr>
          </w:p>
        </w:tc>
      </w:tr>
      <w:tr w:rsidR="0049577B" w:rsidRPr="00B40DC1" w:rsidTr="00E26F8A">
        <w:trPr>
          <w:cantSplit/>
        </w:trPr>
        <w:tc>
          <w:tcPr>
            <w:tcW w:w="2117" w:type="dxa"/>
            <w:vMerge/>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rPr>
                <w:sz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3C20F7">
            <w:pPr>
              <w:spacing w:line="240" w:lineRule="auto"/>
              <w:ind w:leftChars="0" w:left="142" w:rightChars="0" w:right="0"/>
              <w:rPr>
                <w:sz w:val="24"/>
              </w:rPr>
            </w:pPr>
            <w:r w:rsidRPr="00E26F8A">
              <w:rPr>
                <w:sz w:val="24"/>
              </w:rPr>
              <w:t>個數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24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49577B" w:rsidP="00D20F89">
            <w:pPr>
              <w:spacing w:line="240" w:lineRule="auto"/>
              <w:ind w:leftChars="0" w:left="0" w:rightChars="0" w:right="0"/>
              <w:jc w:val="center"/>
              <w:rPr>
                <w:sz w:val="24"/>
              </w:rPr>
            </w:pPr>
            <w:r w:rsidRPr="00E26F8A">
              <w:rPr>
                <w:sz w:val="24"/>
              </w:rPr>
              <w:t>24</w:t>
            </w:r>
          </w:p>
        </w:tc>
      </w:tr>
      <w:tr w:rsidR="0049577B" w:rsidRPr="00B40DC1" w:rsidTr="00817A92">
        <w:trPr>
          <w:cantSplit/>
        </w:trPr>
        <w:tc>
          <w:tcPr>
            <w:tcW w:w="9629" w:type="dxa"/>
            <w:gridSpan w:val="4"/>
            <w:tcBorders>
              <w:top w:val="single" w:sz="4" w:space="0" w:color="auto"/>
              <w:left w:val="single" w:sz="4" w:space="0" w:color="auto"/>
              <w:bottom w:val="single" w:sz="4" w:space="0" w:color="auto"/>
              <w:right w:val="single" w:sz="4" w:space="0" w:color="auto"/>
            </w:tcBorders>
            <w:shd w:val="clear" w:color="auto" w:fill="FFFFFF"/>
          </w:tcPr>
          <w:p w:rsidR="0049577B" w:rsidRPr="00E26F8A" w:rsidRDefault="001E5891" w:rsidP="00D20F89">
            <w:pPr>
              <w:spacing w:line="240" w:lineRule="auto"/>
              <w:ind w:leftChars="0" w:left="0" w:rightChars="0" w:right="0"/>
              <w:rPr>
                <w:sz w:val="24"/>
              </w:rPr>
            </w:pPr>
            <w:r w:rsidRPr="001E5891">
              <w:rPr>
                <w:rFonts w:hint="eastAsia"/>
                <w:sz w:val="20"/>
                <w:szCs w:val="20"/>
              </w:rPr>
              <w:t>＊＊</w:t>
            </w:r>
            <w:r w:rsidR="003C1792" w:rsidRPr="00E26F8A">
              <w:rPr>
                <w:sz w:val="24"/>
              </w:rPr>
              <w:t>.</w:t>
            </w:r>
            <w:r w:rsidR="0049577B" w:rsidRPr="00E26F8A">
              <w:rPr>
                <w:sz w:val="24"/>
              </w:rPr>
              <w:t>在顯著水準為0.01時</w:t>
            </w:r>
            <w:r w:rsidR="003C1792" w:rsidRPr="00E26F8A">
              <w:rPr>
                <w:sz w:val="24"/>
              </w:rPr>
              <w:t>(</w:t>
            </w:r>
            <w:r w:rsidR="0049577B" w:rsidRPr="00E26F8A">
              <w:rPr>
                <w:sz w:val="24"/>
              </w:rPr>
              <w:t>單尾)，相關顯著。</w:t>
            </w:r>
          </w:p>
        </w:tc>
      </w:tr>
    </w:tbl>
    <w:p w:rsidR="0049577B" w:rsidRPr="00B40DC1" w:rsidRDefault="003C20F7" w:rsidP="003C20F7">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7A92" w:rsidRDefault="0049577B" w:rsidP="00E736D6">
      <w:pPr>
        <w:pStyle w:val="4"/>
        <w:rPr>
          <w:lang w:eastAsia="zh-TW"/>
        </w:rPr>
      </w:pPr>
      <w:r w:rsidRPr="00817A92">
        <w:rPr>
          <w:lang w:eastAsia="zh-TW"/>
        </w:rPr>
        <w:t>表5、1992年至2016年間之當年度窃盜發生件數、下年度窃盜發生件數一覽表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260"/>
        <w:gridCol w:w="4252"/>
      </w:tblGrid>
      <w:tr w:rsidR="0049577B" w:rsidRPr="00B40DC1" w:rsidTr="00A14BAA">
        <w:trPr>
          <w:tblHeader/>
        </w:trPr>
        <w:tc>
          <w:tcPr>
            <w:tcW w:w="2122" w:type="dxa"/>
            <w:shd w:val="clear" w:color="auto" w:fill="EFFDFF"/>
            <w:vAlign w:val="center"/>
          </w:tcPr>
          <w:p w:rsidR="0049577B" w:rsidRPr="00AA03F8" w:rsidRDefault="0049577B" w:rsidP="00A14BAA">
            <w:pPr>
              <w:spacing w:line="240" w:lineRule="auto"/>
              <w:ind w:leftChars="0" w:left="0" w:rightChars="0" w:right="0"/>
              <w:jc w:val="center"/>
              <w:rPr>
                <w:sz w:val="24"/>
              </w:rPr>
            </w:pPr>
            <w:r w:rsidRPr="00AA03F8">
              <w:rPr>
                <w:sz w:val="24"/>
              </w:rPr>
              <w:t>民國之年代區別</w:t>
            </w:r>
          </w:p>
        </w:tc>
        <w:tc>
          <w:tcPr>
            <w:tcW w:w="3260" w:type="dxa"/>
            <w:shd w:val="clear" w:color="auto" w:fill="EFFDFF"/>
            <w:vAlign w:val="center"/>
          </w:tcPr>
          <w:p w:rsidR="0049577B" w:rsidRPr="00AA03F8" w:rsidRDefault="0049577B" w:rsidP="00A14BAA">
            <w:pPr>
              <w:spacing w:line="240" w:lineRule="auto"/>
              <w:ind w:leftChars="0" w:left="0" w:rightChars="0" w:right="0"/>
              <w:jc w:val="center"/>
              <w:rPr>
                <w:sz w:val="24"/>
              </w:rPr>
            </w:pPr>
            <w:r w:rsidRPr="00AA03F8">
              <w:rPr>
                <w:sz w:val="24"/>
              </w:rPr>
              <w:t>當年度竊盜發生件數(theft)</w:t>
            </w:r>
          </w:p>
        </w:tc>
        <w:tc>
          <w:tcPr>
            <w:tcW w:w="4252" w:type="dxa"/>
            <w:shd w:val="clear" w:color="auto" w:fill="EFFDFF"/>
            <w:vAlign w:val="center"/>
          </w:tcPr>
          <w:p w:rsidR="0049577B" w:rsidRPr="00AA03F8" w:rsidRDefault="0049577B" w:rsidP="00A14BAA">
            <w:pPr>
              <w:spacing w:line="240" w:lineRule="auto"/>
              <w:ind w:leftChars="0" w:left="0" w:rightChars="0" w:right="0"/>
              <w:jc w:val="center"/>
              <w:rPr>
                <w:sz w:val="24"/>
              </w:rPr>
            </w:pPr>
            <w:r w:rsidRPr="00AA03F8">
              <w:rPr>
                <w:sz w:val="24"/>
              </w:rPr>
              <w:t>下年度竊盜發生件數(theftnext)</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81</w:t>
            </w:r>
          </w:p>
        </w:tc>
        <w:tc>
          <w:tcPr>
            <w:tcW w:w="3260" w:type="dxa"/>
            <w:shd w:val="clear" w:color="auto" w:fill="auto"/>
          </w:tcPr>
          <w:p w:rsidR="0049577B" w:rsidRPr="00AA03F8" w:rsidRDefault="0049577B" w:rsidP="00817A92">
            <w:pPr>
              <w:jc w:val="center"/>
              <w:rPr>
                <w:sz w:val="24"/>
              </w:rPr>
            </w:pPr>
            <w:r w:rsidRPr="00AA03F8">
              <w:rPr>
                <w:sz w:val="24"/>
              </w:rPr>
              <w:t>190305.00</w:t>
            </w:r>
          </w:p>
        </w:tc>
        <w:tc>
          <w:tcPr>
            <w:tcW w:w="4252" w:type="dxa"/>
            <w:shd w:val="clear" w:color="auto" w:fill="auto"/>
          </w:tcPr>
          <w:p w:rsidR="0049577B" w:rsidRPr="00AA03F8" w:rsidRDefault="0049577B" w:rsidP="00817A92">
            <w:pPr>
              <w:jc w:val="center"/>
              <w:rPr>
                <w:sz w:val="24"/>
              </w:rPr>
            </w:pPr>
            <w:r w:rsidRPr="00AA03F8">
              <w:rPr>
                <w:sz w:val="24"/>
              </w:rPr>
              <w:t>214383.00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82</w:t>
            </w:r>
          </w:p>
        </w:tc>
        <w:tc>
          <w:tcPr>
            <w:tcW w:w="3260" w:type="dxa"/>
            <w:shd w:val="clear" w:color="auto" w:fill="auto"/>
          </w:tcPr>
          <w:p w:rsidR="0049577B" w:rsidRPr="00AA03F8" w:rsidRDefault="0049577B" w:rsidP="00817A92">
            <w:pPr>
              <w:jc w:val="center"/>
              <w:rPr>
                <w:sz w:val="24"/>
              </w:rPr>
            </w:pPr>
            <w:r w:rsidRPr="00AA03F8">
              <w:rPr>
                <w:sz w:val="24"/>
              </w:rPr>
              <w:t>214383.00</w:t>
            </w:r>
          </w:p>
        </w:tc>
        <w:tc>
          <w:tcPr>
            <w:tcW w:w="4252" w:type="dxa"/>
            <w:shd w:val="clear" w:color="auto" w:fill="auto"/>
          </w:tcPr>
          <w:p w:rsidR="0049577B" w:rsidRPr="00AA03F8" w:rsidRDefault="0049577B" w:rsidP="00817A92">
            <w:pPr>
              <w:jc w:val="center"/>
              <w:rPr>
                <w:sz w:val="24"/>
              </w:rPr>
            </w:pPr>
            <w:r w:rsidRPr="00AA03F8">
              <w:rPr>
                <w:sz w:val="24"/>
              </w:rPr>
              <w:t>236251.00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83</w:t>
            </w:r>
          </w:p>
        </w:tc>
        <w:tc>
          <w:tcPr>
            <w:tcW w:w="3260" w:type="dxa"/>
            <w:shd w:val="clear" w:color="auto" w:fill="auto"/>
          </w:tcPr>
          <w:p w:rsidR="0049577B" w:rsidRPr="00AA03F8" w:rsidRDefault="0049577B" w:rsidP="00817A92">
            <w:pPr>
              <w:jc w:val="center"/>
              <w:rPr>
                <w:sz w:val="24"/>
              </w:rPr>
            </w:pPr>
            <w:r w:rsidRPr="00AA03F8">
              <w:rPr>
                <w:sz w:val="24"/>
              </w:rPr>
              <w:t>236251.00</w:t>
            </w:r>
          </w:p>
        </w:tc>
        <w:tc>
          <w:tcPr>
            <w:tcW w:w="4252" w:type="dxa"/>
            <w:shd w:val="clear" w:color="auto" w:fill="auto"/>
          </w:tcPr>
          <w:p w:rsidR="0049577B" w:rsidRPr="00AA03F8" w:rsidRDefault="0049577B" w:rsidP="00817A92">
            <w:pPr>
              <w:jc w:val="center"/>
              <w:rPr>
                <w:sz w:val="24"/>
              </w:rPr>
            </w:pPr>
            <w:r w:rsidRPr="00AA03F8">
              <w:rPr>
                <w:sz w:val="24"/>
              </w:rPr>
              <w:t>332154.00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84</w:t>
            </w:r>
          </w:p>
        </w:tc>
        <w:tc>
          <w:tcPr>
            <w:tcW w:w="3260" w:type="dxa"/>
            <w:shd w:val="clear" w:color="auto" w:fill="auto"/>
          </w:tcPr>
          <w:p w:rsidR="0049577B" w:rsidRPr="00AA03F8" w:rsidRDefault="0049577B" w:rsidP="00817A92">
            <w:pPr>
              <w:jc w:val="center"/>
              <w:rPr>
                <w:sz w:val="24"/>
              </w:rPr>
            </w:pPr>
            <w:r w:rsidRPr="00AA03F8">
              <w:rPr>
                <w:sz w:val="24"/>
              </w:rPr>
              <w:t>332154.00</w:t>
            </w:r>
          </w:p>
        </w:tc>
        <w:tc>
          <w:tcPr>
            <w:tcW w:w="4252" w:type="dxa"/>
            <w:shd w:val="clear" w:color="auto" w:fill="auto"/>
          </w:tcPr>
          <w:p w:rsidR="0049577B" w:rsidRPr="00AA03F8" w:rsidRDefault="0049577B" w:rsidP="00817A92">
            <w:pPr>
              <w:jc w:val="center"/>
              <w:rPr>
                <w:sz w:val="24"/>
              </w:rPr>
            </w:pPr>
            <w:r w:rsidRPr="00AA03F8">
              <w:rPr>
                <w:sz w:val="24"/>
              </w:rPr>
              <w:t>348879.00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85</w:t>
            </w:r>
          </w:p>
        </w:tc>
        <w:tc>
          <w:tcPr>
            <w:tcW w:w="3260" w:type="dxa"/>
            <w:shd w:val="clear" w:color="auto" w:fill="auto"/>
          </w:tcPr>
          <w:p w:rsidR="0049577B" w:rsidRPr="00AA03F8" w:rsidRDefault="0049577B" w:rsidP="00817A92">
            <w:pPr>
              <w:jc w:val="center"/>
              <w:rPr>
                <w:sz w:val="24"/>
              </w:rPr>
            </w:pPr>
            <w:r w:rsidRPr="00AA03F8">
              <w:rPr>
                <w:sz w:val="24"/>
              </w:rPr>
              <w:t>348879.00</w:t>
            </w:r>
          </w:p>
        </w:tc>
        <w:tc>
          <w:tcPr>
            <w:tcW w:w="4252" w:type="dxa"/>
            <w:shd w:val="clear" w:color="auto" w:fill="auto"/>
          </w:tcPr>
          <w:p w:rsidR="0049577B" w:rsidRPr="00AA03F8" w:rsidRDefault="0049577B" w:rsidP="00817A92">
            <w:pPr>
              <w:jc w:val="center"/>
              <w:rPr>
                <w:sz w:val="24"/>
              </w:rPr>
            </w:pPr>
            <w:r w:rsidRPr="00AA03F8">
              <w:rPr>
                <w:sz w:val="24"/>
              </w:rPr>
              <w:t>319902.00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86</w:t>
            </w:r>
          </w:p>
        </w:tc>
        <w:tc>
          <w:tcPr>
            <w:tcW w:w="3260" w:type="dxa"/>
            <w:shd w:val="clear" w:color="auto" w:fill="auto"/>
          </w:tcPr>
          <w:p w:rsidR="0049577B" w:rsidRPr="00AA03F8" w:rsidRDefault="0049577B" w:rsidP="00817A92">
            <w:pPr>
              <w:jc w:val="center"/>
              <w:rPr>
                <w:sz w:val="24"/>
              </w:rPr>
            </w:pPr>
            <w:r w:rsidRPr="00AA03F8">
              <w:rPr>
                <w:sz w:val="24"/>
              </w:rPr>
              <w:t>319902.00</w:t>
            </w:r>
          </w:p>
        </w:tc>
        <w:tc>
          <w:tcPr>
            <w:tcW w:w="4252" w:type="dxa"/>
            <w:shd w:val="clear" w:color="auto" w:fill="auto"/>
          </w:tcPr>
          <w:p w:rsidR="0049577B" w:rsidRPr="00AA03F8" w:rsidRDefault="0049577B" w:rsidP="00817A92">
            <w:pPr>
              <w:jc w:val="center"/>
              <w:rPr>
                <w:sz w:val="24"/>
              </w:rPr>
            </w:pPr>
            <w:r w:rsidRPr="00AA03F8">
              <w:rPr>
                <w:sz w:val="24"/>
              </w:rPr>
              <w:t>334495.00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87</w:t>
            </w:r>
          </w:p>
        </w:tc>
        <w:tc>
          <w:tcPr>
            <w:tcW w:w="3260" w:type="dxa"/>
            <w:shd w:val="clear" w:color="auto" w:fill="auto"/>
          </w:tcPr>
          <w:p w:rsidR="0049577B" w:rsidRPr="00AA03F8" w:rsidRDefault="0049577B" w:rsidP="00817A92">
            <w:pPr>
              <w:jc w:val="center"/>
              <w:rPr>
                <w:sz w:val="24"/>
              </w:rPr>
            </w:pPr>
            <w:r w:rsidRPr="00AA03F8">
              <w:rPr>
                <w:sz w:val="24"/>
              </w:rPr>
              <w:t>334495.00</w:t>
            </w:r>
          </w:p>
        </w:tc>
        <w:tc>
          <w:tcPr>
            <w:tcW w:w="4252" w:type="dxa"/>
            <w:shd w:val="clear" w:color="auto" w:fill="auto"/>
          </w:tcPr>
          <w:p w:rsidR="0049577B" w:rsidRPr="00AA03F8" w:rsidRDefault="0049577B" w:rsidP="00817A92">
            <w:pPr>
              <w:jc w:val="center"/>
              <w:rPr>
                <w:sz w:val="24"/>
              </w:rPr>
            </w:pPr>
            <w:r w:rsidRPr="00AA03F8">
              <w:rPr>
                <w:sz w:val="24"/>
              </w:rPr>
              <w:t>272355.00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88</w:t>
            </w:r>
          </w:p>
        </w:tc>
        <w:tc>
          <w:tcPr>
            <w:tcW w:w="3260" w:type="dxa"/>
            <w:shd w:val="clear" w:color="auto" w:fill="auto"/>
          </w:tcPr>
          <w:p w:rsidR="0049577B" w:rsidRPr="00AA03F8" w:rsidRDefault="0049577B" w:rsidP="00817A92">
            <w:pPr>
              <w:jc w:val="center"/>
              <w:rPr>
                <w:sz w:val="24"/>
              </w:rPr>
            </w:pPr>
            <w:r w:rsidRPr="00AA03F8">
              <w:rPr>
                <w:sz w:val="24"/>
              </w:rPr>
              <w:t>272355.00</w:t>
            </w:r>
          </w:p>
        </w:tc>
        <w:tc>
          <w:tcPr>
            <w:tcW w:w="4252" w:type="dxa"/>
            <w:shd w:val="clear" w:color="auto" w:fill="auto"/>
          </w:tcPr>
          <w:p w:rsidR="0049577B" w:rsidRPr="00AA03F8" w:rsidRDefault="0049577B" w:rsidP="00817A92">
            <w:pPr>
              <w:jc w:val="center"/>
              <w:rPr>
                <w:sz w:val="24"/>
              </w:rPr>
            </w:pPr>
            <w:r w:rsidRPr="00AA03F8">
              <w:rPr>
                <w:sz w:val="24"/>
              </w:rPr>
              <w:t>305793.00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89</w:t>
            </w:r>
          </w:p>
        </w:tc>
        <w:tc>
          <w:tcPr>
            <w:tcW w:w="3260" w:type="dxa"/>
            <w:shd w:val="clear" w:color="auto" w:fill="auto"/>
          </w:tcPr>
          <w:p w:rsidR="0049577B" w:rsidRPr="00AA03F8" w:rsidRDefault="0049577B" w:rsidP="00817A92">
            <w:pPr>
              <w:jc w:val="center"/>
              <w:rPr>
                <w:sz w:val="24"/>
              </w:rPr>
            </w:pPr>
            <w:r w:rsidRPr="00AA03F8">
              <w:rPr>
                <w:sz w:val="24"/>
              </w:rPr>
              <w:t>305793.00</w:t>
            </w:r>
          </w:p>
        </w:tc>
        <w:tc>
          <w:tcPr>
            <w:tcW w:w="4252" w:type="dxa"/>
            <w:shd w:val="clear" w:color="auto" w:fill="auto"/>
          </w:tcPr>
          <w:p w:rsidR="0049577B" w:rsidRPr="00AA03F8" w:rsidRDefault="0049577B" w:rsidP="00817A92">
            <w:pPr>
              <w:jc w:val="center"/>
              <w:rPr>
                <w:sz w:val="24"/>
              </w:rPr>
            </w:pPr>
            <w:r w:rsidRPr="00AA03F8">
              <w:rPr>
                <w:sz w:val="24"/>
              </w:rPr>
              <w:t>338063.00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90</w:t>
            </w:r>
          </w:p>
        </w:tc>
        <w:tc>
          <w:tcPr>
            <w:tcW w:w="3260" w:type="dxa"/>
            <w:shd w:val="clear" w:color="auto" w:fill="auto"/>
          </w:tcPr>
          <w:p w:rsidR="0049577B" w:rsidRPr="00AA03F8" w:rsidRDefault="0049577B" w:rsidP="00817A92">
            <w:pPr>
              <w:jc w:val="center"/>
              <w:rPr>
                <w:sz w:val="24"/>
              </w:rPr>
            </w:pPr>
            <w:r w:rsidRPr="00AA03F8">
              <w:rPr>
                <w:sz w:val="24"/>
              </w:rPr>
              <w:t>338063.00</w:t>
            </w:r>
          </w:p>
        </w:tc>
        <w:tc>
          <w:tcPr>
            <w:tcW w:w="4252" w:type="dxa"/>
            <w:shd w:val="clear" w:color="auto" w:fill="auto"/>
          </w:tcPr>
          <w:p w:rsidR="0049577B" w:rsidRPr="00AA03F8" w:rsidRDefault="0049577B" w:rsidP="00817A92">
            <w:pPr>
              <w:jc w:val="center"/>
              <w:rPr>
                <w:sz w:val="24"/>
              </w:rPr>
            </w:pPr>
            <w:r w:rsidRPr="00AA03F8">
              <w:rPr>
                <w:sz w:val="24"/>
              </w:rPr>
              <w:t>340536.00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91</w:t>
            </w:r>
          </w:p>
        </w:tc>
        <w:tc>
          <w:tcPr>
            <w:tcW w:w="3260" w:type="dxa"/>
            <w:shd w:val="clear" w:color="auto" w:fill="auto"/>
          </w:tcPr>
          <w:p w:rsidR="0049577B" w:rsidRPr="00AA03F8" w:rsidRDefault="0049577B" w:rsidP="00817A92">
            <w:pPr>
              <w:jc w:val="center"/>
              <w:rPr>
                <w:sz w:val="24"/>
              </w:rPr>
            </w:pPr>
            <w:r w:rsidRPr="00AA03F8">
              <w:rPr>
                <w:sz w:val="24"/>
              </w:rPr>
              <w:t>340536.00</w:t>
            </w:r>
          </w:p>
        </w:tc>
        <w:tc>
          <w:tcPr>
            <w:tcW w:w="4252" w:type="dxa"/>
            <w:shd w:val="clear" w:color="auto" w:fill="auto"/>
          </w:tcPr>
          <w:p w:rsidR="0049577B" w:rsidRPr="00AA03F8" w:rsidRDefault="0049577B" w:rsidP="00817A92">
            <w:pPr>
              <w:jc w:val="center"/>
              <w:rPr>
                <w:sz w:val="24"/>
              </w:rPr>
            </w:pPr>
            <w:r w:rsidRPr="00AA03F8">
              <w:rPr>
                <w:sz w:val="24"/>
              </w:rPr>
              <w:t>330655.00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92</w:t>
            </w:r>
          </w:p>
        </w:tc>
        <w:tc>
          <w:tcPr>
            <w:tcW w:w="3260" w:type="dxa"/>
            <w:shd w:val="clear" w:color="auto" w:fill="auto"/>
          </w:tcPr>
          <w:p w:rsidR="0049577B" w:rsidRPr="00AA03F8" w:rsidRDefault="0049577B" w:rsidP="00817A92">
            <w:pPr>
              <w:jc w:val="center"/>
              <w:rPr>
                <w:sz w:val="24"/>
              </w:rPr>
            </w:pPr>
            <w:r w:rsidRPr="00AA03F8">
              <w:rPr>
                <w:sz w:val="24"/>
              </w:rPr>
              <w:t>330655.00</w:t>
            </w:r>
          </w:p>
        </w:tc>
        <w:tc>
          <w:tcPr>
            <w:tcW w:w="4252" w:type="dxa"/>
            <w:shd w:val="clear" w:color="auto" w:fill="auto"/>
          </w:tcPr>
          <w:p w:rsidR="0049577B" w:rsidRPr="00AA03F8" w:rsidRDefault="0049577B" w:rsidP="00817A92">
            <w:pPr>
              <w:jc w:val="center"/>
              <w:rPr>
                <w:sz w:val="24"/>
              </w:rPr>
            </w:pPr>
            <w:r w:rsidRPr="00AA03F8">
              <w:rPr>
                <w:sz w:val="24"/>
              </w:rPr>
              <w:t>330320.00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93</w:t>
            </w:r>
          </w:p>
        </w:tc>
        <w:tc>
          <w:tcPr>
            <w:tcW w:w="3260" w:type="dxa"/>
            <w:shd w:val="clear" w:color="auto" w:fill="auto"/>
          </w:tcPr>
          <w:p w:rsidR="0049577B" w:rsidRPr="00AA03F8" w:rsidRDefault="0049577B" w:rsidP="00817A92">
            <w:pPr>
              <w:jc w:val="center"/>
              <w:rPr>
                <w:sz w:val="24"/>
              </w:rPr>
            </w:pPr>
            <w:r w:rsidRPr="00AA03F8">
              <w:rPr>
                <w:sz w:val="24"/>
              </w:rPr>
              <w:t>330320.00</w:t>
            </w:r>
          </w:p>
        </w:tc>
        <w:tc>
          <w:tcPr>
            <w:tcW w:w="4252" w:type="dxa"/>
            <w:shd w:val="clear" w:color="auto" w:fill="auto"/>
          </w:tcPr>
          <w:p w:rsidR="0049577B" w:rsidRPr="00AA03F8" w:rsidRDefault="0049577B" w:rsidP="00817A92">
            <w:pPr>
              <w:jc w:val="center"/>
              <w:rPr>
                <w:sz w:val="24"/>
              </w:rPr>
            </w:pPr>
            <w:r w:rsidRPr="00AA03F8">
              <w:rPr>
                <w:sz w:val="24"/>
              </w:rPr>
              <w:t>328154.00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94</w:t>
            </w:r>
          </w:p>
        </w:tc>
        <w:tc>
          <w:tcPr>
            <w:tcW w:w="3260" w:type="dxa"/>
            <w:shd w:val="clear" w:color="auto" w:fill="auto"/>
          </w:tcPr>
          <w:p w:rsidR="0049577B" w:rsidRPr="00AA03F8" w:rsidRDefault="0049577B" w:rsidP="00817A92">
            <w:pPr>
              <w:jc w:val="center"/>
              <w:rPr>
                <w:sz w:val="24"/>
              </w:rPr>
            </w:pPr>
            <w:r w:rsidRPr="00AA03F8">
              <w:rPr>
                <w:sz w:val="24"/>
              </w:rPr>
              <w:t>328154.00</w:t>
            </w:r>
          </w:p>
        </w:tc>
        <w:tc>
          <w:tcPr>
            <w:tcW w:w="4252" w:type="dxa"/>
            <w:shd w:val="clear" w:color="auto" w:fill="auto"/>
          </w:tcPr>
          <w:p w:rsidR="0049577B" w:rsidRPr="00AA03F8" w:rsidRDefault="0049577B" w:rsidP="00817A92">
            <w:pPr>
              <w:jc w:val="center"/>
              <w:rPr>
                <w:sz w:val="24"/>
              </w:rPr>
            </w:pPr>
            <w:r w:rsidRPr="00AA03F8">
              <w:rPr>
                <w:sz w:val="24"/>
              </w:rPr>
              <w:t>281561.00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95</w:t>
            </w:r>
          </w:p>
        </w:tc>
        <w:tc>
          <w:tcPr>
            <w:tcW w:w="3260" w:type="dxa"/>
            <w:shd w:val="clear" w:color="auto" w:fill="auto"/>
          </w:tcPr>
          <w:p w:rsidR="0049577B" w:rsidRPr="00AA03F8" w:rsidRDefault="0049577B" w:rsidP="00817A92">
            <w:pPr>
              <w:jc w:val="center"/>
              <w:rPr>
                <w:sz w:val="24"/>
              </w:rPr>
            </w:pPr>
            <w:r w:rsidRPr="00AA03F8">
              <w:rPr>
                <w:sz w:val="24"/>
              </w:rPr>
              <w:t>281561.00</w:t>
            </w:r>
          </w:p>
        </w:tc>
        <w:tc>
          <w:tcPr>
            <w:tcW w:w="4252" w:type="dxa"/>
            <w:shd w:val="clear" w:color="auto" w:fill="auto"/>
          </w:tcPr>
          <w:p w:rsidR="0049577B" w:rsidRPr="00AA03F8" w:rsidRDefault="0049577B" w:rsidP="00817A92">
            <w:pPr>
              <w:jc w:val="center"/>
              <w:rPr>
                <w:sz w:val="24"/>
              </w:rPr>
            </w:pPr>
            <w:r w:rsidRPr="00AA03F8">
              <w:rPr>
                <w:sz w:val="24"/>
              </w:rPr>
              <w:t>241091.00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96</w:t>
            </w:r>
          </w:p>
        </w:tc>
        <w:tc>
          <w:tcPr>
            <w:tcW w:w="3260" w:type="dxa"/>
            <w:shd w:val="clear" w:color="auto" w:fill="auto"/>
          </w:tcPr>
          <w:p w:rsidR="0049577B" w:rsidRPr="00AA03F8" w:rsidRDefault="0049577B" w:rsidP="00817A92">
            <w:pPr>
              <w:jc w:val="center"/>
              <w:rPr>
                <w:sz w:val="24"/>
              </w:rPr>
            </w:pPr>
            <w:r w:rsidRPr="00AA03F8">
              <w:rPr>
                <w:sz w:val="24"/>
              </w:rPr>
              <w:t>241091.00</w:t>
            </w:r>
          </w:p>
        </w:tc>
        <w:tc>
          <w:tcPr>
            <w:tcW w:w="4252" w:type="dxa"/>
            <w:shd w:val="clear" w:color="auto" w:fill="auto"/>
          </w:tcPr>
          <w:p w:rsidR="0049577B" w:rsidRPr="00AA03F8" w:rsidRDefault="0049577B" w:rsidP="00817A92">
            <w:pPr>
              <w:jc w:val="center"/>
              <w:rPr>
                <w:sz w:val="24"/>
              </w:rPr>
            </w:pPr>
            <w:r w:rsidRPr="00AA03F8">
              <w:rPr>
                <w:sz w:val="24"/>
              </w:rPr>
              <w:t>209351.00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97</w:t>
            </w:r>
          </w:p>
        </w:tc>
        <w:tc>
          <w:tcPr>
            <w:tcW w:w="3260" w:type="dxa"/>
            <w:shd w:val="clear" w:color="auto" w:fill="auto"/>
          </w:tcPr>
          <w:p w:rsidR="0049577B" w:rsidRPr="00AA03F8" w:rsidRDefault="0049577B" w:rsidP="00817A92">
            <w:pPr>
              <w:jc w:val="center"/>
              <w:rPr>
                <w:sz w:val="24"/>
              </w:rPr>
            </w:pPr>
            <w:r w:rsidRPr="00AA03F8">
              <w:rPr>
                <w:sz w:val="24"/>
              </w:rPr>
              <w:t>209351.00</w:t>
            </w:r>
          </w:p>
        </w:tc>
        <w:tc>
          <w:tcPr>
            <w:tcW w:w="4252" w:type="dxa"/>
            <w:shd w:val="clear" w:color="auto" w:fill="auto"/>
          </w:tcPr>
          <w:p w:rsidR="0049577B" w:rsidRPr="00AA03F8" w:rsidRDefault="0049577B" w:rsidP="00817A92">
            <w:pPr>
              <w:jc w:val="center"/>
              <w:rPr>
                <w:sz w:val="24"/>
              </w:rPr>
            </w:pPr>
            <w:r w:rsidRPr="00AA03F8">
              <w:rPr>
                <w:sz w:val="24"/>
              </w:rPr>
              <w:t>155151.00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98</w:t>
            </w:r>
          </w:p>
        </w:tc>
        <w:tc>
          <w:tcPr>
            <w:tcW w:w="3260" w:type="dxa"/>
            <w:shd w:val="clear" w:color="auto" w:fill="auto"/>
          </w:tcPr>
          <w:p w:rsidR="0049577B" w:rsidRPr="00AA03F8" w:rsidRDefault="0049577B" w:rsidP="00817A92">
            <w:pPr>
              <w:jc w:val="center"/>
              <w:rPr>
                <w:sz w:val="24"/>
              </w:rPr>
            </w:pPr>
            <w:r w:rsidRPr="00AA03F8">
              <w:rPr>
                <w:sz w:val="24"/>
              </w:rPr>
              <w:t>155151.00</w:t>
            </w:r>
          </w:p>
        </w:tc>
        <w:tc>
          <w:tcPr>
            <w:tcW w:w="4252" w:type="dxa"/>
            <w:shd w:val="clear" w:color="auto" w:fill="auto"/>
          </w:tcPr>
          <w:p w:rsidR="0049577B" w:rsidRPr="00AA03F8" w:rsidRDefault="0049577B" w:rsidP="00817A92">
            <w:pPr>
              <w:jc w:val="center"/>
              <w:rPr>
                <w:sz w:val="24"/>
              </w:rPr>
            </w:pPr>
            <w:r w:rsidRPr="00AA03F8">
              <w:rPr>
                <w:sz w:val="24"/>
              </w:rPr>
              <w:t>142774.00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99</w:t>
            </w:r>
          </w:p>
        </w:tc>
        <w:tc>
          <w:tcPr>
            <w:tcW w:w="3260" w:type="dxa"/>
            <w:shd w:val="clear" w:color="auto" w:fill="auto"/>
          </w:tcPr>
          <w:p w:rsidR="0049577B" w:rsidRPr="00AA03F8" w:rsidRDefault="0049577B" w:rsidP="00817A92">
            <w:pPr>
              <w:jc w:val="center"/>
              <w:rPr>
                <w:sz w:val="24"/>
              </w:rPr>
            </w:pPr>
            <w:r w:rsidRPr="00AA03F8">
              <w:rPr>
                <w:sz w:val="24"/>
              </w:rPr>
              <w:t>142774.00</w:t>
            </w:r>
          </w:p>
        </w:tc>
        <w:tc>
          <w:tcPr>
            <w:tcW w:w="4252" w:type="dxa"/>
            <w:shd w:val="clear" w:color="auto" w:fill="auto"/>
          </w:tcPr>
          <w:p w:rsidR="0049577B" w:rsidRPr="00AA03F8" w:rsidRDefault="0049577B" w:rsidP="00817A92">
            <w:pPr>
              <w:jc w:val="center"/>
              <w:rPr>
                <w:sz w:val="24"/>
              </w:rPr>
            </w:pPr>
            <w:r w:rsidRPr="00AA03F8">
              <w:rPr>
                <w:sz w:val="24"/>
              </w:rPr>
              <w:t>116831.00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100</w:t>
            </w:r>
          </w:p>
        </w:tc>
        <w:tc>
          <w:tcPr>
            <w:tcW w:w="3260" w:type="dxa"/>
            <w:shd w:val="clear" w:color="auto" w:fill="auto"/>
          </w:tcPr>
          <w:p w:rsidR="0049577B" w:rsidRPr="00AA03F8" w:rsidRDefault="0049577B" w:rsidP="00817A92">
            <w:pPr>
              <w:jc w:val="center"/>
              <w:rPr>
                <w:sz w:val="24"/>
              </w:rPr>
            </w:pPr>
            <w:r w:rsidRPr="00AA03F8">
              <w:rPr>
                <w:sz w:val="24"/>
              </w:rPr>
              <w:t>116831.00</w:t>
            </w:r>
          </w:p>
        </w:tc>
        <w:tc>
          <w:tcPr>
            <w:tcW w:w="4252" w:type="dxa"/>
            <w:shd w:val="clear" w:color="auto" w:fill="auto"/>
          </w:tcPr>
          <w:p w:rsidR="0049577B" w:rsidRPr="00AA03F8" w:rsidRDefault="0049577B" w:rsidP="00817A92">
            <w:pPr>
              <w:jc w:val="center"/>
              <w:rPr>
                <w:sz w:val="24"/>
              </w:rPr>
            </w:pPr>
            <w:r w:rsidRPr="00AA03F8">
              <w:rPr>
                <w:sz w:val="24"/>
              </w:rPr>
              <w:t>100264.00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101</w:t>
            </w:r>
          </w:p>
        </w:tc>
        <w:tc>
          <w:tcPr>
            <w:tcW w:w="3260" w:type="dxa"/>
            <w:shd w:val="clear" w:color="auto" w:fill="auto"/>
          </w:tcPr>
          <w:p w:rsidR="0049577B" w:rsidRPr="00AA03F8" w:rsidRDefault="0049577B" w:rsidP="00817A92">
            <w:pPr>
              <w:jc w:val="center"/>
              <w:rPr>
                <w:sz w:val="24"/>
              </w:rPr>
            </w:pPr>
            <w:r w:rsidRPr="00AA03F8">
              <w:rPr>
                <w:sz w:val="24"/>
              </w:rPr>
              <w:t>100264.00</w:t>
            </w:r>
          </w:p>
        </w:tc>
        <w:tc>
          <w:tcPr>
            <w:tcW w:w="4252" w:type="dxa"/>
            <w:shd w:val="clear" w:color="auto" w:fill="auto"/>
          </w:tcPr>
          <w:p w:rsidR="0049577B" w:rsidRPr="00AA03F8" w:rsidRDefault="0049577B" w:rsidP="00817A92">
            <w:pPr>
              <w:jc w:val="center"/>
              <w:rPr>
                <w:sz w:val="24"/>
              </w:rPr>
            </w:pPr>
            <w:r w:rsidRPr="00AA03F8">
              <w:rPr>
                <w:sz w:val="24"/>
              </w:rPr>
              <w:t>82496.00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102</w:t>
            </w:r>
          </w:p>
        </w:tc>
        <w:tc>
          <w:tcPr>
            <w:tcW w:w="3260" w:type="dxa"/>
            <w:shd w:val="clear" w:color="auto" w:fill="auto"/>
          </w:tcPr>
          <w:p w:rsidR="0049577B" w:rsidRPr="00AA03F8" w:rsidRDefault="0049577B" w:rsidP="00817A92">
            <w:pPr>
              <w:jc w:val="center"/>
              <w:rPr>
                <w:sz w:val="24"/>
              </w:rPr>
            </w:pPr>
            <w:r w:rsidRPr="00AA03F8">
              <w:rPr>
                <w:sz w:val="24"/>
              </w:rPr>
              <w:t>82496.00</w:t>
            </w:r>
          </w:p>
        </w:tc>
        <w:tc>
          <w:tcPr>
            <w:tcW w:w="4252" w:type="dxa"/>
            <w:shd w:val="clear" w:color="auto" w:fill="auto"/>
          </w:tcPr>
          <w:p w:rsidR="0049577B" w:rsidRPr="00AA03F8" w:rsidRDefault="0049577B" w:rsidP="00817A92">
            <w:pPr>
              <w:jc w:val="center"/>
              <w:rPr>
                <w:sz w:val="24"/>
              </w:rPr>
            </w:pPr>
            <w:r w:rsidRPr="00AA03F8">
              <w:rPr>
                <w:sz w:val="24"/>
              </w:rPr>
              <w:t>76330.00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103</w:t>
            </w:r>
          </w:p>
        </w:tc>
        <w:tc>
          <w:tcPr>
            <w:tcW w:w="3260" w:type="dxa"/>
            <w:shd w:val="clear" w:color="auto" w:fill="auto"/>
          </w:tcPr>
          <w:p w:rsidR="0049577B" w:rsidRPr="00AA03F8" w:rsidRDefault="0049577B" w:rsidP="00817A92">
            <w:pPr>
              <w:jc w:val="center"/>
              <w:rPr>
                <w:sz w:val="24"/>
              </w:rPr>
            </w:pPr>
            <w:r w:rsidRPr="00AA03F8">
              <w:rPr>
                <w:sz w:val="24"/>
              </w:rPr>
              <w:t>76330.00</w:t>
            </w:r>
          </w:p>
        </w:tc>
        <w:tc>
          <w:tcPr>
            <w:tcW w:w="4252" w:type="dxa"/>
            <w:shd w:val="clear" w:color="auto" w:fill="auto"/>
          </w:tcPr>
          <w:p w:rsidR="0049577B" w:rsidRPr="00AA03F8" w:rsidRDefault="0049577B" w:rsidP="00817A92">
            <w:pPr>
              <w:jc w:val="center"/>
              <w:rPr>
                <w:sz w:val="24"/>
              </w:rPr>
            </w:pPr>
            <w:r w:rsidRPr="00AA03F8">
              <w:rPr>
                <w:sz w:val="24"/>
              </w:rPr>
              <w:t>66255.00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104</w:t>
            </w:r>
          </w:p>
        </w:tc>
        <w:tc>
          <w:tcPr>
            <w:tcW w:w="3260" w:type="dxa"/>
            <w:shd w:val="clear" w:color="auto" w:fill="auto"/>
          </w:tcPr>
          <w:p w:rsidR="0049577B" w:rsidRPr="00AA03F8" w:rsidRDefault="0049577B" w:rsidP="00817A92">
            <w:pPr>
              <w:jc w:val="center"/>
              <w:rPr>
                <w:sz w:val="24"/>
              </w:rPr>
            </w:pPr>
            <w:r w:rsidRPr="00AA03F8">
              <w:rPr>
                <w:sz w:val="24"/>
              </w:rPr>
              <w:t>66255.00</w:t>
            </w:r>
          </w:p>
        </w:tc>
        <w:tc>
          <w:tcPr>
            <w:tcW w:w="4252" w:type="dxa"/>
            <w:shd w:val="clear" w:color="auto" w:fill="auto"/>
          </w:tcPr>
          <w:p w:rsidR="0049577B" w:rsidRPr="00AA03F8" w:rsidRDefault="0049577B" w:rsidP="00817A92">
            <w:pPr>
              <w:jc w:val="center"/>
              <w:rPr>
                <w:sz w:val="24"/>
              </w:rPr>
            </w:pPr>
            <w:r w:rsidRPr="00AA03F8">
              <w:rPr>
                <w:sz w:val="24"/>
              </w:rPr>
              <w:t>57606.00</w:t>
            </w:r>
          </w:p>
        </w:tc>
      </w:tr>
      <w:tr w:rsidR="0049577B" w:rsidRPr="00B40DC1" w:rsidTr="00A14BAA">
        <w:tc>
          <w:tcPr>
            <w:tcW w:w="2122" w:type="dxa"/>
            <w:shd w:val="clear" w:color="auto" w:fill="auto"/>
          </w:tcPr>
          <w:p w:rsidR="0049577B" w:rsidRPr="00AA03F8" w:rsidRDefault="0049577B" w:rsidP="00817A92">
            <w:pPr>
              <w:ind w:leftChars="11" w:left="29"/>
              <w:jc w:val="center"/>
              <w:rPr>
                <w:sz w:val="24"/>
              </w:rPr>
            </w:pPr>
            <w:r w:rsidRPr="00AA03F8">
              <w:rPr>
                <w:sz w:val="24"/>
              </w:rPr>
              <w:t>105</w:t>
            </w:r>
          </w:p>
        </w:tc>
        <w:tc>
          <w:tcPr>
            <w:tcW w:w="3260" w:type="dxa"/>
            <w:shd w:val="clear" w:color="auto" w:fill="auto"/>
          </w:tcPr>
          <w:p w:rsidR="0049577B" w:rsidRPr="00AA03F8" w:rsidRDefault="0049577B" w:rsidP="00817A92">
            <w:pPr>
              <w:jc w:val="center"/>
              <w:rPr>
                <w:sz w:val="24"/>
              </w:rPr>
            </w:pPr>
            <w:r w:rsidRPr="00AA03F8">
              <w:rPr>
                <w:sz w:val="24"/>
              </w:rPr>
              <w:t>57606.00</w:t>
            </w:r>
          </w:p>
        </w:tc>
        <w:tc>
          <w:tcPr>
            <w:tcW w:w="4252" w:type="dxa"/>
            <w:shd w:val="clear" w:color="auto" w:fill="auto"/>
          </w:tcPr>
          <w:p w:rsidR="0049577B" w:rsidRPr="00AA03F8" w:rsidRDefault="0049577B" w:rsidP="00817A92">
            <w:pPr>
              <w:jc w:val="center"/>
              <w:rPr>
                <w:sz w:val="24"/>
              </w:rPr>
            </w:pPr>
          </w:p>
        </w:tc>
      </w:tr>
    </w:tbl>
    <w:p w:rsidR="0049577B" w:rsidRPr="00B40DC1" w:rsidRDefault="00817A92" w:rsidP="00D20F89">
      <w:pPr>
        <w:spacing w:line="240" w:lineRule="auto"/>
        <w:ind w:leftChars="0" w:left="0" w:rightChars="0" w:right="0"/>
      </w:pPr>
      <w:r>
        <w:t>【資料來源】</w:t>
      </w:r>
      <w:r w:rsidR="0049577B" w:rsidRPr="00B40DC1">
        <w:t>本表之原始數據資料來源如下---中華民國統計資訊網(2018)；法務部統計處(2018)；行政院主計總處(2018)；內政部統計處(2018)；內政部警政署(2018)；內政部警政署刑事警察局(2018)；台灣人權促進會(2018)。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D20F89">
      <w:pPr>
        <w:spacing w:line="240" w:lineRule="auto"/>
        <w:ind w:leftChars="0" w:left="0" w:rightChars="0" w:right="0"/>
      </w:pPr>
    </w:p>
    <w:p w:rsidR="00817A92" w:rsidRDefault="00817A92" w:rsidP="00D20F89">
      <w:pPr>
        <w:spacing w:line="240" w:lineRule="auto"/>
        <w:ind w:leftChars="0" w:left="0" w:rightChars="0" w:right="0"/>
      </w:pPr>
      <w:r>
        <w:t xml:space="preserve">　　</w:t>
      </w:r>
      <w:r w:rsidR="0049577B" w:rsidRPr="00B40DC1">
        <w:t>由下表1992年至2016年間之死刑執行人數與當年度竊盜發生件數、下年度竊盜發生件數Pearson相關表可得知，死刑執行人數與當年度竊盜發生件數、下年度竊盜發生件數，均已達到統計上之相關性，且是正相關，正相關很高。亦即，死刑執行人數愈多，當年度竊盜發生件數、下年度竊盜發生件數即愈多。非常重要之點，乃為均已達到統計上之相關性。</w:t>
      </w:r>
    </w:p>
    <w:p w:rsidR="00D162A0" w:rsidRDefault="003C20F7" w:rsidP="003C20F7">
      <w:pPr>
        <w:spacing w:line="240" w:lineRule="auto"/>
        <w:ind w:leftChars="0" w:left="0" w:rightChars="0" w:right="0"/>
        <w:jc w:val="right"/>
        <w:rPr>
          <w:color w:val="808000"/>
          <w:sz w:val="22"/>
        </w:rPr>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D20F89" w:rsidRDefault="00D162A0" w:rsidP="00D162A0">
      <w:pPr>
        <w:pStyle w:val="4"/>
        <w:rPr>
          <w:lang w:eastAsia="zh-TW"/>
        </w:rPr>
      </w:pPr>
      <w:r w:rsidRPr="00B40DC1">
        <w:rPr>
          <w:lang w:eastAsia="zh-TW"/>
        </w:rPr>
        <w:t>表6、1992年至2016年間之死刑執行人數與當年度竊盜發生件數、下年度竊盜發生件數Pearson相關表</w:t>
      </w:r>
    </w:p>
    <w:tbl>
      <w:tblPr>
        <w:tblW w:w="963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2268"/>
        <w:gridCol w:w="2622"/>
        <w:gridCol w:w="2622"/>
      </w:tblGrid>
      <w:tr w:rsidR="0049577B" w:rsidRPr="00B40DC1" w:rsidTr="00D162A0">
        <w:trPr>
          <w:cantSplit/>
        </w:trPr>
        <w:tc>
          <w:tcPr>
            <w:tcW w:w="4395" w:type="dxa"/>
            <w:gridSpan w:val="2"/>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AA03F8" w:rsidRDefault="0049577B" w:rsidP="00D20F89">
            <w:pPr>
              <w:spacing w:line="240" w:lineRule="auto"/>
              <w:ind w:leftChars="0" w:left="0" w:rightChars="0" w:right="0"/>
              <w:rPr>
                <w:sz w:val="24"/>
              </w:rPr>
            </w:pPr>
          </w:p>
        </w:tc>
        <w:tc>
          <w:tcPr>
            <w:tcW w:w="2622" w:type="dxa"/>
            <w:tcBorders>
              <w:top w:val="single" w:sz="4" w:space="0" w:color="auto"/>
              <w:left w:val="single" w:sz="4" w:space="0" w:color="auto"/>
              <w:bottom w:val="single" w:sz="4" w:space="0" w:color="auto"/>
              <w:right w:val="single" w:sz="4" w:space="0" w:color="auto"/>
            </w:tcBorders>
            <w:shd w:val="clear" w:color="auto" w:fill="FAF0FA"/>
            <w:vAlign w:val="bottom"/>
          </w:tcPr>
          <w:p w:rsidR="0049577B" w:rsidRPr="00AA03F8" w:rsidRDefault="0049577B" w:rsidP="00D20F89">
            <w:pPr>
              <w:spacing w:line="240" w:lineRule="auto"/>
              <w:ind w:leftChars="0" w:left="0" w:rightChars="0" w:right="0"/>
              <w:jc w:val="center"/>
              <w:rPr>
                <w:sz w:val="24"/>
              </w:rPr>
            </w:pPr>
            <w:r w:rsidRPr="00AA03F8">
              <w:rPr>
                <w:sz w:val="24"/>
              </w:rPr>
              <w:t>當年度竊盜發生件數(theft)</w:t>
            </w:r>
          </w:p>
        </w:tc>
        <w:tc>
          <w:tcPr>
            <w:tcW w:w="2622" w:type="dxa"/>
            <w:tcBorders>
              <w:top w:val="single" w:sz="4" w:space="0" w:color="auto"/>
              <w:left w:val="single" w:sz="4" w:space="0" w:color="auto"/>
              <w:bottom w:val="single" w:sz="4" w:space="0" w:color="auto"/>
              <w:right w:val="single" w:sz="4" w:space="0" w:color="auto"/>
            </w:tcBorders>
            <w:shd w:val="clear" w:color="auto" w:fill="FAF0FA"/>
            <w:vAlign w:val="bottom"/>
          </w:tcPr>
          <w:p w:rsidR="0049577B" w:rsidRPr="00AA03F8" w:rsidRDefault="0049577B" w:rsidP="00D20F89">
            <w:pPr>
              <w:spacing w:line="240" w:lineRule="auto"/>
              <w:ind w:leftChars="0" w:left="0" w:rightChars="0" w:right="0"/>
              <w:jc w:val="center"/>
              <w:rPr>
                <w:sz w:val="24"/>
              </w:rPr>
            </w:pPr>
            <w:r w:rsidRPr="00AA03F8">
              <w:rPr>
                <w:sz w:val="24"/>
              </w:rPr>
              <w:t>下年度竊盜發生件數(theftnext)</w:t>
            </w:r>
          </w:p>
        </w:tc>
      </w:tr>
      <w:tr w:rsidR="0049577B" w:rsidRPr="00B40DC1" w:rsidTr="00D162A0">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死刑執行人數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Pearson 相關</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.388</w:t>
            </w:r>
            <w:r w:rsidR="001E5891" w:rsidRPr="001E5891">
              <w:rPr>
                <w:rFonts w:hint="eastAsia"/>
                <w:sz w:val="20"/>
                <w:szCs w:val="20"/>
              </w:rPr>
              <w:t>＊</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.457</w:t>
            </w:r>
            <w:r w:rsidR="001E5891" w:rsidRPr="001E5891">
              <w:rPr>
                <w:rFonts w:hint="eastAsia"/>
                <w:sz w:val="20"/>
                <w:szCs w:val="20"/>
              </w:rPr>
              <w:t>＊</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顯著性</w:t>
            </w:r>
            <w:r w:rsidR="003C1792" w:rsidRPr="00AA03F8">
              <w:rPr>
                <w:sz w:val="24"/>
              </w:rPr>
              <w:t>(</w:t>
            </w:r>
            <w:r w:rsidRPr="00AA03F8">
              <w:rPr>
                <w:sz w:val="24"/>
              </w:rPr>
              <w:t>單尾)</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.028</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.012</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個數</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25</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24</w:t>
            </w:r>
          </w:p>
        </w:tc>
      </w:tr>
      <w:tr w:rsidR="0049577B" w:rsidRPr="00B40DC1" w:rsidTr="00D162A0">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當年度竊盜發生件數(theft)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Pearson 相關</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1</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.946</w:t>
            </w:r>
            <w:r w:rsidR="001E5891" w:rsidRPr="001E5891">
              <w:rPr>
                <w:rFonts w:hint="eastAsia"/>
                <w:sz w:val="20"/>
                <w:szCs w:val="20"/>
              </w:rPr>
              <w:t>＊＊</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顯著性</w:t>
            </w:r>
            <w:r w:rsidR="003C1792" w:rsidRPr="00AA03F8">
              <w:rPr>
                <w:sz w:val="24"/>
              </w:rPr>
              <w:t>(</w:t>
            </w:r>
            <w:r w:rsidRPr="00AA03F8">
              <w:rPr>
                <w:sz w:val="24"/>
              </w:rPr>
              <w:t>單尾)</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.000</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個數</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25</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24</w:t>
            </w:r>
          </w:p>
        </w:tc>
      </w:tr>
      <w:tr w:rsidR="0049577B" w:rsidRPr="00B40DC1" w:rsidTr="00D162A0">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下年度竊盜發生件數(theftnext)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Pearson 相關</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.946</w:t>
            </w:r>
            <w:r w:rsidR="001E5891" w:rsidRPr="001E5891">
              <w:rPr>
                <w:rFonts w:hint="eastAsia"/>
                <w:sz w:val="20"/>
                <w:szCs w:val="20"/>
              </w:rPr>
              <w:t>＊＊</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1</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顯著性</w:t>
            </w:r>
            <w:r w:rsidR="003C1792" w:rsidRPr="00AA03F8">
              <w:rPr>
                <w:sz w:val="24"/>
              </w:rPr>
              <w:t>(</w:t>
            </w:r>
            <w:r w:rsidRPr="00AA03F8">
              <w:rPr>
                <w:sz w:val="24"/>
              </w:rPr>
              <w:t>單尾)</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.000</w:t>
            </w:r>
          </w:p>
        </w:tc>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AA03F8" w:rsidRDefault="0049577B" w:rsidP="00D20F89">
            <w:pPr>
              <w:jc w:val="center"/>
              <w:rPr>
                <w:sz w:val="24"/>
              </w:rPr>
            </w:pP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個數</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24</w:t>
            </w:r>
          </w:p>
        </w:tc>
        <w:tc>
          <w:tcPr>
            <w:tcW w:w="2622"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jc w:val="center"/>
              <w:rPr>
                <w:sz w:val="24"/>
              </w:rPr>
            </w:pPr>
            <w:r w:rsidRPr="00AA03F8">
              <w:rPr>
                <w:sz w:val="24"/>
              </w:rPr>
              <w:t>24</w:t>
            </w:r>
          </w:p>
        </w:tc>
      </w:tr>
    </w:tbl>
    <w:p w:rsidR="0049577B" w:rsidRPr="00B40DC1" w:rsidRDefault="001E5891" w:rsidP="003C20F7">
      <w:pPr>
        <w:spacing w:line="240" w:lineRule="auto"/>
        <w:ind w:leftChars="0" w:left="0" w:rightChars="0" w:right="0"/>
      </w:pPr>
      <w:r w:rsidRPr="001E5891">
        <w:rPr>
          <w:rFonts w:hint="eastAsia"/>
          <w:sz w:val="20"/>
          <w:szCs w:val="20"/>
        </w:rPr>
        <w:t>＊＊</w:t>
      </w:r>
      <w:r w:rsidR="003C1792">
        <w:t>.</w:t>
      </w:r>
      <w:r w:rsidR="0049577B" w:rsidRPr="00B40DC1">
        <w:t>在顯著水準為0.01時</w:t>
      </w:r>
      <w:r w:rsidR="003C1792">
        <w:t>(</w:t>
      </w:r>
      <w:r w:rsidR="0049577B" w:rsidRPr="00B40DC1">
        <w:t>單尾)，相關顯著。</w:t>
      </w:r>
      <w:r w:rsidR="00F70DE9" w:rsidRPr="00F70DE9">
        <w:rPr>
          <w:rFonts w:hint="eastAsia"/>
          <w:color w:val="FFFFFF" w:themeColor="background1"/>
        </w:rPr>
        <w:t>*</w:t>
      </w:r>
    </w:p>
    <w:p w:rsidR="0049577B" w:rsidRPr="00B40DC1" w:rsidRDefault="001E5891" w:rsidP="003C20F7">
      <w:pPr>
        <w:spacing w:line="240" w:lineRule="auto"/>
        <w:ind w:leftChars="0" w:left="0" w:rightChars="0" w:right="0"/>
      </w:pPr>
      <w:r w:rsidRPr="001E5891">
        <w:rPr>
          <w:rFonts w:hint="eastAsia"/>
          <w:sz w:val="20"/>
          <w:szCs w:val="20"/>
        </w:rPr>
        <w:t>＊</w:t>
      </w:r>
      <w:r w:rsidR="003C1792">
        <w:t>.</w:t>
      </w:r>
      <w:r w:rsidR="0049577B" w:rsidRPr="00B40DC1">
        <w:t>在顯著水準為0.05 時</w:t>
      </w:r>
      <w:r w:rsidR="003C1792">
        <w:t>(</w:t>
      </w:r>
      <w:r w:rsidR="0049577B" w:rsidRPr="00B40DC1">
        <w:t>單尾)，相關顯著。</w:t>
      </w:r>
    </w:p>
    <w:p w:rsidR="0049577B" w:rsidRPr="00B40DC1" w:rsidRDefault="00151AD5" w:rsidP="00151AD5">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7A92" w:rsidRDefault="0049577B" w:rsidP="00E736D6">
      <w:pPr>
        <w:pStyle w:val="4"/>
        <w:rPr>
          <w:lang w:eastAsia="zh-TW"/>
        </w:rPr>
      </w:pPr>
      <w:r w:rsidRPr="00817A92">
        <w:rPr>
          <w:lang w:eastAsia="zh-TW"/>
        </w:rPr>
        <w:t>表7、1992年至2016年間之當年度暴力犯罪發生件數、下年度暴力犯罪發生件數一覽表</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090"/>
        <w:gridCol w:w="4706"/>
      </w:tblGrid>
      <w:tr w:rsidR="0049577B" w:rsidRPr="00B40DC1" w:rsidTr="00D20F89">
        <w:trPr>
          <w:tblHeader/>
        </w:trPr>
        <w:tc>
          <w:tcPr>
            <w:tcW w:w="1980" w:type="dxa"/>
            <w:shd w:val="clear" w:color="auto" w:fill="EFFDFF"/>
          </w:tcPr>
          <w:p w:rsidR="0049577B" w:rsidRPr="00AA03F8" w:rsidRDefault="0049577B" w:rsidP="00A14BAA">
            <w:pPr>
              <w:spacing w:line="240" w:lineRule="auto"/>
              <w:ind w:leftChars="0" w:left="0" w:rightChars="0" w:right="0"/>
              <w:jc w:val="center"/>
              <w:rPr>
                <w:sz w:val="24"/>
              </w:rPr>
            </w:pPr>
            <w:r w:rsidRPr="00AA03F8">
              <w:rPr>
                <w:sz w:val="24"/>
              </w:rPr>
              <w:t>民國之年代區別</w:t>
            </w:r>
          </w:p>
        </w:tc>
        <w:tc>
          <w:tcPr>
            <w:tcW w:w="3090" w:type="dxa"/>
            <w:shd w:val="clear" w:color="auto" w:fill="EFFDFF"/>
          </w:tcPr>
          <w:p w:rsidR="0049577B" w:rsidRPr="00AA03F8" w:rsidRDefault="0049577B" w:rsidP="00A14BAA">
            <w:pPr>
              <w:spacing w:line="240" w:lineRule="auto"/>
              <w:ind w:leftChars="0" w:left="0" w:rightChars="0" w:right="0"/>
              <w:jc w:val="center"/>
              <w:rPr>
                <w:sz w:val="24"/>
              </w:rPr>
            </w:pPr>
            <w:r w:rsidRPr="00AA03F8">
              <w:rPr>
                <w:sz w:val="24"/>
              </w:rPr>
              <w:t>當年度暴力犯罪發生件數(violence)</w:t>
            </w:r>
          </w:p>
        </w:tc>
        <w:tc>
          <w:tcPr>
            <w:tcW w:w="4706" w:type="dxa"/>
            <w:shd w:val="clear" w:color="auto" w:fill="EFFDFF"/>
          </w:tcPr>
          <w:p w:rsidR="0049577B" w:rsidRPr="00AA03F8" w:rsidRDefault="0049577B" w:rsidP="00A14BAA">
            <w:pPr>
              <w:spacing w:line="240" w:lineRule="auto"/>
              <w:ind w:leftChars="0" w:left="0" w:rightChars="0" w:right="0"/>
              <w:jc w:val="center"/>
              <w:rPr>
                <w:sz w:val="24"/>
              </w:rPr>
            </w:pPr>
            <w:r w:rsidRPr="00AA03F8">
              <w:rPr>
                <w:sz w:val="24"/>
              </w:rPr>
              <w:t>下年度暴力犯罪發生件數(violencenext)</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81</w:t>
            </w:r>
          </w:p>
        </w:tc>
        <w:tc>
          <w:tcPr>
            <w:tcW w:w="3090" w:type="dxa"/>
            <w:shd w:val="clear" w:color="auto" w:fill="auto"/>
          </w:tcPr>
          <w:p w:rsidR="0049577B" w:rsidRPr="00AA03F8" w:rsidRDefault="0049577B" w:rsidP="00817A92">
            <w:pPr>
              <w:jc w:val="center"/>
              <w:rPr>
                <w:sz w:val="24"/>
              </w:rPr>
            </w:pPr>
            <w:r w:rsidRPr="00AA03F8">
              <w:rPr>
                <w:sz w:val="24"/>
              </w:rPr>
              <w:t>6480.00</w:t>
            </w:r>
          </w:p>
        </w:tc>
        <w:tc>
          <w:tcPr>
            <w:tcW w:w="4706" w:type="dxa"/>
            <w:shd w:val="clear" w:color="auto" w:fill="auto"/>
          </w:tcPr>
          <w:p w:rsidR="0049577B" w:rsidRPr="00AA03F8" w:rsidRDefault="0049577B" w:rsidP="00817A92">
            <w:pPr>
              <w:jc w:val="center"/>
              <w:rPr>
                <w:sz w:val="24"/>
              </w:rPr>
            </w:pPr>
            <w:r w:rsidRPr="00AA03F8">
              <w:rPr>
                <w:sz w:val="24"/>
              </w:rPr>
              <w:t>7110.00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82</w:t>
            </w:r>
          </w:p>
        </w:tc>
        <w:tc>
          <w:tcPr>
            <w:tcW w:w="3090" w:type="dxa"/>
            <w:shd w:val="clear" w:color="auto" w:fill="auto"/>
          </w:tcPr>
          <w:p w:rsidR="0049577B" w:rsidRPr="00AA03F8" w:rsidRDefault="0049577B" w:rsidP="00817A92">
            <w:pPr>
              <w:jc w:val="center"/>
              <w:rPr>
                <w:sz w:val="24"/>
              </w:rPr>
            </w:pPr>
            <w:r w:rsidRPr="00AA03F8">
              <w:rPr>
                <w:sz w:val="24"/>
              </w:rPr>
              <w:t>7110.00</w:t>
            </w:r>
          </w:p>
        </w:tc>
        <w:tc>
          <w:tcPr>
            <w:tcW w:w="4706" w:type="dxa"/>
            <w:shd w:val="clear" w:color="auto" w:fill="auto"/>
          </w:tcPr>
          <w:p w:rsidR="0049577B" w:rsidRPr="00AA03F8" w:rsidRDefault="0049577B" w:rsidP="00817A92">
            <w:pPr>
              <w:jc w:val="center"/>
              <w:rPr>
                <w:sz w:val="24"/>
              </w:rPr>
            </w:pPr>
            <w:r w:rsidRPr="00AA03F8">
              <w:rPr>
                <w:sz w:val="24"/>
              </w:rPr>
              <w:t>7688.00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83</w:t>
            </w:r>
          </w:p>
        </w:tc>
        <w:tc>
          <w:tcPr>
            <w:tcW w:w="3090" w:type="dxa"/>
            <w:shd w:val="clear" w:color="auto" w:fill="auto"/>
          </w:tcPr>
          <w:p w:rsidR="0049577B" w:rsidRPr="00AA03F8" w:rsidRDefault="0049577B" w:rsidP="00817A92">
            <w:pPr>
              <w:jc w:val="center"/>
              <w:rPr>
                <w:sz w:val="24"/>
              </w:rPr>
            </w:pPr>
            <w:r w:rsidRPr="00AA03F8">
              <w:rPr>
                <w:sz w:val="24"/>
              </w:rPr>
              <w:t>7688.00</w:t>
            </w:r>
          </w:p>
        </w:tc>
        <w:tc>
          <w:tcPr>
            <w:tcW w:w="4706" w:type="dxa"/>
            <w:shd w:val="clear" w:color="auto" w:fill="auto"/>
          </w:tcPr>
          <w:p w:rsidR="0049577B" w:rsidRPr="00AA03F8" w:rsidRDefault="0049577B" w:rsidP="00817A92">
            <w:pPr>
              <w:jc w:val="center"/>
              <w:rPr>
                <w:sz w:val="24"/>
              </w:rPr>
            </w:pPr>
            <w:r w:rsidRPr="00AA03F8">
              <w:rPr>
                <w:sz w:val="24"/>
              </w:rPr>
              <w:t>16489.00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84</w:t>
            </w:r>
          </w:p>
        </w:tc>
        <w:tc>
          <w:tcPr>
            <w:tcW w:w="3090" w:type="dxa"/>
            <w:shd w:val="clear" w:color="auto" w:fill="auto"/>
          </w:tcPr>
          <w:p w:rsidR="0049577B" w:rsidRPr="00AA03F8" w:rsidRDefault="0049577B" w:rsidP="00817A92">
            <w:pPr>
              <w:jc w:val="center"/>
              <w:rPr>
                <w:sz w:val="24"/>
              </w:rPr>
            </w:pPr>
            <w:r w:rsidRPr="00AA03F8">
              <w:rPr>
                <w:sz w:val="24"/>
              </w:rPr>
              <w:t>16489.00</w:t>
            </w:r>
          </w:p>
        </w:tc>
        <w:tc>
          <w:tcPr>
            <w:tcW w:w="4706" w:type="dxa"/>
            <w:shd w:val="clear" w:color="auto" w:fill="auto"/>
          </w:tcPr>
          <w:p w:rsidR="0049577B" w:rsidRPr="00AA03F8" w:rsidRDefault="0049577B" w:rsidP="00817A92">
            <w:pPr>
              <w:jc w:val="center"/>
              <w:rPr>
                <w:sz w:val="24"/>
              </w:rPr>
            </w:pPr>
            <w:r w:rsidRPr="00AA03F8">
              <w:rPr>
                <w:sz w:val="24"/>
              </w:rPr>
              <w:t>16827.00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85</w:t>
            </w:r>
          </w:p>
        </w:tc>
        <w:tc>
          <w:tcPr>
            <w:tcW w:w="3090" w:type="dxa"/>
            <w:shd w:val="clear" w:color="auto" w:fill="auto"/>
          </w:tcPr>
          <w:p w:rsidR="0049577B" w:rsidRPr="00AA03F8" w:rsidRDefault="0049577B" w:rsidP="00817A92">
            <w:pPr>
              <w:jc w:val="center"/>
              <w:rPr>
                <w:sz w:val="24"/>
              </w:rPr>
            </w:pPr>
            <w:r w:rsidRPr="00AA03F8">
              <w:rPr>
                <w:sz w:val="24"/>
              </w:rPr>
              <w:t>16827.00</w:t>
            </w:r>
          </w:p>
        </w:tc>
        <w:tc>
          <w:tcPr>
            <w:tcW w:w="4706" w:type="dxa"/>
            <w:shd w:val="clear" w:color="auto" w:fill="auto"/>
          </w:tcPr>
          <w:p w:rsidR="0049577B" w:rsidRPr="00AA03F8" w:rsidRDefault="0049577B" w:rsidP="00817A92">
            <w:pPr>
              <w:jc w:val="center"/>
              <w:rPr>
                <w:sz w:val="24"/>
              </w:rPr>
            </w:pPr>
            <w:r w:rsidRPr="00AA03F8">
              <w:rPr>
                <w:sz w:val="24"/>
              </w:rPr>
              <w:t>13648.00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86</w:t>
            </w:r>
          </w:p>
        </w:tc>
        <w:tc>
          <w:tcPr>
            <w:tcW w:w="3090" w:type="dxa"/>
            <w:shd w:val="clear" w:color="auto" w:fill="auto"/>
          </w:tcPr>
          <w:p w:rsidR="0049577B" w:rsidRPr="00AA03F8" w:rsidRDefault="0049577B" w:rsidP="00817A92">
            <w:pPr>
              <w:jc w:val="center"/>
              <w:rPr>
                <w:sz w:val="24"/>
              </w:rPr>
            </w:pPr>
            <w:r w:rsidRPr="00AA03F8">
              <w:rPr>
                <w:sz w:val="24"/>
              </w:rPr>
              <w:t>13648.00</w:t>
            </w:r>
          </w:p>
        </w:tc>
        <w:tc>
          <w:tcPr>
            <w:tcW w:w="4706" w:type="dxa"/>
            <w:shd w:val="clear" w:color="auto" w:fill="auto"/>
          </w:tcPr>
          <w:p w:rsidR="0049577B" w:rsidRPr="00AA03F8" w:rsidRDefault="0049577B" w:rsidP="00817A92">
            <w:pPr>
              <w:jc w:val="center"/>
              <w:rPr>
                <w:sz w:val="24"/>
              </w:rPr>
            </w:pPr>
            <w:r w:rsidRPr="00AA03F8">
              <w:rPr>
                <w:sz w:val="24"/>
              </w:rPr>
              <w:t>12877.00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87</w:t>
            </w:r>
          </w:p>
        </w:tc>
        <w:tc>
          <w:tcPr>
            <w:tcW w:w="3090" w:type="dxa"/>
            <w:shd w:val="clear" w:color="auto" w:fill="auto"/>
          </w:tcPr>
          <w:p w:rsidR="0049577B" w:rsidRPr="00AA03F8" w:rsidRDefault="0049577B" w:rsidP="00817A92">
            <w:pPr>
              <w:jc w:val="center"/>
              <w:rPr>
                <w:sz w:val="24"/>
              </w:rPr>
            </w:pPr>
            <w:r w:rsidRPr="00AA03F8">
              <w:rPr>
                <w:sz w:val="24"/>
              </w:rPr>
              <w:t>12877.00</w:t>
            </w:r>
          </w:p>
        </w:tc>
        <w:tc>
          <w:tcPr>
            <w:tcW w:w="4706" w:type="dxa"/>
            <w:shd w:val="clear" w:color="auto" w:fill="auto"/>
          </w:tcPr>
          <w:p w:rsidR="0049577B" w:rsidRPr="00AA03F8" w:rsidRDefault="0049577B" w:rsidP="00817A92">
            <w:pPr>
              <w:jc w:val="center"/>
              <w:rPr>
                <w:sz w:val="24"/>
              </w:rPr>
            </w:pPr>
            <w:r w:rsidRPr="00AA03F8">
              <w:rPr>
                <w:sz w:val="24"/>
              </w:rPr>
              <w:t>11362.00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88</w:t>
            </w:r>
          </w:p>
        </w:tc>
        <w:tc>
          <w:tcPr>
            <w:tcW w:w="3090" w:type="dxa"/>
            <w:shd w:val="clear" w:color="auto" w:fill="auto"/>
          </w:tcPr>
          <w:p w:rsidR="0049577B" w:rsidRPr="00AA03F8" w:rsidRDefault="0049577B" w:rsidP="00817A92">
            <w:pPr>
              <w:jc w:val="center"/>
              <w:rPr>
                <w:sz w:val="24"/>
              </w:rPr>
            </w:pPr>
            <w:r w:rsidRPr="00AA03F8">
              <w:rPr>
                <w:sz w:val="24"/>
              </w:rPr>
              <w:t>11362.00</w:t>
            </w:r>
          </w:p>
        </w:tc>
        <w:tc>
          <w:tcPr>
            <w:tcW w:w="4706" w:type="dxa"/>
            <w:shd w:val="clear" w:color="auto" w:fill="auto"/>
          </w:tcPr>
          <w:p w:rsidR="0049577B" w:rsidRPr="00AA03F8" w:rsidRDefault="0049577B" w:rsidP="00817A92">
            <w:pPr>
              <w:jc w:val="center"/>
              <w:rPr>
                <w:sz w:val="24"/>
              </w:rPr>
            </w:pPr>
            <w:r w:rsidRPr="00AA03F8">
              <w:rPr>
                <w:sz w:val="24"/>
              </w:rPr>
              <w:t>10306.00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89</w:t>
            </w:r>
          </w:p>
        </w:tc>
        <w:tc>
          <w:tcPr>
            <w:tcW w:w="3090" w:type="dxa"/>
            <w:shd w:val="clear" w:color="auto" w:fill="auto"/>
          </w:tcPr>
          <w:p w:rsidR="0049577B" w:rsidRPr="00AA03F8" w:rsidRDefault="0049577B" w:rsidP="00817A92">
            <w:pPr>
              <w:jc w:val="center"/>
              <w:rPr>
                <w:sz w:val="24"/>
              </w:rPr>
            </w:pPr>
            <w:r w:rsidRPr="00AA03F8">
              <w:rPr>
                <w:sz w:val="24"/>
              </w:rPr>
              <w:t>10306.00</w:t>
            </w:r>
          </w:p>
        </w:tc>
        <w:tc>
          <w:tcPr>
            <w:tcW w:w="4706" w:type="dxa"/>
            <w:shd w:val="clear" w:color="auto" w:fill="auto"/>
          </w:tcPr>
          <w:p w:rsidR="0049577B" w:rsidRPr="00AA03F8" w:rsidRDefault="0049577B" w:rsidP="00817A92">
            <w:pPr>
              <w:jc w:val="center"/>
              <w:rPr>
                <w:sz w:val="24"/>
              </w:rPr>
            </w:pPr>
            <w:r w:rsidRPr="00AA03F8">
              <w:rPr>
                <w:sz w:val="24"/>
              </w:rPr>
              <w:t>14327.00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90</w:t>
            </w:r>
          </w:p>
        </w:tc>
        <w:tc>
          <w:tcPr>
            <w:tcW w:w="3090" w:type="dxa"/>
            <w:shd w:val="clear" w:color="auto" w:fill="auto"/>
          </w:tcPr>
          <w:p w:rsidR="0049577B" w:rsidRPr="00AA03F8" w:rsidRDefault="0049577B" w:rsidP="00817A92">
            <w:pPr>
              <w:jc w:val="center"/>
              <w:rPr>
                <w:sz w:val="24"/>
              </w:rPr>
            </w:pPr>
            <w:r w:rsidRPr="00AA03F8">
              <w:rPr>
                <w:sz w:val="24"/>
              </w:rPr>
              <w:t>14327.00</w:t>
            </w:r>
          </w:p>
        </w:tc>
        <w:tc>
          <w:tcPr>
            <w:tcW w:w="4706" w:type="dxa"/>
            <w:shd w:val="clear" w:color="auto" w:fill="auto"/>
          </w:tcPr>
          <w:p w:rsidR="0049577B" w:rsidRPr="00AA03F8" w:rsidRDefault="0049577B" w:rsidP="00817A92">
            <w:pPr>
              <w:jc w:val="center"/>
              <w:rPr>
                <w:sz w:val="24"/>
              </w:rPr>
            </w:pPr>
            <w:r w:rsidRPr="00AA03F8">
              <w:rPr>
                <w:sz w:val="24"/>
              </w:rPr>
              <w:t>14895.00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91</w:t>
            </w:r>
          </w:p>
        </w:tc>
        <w:tc>
          <w:tcPr>
            <w:tcW w:w="3090" w:type="dxa"/>
            <w:shd w:val="clear" w:color="auto" w:fill="auto"/>
          </w:tcPr>
          <w:p w:rsidR="0049577B" w:rsidRPr="00AA03F8" w:rsidRDefault="0049577B" w:rsidP="00817A92">
            <w:pPr>
              <w:jc w:val="center"/>
              <w:rPr>
                <w:sz w:val="24"/>
              </w:rPr>
            </w:pPr>
            <w:r w:rsidRPr="00AA03F8">
              <w:rPr>
                <w:sz w:val="24"/>
              </w:rPr>
              <w:t>14895.00</w:t>
            </w:r>
          </w:p>
        </w:tc>
        <w:tc>
          <w:tcPr>
            <w:tcW w:w="4706" w:type="dxa"/>
            <w:shd w:val="clear" w:color="auto" w:fill="auto"/>
          </w:tcPr>
          <w:p w:rsidR="0049577B" w:rsidRPr="00AA03F8" w:rsidRDefault="0049577B" w:rsidP="00817A92">
            <w:pPr>
              <w:jc w:val="center"/>
              <w:rPr>
                <w:sz w:val="24"/>
              </w:rPr>
            </w:pPr>
            <w:r w:rsidRPr="00AA03F8">
              <w:rPr>
                <w:sz w:val="24"/>
              </w:rPr>
              <w:t>12966.00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92</w:t>
            </w:r>
          </w:p>
        </w:tc>
        <w:tc>
          <w:tcPr>
            <w:tcW w:w="3090" w:type="dxa"/>
            <w:shd w:val="clear" w:color="auto" w:fill="auto"/>
          </w:tcPr>
          <w:p w:rsidR="0049577B" w:rsidRPr="00AA03F8" w:rsidRDefault="0049577B" w:rsidP="00817A92">
            <w:pPr>
              <w:jc w:val="center"/>
              <w:rPr>
                <w:sz w:val="24"/>
              </w:rPr>
            </w:pPr>
            <w:r w:rsidRPr="00AA03F8">
              <w:rPr>
                <w:sz w:val="24"/>
              </w:rPr>
              <w:t>12966.00</w:t>
            </w:r>
          </w:p>
        </w:tc>
        <w:tc>
          <w:tcPr>
            <w:tcW w:w="4706" w:type="dxa"/>
            <w:shd w:val="clear" w:color="auto" w:fill="auto"/>
          </w:tcPr>
          <w:p w:rsidR="0049577B" w:rsidRPr="00AA03F8" w:rsidRDefault="0049577B" w:rsidP="00817A92">
            <w:pPr>
              <w:jc w:val="center"/>
              <w:rPr>
                <w:sz w:val="24"/>
              </w:rPr>
            </w:pPr>
            <w:r w:rsidRPr="00AA03F8">
              <w:rPr>
                <w:sz w:val="24"/>
              </w:rPr>
              <w:t>12706.00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93</w:t>
            </w:r>
          </w:p>
        </w:tc>
        <w:tc>
          <w:tcPr>
            <w:tcW w:w="3090" w:type="dxa"/>
            <w:shd w:val="clear" w:color="auto" w:fill="auto"/>
          </w:tcPr>
          <w:p w:rsidR="0049577B" w:rsidRPr="00AA03F8" w:rsidRDefault="0049577B" w:rsidP="00817A92">
            <w:pPr>
              <w:jc w:val="center"/>
              <w:rPr>
                <w:sz w:val="24"/>
              </w:rPr>
            </w:pPr>
            <w:r w:rsidRPr="00AA03F8">
              <w:rPr>
                <w:sz w:val="24"/>
              </w:rPr>
              <w:t>12706.00</w:t>
            </w:r>
          </w:p>
        </w:tc>
        <w:tc>
          <w:tcPr>
            <w:tcW w:w="4706" w:type="dxa"/>
            <w:shd w:val="clear" w:color="auto" w:fill="auto"/>
          </w:tcPr>
          <w:p w:rsidR="0049577B" w:rsidRPr="00AA03F8" w:rsidRDefault="0049577B" w:rsidP="00817A92">
            <w:pPr>
              <w:jc w:val="center"/>
              <w:rPr>
                <w:sz w:val="24"/>
              </w:rPr>
            </w:pPr>
            <w:r w:rsidRPr="00AA03F8">
              <w:rPr>
                <w:sz w:val="24"/>
              </w:rPr>
              <w:t>14301.00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94</w:t>
            </w:r>
          </w:p>
        </w:tc>
        <w:tc>
          <w:tcPr>
            <w:tcW w:w="3090" w:type="dxa"/>
            <w:shd w:val="clear" w:color="auto" w:fill="auto"/>
          </w:tcPr>
          <w:p w:rsidR="0049577B" w:rsidRPr="00AA03F8" w:rsidRDefault="0049577B" w:rsidP="00817A92">
            <w:pPr>
              <w:jc w:val="center"/>
              <w:rPr>
                <w:sz w:val="24"/>
              </w:rPr>
            </w:pPr>
            <w:r w:rsidRPr="00AA03F8">
              <w:rPr>
                <w:sz w:val="24"/>
              </w:rPr>
              <w:t>14301.00</w:t>
            </w:r>
          </w:p>
        </w:tc>
        <w:tc>
          <w:tcPr>
            <w:tcW w:w="4706" w:type="dxa"/>
            <w:shd w:val="clear" w:color="auto" w:fill="auto"/>
          </w:tcPr>
          <w:p w:rsidR="0049577B" w:rsidRPr="00AA03F8" w:rsidRDefault="0049577B" w:rsidP="00817A92">
            <w:pPr>
              <w:jc w:val="center"/>
              <w:rPr>
                <w:sz w:val="24"/>
              </w:rPr>
            </w:pPr>
            <w:r w:rsidRPr="00AA03F8">
              <w:rPr>
                <w:sz w:val="24"/>
              </w:rPr>
              <w:t>12226.00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95</w:t>
            </w:r>
          </w:p>
        </w:tc>
        <w:tc>
          <w:tcPr>
            <w:tcW w:w="3090" w:type="dxa"/>
            <w:shd w:val="clear" w:color="auto" w:fill="auto"/>
          </w:tcPr>
          <w:p w:rsidR="0049577B" w:rsidRPr="00AA03F8" w:rsidRDefault="0049577B" w:rsidP="00817A92">
            <w:pPr>
              <w:jc w:val="center"/>
              <w:rPr>
                <w:sz w:val="24"/>
              </w:rPr>
            </w:pPr>
            <w:r w:rsidRPr="00AA03F8">
              <w:rPr>
                <w:sz w:val="24"/>
              </w:rPr>
              <w:t>12226.00</w:t>
            </w:r>
          </w:p>
        </w:tc>
        <w:tc>
          <w:tcPr>
            <w:tcW w:w="4706" w:type="dxa"/>
            <w:shd w:val="clear" w:color="auto" w:fill="auto"/>
          </w:tcPr>
          <w:p w:rsidR="0049577B" w:rsidRPr="00AA03F8" w:rsidRDefault="0049577B" w:rsidP="00817A92">
            <w:pPr>
              <w:jc w:val="center"/>
              <w:rPr>
                <w:sz w:val="24"/>
              </w:rPr>
            </w:pPr>
            <w:r w:rsidRPr="00AA03F8">
              <w:rPr>
                <w:sz w:val="24"/>
              </w:rPr>
              <w:t>9534.00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96</w:t>
            </w:r>
          </w:p>
        </w:tc>
        <w:tc>
          <w:tcPr>
            <w:tcW w:w="3090" w:type="dxa"/>
            <w:shd w:val="clear" w:color="auto" w:fill="auto"/>
          </w:tcPr>
          <w:p w:rsidR="0049577B" w:rsidRPr="00AA03F8" w:rsidRDefault="0049577B" w:rsidP="00817A92">
            <w:pPr>
              <w:jc w:val="center"/>
              <w:rPr>
                <w:sz w:val="24"/>
              </w:rPr>
            </w:pPr>
            <w:r w:rsidRPr="00AA03F8">
              <w:rPr>
                <w:sz w:val="24"/>
              </w:rPr>
              <w:t>9534.00</w:t>
            </w:r>
          </w:p>
        </w:tc>
        <w:tc>
          <w:tcPr>
            <w:tcW w:w="4706" w:type="dxa"/>
            <w:shd w:val="clear" w:color="auto" w:fill="auto"/>
          </w:tcPr>
          <w:p w:rsidR="0049577B" w:rsidRPr="00AA03F8" w:rsidRDefault="0049577B" w:rsidP="00817A92">
            <w:pPr>
              <w:jc w:val="center"/>
              <w:rPr>
                <w:sz w:val="24"/>
              </w:rPr>
            </w:pPr>
            <w:r w:rsidRPr="00AA03F8">
              <w:rPr>
                <w:sz w:val="24"/>
              </w:rPr>
              <w:t>8117.00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97</w:t>
            </w:r>
          </w:p>
        </w:tc>
        <w:tc>
          <w:tcPr>
            <w:tcW w:w="3090" w:type="dxa"/>
            <w:shd w:val="clear" w:color="auto" w:fill="auto"/>
          </w:tcPr>
          <w:p w:rsidR="0049577B" w:rsidRPr="00AA03F8" w:rsidRDefault="0049577B" w:rsidP="00817A92">
            <w:pPr>
              <w:jc w:val="center"/>
              <w:rPr>
                <w:sz w:val="24"/>
              </w:rPr>
            </w:pPr>
            <w:r w:rsidRPr="00AA03F8">
              <w:rPr>
                <w:sz w:val="24"/>
              </w:rPr>
              <w:t>8117.00</w:t>
            </w:r>
          </w:p>
        </w:tc>
        <w:tc>
          <w:tcPr>
            <w:tcW w:w="4706" w:type="dxa"/>
            <w:shd w:val="clear" w:color="auto" w:fill="auto"/>
          </w:tcPr>
          <w:p w:rsidR="0049577B" w:rsidRPr="00AA03F8" w:rsidRDefault="0049577B" w:rsidP="00817A92">
            <w:pPr>
              <w:jc w:val="center"/>
              <w:rPr>
                <w:sz w:val="24"/>
              </w:rPr>
            </w:pPr>
            <w:r w:rsidRPr="00AA03F8">
              <w:rPr>
                <w:sz w:val="24"/>
              </w:rPr>
              <w:t>6764.00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98</w:t>
            </w:r>
          </w:p>
        </w:tc>
        <w:tc>
          <w:tcPr>
            <w:tcW w:w="3090" w:type="dxa"/>
            <w:shd w:val="clear" w:color="auto" w:fill="auto"/>
          </w:tcPr>
          <w:p w:rsidR="0049577B" w:rsidRPr="00AA03F8" w:rsidRDefault="0049577B" w:rsidP="00817A92">
            <w:pPr>
              <w:jc w:val="center"/>
              <w:rPr>
                <w:sz w:val="24"/>
              </w:rPr>
            </w:pPr>
            <w:r w:rsidRPr="00AA03F8">
              <w:rPr>
                <w:sz w:val="24"/>
              </w:rPr>
              <w:t>6764.00</w:t>
            </w:r>
          </w:p>
        </w:tc>
        <w:tc>
          <w:tcPr>
            <w:tcW w:w="4706" w:type="dxa"/>
            <w:shd w:val="clear" w:color="auto" w:fill="auto"/>
          </w:tcPr>
          <w:p w:rsidR="0049577B" w:rsidRPr="00AA03F8" w:rsidRDefault="0049577B" w:rsidP="00817A92">
            <w:pPr>
              <w:jc w:val="center"/>
              <w:rPr>
                <w:sz w:val="24"/>
              </w:rPr>
            </w:pPr>
            <w:r w:rsidRPr="00AA03F8">
              <w:rPr>
                <w:sz w:val="24"/>
              </w:rPr>
              <w:t>5312.00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99</w:t>
            </w:r>
          </w:p>
        </w:tc>
        <w:tc>
          <w:tcPr>
            <w:tcW w:w="3090" w:type="dxa"/>
            <w:shd w:val="clear" w:color="auto" w:fill="auto"/>
          </w:tcPr>
          <w:p w:rsidR="0049577B" w:rsidRPr="00AA03F8" w:rsidRDefault="0049577B" w:rsidP="00817A92">
            <w:pPr>
              <w:jc w:val="center"/>
              <w:rPr>
                <w:sz w:val="24"/>
              </w:rPr>
            </w:pPr>
            <w:r w:rsidRPr="00AA03F8">
              <w:rPr>
                <w:sz w:val="24"/>
              </w:rPr>
              <w:t>5312.00</w:t>
            </w:r>
          </w:p>
        </w:tc>
        <w:tc>
          <w:tcPr>
            <w:tcW w:w="4706" w:type="dxa"/>
            <w:shd w:val="clear" w:color="auto" w:fill="auto"/>
          </w:tcPr>
          <w:p w:rsidR="0049577B" w:rsidRPr="00AA03F8" w:rsidRDefault="0049577B" w:rsidP="00817A92">
            <w:pPr>
              <w:jc w:val="center"/>
              <w:rPr>
                <w:sz w:val="24"/>
              </w:rPr>
            </w:pPr>
            <w:r w:rsidRPr="00AA03F8">
              <w:rPr>
                <w:sz w:val="24"/>
              </w:rPr>
              <w:t>4190.00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100</w:t>
            </w:r>
          </w:p>
        </w:tc>
        <w:tc>
          <w:tcPr>
            <w:tcW w:w="3090" w:type="dxa"/>
            <w:shd w:val="clear" w:color="auto" w:fill="auto"/>
          </w:tcPr>
          <w:p w:rsidR="0049577B" w:rsidRPr="00AA03F8" w:rsidRDefault="0049577B" w:rsidP="00817A92">
            <w:pPr>
              <w:jc w:val="center"/>
              <w:rPr>
                <w:sz w:val="24"/>
              </w:rPr>
            </w:pPr>
            <w:r w:rsidRPr="00AA03F8">
              <w:rPr>
                <w:sz w:val="24"/>
              </w:rPr>
              <w:t>4190.00</w:t>
            </w:r>
          </w:p>
        </w:tc>
        <w:tc>
          <w:tcPr>
            <w:tcW w:w="4706" w:type="dxa"/>
            <w:shd w:val="clear" w:color="auto" w:fill="auto"/>
          </w:tcPr>
          <w:p w:rsidR="0049577B" w:rsidRPr="00AA03F8" w:rsidRDefault="0049577B" w:rsidP="00817A92">
            <w:pPr>
              <w:jc w:val="center"/>
              <w:rPr>
                <w:sz w:val="24"/>
              </w:rPr>
            </w:pPr>
            <w:r w:rsidRPr="00AA03F8">
              <w:rPr>
                <w:sz w:val="24"/>
              </w:rPr>
              <w:t>3461.00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101</w:t>
            </w:r>
          </w:p>
        </w:tc>
        <w:tc>
          <w:tcPr>
            <w:tcW w:w="3090" w:type="dxa"/>
            <w:shd w:val="clear" w:color="auto" w:fill="auto"/>
          </w:tcPr>
          <w:p w:rsidR="0049577B" w:rsidRPr="00AA03F8" w:rsidRDefault="0049577B" w:rsidP="00817A92">
            <w:pPr>
              <w:jc w:val="center"/>
              <w:rPr>
                <w:sz w:val="24"/>
              </w:rPr>
            </w:pPr>
            <w:r w:rsidRPr="00AA03F8">
              <w:rPr>
                <w:sz w:val="24"/>
              </w:rPr>
              <w:t>3461.00</w:t>
            </w:r>
          </w:p>
        </w:tc>
        <w:tc>
          <w:tcPr>
            <w:tcW w:w="4706" w:type="dxa"/>
            <w:shd w:val="clear" w:color="auto" w:fill="auto"/>
          </w:tcPr>
          <w:p w:rsidR="0049577B" w:rsidRPr="00AA03F8" w:rsidRDefault="0049577B" w:rsidP="00817A92">
            <w:pPr>
              <w:jc w:val="center"/>
              <w:rPr>
                <w:sz w:val="24"/>
              </w:rPr>
            </w:pPr>
            <w:r w:rsidRPr="00AA03F8">
              <w:rPr>
                <w:sz w:val="24"/>
              </w:rPr>
              <w:t>2525.00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102</w:t>
            </w:r>
          </w:p>
        </w:tc>
        <w:tc>
          <w:tcPr>
            <w:tcW w:w="3090" w:type="dxa"/>
            <w:shd w:val="clear" w:color="auto" w:fill="auto"/>
          </w:tcPr>
          <w:p w:rsidR="0049577B" w:rsidRPr="00AA03F8" w:rsidRDefault="0049577B" w:rsidP="00817A92">
            <w:pPr>
              <w:jc w:val="center"/>
              <w:rPr>
                <w:sz w:val="24"/>
              </w:rPr>
            </w:pPr>
            <w:r w:rsidRPr="00AA03F8">
              <w:rPr>
                <w:sz w:val="24"/>
              </w:rPr>
              <w:t>2525.00</w:t>
            </w:r>
          </w:p>
        </w:tc>
        <w:tc>
          <w:tcPr>
            <w:tcW w:w="4706" w:type="dxa"/>
            <w:shd w:val="clear" w:color="auto" w:fill="auto"/>
          </w:tcPr>
          <w:p w:rsidR="0049577B" w:rsidRPr="00AA03F8" w:rsidRDefault="0049577B" w:rsidP="00817A92">
            <w:pPr>
              <w:jc w:val="center"/>
              <w:rPr>
                <w:sz w:val="24"/>
              </w:rPr>
            </w:pPr>
            <w:r w:rsidRPr="00AA03F8">
              <w:rPr>
                <w:sz w:val="24"/>
              </w:rPr>
              <w:t>2289.00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103</w:t>
            </w:r>
          </w:p>
        </w:tc>
        <w:tc>
          <w:tcPr>
            <w:tcW w:w="3090" w:type="dxa"/>
            <w:shd w:val="clear" w:color="auto" w:fill="auto"/>
          </w:tcPr>
          <w:p w:rsidR="0049577B" w:rsidRPr="00AA03F8" w:rsidRDefault="0049577B" w:rsidP="00817A92">
            <w:pPr>
              <w:jc w:val="center"/>
              <w:rPr>
                <w:sz w:val="24"/>
              </w:rPr>
            </w:pPr>
            <w:r w:rsidRPr="00AA03F8">
              <w:rPr>
                <w:sz w:val="24"/>
              </w:rPr>
              <w:t>2289.00</w:t>
            </w:r>
          </w:p>
        </w:tc>
        <w:tc>
          <w:tcPr>
            <w:tcW w:w="4706" w:type="dxa"/>
            <w:shd w:val="clear" w:color="auto" w:fill="auto"/>
          </w:tcPr>
          <w:p w:rsidR="0049577B" w:rsidRPr="00AA03F8" w:rsidRDefault="0049577B" w:rsidP="00817A92">
            <w:pPr>
              <w:jc w:val="center"/>
              <w:rPr>
                <w:sz w:val="24"/>
              </w:rPr>
            </w:pPr>
            <w:r w:rsidRPr="00AA03F8">
              <w:rPr>
                <w:sz w:val="24"/>
              </w:rPr>
              <w:t>1956.00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104</w:t>
            </w:r>
          </w:p>
        </w:tc>
        <w:tc>
          <w:tcPr>
            <w:tcW w:w="3090" w:type="dxa"/>
            <w:shd w:val="clear" w:color="auto" w:fill="auto"/>
          </w:tcPr>
          <w:p w:rsidR="0049577B" w:rsidRPr="00AA03F8" w:rsidRDefault="0049577B" w:rsidP="00817A92">
            <w:pPr>
              <w:jc w:val="center"/>
              <w:rPr>
                <w:sz w:val="24"/>
              </w:rPr>
            </w:pPr>
            <w:r w:rsidRPr="00AA03F8">
              <w:rPr>
                <w:sz w:val="24"/>
              </w:rPr>
              <w:t>1956.00</w:t>
            </w:r>
          </w:p>
        </w:tc>
        <w:tc>
          <w:tcPr>
            <w:tcW w:w="4706" w:type="dxa"/>
            <w:shd w:val="clear" w:color="auto" w:fill="auto"/>
          </w:tcPr>
          <w:p w:rsidR="0049577B" w:rsidRPr="00AA03F8" w:rsidRDefault="0049577B" w:rsidP="00817A92">
            <w:pPr>
              <w:jc w:val="center"/>
              <w:rPr>
                <w:sz w:val="24"/>
              </w:rPr>
            </w:pPr>
            <w:r w:rsidRPr="00AA03F8">
              <w:rPr>
                <w:sz w:val="24"/>
              </w:rPr>
              <w:t>1627.00</w:t>
            </w:r>
          </w:p>
        </w:tc>
      </w:tr>
      <w:tr w:rsidR="0049577B" w:rsidRPr="00B40DC1" w:rsidTr="00817A92">
        <w:tc>
          <w:tcPr>
            <w:tcW w:w="1980" w:type="dxa"/>
            <w:shd w:val="clear" w:color="auto" w:fill="auto"/>
          </w:tcPr>
          <w:p w:rsidR="0049577B" w:rsidRPr="00AA03F8" w:rsidRDefault="0049577B" w:rsidP="00817A92">
            <w:pPr>
              <w:jc w:val="center"/>
              <w:rPr>
                <w:sz w:val="24"/>
              </w:rPr>
            </w:pPr>
            <w:r w:rsidRPr="00AA03F8">
              <w:rPr>
                <w:sz w:val="24"/>
              </w:rPr>
              <w:t>105</w:t>
            </w:r>
          </w:p>
        </w:tc>
        <w:tc>
          <w:tcPr>
            <w:tcW w:w="3090" w:type="dxa"/>
            <w:shd w:val="clear" w:color="auto" w:fill="auto"/>
          </w:tcPr>
          <w:p w:rsidR="0049577B" w:rsidRPr="00AA03F8" w:rsidRDefault="0049577B" w:rsidP="00817A92">
            <w:pPr>
              <w:jc w:val="center"/>
              <w:rPr>
                <w:sz w:val="24"/>
              </w:rPr>
            </w:pPr>
            <w:r w:rsidRPr="00AA03F8">
              <w:rPr>
                <w:sz w:val="24"/>
              </w:rPr>
              <w:t>1627.00</w:t>
            </w:r>
          </w:p>
        </w:tc>
        <w:tc>
          <w:tcPr>
            <w:tcW w:w="4706" w:type="dxa"/>
            <w:shd w:val="clear" w:color="auto" w:fill="auto"/>
          </w:tcPr>
          <w:p w:rsidR="0049577B" w:rsidRPr="00AA03F8" w:rsidRDefault="0049577B" w:rsidP="00817A92">
            <w:pPr>
              <w:jc w:val="center"/>
              <w:rPr>
                <w:sz w:val="24"/>
              </w:rPr>
            </w:pPr>
          </w:p>
        </w:tc>
      </w:tr>
    </w:tbl>
    <w:p w:rsidR="0049577B" w:rsidRPr="00B40DC1" w:rsidRDefault="00817A92" w:rsidP="00D20F89">
      <w:pPr>
        <w:spacing w:line="240" w:lineRule="auto"/>
        <w:ind w:leftChars="0" w:left="0" w:rightChars="0" w:right="0"/>
      </w:pPr>
      <w:r>
        <w:t>【資料來源】</w:t>
      </w:r>
      <w:r w:rsidR="0049577B" w:rsidRPr="00B40DC1">
        <w:t>本表之原始數據資料來源如下---中華民國統計資訊網(2018)；法務部統計處(2018)；行政院主計總處(2018)；內政部統計處(2018)；內政部警政署(2018)；內政部警政署刑事警察局(2018)；台灣人權促進會(2018)。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D20F89">
      <w:pPr>
        <w:spacing w:line="240" w:lineRule="auto"/>
        <w:ind w:leftChars="0" w:left="0" w:rightChars="0" w:right="0"/>
      </w:pPr>
    </w:p>
    <w:p w:rsidR="0049577B" w:rsidRPr="00B40DC1" w:rsidRDefault="00817A92" w:rsidP="00D20F89">
      <w:pPr>
        <w:spacing w:line="240" w:lineRule="auto"/>
        <w:ind w:leftChars="0" w:left="0" w:rightChars="0" w:right="0"/>
      </w:pPr>
      <w:r>
        <w:t xml:space="preserve">　　</w:t>
      </w:r>
      <w:r w:rsidR="0049577B" w:rsidRPr="00B40DC1">
        <w:t>由下表1992年至2016年間之死刑執行人數與當年度暴力犯罪發生件數、下年度暴力犯罪發生件數Pearson相關表可得知，死刑執行人數與當年度暴力犯罪發生件數，兩者之相關性，未達統計上之顯著水準。死刑執行人數與下年度暴力犯罪發生件數，兩者之相關性，則是達統計上之顯著水準，且是正相關(Pearson相關=0.376</w:t>
      </w:r>
      <w:r w:rsidR="001E5891" w:rsidRPr="001E5891">
        <w:rPr>
          <w:rFonts w:hint="eastAsia"/>
          <w:sz w:val="20"/>
          <w:szCs w:val="20"/>
        </w:rPr>
        <w:t>＊</w:t>
      </w:r>
      <w:r w:rsidR="0049577B" w:rsidRPr="00B40DC1">
        <w:t>)。亦即，死刑執行人數愈多，下年度暴力犯罪發生件數即愈多。非常重要之點，乃為已達到統計上之相關性(p=.035&lt;0.05)。</w:t>
      </w:r>
    </w:p>
    <w:p w:rsidR="0049577B" w:rsidRPr="00B40DC1" w:rsidRDefault="003C20F7" w:rsidP="003C20F7">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表8、1992年至2016年間之死刑執行人數與當年度暴力犯罪發生件數、下年度暴力犯罪發生件數Pearson 相關表</w:t>
      </w:r>
    </w:p>
    <w:tbl>
      <w:tblPr>
        <w:tblW w:w="9771"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3"/>
        <w:gridCol w:w="2000"/>
        <w:gridCol w:w="977"/>
        <w:gridCol w:w="2480"/>
        <w:gridCol w:w="2481"/>
      </w:tblGrid>
      <w:tr w:rsidR="0049577B" w:rsidRPr="00B40DC1" w:rsidTr="00D20F89">
        <w:trPr>
          <w:cantSplit/>
        </w:trPr>
        <w:tc>
          <w:tcPr>
            <w:tcW w:w="3833" w:type="dxa"/>
            <w:gridSpan w:val="2"/>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AA03F8" w:rsidRDefault="0049577B" w:rsidP="00D20F89">
            <w:pPr>
              <w:spacing w:line="240" w:lineRule="auto"/>
              <w:ind w:leftChars="0" w:left="0" w:rightChars="0" w:right="0"/>
              <w:rPr>
                <w:sz w:val="24"/>
              </w:rPr>
            </w:pPr>
          </w:p>
        </w:tc>
        <w:tc>
          <w:tcPr>
            <w:tcW w:w="977" w:type="dxa"/>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AA03F8" w:rsidRDefault="0049577B" w:rsidP="00D20F89">
            <w:pPr>
              <w:spacing w:line="240" w:lineRule="auto"/>
              <w:ind w:leftChars="0" w:left="0" w:rightChars="0" w:right="0"/>
              <w:jc w:val="center"/>
              <w:rPr>
                <w:sz w:val="24"/>
              </w:rPr>
            </w:pPr>
            <w:r w:rsidRPr="00AA03F8">
              <w:rPr>
                <w:sz w:val="24"/>
              </w:rPr>
              <w:t>死刑執行人數</w:t>
            </w:r>
          </w:p>
        </w:tc>
        <w:tc>
          <w:tcPr>
            <w:tcW w:w="2480" w:type="dxa"/>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AA03F8" w:rsidRDefault="0049577B" w:rsidP="00D20F89">
            <w:pPr>
              <w:spacing w:line="240" w:lineRule="auto"/>
              <w:ind w:leftChars="0" w:left="0" w:rightChars="0" w:right="0"/>
              <w:jc w:val="center"/>
              <w:rPr>
                <w:sz w:val="24"/>
              </w:rPr>
            </w:pPr>
            <w:r w:rsidRPr="00AA03F8">
              <w:rPr>
                <w:sz w:val="24"/>
              </w:rPr>
              <w:t>當年度暴力犯罪發生件數(violence)</w:t>
            </w:r>
          </w:p>
        </w:tc>
        <w:tc>
          <w:tcPr>
            <w:tcW w:w="2481" w:type="dxa"/>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AA03F8" w:rsidRDefault="0049577B" w:rsidP="00D20F89">
            <w:pPr>
              <w:spacing w:line="240" w:lineRule="auto"/>
              <w:ind w:leftChars="0" w:left="0" w:rightChars="0" w:right="0"/>
              <w:jc w:val="center"/>
              <w:rPr>
                <w:sz w:val="24"/>
              </w:rPr>
            </w:pPr>
            <w:r w:rsidRPr="00AA03F8">
              <w:rPr>
                <w:sz w:val="24"/>
              </w:rPr>
              <w:t>下年度暴力犯罪發生件數(violencenext)</w:t>
            </w:r>
          </w:p>
        </w:tc>
      </w:tr>
      <w:tr w:rsidR="0049577B" w:rsidRPr="00B40DC1" w:rsidTr="00D20F89">
        <w:trPr>
          <w:cantSplit/>
        </w:trPr>
        <w:tc>
          <w:tcPr>
            <w:tcW w:w="1833"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死刑執行人數</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Pearson 相關</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1</w:t>
            </w:r>
          </w:p>
        </w:tc>
        <w:tc>
          <w:tcPr>
            <w:tcW w:w="248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.329</w:t>
            </w:r>
          </w:p>
        </w:tc>
        <w:tc>
          <w:tcPr>
            <w:tcW w:w="2481"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.376</w:t>
            </w:r>
            <w:r w:rsidR="001E5891" w:rsidRPr="001E5891">
              <w:rPr>
                <w:rFonts w:hint="eastAsia"/>
                <w:sz w:val="20"/>
                <w:szCs w:val="20"/>
              </w:rPr>
              <w:t>＊</w:t>
            </w:r>
          </w:p>
        </w:tc>
      </w:tr>
      <w:tr w:rsidR="0049577B" w:rsidRPr="00B40DC1" w:rsidTr="00D20F89">
        <w:trPr>
          <w:cantSplit/>
        </w:trPr>
        <w:tc>
          <w:tcPr>
            <w:tcW w:w="1833"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顯著性</w:t>
            </w:r>
            <w:r w:rsidR="003C1792" w:rsidRPr="00AA03F8">
              <w:rPr>
                <w:sz w:val="24"/>
              </w:rPr>
              <w:t>(</w:t>
            </w:r>
            <w:r w:rsidRPr="00AA03F8">
              <w:rPr>
                <w:sz w:val="24"/>
              </w:rPr>
              <w:t>單尾)</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AA03F8" w:rsidRDefault="0049577B" w:rsidP="00D20F89">
            <w:pPr>
              <w:spacing w:line="240" w:lineRule="auto"/>
              <w:ind w:leftChars="0" w:left="0" w:rightChars="0" w:right="0"/>
              <w:jc w:val="center"/>
              <w:rPr>
                <w:sz w:val="24"/>
              </w:rPr>
            </w:pPr>
          </w:p>
        </w:tc>
        <w:tc>
          <w:tcPr>
            <w:tcW w:w="248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.054</w:t>
            </w:r>
          </w:p>
        </w:tc>
        <w:tc>
          <w:tcPr>
            <w:tcW w:w="2481"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.035</w:t>
            </w:r>
          </w:p>
        </w:tc>
      </w:tr>
      <w:tr w:rsidR="0049577B" w:rsidRPr="00B40DC1" w:rsidTr="00D20F89">
        <w:trPr>
          <w:cantSplit/>
        </w:trPr>
        <w:tc>
          <w:tcPr>
            <w:tcW w:w="1833"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個數</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25</w:t>
            </w:r>
          </w:p>
        </w:tc>
        <w:tc>
          <w:tcPr>
            <w:tcW w:w="248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25</w:t>
            </w:r>
          </w:p>
        </w:tc>
        <w:tc>
          <w:tcPr>
            <w:tcW w:w="2481"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24</w:t>
            </w:r>
          </w:p>
        </w:tc>
      </w:tr>
      <w:tr w:rsidR="0049577B" w:rsidRPr="00B40DC1" w:rsidTr="00D20F89">
        <w:trPr>
          <w:cantSplit/>
        </w:trPr>
        <w:tc>
          <w:tcPr>
            <w:tcW w:w="1833"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151AD5">
            <w:pPr>
              <w:spacing w:line="240" w:lineRule="auto"/>
              <w:ind w:leftChars="0" w:left="0" w:rightChars="53" w:right="138"/>
              <w:rPr>
                <w:sz w:val="24"/>
              </w:rPr>
            </w:pPr>
            <w:r w:rsidRPr="00AA03F8">
              <w:rPr>
                <w:sz w:val="24"/>
              </w:rPr>
              <w:t>當年度暴力犯罪發生件數(violence)</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Pearson 相關</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.329</w:t>
            </w:r>
          </w:p>
        </w:tc>
        <w:tc>
          <w:tcPr>
            <w:tcW w:w="248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1</w:t>
            </w:r>
          </w:p>
        </w:tc>
        <w:tc>
          <w:tcPr>
            <w:tcW w:w="2481"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.875</w:t>
            </w:r>
            <w:r w:rsidR="001E5891" w:rsidRPr="001E5891">
              <w:rPr>
                <w:rFonts w:hint="eastAsia"/>
                <w:sz w:val="20"/>
                <w:szCs w:val="20"/>
              </w:rPr>
              <w:t>＊＊</w:t>
            </w:r>
          </w:p>
        </w:tc>
      </w:tr>
      <w:tr w:rsidR="0049577B" w:rsidRPr="00B40DC1" w:rsidTr="00D20F89">
        <w:trPr>
          <w:cantSplit/>
        </w:trPr>
        <w:tc>
          <w:tcPr>
            <w:tcW w:w="1833"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151AD5">
            <w:pPr>
              <w:spacing w:line="240" w:lineRule="auto"/>
              <w:ind w:leftChars="0" w:left="0" w:rightChars="53" w:right="138"/>
              <w:rPr>
                <w:sz w:val="24"/>
              </w:rPr>
            </w:pP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顯著性</w:t>
            </w:r>
            <w:r w:rsidR="003C1792" w:rsidRPr="00AA03F8">
              <w:rPr>
                <w:sz w:val="24"/>
              </w:rPr>
              <w:t>(</w:t>
            </w:r>
            <w:r w:rsidRPr="00AA03F8">
              <w:rPr>
                <w:sz w:val="24"/>
              </w:rPr>
              <w:t>單尾)</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.054</w:t>
            </w:r>
          </w:p>
        </w:tc>
        <w:tc>
          <w:tcPr>
            <w:tcW w:w="248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AA03F8" w:rsidRDefault="0049577B" w:rsidP="00D20F89">
            <w:pPr>
              <w:spacing w:line="240" w:lineRule="auto"/>
              <w:ind w:leftChars="0" w:left="0" w:rightChars="0" w:right="0"/>
              <w:jc w:val="center"/>
              <w:rPr>
                <w:sz w:val="24"/>
              </w:rPr>
            </w:pPr>
          </w:p>
        </w:tc>
        <w:tc>
          <w:tcPr>
            <w:tcW w:w="2481"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.000</w:t>
            </w:r>
          </w:p>
        </w:tc>
      </w:tr>
      <w:tr w:rsidR="0049577B" w:rsidRPr="00B40DC1" w:rsidTr="00D20F89">
        <w:trPr>
          <w:cantSplit/>
        </w:trPr>
        <w:tc>
          <w:tcPr>
            <w:tcW w:w="1833"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151AD5">
            <w:pPr>
              <w:spacing w:line="240" w:lineRule="auto"/>
              <w:ind w:leftChars="0" w:left="0" w:rightChars="53" w:right="138"/>
              <w:rPr>
                <w:sz w:val="24"/>
              </w:rPr>
            </w:pP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個數</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25</w:t>
            </w:r>
          </w:p>
        </w:tc>
        <w:tc>
          <w:tcPr>
            <w:tcW w:w="248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25</w:t>
            </w:r>
          </w:p>
        </w:tc>
        <w:tc>
          <w:tcPr>
            <w:tcW w:w="2481"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24</w:t>
            </w:r>
          </w:p>
        </w:tc>
      </w:tr>
      <w:tr w:rsidR="0049577B" w:rsidRPr="00B40DC1" w:rsidTr="00D20F89">
        <w:trPr>
          <w:cantSplit/>
        </w:trPr>
        <w:tc>
          <w:tcPr>
            <w:tcW w:w="1833"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151AD5">
            <w:pPr>
              <w:spacing w:line="240" w:lineRule="auto"/>
              <w:ind w:leftChars="0" w:left="0" w:rightChars="53" w:right="138"/>
              <w:rPr>
                <w:sz w:val="24"/>
              </w:rPr>
            </w:pPr>
            <w:r w:rsidRPr="00AA03F8">
              <w:rPr>
                <w:sz w:val="24"/>
              </w:rPr>
              <w:t>下年度暴力犯罪發生件數(violencenext)</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Pearson 相關</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.376</w:t>
            </w:r>
            <w:r w:rsidR="001E5891" w:rsidRPr="001E5891">
              <w:rPr>
                <w:rFonts w:hint="eastAsia"/>
                <w:sz w:val="20"/>
                <w:szCs w:val="20"/>
              </w:rPr>
              <w:t>＊</w:t>
            </w:r>
          </w:p>
        </w:tc>
        <w:tc>
          <w:tcPr>
            <w:tcW w:w="248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.875</w:t>
            </w:r>
            <w:r w:rsidR="001E5891" w:rsidRPr="001E5891">
              <w:rPr>
                <w:rFonts w:hint="eastAsia"/>
                <w:sz w:val="20"/>
                <w:szCs w:val="20"/>
              </w:rPr>
              <w:t>＊＊</w:t>
            </w:r>
          </w:p>
        </w:tc>
        <w:tc>
          <w:tcPr>
            <w:tcW w:w="2481"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1</w:t>
            </w:r>
          </w:p>
        </w:tc>
      </w:tr>
      <w:tr w:rsidR="0049577B" w:rsidRPr="00B40DC1" w:rsidTr="00D20F89">
        <w:trPr>
          <w:cantSplit/>
        </w:trPr>
        <w:tc>
          <w:tcPr>
            <w:tcW w:w="1833"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顯著性</w:t>
            </w:r>
            <w:r w:rsidR="003C1792" w:rsidRPr="00AA03F8">
              <w:rPr>
                <w:sz w:val="24"/>
              </w:rPr>
              <w:t>(</w:t>
            </w:r>
            <w:r w:rsidRPr="00AA03F8">
              <w:rPr>
                <w:sz w:val="24"/>
              </w:rPr>
              <w:t>單尾)</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.035</w:t>
            </w:r>
          </w:p>
        </w:tc>
        <w:tc>
          <w:tcPr>
            <w:tcW w:w="248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.000</w:t>
            </w:r>
          </w:p>
        </w:tc>
        <w:tc>
          <w:tcPr>
            <w:tcW w:w="2481"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AA03F8" w:rsidRDefault="0049577B" w:rsidP="00D20F89">
            <w:pPr>
              <w:spacing w:line="240" w:lineRule="auto"/>
              <w:ind w:leftChars="0" w:left="0" w:rightChars="0" w:right="0"/>
              <w:jc w:val="center"/>
              <w:rPr>
                <w:sz w:val="24"/>
              </w:rPr>
            </w:pPr>
          </w:p>
        </w:tc>
      </w:tr>
      <w:tr w:rsidR="0049577B" w:rsidRPr="00B40DC1" w:rsidTr="00D20F89">
        <w:trPr>
          <w:cantSplit/>
        </w:trPr>
        <w:tc>
          <w:tcPr>
            <w:tcW w:w="1833" w:type="dxa"/>
            <w:vMerge/>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142" w:rightChars="0" w:right="0"/>
              <w:rPr>
                <w:sz w:val="24"/>
              </w:rPr>
            </w:pPr>
            <w:r w:rsidRPr="00AA03F8">
              <w:rPr>
                <w:sz w:val="24"/>
              </w:rPr>
              <w:t>個數</w:t>
            </w:r>
          </w:p>
        </w:tc>
        <w:tc>
          <w:tcPr>
            <w:tcW w:w="977"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24</w:t>
            </w:r>
          </w:p>
        </w:tc>
        <w:tc>
          <w:tcPr>
            <w:tcW w:w="2480"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24</w:t>
            </w:r>
          </w:p>
        </w:tc>
        <w:tc>
          <w:tcPr>
            <w:tcW w:w="2481" w:type="dxa"/>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49577B" w:rsidP="00D20F89">
            <w:pPr>
              <w:spacing w:line="240" w:lineRule="auto"/>
              <w:ind w:leftChars="0" w:left="0" w:rightChars="0" w:right="0"/>
              <w:jc w:val="center"/>
              <w:rPr>
                <w:sz w:val="24"/>
              </w:rPr>
            </w:pPr>
            <w:r w:rsidRPr="00AA03F8">
              <w:rPr>
                <w:sz w:val="24"/>
              </w:rPr>
              <w:t>24</w:t>
            </w:r>
          </w:p>
        </w:tc>
      </w:tr>
      <w:tr w:rsidR="0049577B" w:rsidRPr="00B40DC1" w:rsidTr="00817A92">
        <w:trPr>
          <w:cantSplit/>
        </w:trPr>
        <w:tc>
          <w:tcPr>
            <w:tcW w:w="9771" w:type="dxa"/>
            <w:gridSpan w:val="5"/>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1E5891" w:rsidP="00D20F89">
            <w:pPr>
              <w:spacing w:line="240" w:lineRule="auto"/>
              <w:ind w:leftChars="0" w:left="0" w:rightChars="0" w:right="0"/>
              <w:rPr>
                <w:sz w:val="24"/>
              </w:rPr>
            </w:pPr>
            <w:r w:rsidRPr="001E5891">
              <w:rPr>
                <w:rFonts w:hint="eastAsia"/>
                <w:sz w:val="20"/>
                <w:szCs w:val="20"/>
              </w:rPr>
              <w:t>＊</w:t>
            </w:r>
            <w:r w:rsidR="003C1792" w:rsidRPr="00AA03F8">
              <w:rPr>
                <w:sz w:val="24"/>
              </w:rPr>
              <w:t>.</w:t>
            </w:r>
            <w:r w:rsidR="0049577B" w:rsidRPr="00AA03F8">
              <w:rPr>
                <w:sz w:val="24"/>
              </w:rPr>
              <w:t>在顯著水準為0.05 時</w:t>
            </w:r>
            <w:r w:rsidR="003C1792" w:rsidRPr="00AA03F8">
              <w:rPr>
                <w:sz w:val="24"/>
              </w:rPr>
              <w:t>(</w:t>
            </w:r>
            <w:r w:rsidR="0049577B" w:rsidRPr="00AA03F8">
              <w:rPr>
                <w:sz w:val="24"/>
              </w:rPr>
              <w:t>單尾)，相關顯著。</w:t>
            </w:r>
          </w:p>
        </w:tc>
      </w:tr>
      <w:tr w:rsidR="0049577B" w:rsidRPr="00B40DC1" w:rsidTr="00817A92">
        <w:trPr>
          <w:cantSplit/>
        </w:trPr>
        <w:tc>
          <w:tcPr>
            <w:tcW w:w="9771" w:type="dxa"/>
            <w:gridSpan w:val="5"/>
            <w:tcBorders>
              <w:top w:val="single" w:sz="4" w:space="0" w:color="auto"/>
              <w:left w:val="single" w:sz="4" w:space="0" w:color="auto"/>
              <w:bottom w:val="single" w:sz="4" w:space="0" w:color="auto"/>
              <w:right w:val="single" w:sz="4" w:space="0" w:color="auto"/>
            </w:tcBorders>
            <w:shd w:val="clear" w:color="auto" w:fill="FFFFFF"/>
          </w:tcPr>
          <w:p w:rsidR="0049577B" w:rsidRPr="00AA03F8" w:rsidRDefault="001E5891" w:rsidP="00D20F89">
            <w:pPr>
              <w:spacing w:line="240" w:lineRule="auto"/>
              <w:ind w:leftChars="0" w:left="0" w:rightChars="0" w:right="0"/>
              <w:rPr>
                <w:sz w:val="24"/>
              </w:rPr>
            </w:pPr>
            <w:r w:rsidRPr="001E5891">
              <w:rPr>
                <w:rFonts w:hint="eastAsia"/>
                <w:sz w:val="20"/>
                <w:szCs w:val="20"/>
              </w:rPr>
              <w:t>＊＊</w:t>
            </w:r>
            <w:r w:rsidR="003C1792" w:rsidRPr="00AA03F8">
              <w:rPr>
                <w:sz w:val="24"/>
              </w:rPr>
              <w:t>.</w:t>
            </w:r>
            <w:r w:rsidR="0049577B" w:rsidRPr="00AA03F8">
              <w:rPr>
                <w:sz w:val="24"/>
              </w:rPr>
              <w:t>在顯著水準為0.01時</w:t>
            </w:r>
            <w:r w:rsidR="003C1792" w:rsidRPr="00AA03F8">
              <w:rPr>
                <w:sz w:val="24"/>
              </w:rPr>
              <w:t>(</w:t>
            </w:r>
            <w:r w:rsidR="0049577B" w:rsidRPr="00AA03F8">
              <w:rPr>
                <w:sz w:val="24"/>
              </w:rPr>
              <w:t>單尾)，相關顯著。</w:t>
            </w:r>
          </w:p>
        </w:tc>
      </w:tr>
    </w:tbl>
    <w:p w:rsidR="0049577B" w:rsidRPr="00B40DC1" w:rsidRDefault="0049577B" w:rsidP="000D26BB"/>
    <w:p w:rsidR="0049577B" w:rsidRPr="00B40DC1" w:rsidRDefault="00817A92" w:rsidP="00D20F89">
      <w:pPr>
        <w:spacing w:line="240" w:lineRule="auto"/>
        <w:ind w:leftChars="0" w:left="0" w:rightChars="0" w:right="0"/>
      </w:pPr>
      <w:r>
        <w:t xml:space="preserve">　　</w:t>
      </w:r>
      <w:r w:rsidR="0049577B" w:rsidRPr="00B40DC1">
        <w:t>本書於進行SPSS分析之過程之中，會運用涉及統計學上之對立假設與虛無假設之概念，玆分述如下。所謂之對立假設</w:t>
      </w:r>
      <w:r w:rsidR="0049577B" w:rsidRPr="00B40DC1">
        <w:rPr>
          <w:bCs/>
          <w:shd w:val="clear" w:color="auto" w:fill="FFFFFF"/>
        </w:rPr>
        <w:t>(alternative hypothesis)</w:t>
      </w:r>
      <w:r w:rsidR="0049577B" w:rsidRPr="00B40DC1">
        <w:t>，乃統計學上之對立假設</w:t>
      </w:r>
      <w:r w:rsidR="0049577B" w:rsidRPr="00B40DC1">
        <w:rPr>
          <w:bCs/>
          <w:shd w:val="clear" w:color="auto" w:fill="FFFFFF"/>
        </w:rPr>
        <w:t>(alternative hypothesis)</w:t>
      </w:r>
      <w:r w:rsidR="0049577B" w:rsidRPr="00B40DC1">
        <w:t>，是研究者心中想要之結果。研究者心中真正的最愛，研究者心中最喜愛之結果，根據謝廣全教授之看法，通常，對立假設</w:t>
      </w:r>
      <w:r w:rsidR="0049577B" w:rsidRPr="00B40DC1">
        <w:rPr>
          <w:bCs/>
          <w:shd w:val="clear" w:color="auto" w:fill="FFFFFF"/>
        </w:rPr>
        <w:t>(alternative hypothesis)</w:t>
      </w:r>
      <w:r w:rsidR="0049577B" w:rsidRPr="00B40DC1">
        <w:t>是研究者真正要支持或證實之假設</w:t>
      </w:r>
      <w:r w:rsidR="0049577B" w:rsidRPr="00D20F89">
        <w:rPr>
          <w:rStyle w:val="af7"/>
          <w:rFonts w:eastAsia="新細明體"/>
          <w:sz w:val="20"/>
        </w:rPr>
        <w:footnoteReference w:id="92"/>
      </w:r>
      <w:r w:rsidR="0049577B" w:rsidRPr="00B40DC1">
        <w:t>。亦即，對立假設</w:t>
      </w:r>
      <w:r w:rsidR="0049577B" w:rsidRPr="00B40DC1">
        <w:rPr>
          <w:bCs/>
          <w:shd w:val="clear" w:color="auto" w:fill="FFFFFF"/>
        </w:rPr>
        <w:t>(alternative hypothesis)</w:t>
      </w:r>
      <w:r w:rsidR="0049577B" w:rsidRPr="00B40DC1">
        <w:t>是研究者想要支持或想要證實之假設。用簡單之語言表示，亦即，研究者心中的最愛、最想要之統計上之結果，是對立假設</w:t>
      </w:r>
      <w:r w:rsidR="0049577B" w:rsidRPr="00B40DC1">
        <w:rPr>
          <w:bCs/>
          <w:shd w:val="clear" w:color="auto" w:fill="FFFFFF"/>
        </w:rPr>
        <w:t>(alternative hypothesis)</w:t>
      </w:r>
      <w:r w:rsidR="0049577B" w:rsidRPr="00D20F89">
        <w:rPr>
          <w:rStyle w:val="af7"/>
          <w:rFonts w:eastAsia="新細明體"/>
          <w:sz w:val="20"/>
        </w:rPr>
        <w:footnoteReference w:id="93"/>
      </w:r>
      <w:r w:rsidR="0049577B" w:rsidRPr="00B40DC1">
        <w:t>。在</w:t>
      </w:r>
      <w:r w:rsidR="0049577B" w:rsidRPr="00B40DC1">
        <w:rPr>
          <w:rStyle w:val="ya-q-full-text1"/>
          <w:sz w:val="24"/>
        </w:rPr>
        <w:t>社會科學之研究領域中，研究人員並不直接檢定</w:t>
      </w:r>
      <w:r w:rsidR="0049577B" w:rsidRPr="00B40DC1">
        <w:t>對立</w:t>
      </w:r>
      <w:r w:rsidR="0049577B" w:rsidRPr="00B40DC1">
        <w:rPr>
          <w:rStyle w:val="ya-q-full-text1"/>
          <w:sz w:val="24"/>
        </w:rPr>
        <w:t>假設</w:t>
      </w:r>
      <w:r w:rsidR="0049577B" w:rsidRPr="00B40DC1">
        <w:rPr>
          <w:bCs/>
          <w:shd w:val="clear" w:color="auto" w:fill="FFFFFF"/>
        </w:rPr>
        <w:t>(alternative hypothesis)</w:t>
      </w:r>
      <w:r w:rsidR="0049577B" w:rsidRPr="00B40DC1">
        <w:rPr>
          <w:rStyle w:val="ya-q-full-text1"/>
          <w:sz w:val="24"/>
        </w:rPr>
        <w:t>，而是先架構一個與</w:t>
      </w:r>
      <w:r w:rsidR="0049577B" w:rsidRPr="00B40DC1">
        <w:t>對立</w:t>
      </w:r>
      <w:r w:rsidR="0049577B" w:rsidRPr="00B40DC1">
        <w:rPr>
          <w:rStyle w:val="ya-q-full-text1"/>
          <w:sz w:val="24"/>
        </w:rPr>
        <w:t>假設完全相反的虛無假設</w:t>
      </w:r>
      <w:r w:rsidR="0049577B" w:rsidRPr="00B40DC1">
        <w:rPr>
          <w:bCs/>
          <w:shd w:val="clear" w:color="auto" w:fill="FFFFFF"/>
        </w:rPr>
        <w:t>(null hypothesis)</w:t>
      </w:r>
      <w:r w:rsidR="0049577B" w:rsidRPr="00B40DC1">
        <w:rPr>
          <w:rStyle w:val="ya-q-full-text1"/>
          <w:sz w:val="24"/>
        </w:rPr>
        <w:t>，研究人員透由檢驗虛無假設</w:t>
      </w:r>
      <w:r w:rsidR="0049577B" w:rsidRPr="00B40DC1">
        <w:rPr>
          <w:bCs/>
          <w:shd w:val="clear" w:color="auto" w:fill="FFFFFF"/>
        </w:rPr>
        <w:t>(null hypothesis)</w:t>
      </w:r>
      <w:r w:rsidR="0049577B" w:rsidRPr="00B40DC1">
        <w:rPr>
          <w:rStyle w:val="ya-q-full-text1"/>
          <w:sz w:val="24"/>
        </w:rPr>
        <w:t>之真假，進而間接檢驗</w:t>
      </w:r>
      <w:r w:rsidR="0049577B" w:rsidRPr="00B40DC1">
        <w:t>對立</w:t>
      </w:r>
      <w:r w:rsidR="0049577B" w:rsidRPr="00B40DC1">
        <w:rPr>
          <w:rStyle w:val="ya-q-full-text1"/>
          <w:sz w:val="24"/>
        </w:rPr>
        <w:t>假設</w:t>
      </w:r>
      <w:r w:rsidR="0049577B" w:rsidRPr="00B40DC1">
        <w:rPr>
          <w:bCs/>
          <w:shd w:val="clear" w:color="auto" w:fill="FFFFFF"/>
        </w:rPr>
        <w:t>(alternative hypothesis)</w:t>
      </w:r>
      <w:r w:rsidR="0049577B" w:rsidRPr="00B40DC1">
        <w:rPr>
          <w:rStyle w:val="ya-q-full-text1"/>
          <w:sz w:val="24"/>
        </w:rPr>
        <w:t>。</w:t>
      </w:r>
    </w:p>
    <w:p w:rsidR="0049577B" w:rsidRPr="00B40DC1" w:rsidRDefault="00817A92" w:rsidP="00AA03F8">
      <w:pPr>
        <w:spacing w:line="240" w:lineRule="auto"/>
        <w:ind w:leftChars="0" w:left="0" w:rightChars="0" w:right="0"/>
      </w:pPr>
      <w:r>
        <w:t xml:space="preserve">　　</w:t>
      </w:r>
      <w:r w:rsidR="0049577B" w:rsidRPr="00B40DC1">
        <w:t>所謂之虛無假設</w:t>
      </w:r>
      <w:r w:rsidR="0049577B" w:rsidRPr="00B40DC1">
        <w:rPr>
          <w:bCs/>
          <w:shd w:val="clear" w:color="auto" w:fill="FFFFFF"/>
        </w:rPr>
        <w:t>(null hypothesis)，</w:t>
      </w:r>
      <w:r w:rsidR="0049577B" w:rsidRPr="00B40DC1">
        <w:t>在實證科學中，不直接考驗對立假設</w:t>
      </w:r>
      <w:r w:rsidR="0049577B" w:rsidRPr="00B40DC1">
        <w:rPr>
          <w:bCs/>
          <w:shd w:val="clear" w:color="auto" w:fill="FFFFFF"/>
        </w:rPr>
        <w:t>(alternative hypothesis)</w:t>
      </w:r>
      <w:r w:rsidR="0049577B" w:rsidRPr="00B40DC1">
        <w:t>而是創設一個與對立假設</w:t>
      </w:r>
      <w:r w:rsidR="0049577B" w:rsidRPr="00B40DC1">
        <w:rPr>
          <w:bCs/>
          <w:shd w:val="clear" w:color="auto" w:fill="FFFFFF"/>
        </w:rPr>
        <w:t>(alternative hypothesis)</w:t>
      </w:r>
      <w:r w:rsidR="003C1792">
        <w:t>(</w:t>
      </w:r>
      <w:r w:rsidR="0049577B" w:rsidRPr="00B40DC1">
        <w:t>研究者心中的最愛、最想要之統計上之結果)完全相反之假設。這種策略，是故意唱反調。研究者先設定一種與自己想要支持或想要證實之假設完全相反之假設。就像媽媽對小孩之表現非常高興，但為了挫其銳氣，卻故意說---豬腦袋，名為----虛無假設</w:t>
      </w:r>
      <w:r w:rsidR="0049577B" w:rsidRPr="00B40DC1">
        <w:rPr>
          <w:bCs/>
          <w:shd w:val="clear" w:color="auto" w:fill="FFFFFF"/>
        </w:rPr>
        <w:t>(null hypothesis)</w:t>
      </w:r>
      <w:r w:rsidR="0049577B" w:rsidRPr="00B40DC1">
        <w:t>，並考驗虛無假設</w:t>
      </w:r>
      <w:r w:rsidR="0049577B" w:rsidRPr="00B40DC1">
        <w:rPr>
          <w:bCs/>
          <w:shd w:val="clear" w:color="auto" w:fill="FFFFFF"/>
        </w:rPr>
        <w:t>(null hypothesis)</w:t>
      </w:r>
      <w:r w:rsidR="0049577B" w:rsidRPr="00B40DC1">
        <w:t>之真假，間接去確認對立假設</w:t>
      </w:r>
      <w:r w:rsidR="0049577B" w:rsidRPr="00B40DC1">
        <w:rPr>
          <w:bCs/>
          <w:shd w:val="clear" w:color="auto" w:fill="FFFFFF"/>
        </w:rPr>
        <w:t>(alternative hypothesis)</w:t>
      </w:r>
      <w:r w:rsidR="0049577B" w:rsidRPr="00B40DC1">
        <w:t>之真假。故，所謂之虛無假設</w:t>
      </w:r>
      <w:r w:rsidR="0049577B" w:rsidRPr="00B40DC1">
        <w:rPr>
          <w:bCs/>
          <w:shd w:val="clear" w:color="auto" w:fill="FFFFFF"/>
        </w:rPr>
        <w:t>(null hypothesis)</w:t>
      </w:r>
      <w:r w:rsidR="0049577B" w:rsidRPr="00B40DC1">
        <w:t>，是研究者先設定一種與自己真正要支持或證實之假設完全相反的假設，名為虛無假設</w:t>
      </w:r>
      <w:r w:rsidR="0049577B" w:rsidRPr="00B40DC1">
        <w:rPr>
          <w:bCs/>
          <w:shd w:val="clear" w:color="auto" w:fill="FFFFFF"/>
        </w:rPr>
        <w:t>(null hypothesis)</w:t>
      </w:r>
      <w:r w:rsidR="0049577B" w:rsidRPr="00A14BAA">
        <w:rPr>
          <w:rStyle w:val="af7"/>
          <w:rFonts w:eastAsia="新細明體"/>
          <w:sz w:val="20"/>
        </w:rPr>
        <w:footnoteReference w:id="94"/>
      </w:r>
      <w:r w:rsidR="0049577B" w:rsidRPr="00B40DC1">
        <w:t>。</w:t>
      </w:r>
    </w:p>
    <w:p w:rsidR="0049577B" w:rsidRPr="00B40DC1" w:rsidRDefault="00D20F89" w:rsidP="00AA03F8">
      <w:pPr>
        <w:spacing w:line="240" w:lineRule="auto"/>
        <w:ind w:leftChars="0" w:left="0" w:rightChars="0" w:right="0"/>
      </w:pPr>
      <w:r>
        <w:t xml:space="preserve">　　</w:t>
      </w:r>
      <w:r w:rsidR="0049577B" w:rsidRPr="00B40DC1">
        <w:t>在統計決策之過程中，一般而論，原則上，虛無假設(null hypothesis)係為研究者所欲推翻、拒絕之統計假設；亦即，研究者大都是期待能推翻、拒絕虛無假設(null hypothesis)，進而接受對立假設</w:t>
      </w:r>
      <w:r w:rsidR="0049577B" w:rsidRPr="00B40DC1">
        <w:rPr>
          <w:bCs/>
          <w:shd w:val="clear" w:color="auto" w:fill="FFFFFF"/>
        </w:rPr>
        <w:t>(alternative hypothesis)。本質上，</w:t>
      </w:r>
      <w:r w:rsidR="0049577B" w:rsidRPr="00B40DC1">
        <w:t>研究者心中的最愛、最想要之統計上之結果，是對立假設</w:t>
      </w:r>
      <w:r w:rsidR="0049577B" w:rsidRPr="00B40DC1">
        <w:rPr>
          <w:bCs/>
          <w:shd w:val="clear" w:color="auto" w:fill="FFFFFF"/>
        </w:rPr>
        <w:t>(alternative hypothesis)。此時，透由</w:t>
      </w:r>
      <w:r w:rsidR="0049577B" w:rsidRPr="00B40DC1">
        <w:t>推翻、拒絕虛無假設(null hypothesis)，進一步而接受對立假設</w:t>
      </w:r>
      <w:r w:rsidR="0049577B" w:rsidRPr="00B40DC1">
        <w:rPr>
          <w:bCs/>
          <w:shd w:val="clear" w:color="auto" w:fill="FFFFFF"/>
        </w:rPr>
        <w:t>(alternative hypothesis)之研究手法，</w:t>
      </w:r>
      <w:r w:rsidR="0049577B" w:rsidRPr="00B40DC1">
        <w:t>研究者便可得到其期待中之結果。但，此種作法，是有風險的，主因在於對立假設</w:t>
      </w:r>
      <w:r w:rsidR="0049577B" w:rsidRPr="00B40DC1">
        <w:rPr>
          <w:bCs/>
          <w:shd w:val="clear" w:color="auto" w:fill="FFFFFF"/>
        </w:rPr>
        <w:t>(alternative hypothesis)</w:t>
      </w:r>
      <w:r w:rsidR="0049577B" w:rsidRPr="00B40DC1">
        <w:t>有可能是假的(錯誤的)(false)，此即為第一類型錯誤α。</w:t>
      </w:r>
    </w:p>
    <w:p w:rsidR="0049577B" w:rsidRPr="00B40DC1" w:rsidRDefault="00817A92" w:rsidP="00AA03F8">
      <w:pPr>
        <w:spacing w:line="240" w:lineRule="auto"/>
        <w:ind w:leftChars="0" w:left="0" w:rightChars="0" w:right="0"/>
      </w:pPr>
      <w:r>
        <w:t xml:space="preserve">　　</w:t>
      </w:r>
      <w:r w:rsidR="0049577B" w:rsidRPr="00B40DC1">
        <w:t>本書所使用之統計上顯著水準，係為第一類型錯誤α，定為0.05。所謂之第一類型錯誤α，當虛無假設</w:t>
      </w:r>
      <w:r w:rsidR="0049577B" w:rsidRPr="00B40DC1">
        <w:rPr>
          <w:bCs/>
          <w:shd w:val="clear" w:color="auto" w:fill="FFFFFF"/>
        </w:rPr>
        <w:t>(null hypothesis)</w:t>
      </w:r>
      <w:r w:rsidR="0049577B" w:rsidRPr="00B40DC1">
        <w:t>是真的(true)時候，研究者拒絕(reject)真的虛無假設</w:t>
      </w:r>
      <w:r w:rsidR="0049577B" w:rsidRPr="00B40DC1">
        <w:rPr>
          <w:bCs/>
          <w:shd w:val="clear" w:color="auto" w:fill="FFFFFF"/>
        </w:rPr>
        <w:t>(null hypothesis)</w:t>
      </w:r>
      <w:r w:rsidR="0049577B" w:rsidRPr="00B40DC1">
        <w:t>，而接受(accept)假的(錯誤的)(false)對立假設</w:t>
      </w:r>
      <w:r w:rsidR="0049577B" w:rsidRPr="00B40DC1">
        <w:rPr>
          <w:bCs/>
          <w:shd w:val="clear" w:color="auto" w:fill="FFFFFF"/>
        </w:rPr>
        <w:t>(alternative hypothesis)</w:t>
      </w:r>
      <w:r w:rsidR="0049577B" w:rsidRPr="00B40DC1">
        <w:t>，其所犯下之錯誤機率(the probability of desicison error)，稱為第一類型錯誤，又叫α，本書於進行SPSS分析之過程之中，第一類型錯誤α定為0.05。犯下第一類型錯誤之機率，又叫臨界區，或拒絕區，或顯著水準，讀作Alfa。亦即，事實上，虛無假設</w:t>
      </w:r>
      <w:r w:rsidR="0049577B" w:rsidRPr="00B40DC1">
        <w:rPr>
          <w:bCs/>
          <w:shd w:val="clear" w:color="auto" w:fill="FFFFFF"/>
        </w:rPr>
        <w:t>(null hypothesis)</w:t>
      </w:r>
      <w:r w:rsidR="0049577B" w:rsidRPr="00B40DC1">
        <w:t>是真實的(true)，結果被研究者錯誤地下決策，而加以拒絕之(reject)。稱為第一類型錯誤，又叫α</w:t>
      </w:r>
      <w:r w:rsidR="0049577B" w:rsidRPr="00D20F89">
        <w:rPr>
          <w:rStyle w:val="af7"/>
          <w:rFonts w:eastAsia="新細明體"/>
          <w:sz w:val="20"/>
        </w:rPr>
        <w:footnoteReference w:id="95"/>
      </w:r>
      <w:r w:rsidR="0049577B" w:rsidRPr="00B40DC1">
        <w:t>。</w:t>
      </w:r>
    </w:p>
    <w:p w:rsidR="0049577B" w:rsidRPr="00B40DC1" w:rsidRDefault="00817A92" w:rsidP="00AA03F8">
      <w:pPr>
        <w:spacing w:line="240" w:lineRule="auto"/>
        <w:ind w:leftChars="0" w:left="0" w:rightChars="0" w:right="0"/>
        <w:rPr>
          <w:bCs/>
        </w:rPr>
      </w:pPr>
      <w:r>
        <w:t xml:space="preserve">　　</w:t>
      </w:r>
      <w:r w:rsidR="0049577B" w:rsidRPr="00B40DC1">
        <w:t>相對而言，所謂之第二類型錯誤β，研究者拒絕真的(true)對立假設</w:t>
      </w:r>
      <w:r w:rsidR="0049577B" w:rsidRPr="00B40DC1">
        <w:rPr>
          <w:bCs/>
          <w:shd w:val="clear" w:color="auto" w:fill="FFFFFF"/>
        </w:rPr>
        <w:t>(alternative hypothesis)</w:t>
      </w:r>
      <w:r w:rsidR="0049577B" w:rsidRPr="00B40DC1">
        <w:t>，而接受假的(錯誤的)</w:t>
      </w:r>
      <w:r w:rsidR="003C1792">
        <w:t>(</w:t>
      </w:r>
      <w:r w:rsidR="0049577B" w:rsidRPr="00B40DC1">
        <w:t>false)虛無假設</w:t>
      </w:r>
      <w:r w:rsidR="0049577B" w:rsidRPr="00B40DC1">
        <w:rPr>
          <w:bCs/>
          <w:shd w:val="clear" w:color="auto" w:fill="FFFFFF"/>
        </w:rPr>
        <w:t>(null hypothesis)</w:t>
      </w:r>
      <w:r w:rsidR="0049577B" w:rsidRPr="00B40DC1">
        <w:t>所犯下之錯誤機率，稱為第二類型錯誤，換言之，</w:t>
      </w:r>
      <w:r w:rsidR="0049577B" w:rsidRPr="00B40DC1">
        <w:rPr>
          <w:rStyle w:val="st1"/>
        </w:rPr>
        <w:t>在統計檢定中，當對立假設H1</w:t>
      </w:r>
      <w:r w:rsidR="0049577B" w:rsidRPr="00B40DC1">
        <w:rPr>
          <w:bCs/>
          <w:shd w:val="clear" w:color="auto" w:fill="FFFFFF"/>
        </w:rPr>
        <w:t>(alternative hypothesis)</w:t>
      </w:r>
      <w:r w:rsidR="0049577B" w:rsidRPr="00B40DC1">
        <w:rPr>
          <w:rStyle w:val="st1"/>
        </w:rPr>
        <w:t>是正確、無誤</w:t>
      </w:r>
      <w:r w:rsidR="0049577B" w:rsidRPr="00B40DC1">
        <w:t>(true)</w:t>
      </w:r>
      <w:r w:rsidR="0049577B" w:rsidRPr="00B40DC1">
        <w:rPr>
          <w:rStyle w:val="st1"/>
        </w:rPr>
        <w:t>時，研究人員拒絕了真的、正確的、無誤的</w:t>
      </w:r>
      <w:r w:rsidR="0049577B" w:rsidRPr="00B40DC1">
        <w:t>(true)</w:t>
      </w:r>
      <w:r w:rsidR="0049577B" w:rsidRPr="00B40DC1">
        <w:rPr>
          <w:rStyle w:val="st1"/>
        </w:rPr>
        <w:t>對立假設H1</w:t>
      </w:r>
      <w:r w:rsidR="0049577B" w:rsidRPr="00B40DC1">
        <w:rPr>
          <w:bCs/>
          <w:shd w:val="clear" w:color="auto" w:fill="FFFFFF"/>
        </w:rPr>
        <w:t>(alternative hypothesis)</w:t>
      </w:r>
      <w:r w:rsidR="0049577B" w:rsidRPr="00B40DC1">
        <w:rPr>
          <w:rStyle w:val="st1"/>
        </w:rPr>
        <w:t>，而接受了假的、非正確的、有誤的虛無假設H0</w:t>
      </w:r>
      <w:r w:rsidR="0049577B" w:rsidRPr="00B40DC1">
        <w:rPr>
          <w:bCs/>
          <w:shd w:val="clear" w:color="auto" w:fill="FFFFFF"/>
        </w:rPr>
        <w:t>(null hypothesis)</w:t>
      </w:r>
      <w:r w:rsidR="0049577B" w:rsidRPr="00B40DC1">
        <w:rPr>
          <w:rStyle w:val="st1"/>
        </w:rPr>
        <w:t>，就稱為「第二類型錯誤」</w:t>
      </w:r>
      <w:r w:rsidR="0049577B" w:rsidRPr="00D20F89">
        <w:rPr>
          <w:rStyle w:val="af7"/>
          <w:rFonts w:eastAsia="新細明體"/>
          <w:sz w:val="20"/>
        </w:rPr>
        <w:footnoteReference w:id="96"/>
      </w:r>
      <w:r w:rsidR="0049577B" w:rsidRPr="00B40DC1">
        <w:rPr>
          <w:rStyle w:val="st1"/>
        </w:rPr>
        <w:t>。</w:t>
      </w:r>
      <w:r w:rsidR="0049577B" w:rsidRPr="00B40DC1">
        <w:t>又叫β，讀作Beta。當</w:t>
      </w:r>
      <w:r w:rsidR="0049577B" w:rsidRPr="00B40DC1">
        <w:rPr>
          <w:rStyle w:val="st1"/>
        </w:rPr>
        <w:t>研究人員認定</w:t>
      </w:r>
      <w:r w:rsidR="0049577B" w:rsidRPr="00B40DC1">
        <w:rPr>
          <w:bCs/>
        </w:rPr>
        <w:t>H</w:t>
      </w:r>
      <w:r w:rsidR="0049577B" w:rsidRPr="00B40DC1">
        <w:rPr>
          <w:bCs/>
          <w:vertAlign w:val="subscript"/>
        </w:rPr>
        <w:t>0</w:t>
      </w:r>
      <w:r w:rsidR="0049577B" w:rsidRPr="00B40DC1">
        <w:rPr>
          <w:bCs/>
          <w:shd w:val="clear" w:color="auto" w:fill="FFFFFF"/>
        </w:rPr>
        <w:t>(null hypothesis)</w:t>
      </w:r>
      <w:r w:rsidR="0049577B" w:rsidRPr="00B40DC1">
        <w:rPr>
          <w:bCs/>
        </w:rPr>
        <w:t>是真時，事實上，有可能H</w:t>
      </w:r>
      <w:r w:rsidR="0049577B" w:rsidRPr="00B40DC1">
        <w:rPr>
          <w:bCs/>
          <w:vertAlign w:val="subscript"/>
        </w:rPr>
        <w:t>0</w:t>
      </w:r>
      <w:r w:rsidR="0049577B" w:rsidRPr="00B40DC1">
        <w:rPr>
          <w:bCs/>
          <w:shd w:val="clear" w:color="auto" w:fill="FFFFFF"/>
        </w:rPr>
        <w:t>(null hypothesis)</w:t>
      </w:r>
      <w:r w:rsidR="0049577B" w:rsidRPr="00B40DC1">
        <w:t>之本質</w:t>
      </w:r>
      <w:r w:rsidR="0049577B" w:rsidRPr="00B40DC1">
        <w:rPr>
          <w:bCs/>
          <w:vertAlign w:val="subscript"/>
        </w:rPr>
        <w:t>，</w:t>
      </w:r>
      <w:r w:rsidR="0049577B" w:rsidRPr="00B40DC1">
        <w:rPr>
          <w:bCs/>
        </w:rPr>
        <w:t>是假的、</w:t>
      </w:r>
      <w:r w:rsidR="0049577B" w:rsidRPr="00B40DC1">
        <w:rPr>
          <w:rStyle w:val="st1"/>
        </w:rPr>
        <w:t>非正確的、有誤的</w:t>
      </w:r>
      <w:r w:rsidR="0049577B" w:rsidRPr="00B40DC1">
        <w:rPr>
          <w:bCs/>
        </w:rPr>
        <w:t>。所以，</w:t>
      </w:r>
      <w:r w:rsidR="0049577B" w:rsidRPr="00B40DC1">
        <w:t>當</w:t>
      </w:r>
      <w:r w:rsidR="0049577B" w:rsidRPr="00B40DC1">
        <w:rPr>
          <w:rStyle w:val="st1"/>
        </w:rPr>
        <w:t>研究人員</w:t>
      </w:r>
      <w:r w:rsidR="0049577B" w:rsidRPr="00B40DC1">
        <w:rPr>
          <w:bCs/>
        </w:rPr>
        <w:t>接受H</w:t>
      </w:r>
      <w:r w:rsidR="0049577B" w:rsidRPr="00B40DC1">
        <w:rPr>
          <w:bCs/>
          <w:vertAlign w:val="subscript"/>
        </w:rPr>
        <w:t>0</w:t>
      </w:r>
      <w:r w:rsidR="0049577B" w:rsidRPr="00B40DC1">
        <w:rPr>
          <w:bCs/>
          <w:shd w:val="clear" w:color="auto" w:fill="FFFFFF"/>
        </w:rPr>
        <w:t>(null hypothesis)</w:t>
      </w:r>
      <w:r w:rsidR="0049577B" w:rsidRPr="00B40DC1">
        <w:t>時，</w:t>
      </w:r>
      <w:r w:rsidR="0049577B" w:rsidRPr="00B40DC1">
        <w:rPr>
          <w:bCs/>
        </w:rPr>
        <w:t>實際上，H</w:t>
      </w:r>
      <w:r w:rsidR="0049577B" w:rsidRPr="00B40DC1">
        <w:rPr>
          <w:bCs/>
          <w:vertAlign w:val="subscript"/>
        </w:rPr>
        <w:t>0</w:t>
      </w:r>
      <w:r w:rsidR="0049577B" w:rsidRPr="00B40DC1">
        <w:rPr>
          <w:bCs/>
          <w:shd w:val="clear" w:color="auto" w:fill="FFFFFF"/>
        </w:rPr>
        <w:t>(null hypothesis)</w:t>
      </w:r>
      <w:r w:rsidR="0049577B" w:rsidRPr="00B40DC1">
        <w:t>本質</w:t>
      </w:r>
      <w:r w:rsidR="0049577B" w:rsidRPr="00B40DC1">
        <w:rPr>
          <w:bCs/>
        </w:rPr>
        <w:t>是假的、</w:t>
      </w:r>
      <w:r w:rsidR="0049577B" w:rsidRPr="00B40DC1">
        <w:rPr>
          <w:rStyle w:val="st1"/>
        </w:rPr>
        <w:t>非正確的、有誤的</w:t>
      </w:r>
      <w:r w:rsidR="0049577B" w:rsidRPr="00B40DC1">
        <w:rPr>
          <w:bCs/>
        </w:rPr>
        <w:t>，</w:t>
      </w:r>
      <w:r w:rsidR="0049577B" w:rsidRPr="00B40DC1">
        <w:rPr>
          <w:rStyle w:val="st1"/>
        </w:rPr>
        <w:t>研究人員</w:t>
      </w:r>
      <w:r w:rsidR="0049577B" w:rsidRPr="00B40DC1">
        <w:rPr>
          <w:bCs/>
        </w:rPr>
        <w:t>便犯了第二類型錯誤</w:t>
      </w:r>
      <w:r w:rsidR="0049577B" w:rsidRPr="00D20F89">
        <w:rPr>
          <w:rStyle w:val="af7"/>
          <w:rFonts w:eastAsia="新細明體"/>
          <w:sz w:val="20"/>
        </w:rPr>
        <w:footnoteReference w:id="97"/>
      </w:r>
      <w:r w:rsidR="0049577B" w:rsidRPr="00B40DC1">
        <w:rPr>
          <w:bCs/>
        </w:rPr>
        <w:t>。</w:t>
      </w:r>
    </w:p>
    <w:p w:rsidR="0049577B" w:rsidRPr="00B40DC1" w:rsidRDefault="00817A92" w:rsidP="00A14BAA">
      <w:pPr>
        <w:spacing w:line="240" w:lineRule="auto"/>
        <w:ind w:leftChars="0" w:left="0" w:rightChars="0" w:right="0"/>
      </w:pPr>
      <w:r>
        <w:t xml:space="preserve">　　</w:t>
      </w:r>
      <w:r w:rsidR="0049577B" w:rsidRPr="00B40DC1">
        <w:t>本書於進行SPSS分析之過程之中，並不使用第二類型錯誤β。</w:t>
      </w:r>
      <w:r w:rsidR="0049577B" w:rsidRPr="00B40DC1">
        <w:rPr>
          <w:rStyle w:val="st1"/>
        </w:rPr>
        <w:t>在統計檢定中，</w:t>
      </w:r>
      <w:r w:rsidR="0049577B" w:rsidRPr="00B40DC1">
        <w:t>因考量</w:t>
      </w:r>
      <w:r w:rsidR="0049577B" w:rsidRPr="00B40DC1">
        <w:rPr>
          <w:bCs/>
        </w:rPr>
        <w:t>犯第一類型錯誤</w:t>
      </w:r>
      <w:r w:rsidR="0049577B" w:rsidRPr="00B40DC1">
        <w:t>(α)</w:t>
      </w:r>
      <w:r w:rsidR="0049577B" w:rsidRPr="00B40DC1">
        <w:rPr>
          <w:bCs/>
        </w:rPr>
        <w:t>---</w:t>
      </w:r>
      <w:r w:rsidR="0049577B" w:rsidRPr="00B40DC1">
        <w:t>當虛無假設</w:t>
      </w:r>
      <w:r w:rsidR="0049577B" w:rsidRPr="00B40DC1">
        <w:rPr>
          <w:bCs/>
        </w:rPr>
        <w:t>H</w:t>
      </w:r>
      <w:r w:rsidR="0049577B" w:rsidRPr="00B40DC1">
        <w:rPr>
          <w:bCs/>
          <w:vertAlign w:val="subscript"/>
        </w:rPr>
        <w:t>0</w:t>
      </w:r>
      <w:r w:rsidR="0049577B" w:rsidRPr="00B40DC1">
        <w:rPr>
          <w:bCs/>
          <w:shd w:val="clear" w:color="auto" w:fill="FFFFFF"/>
        </w:rPr>
        <w:t>(null hypothesis)</w:t>
      </w:r>
      <w:r w:rsidR="0049577B" w:rsidRPr="00B40DC1">
        <w:t>是真的(true)時候，研究者拒絕(reject)真的虛無假設</w:t>
      </w:r>
      <w:r w:rsidR="0049577B" w:rsidRPr="00B40DC1">
        <w:rPr>
          <w:bCs/>
        </w:rPr>
        <w:t>H</w:t>
      </w:r>
      <w:r w:rsidR="0049577B" w:rsidRPr="00B40DC1">
        <w:rPr>
          <w:bCs/>
          <w:vertAlign w:val="subscript"/>
        </w:rPr>
        <w:t>0</w:t>
      </w:r>
      <w:r w:rsidR="0049577B" w:rsidRPr="00B40DC1">
        <w:rPr>
          <w:bCs/>
          <w:shd w:val="clear" w:color="auto" w:fill="FFFFFF"/>
        </w:rPr>
        <w:t>(null hypothesis)</w:t>
      </w:r>
      <w:r w:rsidR="0049577B" w:rsidRPr="00B40DC1">
        <w:t>，而接受(accept)假的(錯誤的)(false)對立假設</w:t>
      </w:r>
      <w:r w:rsidR="0049577B" w:rsidRPr="00B40DC1">
        <w:rPr>
          <w:bCs/>
          <w:shd w:val="clear" w:color="auto" w:fill="FFFFFF"/>
        </w:rPr>
        <w:t>(alternative hypothesis)</w:t>
      </w:r>
      <w:r w:rsidR="0049577B" w:rsidRPr="00B40DC1">
        <w:t>，</w:t>
      </w:r>
      <w:r w:rsidR="0049577B" w:rsidRPr="00B40DC1">
        <w:rPr>
          <w:bCs/>
        </w:rPr>
        <w:t>是比較嚴重的錯誤，應該盡量避免</w:t>
      </w:r>
      <w:r w:rsidR="0049577B" w:rsidRPr="00D20F89">
        <w:rPr>
          <w:rStyle w:val="af7"/>
          <w:rFonts w:eastAsia="新細明體"/>
          <w:sz w:val="20"/>
        </w:rPr>
        <w:footnoteReference w:id="98"/>
      </w:r>
      <w:r w:rsidR="0049577B" w:rsidRPr="00B40DC1">
        <w:rPr>
          <w:bCs/>
        </w:rPr>
        <w:t>。亦即，「</w:t>
      </w:r>
      <w:r w:rsidR="0049577B" w:rsidRPr="00B40DC1">
        <w:t>接受(accept)假的(錯誤的)(false)對立假設</w:t>
      </w:r>
      <w:r w:rsidR="0049577B" w:rsidRPr="00B40DC1">
        <w:rPr>
          <w:bCs/>
          <w:shd w:val="clear" w:color="auto" w:fill="FFFFFF"/>
        </w:rPr>
        <w:t>(alternative hypothesis)</w:t>
      </w:r>
      <w:r w:rsidR="0049577B" w:rsidRPr="00B40DC1">
        <w:t>」(α)與「接受假的(錯誤的)</w:t>
      </w:r>
      <w:r w:rsidR="003C1792">
        <w:t>(</w:t>
      </w:r>
      <w:r w:rsidR="0049577B" w:rsidRPr="00B40DC1">
        <w:t>false)虛無假設</w:t>
      </w:r>
      <w:r w:rsidR="0049577B" w:rsidRPr="00B40DC1">
        <w:rPr>
          <w:bCs/>
          <w:shd w:val="clear" w:color="auto" w:fill="FFFFFF"/>
        </w:rPr>
        <w:t>(null hypothesis)</w:t>
      </w:r>
      <w:r w:rsidR="0049577B" w:rsidRPr="00B40DC1">
        <w:t>」(β)之嚴重性，何者較為嚴重？理論上，應該是</w:t>
      </w:r>
      <w:r w:rsidR="0049577B" w:rsidRPr="00B40DC1">
        <w:rPr>
          <w:bCs/>
        </w:rPr>
        <w:t>「</w:t>
      </w:r>
      <w:r w:rsidR="0049577B" w:rsidRPr="00B40DC1">
        <w:t>接受(accept)假的(錯誤的)(false)對立假設</w:t>
      </w:r>
      <w:r w:rsidR="0049577B" w:rsidRPr="00B40DC1">
        <w:rPr>
          <w:bCs/>
          <w:shd w:val="clear" w:color="auto" w:fill="FFFFFF"/>
        </w:rPr>
        <w:t>(alternative hypothesis)</w:t>
      </w:r>
      <w:r w:rsidR="0049577B" w:rsidRPr="00B40DC1">
        <w:t>」(α)</w:t>
      </w:r>
      <w:r w:rsidR="0049577B" w:rsidRPr="00B40DC1">
        <w:rPr>
          <w:bCs/>
        </w:rPr>
        <w:t>是比較嚴重的錯誤</w:t>
      </w:r>
      <w:r w:rsidR="0049577B" w:rsidRPr="00D20F89">
        <w:rPr>
          <w:rStyle w:val="af7"/>
          <w:rFonts w:eastAsia="新細明體"/>
          <w:sz w:val="20"/>
        </w:rPr>
        <w:footnoteReference w:id="99"/>
      </w:r>
      <w:r w:rsidR="0049577B" w:rsidRPr="00B40DC1">
        <w:rPr>
          <w:bCs/>
        </w:rPr>
        <w:t>，主因在於</w:t>
      </w:r>
      <w:r w:rsidR="0049577B" w:rsidRPr="00B40DC1">
        <w:t>所謂之「對立假設</w:t>
      </w:r>
      <w:r w:rsidR="0049577B" w:rsidRPr="00B40DC1">
        <w:rPr>
          <w:bCs/>
          <w:shd w:val="clear" w:color="auto" w:fill="FFFFFF"/>
        </w:rPr>
        <w:t>(alternative hypothesis)</w:t>
      </w:r>
      <w:r w:rsidR="0049577B" w:rsidRPr="00B40DC1">
        <w:t>」，是研究者心中想要之結果，研究者心中真正的最愛，研究者心中最喜愛之結果，乃為對立假設</w:t>
      </w:r>
      <w:r w:rsidR="0049577B" w:rsidRPr="00B40DC1">
        <w:rPr>
          <w:bCs/>
          <w:shd w:val="clear" w:color="auto" w:fill="FFFFFF"/>
        </w:rPr>
        <w:t>(alternative hypothesis)</w:t>
      </w:r>
      <w:r w:rsidR="0049577B" w:rsidRPr="00B40DC1">
        <w:t>，當統計決策為</w:t>
      </w:r>
      <w:r w:rsidR="0049577B" w:rsidRPr="00B40DC1">
        <w:rPr>
          <w:bCs/>
        </w:rPr>
        <w:t>「</w:t>
      </w:r>
      <w:r w:rsidR="0049577B" w:rsidRPr="00B40DC1">
        <w:t>接受(accept)假的(錯誤的)(false)對立假設」(α)，則情況相當嚴重。</w:t>
      </w:r>
      <w:r w:rsidR="0049577B" w:rsidRPr="00B40DC1">
        <w:rPr>
          <w:bCs/>
        </w:rPr>
        <w:t>故本書所使用</w:t>
      </w:r>
      <w:r w:rsidR="0049577B" w:rsidRPr="00B40DC1">
        <w:t>之統計上顯著水準，係為第一類型錯誤α，定為0.05。</w:t>
      </w:r>
    </w:p>
    <w:p w:rsidR="0049577B" w:rsidRPr="00B40DC1" w:rsidRDefault="00817A92" w:rsidP="00AA03F8">
      <w:pPr>
        <w:spacing w:line="240" w:lineRule="auto"/>
        <w:ind w:leftChars="0" w:left="0" w:rightChars="0" w:right="0"/>
      </w:pPr>
      <w:r>
        <w:t xml:space="preserve">　　</w:t>
      </w:r>
      <w:r w:rsidR="0049577B" w:rsidRPr="00B40DC1">
        <w:t>在相關分析之中，SPSS社會科學統計分析軟體，其歸納多數之研究者的報告調查結果，絕大部分之研究者，總是期望其分析之結果，自變項與依變項有統計上之相關性，故SPSS社會科學統計分析軟體之內定之對立假設</w:t>
      </w:r>
      <w:r w:rsidR="0049577B" w:rsidRPr="00B40DC1">
        <w:rPr>
          <w:bCs/>
          <w:shd w:val="clear" w:color="auto" w:fill="FFFFFF"/>
        </w:rPr>
        <w:t>(alternative hypothesis)</w:t>
      </w:r>
      <w:r w:rsidR="0049577B" w:rsidRPr="00B40DC1">
        <w:t>，是自變項與依變項有統計上之相關性。SPSS社會科學統計分析軟體之內定之虛無假設(是研究者先設定一種與自己真正要支持或證實之假設完全相反的假設)</w:t>
      </w:r>
      <w:r w:rsidR="003C1792">
        <w:rPr>
          <w:bCs/>
          <w:shd w:val="clear" w:color="auto" w:fill="FFFFFF"/>
        </w:rPr>
        <w:t>(</w:t>
      </w:r>
      <w:r w:rsidR="0049577B" w:rsidRPr="00B40DC1">
        <w:rPr>
          <w:bCs/>
          <w:shd w:val="clear" w:color="auto" w:fill="FFFFFF"/>
        </w:rPr>
        <w:t>null hypothesis)</w:t>
      </w:r>
      <w:r w:rsidR="0049577B" w:rsidRPr="00B40DC1">
        <w:t>，是自變項與依變項沒有統計上之相關性</w:t>
      </w:r>
      <w:r w:rsidR="0049577B" w:rsidRPr="00D20F89">
        <w:rPr>
          <w:rStyle w:val="af7"/>
          <w:rFonts w:eastAsia="新細明體"/>
          <w:sz w:val="20"/>
        </w:rPr>
        <w:footnoteReference w:id="100"/>
      </w:r>
      <w:r w:rsidR="0049577B" w:rsidRPr="00B40DC1">
        <w:t>。亦即，在相關分析之中，</w:t>
      </w:r>
      <w:r w:rsidR="0049577B" w:rsidRPr="00B40DC1">
        <w:rPr>
          <w:bCs/>
          <w:shd w:val="clear" w:color="auto" w:fill="FFFFFF"/>
        </w:rPr>
        <w:t>虛無假設(null hypothesis)係為兩個變項之間，無關聯性。</w:t>
      </w:r>
      <w:r w:rsidR="0049577B" w:rsidRPr="00B40DC1">
        <w:t>本書於進行SPSS相關分析之過程之中，第一類型錯誤α定為0.05。</w:t>
      </w:r>
    </w:p>
    <w:p w:rsidR="0049577B" w:rsidRPr="00B40DC1" w:rsidRDefault="00817A92" w:rsidP="00AA03F8">
      <w:pPr>
        <w:spacing w:line="240" w:lineRule="auto"/>
        <w:ind w:leftChars="0" w:left="0" w:rightChars="0" w:right="0"/>
      </w:pPr>
      <w:r>
        <w:t xml:space="preserve">　　</w:t>
      </w:r>
      <w:r w:rsidR="0049577B" w:rsidRPr="00B40DC1">
        <w:t>在多元迴歸分析之中，SPSS社會科學統計分析軟體，其歸納多數之研究者的報告調查結果，絕大部分之研究者，總是期望其分析之結果，自變項對依變項有統計上之預測力，故SPSS社會科學統計分析軟體之內定之對立假設</w:t>
      </w:r>
      <w:r w:rsidR="0049577B" w:rsidRPr="00B40DC1">
        <w:rPr>
          <w:bCs/>
          <w:shd w:val="clear" w:color="auto" w:fill="FFFFFF"/>
        </w:rPr>
        <w:t>(alternative hypothesis)</w:t>
      </w:r>
      <w:r w:rsidR="0049577B" w:rsidRPr="00B40DC1">
        <w:t>，是自變項對依變項有統計上之預測力</w:t>
      </w:r>
      <w:r w:rsidR="0049577B" w:rsidRPr="00D20F89">
        <w:rPr>
          <w:rStyle w:val="af7"/>
          <w:rFonts w:eastAsia="新細明體"/>
          <w:sz w:val="20"/>
        </w:rPr>
        <w:footnoteReference w:id="101"/>
      </w:r>
      <w:r w:rsidR="0049577B" w:rsidRPr="00B40DC1">
        <w:t>。SPSS社會科學統計分析軟體之內定之虛無假設(是研究者先設定一種與自己真正要支持或證實之假設完全相反的假設)</w:t>
      </w:r>
      <w:r w:rsidR="003C1792">
        <w:rPr>
          <w:bCs/>
          <w:shd w:val="clear" w:color="auto" w:fill="FFFFFF"/>
        </w:rPr>
        <w:t>(</w:t>
      </w:r>
      <w:r w:rsidR="0049577B" w:rsidRPr="00B40DC1">
        <w:rPr>
          <w:bCs/>
          <w:shd w:val="clear" w:color="auto" w:fill="FFFFFF"/>
        </w:rPr>
        <w:t>null hypothesis)</w:t>
      </w:r>
      <w:r w:rsidR="0049577B" w:rsidRPr="00B40DC1">
        <w:t>，是自變項對依變項沒有統計上之預測力、作用力或影響力</w:t>
      </w:r>
      <w:r w:rsidR="0049577B" w:rsidRPr="00D20F89">
        <w:rPr>
          <w:rStyle w:val="af7"/>
          <w:rFonts w:eastAsia="新細明體"/>
          <w:sz w:val="20"/>
        </w:rPr>
        <w:footnoteReference w:id="102"/>
      </w:r>
      <w:r w:rsidR="0049577B" w:rsidRPr="00B40DC1">
        <w:t>。本書於進行SPSS多元迴歸分析之過程之中，第一類型錯誤α定為0.05。</w:t>
      </w:r>
    </w:p>
    <w:p w:rsidR="0049577B" w:rsidRPr="00B40DC1" w:rsidRDefault="00817A92" w:rsidP="00A14BAA">
      <w:pPr>
        <w:spacing w:line="240" w:lineRule="auto"/>
        <w:ind w:leftChars="0" w:left="0" w:rightChars="0" w:right="0"/>
      </w:pPr>
      <w:r>
        <w:t xml:space="preserve">　　</w:t>
      </w:r>
      <w:r w:rsidR="0049577B" w:rsidRPr="00B40DC1">
        <w:t>復次，本書進行SPSS分析之步驟如下所述，首先，先在SPSS軟體之檔案之中，建立自變項(又被命名為：原因變項，change variables)、依變項(又被命名為：結果變項，outcome variables)之最原始數據</w:t>
      </w:r>
      <w:r w:rsidR="0049577B" w:rsidRPr="00D20F89">
        <w:rPr>
          <w:rStyle w:val="af7"/>
          <w:rFonts w:eastAsia="新細明體"/>
          <w:sz w:val="20"/>
        </w:rPr>
        <w:footnoteReference w:id="103"/>
      </w:r>
      <w:r w:rsidR="0049577B" w:rsidRPr="00B40DC1">
        <w:t>。換言之，利用SPSS18.0軟體，建立輸入資料之SPSS檔案，包含自變項、依變項之名稱、屬性、標示。之後，核對上開自變項、依變項之最原始數據資料，檢驗是否有輸入錯誤？之後，進行皮爾森相關分析，自變項(原因變項)與依變項(結果變項)之相關分析之結果，如達到皮爾森相關分析統計上之水準者，始投入多元迴歸分析之中，並利用多元迴歸分析之條件指標(CI)進行篩檢，多元迴歸分析之條件指標(CI)超過30者，因自變項相互之間，有嚴重之共線問題</w:t>
      </w:r>
      <w:r w:rsidR="0049577B" w:rsidRPr="00D20F89">
        <w:rPr>
          <w:rStyle w:val="af7"/>
          <w:rFonts w:eastAsia="新細明體"/>
          <w:sz w:val="20"/>
        </w:rPr>
        <w:footnoteReference w:id="104"/>
      </w:r>
      <w:r w:rsidR="0049577B" w:rsidRPr="00B40DC1">
        <w:t>，作者則將條件指標(CI)超過30之自變項刪除之，剩下者，即為對依變項具有影響力之自變項，渠等自變項之條件指標(CI)，均未超過30，故自變項相互之間，「未有」嚴重之共線問題，主因在條件指標(CI)，均被嚴格地控制在30以下。亦即，多元迴歸分析之條件指標(CI)，旨在檢驗以下10個自變項相互之間，是否存有嚴重之共線問題：</w:t>
      </w:r>
    </w:p>
    <w:p w:rsidR="0049577B" w:rsidRPr="00B40DC1" w:rsidRDefault="00817A92" w:rsidP="00A14BAA">
      <w:pPr>
        <w:spacing w:line="240" w:lineRule="auto"/>
        <w:ind w:leftChars="0" w:left="0" w:rightChars="0" w:right="0"/>
      </w:pPr>
      <w:r>
        <w:t xml:space="preserve">　　</w:t>
      </w:r>
      <w:r w:rsidR="0049577B" w:rsidRPr="00B40DC1">
        <w:t>X1：失業率(1992-2016年)</w:t>
      </w:r>
    </w:p>
    <w:p w:rsidR="0049577B" w:rsidRPr="00B40DC1" w:rsidRDefault="00817A92" w:rsidP="00A14BAA">
      <w:pPr>
        <w:spacing w:line="240" w:lineRule="auto"/>
        <w:ind w:leftChars="0" w:left="0" w:rightChars="0" w:right="0"/>
      </w:pPr>
      <w:r>
        <w:t xml:space="preserve">　　</w:t>
      </w:r>
      <w:r w:rsidR="0049577B" w:rsidRPr="00B40DC1">
        <w:t>X2：結婚對數(1998-2013年)</w:t>
      </w:r>
    </w:p>
    <w:p w:rsidR="0049577B" w:rsidRPr="00B40DC1" w:rsidRDefault="00817A92" w:rsidP="00A14BAA">
      <w:pPr>
        <w:spacing w:line="240" w:lineRule="auto"/>
        <w:ind w:leftChars="0" w:left="0" w:rightChars="0" w:right="0"/>
      </w:pPr>
      <w:r>
        <w:t xml:space="preserve">　　</w:t>
      </w:r>
      <w:r w:rsidR="0049577B" w:rsidRPr="00B40DC1">
        <w:t>X3：35歲以上人口之中，男性未婚之比例</w:t>
      </w:r>
      <w:r w:rsidR="003C1792">
        <w:t>(</w:t>
      </w:r>
      <w:r w:rsidR="0049577B" w:rsidRPr="00B40DC1">
        <w:t>1998-2013年)</w:t>
      </w:r>
    </w:p>
    <w:p w:rsidR="0049577B" w:rsidRPr="00B40DC1" w:rsidRDefault="00817A92" w:rsidP="00A14BAA">
      <w:pPr>
        <w:spacing w:line="240" w:lineRule="auto"/>
        <w:ind w:leftChars="0" w:left="0" w:rightChars="0" w:right="0"/>
      </w:pPr>
      <w:r>
        <w:t xml:space="preserve">　　</w:t>
      </w:r>
      <w:r w:rsidR="0049577B" w:rsidRPr="00B40DC1">
        <w:t>X4：離婚率(1998-2013年)</w:t>
      </w:r>
    </w:p>
    <w:p w:rsidR="0049577B" w:rsidRPr="00B40DC1" w:rsidRDefault="00817A92" w:rsidP="00A14BAA">
      <w:pPr>
        <w:spacing w:line="240" w:lineRule="auto"/>
        <w:ind w:leftChars="0" w:left="0" w:rightChars="0" w:right="0"/>
      </w:pPr>
      <w:r>
        <w:t xml:space="preserve">　　</w:t>
      </w:r>
      <w:r w:rsidR="0049577B" w:rsidRPr="00B40DC1">
        <w:t>X5：GNI(平均每人國民所得毛額，以美元為單位)</w:t>
      </w:r>
      <w:r w:rsidR="003C1792">
        <w:t>(</w:t>
      </w:r>
      <w:r w:rsidR="0049577B" w:rsidRPr="00B40DC1">
        <w:t>1992-2016年)</w:t>
      </w:r>
    </w:p>
    <w:p w:rsidR="003C1792" w:rsidRDefault="00817A92" w:rsidP="00A14BAA">
      <w:pPr>
        <w:spacing w:line="240" w:lineRule="auto"/>
        <w:ind w:leftChars="0" w:left="0" w:rightChars="0" w:right="0"/>
      </w:pPr>
      <w:r>
        <w:t xml:space="preserve">　　</w:t>
      </w:r>
      <w:r w:rsidR="0049577B" w:rsidRPr="00B40DC1">
        <w:t>X6：低收入戶之家庭及就學生活補助金額(1998-2013年)</w:t>
      </w:r>
    </w:p>
    <w:p w:rsidR="0049577B" w:rsidRPr="00B40DC1" w:rsidRDefault="00817A92" w:rsidP="00A14BAA">
      <w:pPr>
        <w:spacing w:line="240" w:lineRule="auto"/>
        <w:ind w:leftChars="0" w:left="0" w:rightChars="0" w:right="0"/>
      </w:pPr>
      <w:r>
        <w:t xml:space="preserve">　　</w:t>
      </w:r>
      <w:r w:rsidR="0049577B" w:rsidRPr="00B40DC1">
        <w:t>X7：緩刑比率(1998-2013年)</w:t>
      </w:r>
    </w:p>
    <w:p w:rsidR="0049577B" w:rsidRPr="00B40DC1" w:rsidRDefault="00817A92" w:rsidP="00A14BAA">
      <w:pPr>
        <w:spacing w:line="240" w:lineRule="auto"/>
        <w:ind w:leftChars="0" w:left="0" w:rightChars="0" w:right="0"/>
      </w:pPr>
      <w:r>
        <w:t xml:space="preserve">　　</w:t>
      </w:r>
      <w:r w:rsidR="0049577B" w:rsidRPr="00B40DC1">
        <w:t>X8：無期徒刑之人數(1998-2013年)</w:t>
      </w:r>
    </w:p>
    <w:p w:rsidR="0049577B" w:rsidRPr="00B40DC1" w:rsidRDefault="00817A92" w:rsidP="00A14BAA">
      <w:pPr>
        <w:spacing w:line="240" w:lineRule="auto"/>
        <w:ind w:leftChars="0" w:left="0" w:rightChars="0" w:right="0"/>
      </w:pPr>
      <w:r>
        <w:t xml:space="preserve">　　</w:t>
      </w:r>
      <w:r w:rsidR="0049577B" w:rsidRPr="00B40DC1">
        <w:t>X9：被執行死刑之人數(1992-2016年)</w:t>
      </w:r>
    </w:p>
    <w:p w:rsidR="0049577B" w:rsidRPr="00B40DC1" w:rsidRDefault="00817A92" w:rsidP="00A14BAA">
      <w:pPr>
        <w:spacing w:line="240" w:lineRule="auto"/>
        <w:ind w:leftChars="0" w:left="0" w:rightChars="0" w:right="0"/>
      </w:pPr>
      <w:r>
        <w:t xml:space="preserve">　　</w:t>
      </w:r>
      <w:r w:rsidR="0049577B" w:rsidRPr="00B40DC1">
        <w:t>X10：當年度之全般刑案破獲率(1992-2016年)</w:t>
      </w:r>
    </w:p>
    <w:p w:rsidR="0049577B" w:rsidRPr="00B40DC1" w:rsidRDefault="00817A92" w:rsidP="00A14BAA">
      <w:pPr>
        <w:spacing w:line="240" w:lineRule="auto"/>
        <w:ind w:leftChars="0" w:left="0" w:rightChars="0" w:right="0"/>
      </w:pPr>
      <w:r>
        <w:t xml:space="preserve">　　</w:t>
      </w:r>
      <w:r w:rsidR="0049577B" w:rsidRPr="00B40DC1">
        <w:t>在線性迴歸分析部分，SPSS軟體指令為：迴歸分析---分析/迴歸方法/線性/。本書在標準化迴歸係數之方面，檢視標準化迴歸係數須與相關係數一致。倘若標準化迴歸係數與相關係數不一致之時，本文作者則再重新執行一次線性迴歸分析，刪除相關性較低之變項。同時，交互使用---線性強迫迴歸及線性逐步迴歸，比較何者效果為佳？以最佳模式為主。假若某一個變項投入線性迴歸分析後，其會導致標準化迴歸係數與相關係數不一致，則未投入線性迴歸分析之中。假若標準化迴歸係數與相關係數不一致，顯示標準化迴歸模式有問題產生，其解釋可能有誤。本書力求標準化迴歸係數與相關係數須互相一致、方向須互相吻合</w:t>
      </w:r>
      <w:r w:rsidR="0049577B" w:rsidRPr="00817A92">
        <w:rPr>
          <w:rStyle w:val="af7"/>
          <w:rFonts w:eastAsia="新細明體"/>
          <w:sz w:val="20"/>
        </w:rPr>
        <w:footnoteReference w:id="105"/>
      </w:r>
      <w:r w:rsidR="0049577B" w:rsidRPr="00B40DC1">
        <w:t>。</w:t>
      </w:r>
    </w:p>
    <w:p w:rsidR="0049577B" w:rsidRPr="00B40DC1" w:rsidRDefault="00817A92" w:rsidP="00A14BAA">
      <w:pPr>
        <w:spacing w:line="240" w:lineRule="auto"/>
        <w:ind w:leftChars="0" w:left="0" w:rightChars="0" w:right="0"/>
      </w:pPr>
      <w:r>
        <w:t xml:space="preserve">　　</w:t>
      </w:r>
      <w:r w:rsidR="0049577B" w:rsidRPr="00B40DC1">
        <w:t>由下表---影響當年度刑案發生率(1992年至2016年)相關因子(原因變項)之多元迴歸分析統計數據結果一覽表(本表係使用強迫進入法之迴歸分析方式)之統計資料可得知，依變項為當年度刑案發生率，每提升GNI(平均每人國民所得毛額，以美元為單位)1個單位之標準差(1個標準單位)，則可減少(低)0.499個單位之標準差(標準化迴歸係數值，Beta=-0.499)之當年度刑案發生率。</w:t>
      </w:r>
    </w:p>
    <w:p w:rsidR="0049577B" w:rsidRPr="00B40DC1" w:rsidRDefault="00A14BAA" w:rsidP="00A14BAA">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當年度刑案發生率之發生。復次，無期徒刑亦無法有效地嚇阻(減少)當年度刑案發生率之發生。</w:t>
      </w:r>
    </w:p>
    <w:p w:rsidR="0049577B" w:rsidRPr="00B40DC1" w:rsidRDefault="00151AD5" w:rsidP="00151AD5">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7A92" w:rsidRDefault="0049577B" w:rsidP="00E736D6">
      <w:pPr>
        <w:pStyle w:val="4"/>
        <w:rPr>
          <w:lang w:eastAsia="zh-TW"/>
        </w:rPr>
      </w:pPr>
      <w:r w:rsidRPr="00817A92">
        <w:rPr>
          <w:lang w:eastAsia="zh-TW"/>
        </w:rPr>
        <w:t>表9、影響當年度刑案發生率(1992年至2016年)相關因子(原因變項)之多元迴歸分析統計數據結果一覽表(本表係使用強迫進入法之迴歸分析方式)</w:t>
      </w:r>
      <w:r w:rsidRPr="00A14BAA">
        <w:rPr>
          <w:rStyle w:val="af7"/>
          <w:rFonts w:eastAsia="新細明體"/>
          <w:b w:val="0"/>
          <w:sz w:val="20"/>
        </w:rPr>
        <w:footnoteReference w:id="106"/>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90"/>
        <w:gridCol w:w="1890"/>
        <w:gridCol w:w="1890"/>
      </w:tblGrid>
      <w:tr w:rsidR="0049577B" w:rsidRPr="00B40DC1" w:rsidTr="00151AD5">
        <w:tc>
          <w:tcPr>
            <w:tcW w:w="4106" w:type="dxa"/>
            <w:shd w:val="clear" w:color="auto" w:fill="EFFDFF"/>
          </w:tcPr>
          <w:p w:rsidR="0049577B" w:rsidRPr="00D20F89" w:rsidRDefault="0049577B" w:rsidP="00A14BAA">
            <w:pPr>
              <w:spacing w:line="240" w:lineRule="auto"/>
              <w:ind w:leftChars="0" w:left="0" w:rightChars="0" w:right="0"/>
              <w:rPr>
                <w:sz w:val="24"/>
                <w:szCs w:val="24"/>
              </w:rPr>
            </w:pPr>
            <w:r w:rsidRPr="00D20F89">
              <w:rPr>
                <w:sz w:val="24"/>
                <w:szCs w:val="24"/>
              </w:rPr>
              <w:t>多元迴歸分析統計數據自變項(解釋因子，independent variable)之名稱</w:t>
            </w:r>
          </w:p>
        </w:tc>
        <w:tc>
          <w:tcPr>
            <w:tcW w:w="1890" w:type="dxa"/>
            <w:shd w:val="clear" w:color="auto" w:fill="EFFDFF"/>
          </w:tcPr>
          <w:p w:rsidR="0049577B" w:rsidRPr="00D20F89" w:rsidRDefault="0049577B" w:rsidP="00D20F89">
            <w:pPr>
              <w:spacing w:line="240" w:lineRule="auto"/>
              <w:ind w:leftChars="0" w:left="0" w:rightChars="0" w:right="0"/>
              <w:jc w:val="center"/>
              <w:rPr>
                <w:sz w:val="24"/>
                <w:szCs w:val="24"/>
              </w:rPr>
            </w:pPr>
            <w:r w:rsidRPr="00D20F89">
              <w:rPr>
                <w:sz w:val="24"/>
                <w:szCs w:val="24"/>
              </w:rPr>
              <w:t>標準化迴歸係數值(Beta)</w:t>
            </w:r>
          </w:p>
        </w:tc>
        <w:tc>
          <w:tcPr>
            <w:tcW w:w="1890" w:type="dxa"/>
            <w:shd w:val="clear" w:color="auto" w:fill="EFFDFF"/>
          </w:tcPr>
          <w:p w:rsidR="0049577B" w:rsidRPr="00D20F89" w:rsidRDefault="0049577B" w:rsidP="00D20F89">
            <w:pPr>
              <w:spacing w:line="240" w:lineRule="auto"/>
              <w:ind w:leftChars="0" w:left="0" w:rightChars="0" w:right="0"/>
              <w:jc w:val="center"/>
              <w:rPr>
                <w:sz w:val="24"/>
                <w:szCs w:val="24"/>
              </w:rPr>
            </w:pPr>
            <w:r w:rsidRPr="00D20F89">
              <w:rPr>
                <w:sz w:val="24"/>
                <w:szCs w:val="24"/>
              </w:rPr>
              <w:t>標準化迴歸係數值(Beta)之顯著度(水準)</w:t>
            </w:r>
          </w:p>
        </w:tc>
        <w:tc>
          <w:tcPr>
            <w:tcW w:w="1890" w:type="dxa"/>
            <w:shd w:val="clear" w:color="auto" w:fill="EFFDFF"/>
          </w:tcPr>
          <w:p w:rsidR="0049577B" w:rsidRPr="00D20F89" w:rsidRDefault="0049577B" w:rsidP="00D20F89">
            <w:pPr>
              <w:spacing w:line="240" w:lineRule="auto"/>
              <w:ind w:leftChars="0" w:left="0" w:rightChars="0" w:right="0"/>
              <w:jc w:val="center"/>
              <w:rPr>
                <w:sz w:val="24"/>
                <w:szCs w:val="24"/>
              </w:rPr>
            </w:pPr>
            <w:r w:rsidRPr="00D20F89">
              <w:rPr>
                <w:sz w:val="24"/>
                <w:szCs w:val="24"/>
              </w:rPr>
              <w:t>條件指標(CI)</w:t>
            </w:r>
            <w:r w:rsidR="003C1792" w:rsidRPr="00D20F89">
              <w:rPr>
                <w:sz w:val="24"/>
                <w:szCs w:val="24"/>
              </w:rPr>
              <w:t>(</w:t>
            </w:r>
            <w:r w:rsidRPr="00D20F89">
              <w:rPr>
                <w:sz w:val="24"/>
                <w:szCs w:val="24"/>
              </w:rPr>
              <w:t>檢視自變項是否有嚴重之共線問題)</w:t>
            </w:r>
          </w:p>
        </w:tc>
      </w:tr>
      <w:tr w:rsidR="0049577B" w:rsidRPr="00B40DC1" w:rsidTr="00151AD5">
        <w:tc>
          <w:tcPr>
            <w:tcW w:w="4106" w:type="dxa"/>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X1：失業率(1992-2016年)</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r>
      <w:tr w:rsidR="0049577B" w:rsidRPr="00B40DC1" w:rsidTr="00151AD5">
        <w:tc>
          <w:tcPr>
            <w:tcW w:w="4106" w:type="dxa"/>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X2：結婚對數(1998-2013年)</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r>
      <w:tr w:rsidR="0049577B" w:rsidRPr="00B40DC1" w:rsidTr="00151AD5">
        <w:tc>
          <w:tcPr>
            <w:tcW w:w="4106" w:type="dxa"/>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X3： 35歲以上人口之中，男性未婚之比例</w:t>
            </w:r>
            <w:r w:rsidR="003C1792" w:rsidRPr="00D20F89">
              <w:rPr>
                <w:sz w:val="24"/>
                <w:szCs w:val="24"/>
              </w:rPr>
              <w:t>(</w:t>
            </w:r>
            <w:r w:rsidRPr="00D20F89">
              <w:rPr>
                <w:sz w:val="24"/>
                <w:szCs w:val="24"/>
              </w:rPr>
              <w:t>1998-2013年)</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r>
      <w:tr w:rsidR="0049577B" w:rsidRPr="00B40DC1" w:rsidTr="00151AD5">
        <w:tc>
          <w:tcPr>
            <w:tcW w:w="4106" w:type="dxa"/>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X4：離婚率(1998-2013年)</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r>
      <w:tr w:rsidR="0049577B" w:rsidRPr="00B40DC1" w:rsidTr="00151AD5">
        <w:tc>
          <w:tcPr>
            <w:tcW w:w="4106" w:type="dxa"/>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X5：GNI(平均每人國民所得毛額，以美元為單位)</w:t>
            </w:r>
            <w:r w:rsidR="003C1792" w:rsidRPr="00D20F89">
              <w:rPr>
                <w:sz w:val="24"/>
                <w:szCs w:val="24"/>
              </w:rPr>
              <w:t>(</w:t>
            </w:r>
            <w:r w:rsidRPr="00D20F89">
              <w:rPr>
                <w:sz w:val="24"/>
                <w:szCs w:val="24"/>
              </w:rPr>
              <w:t>1992-2016年)</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r w:rsidRPr="00D20F89">
              <w:rPr>
                <w:sz w:val="24"/>
                <w:szCs w:val="24"/>
              </w:rPr>
              <w:t>-0.499</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r w:rsidRPr="00D20F89">
              <w:rPr>
                <w:sz w:val="24"/>
                <w:szCs w:val="24"/>
              </w:rPr>
              <w:t>0.011</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r w:rsidRPr="00D20F89">
              <w:rPr>
                <w:sz w:val="24"/>
                <w:szCs w:val="24"/>
              </w:rPr>
              <w:t>8.749</w:t>
            </w:r>
          </w:p>
        </w:tc>
      </w:tr>
      <w:tr w:rsidR="0049577B" w:rsidRPr="00B40DC1" w:rsidTr="00151AD5">
        <w:tc>
          <w:tcPr>
            <w:tcW w:w="4106" w:type="dxa"/>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X6：低收入戶之家庭及就學生活補助金額(1998-2013年)</w:t>
            </w:r>
            <w:r w:rsidRPr="00D20F89">
              <w:rPr>
                <w:rFonts w:ascii="Arial Unicode MS" w:eastAsia="新細明體" w:hAnsi="Arial Unicode MS"/>
                <w:color w:val="FF6600"/>
                <w:sz w:val="20"/>
                <w:szCs w:val="24"/>
              </w:rPr>
              <w:footnoteReference w:id="107"/>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r>
      <w:tr w:rsidR="0049577B" w:rsidRPr="00B40DC1" w:rsidTr="00151AD5">
        <w:tc>
          <w:tcPr>
            <w:tcW w:w="4106" w:type="dxa"/>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X7：緩刑比率(1998-2013年)</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r>
      <w:tr w:rsidR="0049577B" w:rsidRPr="00B40DC1" w:rsidTr="00151AD5">
        <w:tc>
          <w:tcPr>
            <w:tcW w:w="4106" w:type="dxa"/>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X8：無期徒刑之人數(1998-2013年)</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r>
      <w:tr w:rsidR="0049577B" w:rsidRPr="00B40DC1" w:rsidTr="00151AD5">
        <w:tc>
          <w:tcPr>
            <w:tcW w:w="4106" w:type="dxa"/>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X9：被執行死刑之人數(1992-2016年)</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r>
      <w:tr w:rsidR="0049577B" w:rsidRPr="00B40DC1" w:rsidTr="00151AD5">
        <w:tc>
          <w:tcPr>
            <w:tcW w:w="4106" w:type="dxa"/>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X10：當年度之全般刑案破獲率(1992-2016年)</w:t>
            </w: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c>
          <w:tcPr>
            <w:tcW w:w="1890" w:type="dxa"/>
            <w:shd w:val="clear" w:color="auto" w:fill="auto"/>
            <w:vAlign w:val="center"/>
          </w:tcPr>
          <w:p w:rsidR="0049577B" w:rsidRPr="00D20F89" w:rsidRDefault="0049577B" w:rsidP="00D20F89">
            <w:pPr>
              <w:spacing w:line="240" w:lineRule="auto"/>
              <w:ind w:leftChars="0" w:left="0" w:rightChars="0" w:right="0"/>
              <w:jc w:val="center"/>
              <w:rPr>
                <w:sz w:val="24"/>
                <w:szCs w:val="24"/>
              </w:rPr>
            </w:pPr>
          </w:p>
        </w:tc>
      </w:tr>
      <w:tr w:rsidR="0049577B" w:rsidRPr="00B40DC1" w:rsidTr="00817A92">
        <w:tc>
          <w:tcPr>
            <w:tcW w:w="9776" w:type="dxa"/>
            <w:gridSpan w:val="4"/>
            <w:shd w:val="clear" w:color="auto" w:fill="auto"/>
          </w:tcPr>
          <w:p w:rsidR="0049577B" w:rsidRPr="00D20F89" w:rsidRDefault="0049577B" w:rsidP="00D20F89">
            <w:pPr>
              <w:spacing w:line="240" w:lineRule="auto"/>
              <w:ind w:leftChars="0" w:left="0" w:rightChars="0" w:right="0"/>
              <w:rPr>
                <w:sz w:val="24"/>
                <w:szCs w:val="24"/>
              </w:rPr>
            </w:pPr>
            <w:r w:rsidRPr="00D20F89">
              <w:rPr>
                <w:sz w:val="24"/>
                <w:szCs w:val="24"/>
              </w:rPr>
              <w:t>多元迴歸分析模型整體之R平方解釋量：0.217</w:t>
            </w:r>
          </w:p>
        </w:tc>
      </w:tr>
    </w:tbl>
    <w:p w:rsidR="0049577B" w:rsidRPr="00B40DC1" w:rsidRDefault="00817A92" w:rsidP="00D20F8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A14BAA" w:rsidRDefault="00A14BAA" w:rsidP="00D20F89">
      <w:pPr>
        <w:spacing w:line="240" w:lineRule="auto"/>
        <w:ind w:leftChars="0" w:left="0" w:rightChars="0" w:right="0"/>
      </w:pPr>
    </w:p>
    <w:p w:rsidR="0049577B" w:rsidRPr="00B40DC1" w:rsidRDefault="00817A92" w:rsidP="00D20F89">
      <w:pPr>
        <w:spacing w:line="240" w:lineRule="auto"/>
        <w:ind w:leftChars="0" w:left="0" w:rightChars="0" w:right="0"/>
      </w:pPr>
      <w:r>
        <w:t xml:space="preserve">　　</w:t>
      </w:r>
      <w:r w:rsidR="0049577B" w:rsidRPr="00B40DC1">
        <w:t>由下表---影響當年度刑案發生率(1992年至2016年)相關因子(原因變項)之多元迴歸分析統計數據結果一覽表(本表係使用逐步迴歸分析法之迴歸分析方式)之統計資料可得知，依變項為當年度刑案發生率，每提升35歲以上人口之中，男性未婚之比例1個單位之標準差(1個標準單位)，則可減少(低)0.812個單位之標準差(標準化迴歸係數值，Beta=-0.812)之當年度刑案發生率。</w:t>
      </w:r>
    </w:p>
    <w:p w:rsidR="0049577B" w:rsidRPr="00B40DC1" w:rsidRDefault="00817A92" w:rsidP="00D20F89">
      <w:pPr>
        <w:spacing w:line="240" w:lineRule="auto"/>
        <w:ind w:leftChars="0" w:left="0" w:rightChars="0" w:right="0"/>
      </w:pPr>
      <w:r>
        <w:t xml:space="preserve">　　</w:t>
      </w:r>
      <w:r w:rsidR="0049577B" w:rsidRPr="00B40DC1">
        <w:t>或許，有可能之機率，係為35歲以上人口之中，未婚男性之身心狀態，有可能會比較穩定。因其為單身，故有可能較無家庭之經濟上重大負擔，無須教養小孩；35歲以上之單身男性，其工作之所得，可全部歸為自己所有，可購買不動產、動產、或進行其他投資，由於經濟上有所依靠，再加上心智有可能更加成熟、穩定，有可能具有較強的自控能力，作一名守法之民眾，而未從事犯罪(當年度刑案)。亦即，其從事犯罪(當年度刑案)之機率，相對而論，或許，有可能相對較低一些。</w:t>
      </w:r>
    </w:p>
    <w:p w:rsidR="0049577B" w:rsidRPr="00B40DC1" w:rsidRDefault="00E26F8A" w:rsidP="00D20F8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當年度刑案發生率之發生。復次，無期徒刑亦無法有效地嚇阻(減少)當年度刑案發生率之發生。</w:t>
      </w:r>
    </w:p>
    <w:p w:rsidR="0049577B" w:rsidRPr="00B40DC1" w:rsidRDefault="00151AD5" w:rsidP="00151AD5">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7A92" w:rsidRDefault="0049577B" w:rsidP="00E736D6">
      <w:pPr>
        <w:pStyle w:val="4"/>
        <w:rPr>
          <w:lang w:eastAsia="zh-TW"/>
        </w:rPr>
      </w:pPr>
      <w:r w:rsidRPr="00817A92">
        <w:rPr>
          <w:lang w:eastAsia="zh-TW"/>
        </w:rPr>
        <w:t>表10、影響當年度刑案發生率(1992年至2016年)相關因子(原因變項)之多元迴歸分析統計數據結果一覽表(本表係使用逐步迴歸分析法之迴歸分析方式)</w:t>
      </w:r>
      <w:r w:rsidRPr="00817A92">
        <w:rPr>
          <w:rStyle w:val="af7"/>
          <w:rFonts w:eastAsia="新細明體"/>
          <w:b w:val="0"/>
          <w:sz w:val="20"/>
        </w:rPr>
        <w:footnoteReference w:id="10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99"/>
        <w:gridCol w:w="1899"/>
        <w:gridCol w:w="1900"/>
      </w:tblGrid>
      <w:tr w:rsidR="0049577B" w:rsidRPr="00B40DC1" w:rsidTr="00151AD5">
        <w:trPr>
          <w:tblHeader/>
        </w:trPr>
        <w:tc>
          <w:tcPr>
            <w:tcW w:w="3936" w:type="dxa"/>
            <w:shd w:val="clear" w:color="auto" w:fill="FAF0FA"/>
            <w:vAlign w:val="center"/>
          </w:tcPr>
          <w:p w:rsidR="0049577B" w:rsidRPr="00D20F89" w:rsidRDefault="0049577B" w:rsidP="00817A92">
            <w:pPr>
              <w:ind w:leftChars="0" w:left="0" w:rightChars="1" w:right="3"/>
              <w:jc w:val="center"/>
              <w:rPr>
                <w:sz w:val="24"/>
              </w:rPr>
            </w:pPr>
            <w:r w:rsidRPr="00D20F89">
              <w:rPr>
                <w:sz w:val="24"/>
              </w:rPr>
              <w:t>多元迴歸分析統計數據自變項(解釋因子，independent variable)之名稱</w:t>
            </w:r>
          </w:p>
        </w:tc>
        <w:tc>
          <w:tcPr>
            <w:tcW w:w="1899" w:type="dxa"/>
            <w:shd w:val="clear" w:color="auto" w:fill="FAF0FA"/>
            <w:vAlign w:val="center"/>
          </w:tcPr>
          <w:p w:rsidR="0049577B" w:rsidRPr="00D20F89" w:rsidRDefault="0049577B" w:rsidP="00817A92">
            <w:pPr>
              <w:ind w:leftChars="-32" w:left="-83"/>
              <w:jc w:val="center"/>
              <w:rPr>
                <w:sz w:val="24"/>
              </w:rPr>
            </w:pPr>
            <w:r w:rsidRPr="00D20F89">
              <w:rPr>
                <w:sz w:val="24"/>
              </w:rPr>
              <w:t>標準化迴歸係數值(Beta)</w:t>
            </w:r>
          </w:p>
        </w:tc>
        <w:tc>
          <w:tcPr>
            <w:tcW w:w="1899" w:type="dxa"/>
            <w:shd w:val="clear" w:color="auto" w:fill="FAF0FA"/>
            <w:vAlign w:val="center"/>
          </w:tcPr>
          <w:p w:rsidR="0049577B" w:rsidRPr="00D20F89" w:rsidRDefault="0049577B" w:rsidP="00817A92">
            <w:pPr>
              <w:ind w:leftChars="-32" w:left="-83" w:rightChars="0" w:right="0"/>
              <w:jc w:val="center"/>
              <w:rPr>
                <w:sz w:val="24"/>
              </w:rPr>
            </w:pPr>
            <w:r w:rsidRPr="00D20F89">
              <w:rPr>
                <w:sz w:val="24"/>
              </w:rPr>
              <w:t>標準化迴歸係數值(Beta)之顯著度(水準)</w:t>
            </w:r>
          </w:p>
        </w:tc>
        <w:tc>
          <w:tcPr>
            <w:tcW w:w="1900" w:type="dxa"/>
            <w:shd w:val="clear" w:color="auto" w:fill="FAF0FA"/>
            <w:vAlign w:val="center"/>
          </w:tcPr>
          <w:p w:rsidR="0049577B" w:rsidRPr="00D20F89" w:rsidRDefault="0049577B" w:rsidP="00817A92">
            <w:pPr>
              <w:ind w:leftChars="0" w:left="0"/>
              <w:jc w:val="center"/>
              <w:rPr>
                <w:sz w:val="24"/>
              </w:rPr>
            </w:pPr>
            <w:r w:rsidRPr="00D20F89">
              <w:rPr>
                <w:sz w:val="24"/>
              </w:rPr>
              <w:t>條件指標(CI)</w:t>
            </w:r>
            <w:r w:rsidR="003C1792" w:rsidRPr="00D20F89">
              <w:rPr>
                <w:sz w:val="24"/>
              </w:rPr>
              <w:t>(</w:t>
            </w:r>
            <w:r w:rsidRPr="00D20F89">
              <w:rPr>
                <w:sz w:val="24"/>
              </w:rPr>
              <w:t>檢視自變項是否有嚴重之共線問題)</w:t>
            </w:r>
          </w:p>
        </w:tc>
      </w:tr>
      <w:tr w:rsidR="0049577B" w:rsidRPr="00B40DC1" w:rsidTr="00151AD5">
        <w:tc>
          <w:tcPr>
            <w:tcW w:w="3936" w:type="dxa"/>
            <w:shd w:val="clear" w:color="auto" w:fill="auto"/>
          </w:tcPr>
          <w:p w:rsidR="0049577B" w:rsidRPr="00D20F89" w:rsidRDefault="0049577B" w:rsidP="00817A92">
            <w:pPr>
              <w:ind w:leftChars="11" w:left="29" w:rightChars="1" w:right="3"/>
              <w:rPr>
                <w:sz w:val="24"/>
              </w:rPr>
            </w:pPr>
            <w:r w:rsidRPr="00D20F89">
              <w:rPr>
                <w:sz w:val="24"/>
              </w:rPr>
              <w:t>X1：失業率(1992-2016年)</w:t>
            </w:r>
          </w:p>
        </w:tc>
        <w:tc>
          <w:tcPr>
            <w:tcW w:w="1899" w:type="dxa"/>
            <w:shd w:val="clear" w:color="auto" w:fill="auto"/>
            <w:vAlign w:val="center"/>
          </w:tcPr>
          <w:p w:rsidR="0049577B" w:rsidRPr="00D20F89" w:rsidRDefault="0049577B" w:rsidP="00817A92">
            <w:pPr>
              <w:rPr>
                <w:sz w:val="24"/>
              </w:rPr>
            </w:pPr>
          </w:p>
        </w:tc>
        <w:tc>
          <w:tcPr>
            <w:tcW w:w="1899" w:type="dxa"/>
            <w:shd w:val="clear" w:color="auto" w:fill="auto"/>
            <w:vAlign w:val="center"/>
          </w:tcPr>
          <w:p w:rsidR="0049577B" w:rsidRPr="00D20F89" w:rsidRDefault="0049577B" w:rsidP="00817A92">
            <w:pPr>
              <w:rPr>
                <w:sz w:val="24"/>
              </w:rPr>
            </w:pPr>
          </w:p>
        </w:tc>
        <w:tc>
          <w:tcPr>
            <w:tcW w:w="1900" w:type="dxa"/>
            <w:shd w:val="clear" w:color="auto" w:fill="auto"/>
            <w:vAlign w:val="center"/>
          </w:tcPr>
          <w:p w:rsidR="0049577B" w:rsidRPr="00D20F89" w:rsidRDefault="0049577B" w:rsidP="00817A92">
            <w:pPr>
              <w:rPr>
                <w:sz w:val="24"/>
              </w:rPr>
            </w:pPr>
          </w:p>
        </w:tc>
      </w:tr>
      <w:tr w:rsidR="0049577B" w:rsidRPr="00B40DC1" w:rsidTr="00151AD5">
        <w:tc>
          <w:tcPr>
            <w:tcW w:w="3936" w:type="dxa"/>
            <w:shd w:val="clear" w:color="auto" w:fill="auto"/>
          </w:tcPr>
          <w:p w:rsidR="0049577B" w:rsidRPr="00D20F89" w:rsidRDefault="0049577B" w:rsidP="00817A92">
            <w:pPr>
              <w:ind w:leftChars="11" w:left="29" w:rightChars="1" w:right="3"/>
              <w:rPr>
                <w:sz w:val="24"/>
              </w:rPr>
            </w:pPr>
            <w:r w:rsidRPr="00D20F89">
              <w:rPr>
                <w:sz w:val="24"/>
              </w:rPr>
              <w:t>X2：結婚對數(1998-2013年)</w:t>
            </w:r>
          </w:p>
        </w:tc>
        <w:tc>
          <w:tcPr>
            <w:tcW w:w="1899" w:type="dxa"/>
            <w:shd w:val="clear" w:color="auto" w:fill="auto"/>
            <w:vAlign w:val="center"/>
          </w:tcPr>
          <w:p w:rsidR="0049577B" w:rsidRPr="00D20F89" w:rsidRDefault="0049577B" w:rsidP="00817A92">
            <w:pPr>
              <w:rPr>
                <w:sz w:val="24"/>
              </w:rPr>
            </w:pPr>
          </w:p>
        </w:tc>
        <w:tc>
          <w:tcPr>
            <w:tcW w:w="1899" w:type="dxa"/>
            <w:shd w:val="clear" w:color="auto" w:fill="auto"/>
            <w:vAlign w:val="center"/>
          </w:tcPr>
          <w:p w:rsidR="0049577B" w:rsidRPr="00D20F89" w:rsidRDefault="0049577B" w:rsidP="00817A92">
            <w:pPr>
              <w:rPr>
                <w:sz w:val="24"/>
              </w:rPr>
            </w:pPr>
          </w:p>
        </w:tc>
        <w:tc>
          <w:tcPr>
            <w:tcW w:w="1900" w:type="dxa"/>
            <w:shd w:val="clear" w:color="auto" w:fill="auto"/>
            <w:vAlign w:val="center"/>
          </w:tcPr>
          <w:p w:rsidR="0049577B" w:rsidRPr="00D20F89" w:rsidRDefault="0049577B" w:rsidP="00817A92">
            <w:pPr>
              <w:rPr>
                <w:sz w:val="24"/>
              </w:rPr>
            </w:pPr>
          </w:p>
        </w:tc>
      </w:tr>
      <w:tr w:rsidR="0049577B" w:rsidRPr="00B40DC1" w:rsidTr="00151AD5">
        <w:tc>
          <w:tcPr>
            <w:tcW w:w="3936" w:type="dxa"/>
            <w:shd w:val="clear" w:color="auto" w:fill="auto"/>
          </w:tcPr>
          <w:p w:rsidR="0049577B" w:rsidRPr="00D20F89" w:rsidRDefault="0049577B" w:rsidP="00817A92">
            <w:pPr>
              <w:ind w:leftChars="11" w:left="29" w:rightChars="1" w:right="3"/>
              <w:rPr>
                <w:sz w:val="24"/>
              </w:rPr>
            </w:pPr>
            <w:r w:rsidRPr="00D20F89">
              <w:rPr>
                <w:sz w:val="24"/>
              </w:rPr>
              <w:t>X3： 35歲以上人口之中，男性未婚之比例</w:t>
            </w:r>
            <w:r w:rsidR="003C1792" w:rsidRPr="00D20F89">
              <w:rPr>
                <w:sz w:val="24"/>
              </w:rPr>
              <w:t>(</w:t>
            </w:r>
            <w:r w:rsidRPr="00D20F89">
              <w:rPr>
                <w:sz w:val="24"/>
              </w:rPr>
              <w:t>1998-2013年)</w:t>
            </w:r>
          </w:p>
        </w:tc>
        <w:tc>
          <w:tcPr>
            <w:tcW w:w="1899" w:type="dxa"/>
            <w:shd w:val="clear" w:color="auto" w:fill="auto"/>
            <w:vAlign w:val="center"/>
          </w:tcPr>
          <w:p w:rsidR="0049577B" w:rsidRPr="00D20F89" w:rsidRDefault="0049577B" w:rsidP="00817A92">
            <w:pPr>
              <w:rPr>
                <w:sz w:val="24"/>
              </w:rPr>
            </w:pPr>
            <w:r w:rsidRPr="00D20F89">
              <w:rPr>
                <w:sz w:val="24"/>
              </w:rPr>
              <w:t>-0.812</w:t>
            </w:r>
          </w:p>
        </w:tc>
        <w:tc>
          <w:tcPr>
            <w:tcW w:w="1899" w:type="dxa"/>
            <w:shd w:val="clear" w:color="auto" w:fill="auto"/>
            <w:vAlign w:val="center"/>
          </w:tcPr>
          <w:p w:rsidR="0049577B" w:rsidRPr="00D20F89" w:rsidRDefault="0049577B" w:rsidP="00817A92">
            <w:pPr>
              <w:rPr>
                <w:sz w:val="24"/>
              </w:rPr>
            </w:pPr>
            <w:r w:rsidRPr="00D20F89">
              <w:rPr>
                <w:sz w:val="24"/>
              </w:rPr>
              <w:t>0.000</w:t>
            </w:r>
          </w:p>
        </w:tc>
        <w:tc>
          <w:tcPr>
            <w:tcW w:w="1900" w:type="dxa"/>
            <w:shd w:val="clear" w:color="auto" w:fill="auto"/>
            <w:vAlign w:val="center"/>
          </w:tcPr>
          <w:p w:rsidR="0049577B" w:rsidRPr="00D20F89" w:rsidRDefault="0049577B" w:rsidP="00817A92">
            <w:pPr>
              <w:rPr>
                <w:sz w:val="24"/>
              </w:rPr>
            </w:pPr>
            <w:r w:rsidRPr="00D20F89">
              <w:rPr>
                <w:sz w:val="24"/>
              </w:rPr>
              <w:t>16.325</w:t>
            </w:r>
          </w:p>
        </w:tc>
      </w:tr>
      <w:tr w:rsidR="0049577B" w:rsidRPr="00B40DC1" w:rsidTr="00151AD5">
        <w:tc>
          <w:tcPr>
            <w:tcW w:w="3936" w:type="dxa"/>
            <w:shd w:val="clear" w:color="auto" w:fill="auto"/>
          </w:tcPr>
          <w:p w:rsidR="0049577B" w:rsidRPr="00D20F89" w:rsidRDefault="0049577B" w:rsidP="00817A92">
            <w:pPr>
              <w:ind w:leftChars="11" w:left="29" w:rightChars="1" w:right="3"/>
              <w:rPr>
                <w:sz w:val="24"/>
              </w:rPr>
            </w:pPr>
            <w:r w:rsidRPr="00D20F89">
              <w:rPr>
                <w:sz w:val="24"/>
              </w:rPr>
              <w:t>X4：離婚率(1998-2013年)</w:t>
            </w:r>
          </w:p>
        </w:tc>
        <w:tc>
          <w:tcPr>
            <w:tcW w:w="1899" w:type="dxa"/>
            <w:shd w:val="clear" w:color="auto" w:fill="auto"/>
            <w:vAlign w:val="center"/>
          </w:tcPr>
          <w:p w:rsidR="0049577B" w:rsidRPr="00D20F89" w:rsidRDefault="0049577B" w:rsidP="00817A92">
            <w:pPr>
              <w:rPr>
                <w:sz w:val="24"/>
              </w:rPr>
            </w:pPr>
          </w:p>
        </w:tc>
        <w:tc>
          <w:tcPr>
            <w:tcW w:w="1899" w:type="dxa"/>
            <w:shd w:val="clear" w:color="auto" w:fill="auto"/>
            <w:vAlign w:val="center"/>
          </w:tcPr>
          <w:p w:rsidR="0049577B" w:rsidRPr="00D20F89" w:rsidRDefault="0049577B" w:rsidP="00817A92">
            <w:pPr>
              <w:rPr>
                <w:sz w:val="24"/>
              </w:rPr>
            </w:pPr>
          </w:p>
        </w:tc>
        <w:tc>
          <w:tcPr>
            <w:tcW w:w="1900" w:type="dxa"/>
            <w:shd w:val="clear" w:color="auto" w:fill="auto"/>
            <w:vAlign w:val="center"/>
          </w:tcPr>
          <w:p w:rsidR="0049577B" w:rsidRPr="00D20F89" w:rsidRDefault="0049577B" w:rsidP="00817A92">
            <w:pPr>
              <w:rPr>
                <w:sz w:val="24"/>
              </w:rPr>
            </w:pPr>
          </w:p>
        </w:tc>
      </w:tr>
      <w:tr w:rsidR="0049577B" w:rsidRPr="00B40DC1" w:rsidTr="00151AD5">
        <w:tc>
          <w:tcPr>
            <w:tcW w:w="3936" w:type="dxa"/>
            <w:shd w:val="clear" w:color="auto" w:fill="auto"/>
          </w:tcPr>
          <w:p w:rsidR="0049577B" w:rsidRPr="00D20F89" w:rsidRDefault="0049577B" w:rsidP="00817A92">
            <w:pPr>
              <w:ind w:leftChars="11" w:left="29" w:rightChars="1" w:right="3"/>
              <w:rPr>
                <w:sz w:val="24"/>
              </w:rPr>
            </w:pPr>
            <w:r w:rsidRPr="00D20F89">
              <w:rPr>
                <w:sz w:val="24"/>
              </w:rPr>
              <w:t>X5：GNI(平均每人國民所得毛額，以美元為單位)</w:t>
            </w:r>
            <w:r w:rsidR="003C1792" w:rsidRPr="00D20F89">
              <w:rPr>
                <w:sz w:val="24"/>
              </w:rPr>
              <w:t>(</w:t>
            </w:r>
            <w:r w:rsidRPr="00D20F89">
              <w:rPr>
                <w:sz w:val="24"/>
              </w:rPr>
              <w:t>1992-2016年)</w:t>
            </w:r>
          </w:p>
        </w:tc>
        <w:tc>
          <w:tcPr>
            <w:tcW w:w="1899" w:type="dxa"/>
            <w:shd w:val="clear" w:color="auto" w:fill="auto"/>
            <w:vAlign w:val="center"/>
          </w:tcPr>
          <w:p w:rsidR="0049577B" w:rsidRPr="00D20F89" w:rsidRDefault="0049577B" w:rsidP="00817A92">
            <w:pPr>
              <w:rPr>
                <w:sz w:val="24"/>
              </w:rPr>
            </w:pPr>
          </w:p>
        </w:tc>
        <w:tc>
          <w:tcPr>
            <w:tcW w:w="1899" w:type="dxa"/>
            <w:shd w:val="clear" w:color="auto" w:fill="auto"/>
            <w:vAlign w:val="center"/>
          </w:tcPr>
          <w:p w:rsidR="0049577B" w:rsidRPr="00D20F89" w:rsidRDefault="0049577B" w:rsidP="00817A92">
            <w:pPr>
              <w:rPr>
                <w:sz w:val="24"/>
              </w:rPr>
            </w:pPr>
          </w:p>
        </w:tc>
        <w:tc>
          <w:tcPr>
            <w:tcW w:w="1900" w:type="dxa"/>
            <w:shd w:val="clear" w:color="auto" w:fill="auto"/>
            <w:vAlign w:val="center"/>
          </w:tcPr>
          <w:p w:rsidR="0049577B" w:rsidRPr="00D20F89" w:rsidRDefault="0049577B" w:rsidP="00817A92">
            <w:pPr>
              <w:rPr>
                <w:sz w:val="24"/>
              </w:rPr>
            </w:pPr>
          </w:p>
        </w:tc>
      </w:tr>
      <w:tr w:rsidR="0049577B" w:rsidRPr="00B40DC1" w:rsidTr="00151AD5">
        <w:tc>
          <w:tcPr>
            <w:tcW w:w="3936" w:type="dxa"/>
            <w:shd w:val="clear" w:color="auto" w:fill="auto"/>
          </w:tcPr>
          <w:p w:rsidR="0049577B" w:rsidRPr="00D20F89" w:rsidRDefault="0049577B" w:rsidP="00817A92">
            <w:pPr>
              <w:ind w:leftChars="11" w:left="29"/>
              <w:rPr>
                <w:sz w:val="24"/>
              </w:rPr>
            </w:pPr>
            <w:r w:rsidRPr="00D20F89">
              <w:rPr>
                <w:sz w:val="24"/>
              </w:rPr>
              <w:t>X6：低收入戶之家庭及就學生活補助金額(1998-2013年)</w:t>
            </w:r>
            <w:r w:rsidRPr="00A14BAA">
              <w:rPr>
                <w:rStyle w:val="af7"/>
                <w:rFonts w:eastAsia="新細明體"/>
                <w:sz w:val="20"/>
              </w:rPr>
              <w:footnoteReference w:id="109"/>
            </w:r>
          </w:p>
        </w:tc>
        <w:tc>
          <w:tcPr>
            <w:tcW w:w="1899" w:type="dxa"/>
            <w:shd w:val="clear" w:color="auto" w:fill="auto"/>
          </w:tcPr>
          <w:p w:rsidR="0049577B" w:rsidRPr="00D20F89" w:rsidRDefault="0049577B" w:rsidP="00817A92">
            <w:pPr>
              <w:ind w:leftChars="-32" w:left="-83"/>
              <w:rPr>
                <w:sz w:val="24"/>
              </w:rPr>
            </w:pPr>
          </w:p>
        </w:tc>
        <w:tc>
          <w:tcPr>
            <w:tcW w:w="1899" w:type="dxa"/>
            <w:shd w:val="clear" w:color="auto" w:fill="auto"/>
          </w:tcPr>
          <w:p w:rsidR="0049577B" w:rsidRPr="00D20F89" w:rsidRDefault="0049577B" w:rsidP="00817A92">
            <w:pPr>
              <w:ind w:leftChars="0" w:left="0"/>
              <w:rPr>
                <w:sz w:val="24"/>
              </w:rPr>
            </w:pPr>
          </w:p>
        </w:tc>
        <w:tc>
          <w:tcPr>
            <w:tcW w:w="1900" w:type="dxa"/>
            <w:shd w:val="clear" w:color="auto" w:fill="auto"/>
          </w:tcPr>
          <w:p w:rsidR="0049577B" w:rsidRPr="00D20F89" w:rsidRDefault="0049577B" w:rsidP="000D26BB">
            <w:pPr>
              <w:rPr>
                <w:sz w:val="24"/>
              </w:rPr>
            </w:pPr>
          </w:p>
        </w:tc>
      </w:tr>
      <w:tr w:rsidR="0049577B" w:rsidRPr="00B40DC1" w:rsidTr="00151AD5">
        <w:tc>
          <w:tcPr>
            <w:tcW w:w="3936" w:type="dxa"/>
            <w:shd w:val="clear" w:color="auto" w:fill="auto"/>
          </w:tcPr>
          <w:p w:rsidR="0049577B" w:rsidRPr="00D20F89" w:rsidRDefault="0049577B" w:rsidP="00817A92">
            <w:pPr>
              <w:ind w:leftChars="11" w:left="29"/>
              <w:rPr>
                <w:sz w:val="24"/>
              </w:rPr>
            </w:pPr>
            <w:r w:rsidRPr="00D20F89">
              <w:rPr>
                <w:sz w:val="24"/>
              </w:rPr>
              <w:t>X7：緩刑比率(1998-2013年)</w:t>
            </w:r>
          </w:p>
        </w:tc>
        <w:tc>
          <w:tcPr>
            <w:tcW w:w="1899" w:type="dxa"/>
            <w:shd w:val="clear" w:color="auto" w:fill="auto"/>
          </w:tcPr>
          <w:p w:rsidR="0049577B" w:rsidRPr="00D20F89" w:rsidRDefault="0049577B" w:rsidP="000D26BB">
            <w:pPr>
              <w:rPr>
                <w:sz w:val="24"/>
              </w:rPr>
            </w:pPr>
          </w:p>
        </w:tc>
        <w:tc>
          <w:tcPr>
            <w:tcW w:w="1899" w:type="dxa"/>
            <w:shd w:val="clear" w:color="auto" w:fill="auto"/>
          </w:tcPr>
          <w:p w:rsidR="0049577B" w:rsidRPr="00D20F89" w:rsidRDefault="0049577B" w:rsidP="000D26BB">
            <w:pPr>
              <w:rPr>
                <w:sz w:val="24"/>
              </w:rPr>
            </w:pPr>
          </w:p>
        </w:tc>
        <w:tc>
          <w:tcPr>
            <w:tcW w:w="1900" w:type="dxa"/>
            <w:shd w:val="clear" w:color="auto" w:fill="auto"/>
          </w:tcPr>
          <w:p w:rsidR="0049577B" w:rsidRPr="00D20F89" w:rsidRDefault="0049577B" w:rsidP="000D26BB">
            <w:pPr>
              <w:rPr>
                <w:sz w:val="24"/>
              </w:rPr>
            </w:pPr>
          </w:p>
        </w:tc>
      </w:tr>
      <w:tr w:rsidR="0049577B" w:rsidRPr="00B40DC1" w:rsidTr="00151AD5">
        <w:tc>
          <w:tcPr>
            <w:tcW w:w="3936" w:type="dxa"/>
            <w:shd w:val="clear" w:color="auto" w:fill="auto"/>
          </w:tcPr>
          <w:p w:rsidR="0049577B" w:rsidRPr="00D20F89" w:rsidRDefault="0049577B" w:rsidP="00817A92">
            <w:pPr>
              <w:ind w:leftChars="11" w:left="29"/>
              <w:rPr>
                <w:sz w:val="24"/>
              </w:rPr>
            </w:pPr>
            <w:r w:rsidRPr="00D20F89">
              <w:rPr>
                <w:sz w:val="24"/>
              </w:rPr>
              <w:t>X8：無期徒刑之人數(1998-2013年)</w:t>
            </w:r>
          </w:p>
        </w:tc>
        <w:tc>
          <w:tcPr>
            <w:tcW w:w="1899" w:type="dxa"/>
            <w:shd w:val="clear" w:color="auto" w:fill="auto"/>
          </w:tcPr>
          <w:p w:rsidR="0049577B" w:rsidRPr="00D20F89" w:rsidRDefault="0049577B" w:rsidP="000D26BB">
            <w:pPr>
              <w:rPr>
                <w:sz w:val="24"/>
              </w:rPr>
            </w:pPr>
          </w:p>
        </w:tc>
        <w:tc>
          <w:tcPr>
            <w:tcW w:w="1899" w:type="dxa"/>
            <w:shd w:val="clear" w:color="auto" w:fill="auto"/>
          </w:tcPr>
          <w:p w:rsidR="0049577B" w:rsidRPr="00D20F89" w:rsidRDefault="0049577B" w:rsidP="000D26BB">
            <w:pPr>
              <w:rPr>
                <w:sz w:val="24"/>
              </w:rPr>
            </w:pPr>
          </w:p>
        </w:tc>
        <w:tc>
          <w:tcPr>
            <w:tcW w:w="1900" w:type="dxa"/>
            <w:shd w:val="clear" w:color="auto" w:fill="auto"/>
          </w:tcPr>
          <w:p w:rsidR="0049577B" w:rsidRPr="00D20F89" w:rsidRDefault="0049577B" w:rsidP="000D26BB">
            <w:pPr>
              <w:rPr>
                <w:sz w:val="24"/>
              </w:rPr>
            </w:pPr>
          </w:p>
        </w:tc>
      </w:tr>
      <w:tr w:rsidR="0049577B" w:rsidRPr="00B40DC1" w:rsidTr="00151AD5">
        <w:tc>
          <w:tcPr>
            <w:tcW w:w="3936" w:type="dxa"/>
            <w:shd w:val="clear" w:color="auto" w:fill="auto"/>
          </w:tcPr>
          <w:p w:rsidR="0049577B" w:rsidRPr="00D20F89" w:rsidRDefault="0049577B" w:rsidP="00817A92">
            <w:pPr>
              <w:ind w:leftChars="11" w:left="29"/>
              <w:rPr>
                <w:sz w:val="24"/>
              </w:rPr>
            </w:pPr>
            <w:r w:rsidRPr="00D20F89">
              <w:rPr>
                <w:sz w:val="24"/>
              </w:rPr>
              <w:t>X9：被執行死刑之人數(1992-2016年)</w:t>
            </w:r>
          </w:p>
        </w:tc>
        <w:tc>
          <w:tcPr>
            <w:tcW w:w="1899" w:type="dxa"/>
            <w:shd w:val="clear" w:color="auto" w:fill="auto"/>
          </w:tcPr>
          <w:p w:rsidR="0049577B" w:rsidRPr="00D20F89" w:rsidRDefault="0049577B" w:rsidP="000D26BB">
            <w:pPr>
              <w:rPr>
                <w:sz w:val="24"/>
              </w:rPr>
            </w:pPr>
          </w:p>
        </w:tc>
        <w:tc>
          <w:tcPr>
            <w:tcW w:w="1899" w:type="dxa"/>
            <w:shd w:val="clear" w:color="auto" w:fill="auto"/>
          </w:tcPr>
          <w:p w:rsidR="0049577B" w:rsidRPr="00D20F89" w:rsidRDefault="0049577B" w:rsidP="000D26BB">
            <w:pPr>
              <w:rPr>
                <w:sz w:val="24"/>
              </w:rPr>
            </w:pPr>
          </w:p>
        </w:tc>
        <w:tc>
          <w:tcPr>
            <w:tcW w:w="1900" w:type="dxa"/>
            <w:shd w:val="clear" w:color="auto" w:fill="auto"/>
          </w:tcPr>
          <w:p w:rsidR="0049577B" w:rsidRPr="00D20F89" w:rsidRDefault="0049577B" w:rsidP="000D26BB">
            <w:pPr>
              <w:rPr>
                <w:sz w:val="24"/>
              </w:rPr>
            </w:pPr>
          </w:p>
        </w:tc>
      </w:tr>
      <w:tr w:rsidR="0049577B" w:rsidRPr="00B40DC1" w:rsidTr="00151AD5">
        <w:tc>
          <w:tcPr>
            <w:tcW w:w="3936" w:type="dxa"/>
            <w:shd w:val="clear" w:color="auto" w:fill="auto"/>
          </w:tcPr>
          <w:p w:rsidR="0049577B" w:rsidRPr="00D20F89" w:rsidRDefault="0049577B" w:rsidP="00817A92">
            <w:pPr>
              <w:ind w:leftChars="11" w:left="29"/>
              <w:rPr>
                <w:sz w:val="24"/>
              </w:rPr>
            </w:pPr>
            <w:r w:rsidRPr="00D20F89">
              <w:rPr>
                <w:sz w:val="24"/>
              </w:rPr>
              <w:t>X10：當年度之全般刑案破獲率(1992-2016年)</w:t>
            </w:r>
          </w:p>
        </w:tc>
        <w:tc>
          <w:tcPr>
            <w:tcW w:w="1899" w:type="dxa"/>
            <w:shd w:val="clear" w:color="auto" w:fill="auto"/>
          </w:tcPr>
          <w:p w:rsidR="0049577B" w:rsidRPr="00D20F89" w:rsidRDefault="0049577B" w:rsidP="000D26BB">
            <w:pPr>
              <w:rPr>
                <w:sz w:val="24"/>
              </w:rPr>
            </w:pPr>
          </w:p>
        </w:tc>
        <w:tc>
          <w:tcPr>
            <w:tcW w:w="1899" w:type="dxa"/>
            <w:shd w:val="clear" w:color="auto" w:fill="auto"/>
          </w:tcPr>
          <w:p w:rsidR="0049577B" w:rsidRPr="00D20F89" w:rsidRDefault="0049577B" w:rsidP="000D26BB">
            <w:pPr>
              <w:rPr>
                <w:sz w:val="24"/>
              </w:rPr>
            </w:pPr>
          </w:p>
        </w:tc>
        <w:tc>
          <w:tcPr>
            <w:tcW w:w="1900" w:type="dxa"/>
            <w:shd w:val="clear" w:color="auto" w:fill="auto"/>
          </w:tcPr>
          <w:p w:rsidR="0049577B" w:rsidRPr="00D20F89" w:rsidRDefault="0049577B" w:rsidP="000D26BB">
            <w:pPr>
              <w:rPr>
                <w:sz w:val="24"/>
              </w:rPr>
            </w:pPr>
          </w:p>
        </w:tc>
      </w:tr>
      <w:tr w:rsidR="0049577B" w:rsidRPr="00B40DC1" w:rsidTr="00817A92">
        <w:tc>
          <w:tcPr>
            <w:tcW w:w="9634" w:type="dxa"/>
            <w:gridSpan w:val="4"/>
            <w:shd w:val="clear" w:color="auto" w:fill="auto"/>
          </w:tcPr>
          <w:p w:rsidR="0049577B" w:rsidRPr="00D20F89" w:rsidRDefault="0049577B" w:rsidP="000D26BB">
            <w:pPr>
              <w:rPr>
                <w:sz w:val="24"/>
              </w:rPr>
            </w:pPr>
            <w:r w:rsidRPr="00D20F89">
              <w:rPr>
                <w:sz w:val="24"/>
              </w:rPr>
              <w:t>多元迴歸分析模型整體之R平方解釋量：0.635</w:t>
            </w:r>
          </w:p>
        </w:tc>
      </w:tr>
    </w:tbl>
    <w:p w:rsidR="0049577B" w:rsidRPr="00B40DC1" w:rsidRDefault="00817A92" w:rsidP="00D20F8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D20F89" w:rsidRDefault="00D20F89" w:rsidP="00D20F89">
      <w:pPr>
        <w:spacing w:line="240" w:lineRule="auto"/>
        <w:ind w:leftChars="0" w:left="0" w:rightChars="0" w:right="0"/>
      </w:pPr>
    </w:p>
    <w:p w:rsidR="0049577B" w:rsidRPr="00B40DC1" w:rsidRDefault="00817A92" w:rsidP="00D20F89">
      <w:pPr>
        <w:spacing w:line="240" w:lineRule="auto"/>
        <w:ind w:leftChars="0" w:left="0" w:rightChars="0" w:right="0"/>
      </w:pPr>
      <w:r>
        <w:t xml:space="preserve">　　</w:t>
      </w:r>
      <w:r w:rsidR="0049577B" w:rsidRPr="00B40DC1">
        <w:t>由下表---影響下年度刑案發生率(1993年至2015年)相關因子(原因變項)之多元迴歸分析統計數據結果一覽表(本表係使用強迫進入法之迴歸分析方式)之統計資料可得知，依變項為下年度刑案發生率，每提升離婚率1個單位之標準差(1個標準單位)，則可增加0.533個單位之標準差(標準化迴歸係數值，Beta=0.533)之下年度刑案發生率。</w:t>
      </w:r>
    </w:p>
    <w:p w:rsidR="0049577B" w:rsidRPr="00B40DC1" w:rsidRDefault="0049577B" w:rsidP="00D20F89">
      <w:pPr>
        <w:spacing w:line="240" w:lineRule="auto"/>
        <w:ind w:leftChars="0" w:left="0" w:rightChars="0" w:right="0"/>
      </w:pPr>
      <w:r w:rsidRPr="00B40DC1">
        <w:t>每提升GNI(平均每人國民所得毛額，以美元為單位)1個單位之標準差(1個標準單位)，則可減少0.588個單位之標準差(標準化迴歸係數值，Beta=-0.588)之下年度刑案發生率。</w:t>
      </w:r>
    </w:p>
    <w:p w:rsidR="0049577B" w:rsidRPr="00B40DC1" w:rsidRDefault="00817A92" w:rsidP="00D20F8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下年度刑案發生率。復次，無期徒刑亦無法有效地嚇阻(減少)下年度刑案發生率之發生。</w:t>
      </w:r>
    </w:p>
    <w:p w:rsidR="0049577B" w:rsidRPr="00B40DC1" w:rsidRDefault="00151AD5" w:rsidP="00151AD5">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表11、影響下年度刑案發生率(1993年至2015年)相關因子(原因變項)之多元迴歸分析統計數據結果一覽表(本表係使用強迫進入法之迴歸分析方式)</w:t>
      </w:r>
      <w:r w:rsidRPr="00D20F89">
        <w:rPr>
          <w:rStyle w:val="af7"/>
          <w:rFonts w:eastAsia="新細明體"/>
          <w:sz w:val="20"/>
        </w:rPr>
        <w:footnoteReference w:id="11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99"/>
        <w:gridCol w:w="1899"/>
        <w:gridCol w:w="1900"/>
      </w:tblGrid>
      <w:tr w:rsidR="0049577B" w:rsidRPr="00B40DC1" w:rsidTr="00151AD5">
        <w:trPr>
          <w:tblHeader/>
        </w:trPr>
        <w:tc>
          <w:tcPr>
            <w:tcW w:w="3936" w:type="dxa"/>
            <w:shd w:val="clear" w:color="auto" w:fill="EFFDFF"/>
            <w:vAlign w:val="center"/>
          </w:tcPr>
          <w:p w:rsidR="0049577B" w:rsidRPr="00D20F89" w:rsidRDefault="0049577B" w:rsidP="00D20F89">
            <w:pPr>
              <w:spacing w:line="240" w:lineRule="auto"/>
              <w:ind w:leftChars="0" w:left="0" w:rightChars="0" w:right="0"/>
              <w:rPr>
                <w:sz w:val="24"/>
              </w:rPr>
            </w:pPr>
            <w:r w:rsidRPr="00D20F89">
              <w:rPr>
                <w:sz w:val="24"/>
              </w:rPr>
              <w:t>多元迴歸分析統計數據自變項(解釋因子，independent variable)之名稱</w:t>
            </w:r>
          </w:p>
        </w:tc>
        <w:tc>
          <w:tcPr>
            <w:tcW w:w="1899" w:type="dxa"/>
            <w:shd w:val="clear" w:color="auto" w:fill="EFFDFF"/>
            <w:vAlign w:val="center"/>
          </w:tcPr>
          <w:p w:rsidR="0049577B" w:rsidRPr="00D20F89" w:rsidRDefault="0049577B" w:rsidP="00D20F89">
            <w:pPr>
              <w:spacing w:line="240" w:lineRule="auto"/>
              <w:ind w:leftChars="0" w:left="0" w:rightChars="0" w:right="0"/>
              <w:rPr>
                <w:sz w:val="24"/>
              </w:rPr>
            </w:pPr>
            <w:r w:rsidRPr="00D20F89">
              <w:rPr>
                <w:sz w:val="24"/>
              </w:rPr>
              <w:t>標準化迴歸係數值(Beta)</w:t>
            </w:r>
          </w:p>
        </w:tc>
        <w:tc>
          <w:tcPr>
            <w:tcW w:w="1899" w:type="dxa"/>
            <w:shd w:val="clear" w:color="auto" w:fill="EFFDFF"/>
            <w:vAlign w:val="center"/>
          </w:tcPr>
          <w:p w:rsidR="0049577B" w:rsidRPr="00D20F89" w:rsidRDefault="0049577B" w:rsidP="00D20F89">
            <w:pPr>
              <w:spacing w:line="240" w:lineRule="auto"/>
              <w:ind w:leftChars="0" w:left="0" w:rightChars="0" w:right="0"/>
              <w:rPr>
                <w:sz w:val="24"/>
              </w:rPr>
            </w:pPr>
            <w:r w:rsidRPr="00D20F89">
              <w:rPr>
                <w:sz w:val="24"/>
              </w:rPr>
              <w:t>標準化迴歸係數值(Beta)之顯著度(水準)</w:t>
            </w:r>
          </w:p>
        </w:tc>
        <w:tc>
          <w:tcPr>
            <w:tcW w:w="1900" w:type="dxa"/>
            <w:shd w:val="clear" w:color="auto" w:fill="EFFDFF"/>
            <w:vAlign w:val="center"/>
          </w:tcPr>
          <w:p w:rsidR="0049577B" w:rsidRPr="00D20F89" w:rsidRDefault="0049577B" w:rsidP="00D20F89">
            <w:pPr>
              <w:spacing w:line="240" w:lineRule="auto"/>
              <w:ind w:leftChars="0" w:left="0" w:rightChars="0" w:right="0"/>
              <w:rPr>
                <w:sz w:val="24"/>
              </w:rPr>
            </w:pPr>
            <w:r w:rsidRPr="00D20F89">
              <w:rPr>
                <w:sz w:val="24"/>
              </w:rPr>
              <w:t>條件指標(CI)</w:t>
            </w:r>
            <w:r w:rsidR="003C1792" w:rsidRPr="00D20F89">
              <w:rPr>
                <w:sz w:val="24"/>
              </w:rPr>
              <w:t>(</w:t>
            </w:r>
            <w:r w:rsidRPr="00D20F89">
              <w:rPr>
                <w:sz w:val="24"/>
              </w:rPr>
              <w:t>檢視自變項是否有嚴重之共線問題)</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X1：失業率(1992-2016年)</w:t>
            </w:r>
          </w:p>
        </w:tc>
        <w:tc>
          <w:tcPr>
            <w:tcW w:w="1899" w:type="dxa"/>
            <w:shd w:val="clear" w:color="auto" w:fill="auto"/>
          </w:tcPr>
          <w:p w:rsidR="0049577B" w:rsidRPr="00D20F89" w:rsidRDefault="0049577B" w:rsidP="00D20F89">
            <w:pPr>
              <w:spacing w:line="240" w:lineRule="auto"/>
              <w:ind w:leftChars="0" w:left="0" w:rightChars="0" w:right="0"/>
              <w:jc w:val="center"/>
              <w:rPr>
                <w:sz w:val="24"/>
              </w:rPr>
            </w:pPr>
          </w:p>
        </w:tc>
        <w:tc>
          <w:tcPr>
            <w:tcW w:w="1899" w:type="dxa"/>
            <w:shd w:val="clear" w:color="auto" w:fill="auto"/>
          </w:tcPr>
          <w:p w:rsidR="0049577B" w:rsidRPr="00D20F89" w:rsidRDefault="0049577B" w:rsidP="00D20F89">
            <w:pPr>
              <w:spacing w:line="240" w:lineRule="auto"/>
              <w:ind w:leftChars="0" w:left="0" w:rightChars="0" w:right="0"/>
              <w:jc w:val="center"/>
              <w:rPr>
                <w:sz w:val="24"/>
              </w:rPr>
            </w:pPr>
          </w:p>
        </w:tc>
        <w:tc>
          <w:tcPr>
            <w:tcW w:w="1900"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X2：結婚對數(1998-2013年)</w:t>
            </w:r>
          </w:p>
        </w:tc>
        <w:tc>
          <w:tcPr>
            <w:tcW w:w="1899"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899"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00"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X3： 35歲以上人口之中，男性未婚之比例</w:t>
            </w:r>
            <w:r w:rsidR="003C1792" w:rsidRPr="00D20F89">
              <w:rPr>
                <w:sz w:val="24"/>
              </w:rPr>
              <w:t>(</w:t>
            </w:r>
            <w:r w:rsidRPr="00D20F89">
              <w:rPr>
                <w:sz w:val="24"/>
              </w:rPr>
              <w:t>1998-2013年)</w:t>
            </w:r>
          </w:p>
        </w:tc>
        <w:tc>
          <w:tcPr>
            <w:tcW w:w="1899"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899"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00"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X4：離婚率(1998-2013年)</w:t>
            </w:r>
          </w:p>
        </w:tc>
        <w:tc>
          <w:tcPr>
            <w:tcW w:w="1899"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0.533</w:t>
            </w:r>
          </w:p>
        </w:tc>
        <w:tc>
          <w:tcPr>
            <w:tcW w:w="1899"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0.006</w:t>
            </w:r>
          </w:p>
        </w:tc>
        <w:tc>
          <w:tcPr>
            <w:tcW w:w="1900"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9.098</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X5：GNI(平均每人國民所得毛額，以美元為單位)</w:t>
            </w:r>
            <w:r w:rsidR="003C1792" w:rsidRPr="00D20F89">
              <w:rPr>
                <w:sz w:val="24"/>
              </w:rPr>
              <w:t>(</w:t>
            </w:r>
            <w:r w:rsidRPr="00D20F89">
              <w:rPr>
                <w:sz w:val="24"/>
              </w:rPr>
              <w:t>1992-2016年)</w:t>
            </w:r>
          </w:p>
        </w:tc>
        <w:tc>
          <w:tcPr>
            <w:tcW w:w="1899"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-0.588</w:t>
            </w:r>
          </w:p>
        </w:tc>
        <w:tc>
          <w:tcPr>
            <w:tcW w:w="1899"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0.003</w:t>
            </w:r>
          </w:p>
        </w:tc>
        <w:tc>
          <w:tcPr>
            <w:tcW w:w="1900"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27.056</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X6：低收入戶之家庭及就學生活補助金額(1998-2013年)</w:t>
            </w:r>
            <w:r w:rsidRPr="00A14BAA">
              <w:rPr>
                <w:rStyle w:val="af7"/>
                <w:rFonts w:eastAsia="新細明體"/>
                <w:sz w:val="20"/>
              </w:rPr>
              <w:footnoteReference w:id="111"/>
            </w:r>
          </w:p>
        </w:tc>
        <w:tc>
          <w:tcPr>
            <w:tcW w:w="1899"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899"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00"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X7：緩刑比率(1998-2013年)</w:t>
            </w:r>
          </w:p>
        </w:tc>
        <w:tc>
          <w:tcPr>
            <w:tcW w:w="1899" w:type="dxa"/>
            <w:shd w:val="clear" w:color="auto" w:fill="auto"/>
          </w:tcPr>
          <w:p w:rsidR="0049577B" w:rsidRPr="00D20F89" w:rsidRDefault="0049577B" w:rsidP="00D20F89">
            <w:pPr>
              <w:spacing w:line="240" w:lineRule="auto"/>
              <w:ind w:leftChars="0" w:left="0" w:rightChars="0" w:right="0"/>
              <w:jc w:val="center"/>
              <w:rPr>
                <w:sz w:val="24"/>
              </w:rPr>
            </w:pPr>
          </w:p>
        </w:tc>
        <w:tc>
          <w:tcPr>
            <w:tcW w:w="1899" w:type="dxa"/>
            <w:shd w:val="clear" w:color="auto" w:fill="auto"/>
          </w:tcPr>
          <w:p w:rsidR="0049577B" w:rsidRPr="00D20F89" w:rsidRDefault="0049577B" w:rsidP="00D20F89">
            <w:pPr>
              <w:spacing w:line="240" w:lineRule="auto"/>
              <w:ind w:leftChars="0" w:left="0" w:rightChars="0" w:right="0"/>
              <w:jc w:val="center"/>
              <w:rPr>
                <w:sz w:val="24"/>
              </w:rPr>
            </w:pPr>
          </w:p>
        </w:tc>
        <w:tc>
          <w:tcPr>
            <w:tcW w:w="1900"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X8：無期徒刑之人數(1998-2013年)</w:t>
            </w:r>
          </w:p>
        </w:tc>
        <w:tc>
          <w:tcPr>
            <w:tcW w:w="1899" w:type="dxa"/>
            <w:shd w:val="clear" w:color="auto" w:fill="auto"/>
          </w:tcPr>
          <w:p w:rsidR="0049577B" w:rsidRPr="00D20F89" w:rsidRDefault="0049577B" w:rsidP="00D20F89">
            <w:pPr>
              <w:spacing w:line="240" w:lineRule="auto"/>
              <w:ind w:leftChars="0" w:left="0" w:rightChars="0" w:right="0"/>
              <w:jc w:val="center"/>
              <w:rPr>
                <w:sz w:val="24"/>
              </w:rPr>
            </w:pPr>
          </w:p>
        </w:tc>
        <w:tc>
          <w:tcPr>
            <w:tcW w:w="1899" w:type="dxa"/>
            <w:shd w:val="clear" w:color="auto" w:fill="auto"/>
          </w:tcPr>
          <w:p w:rsidR="0049577B" w:rsidRPr="00D20F89" w:rsidRDefault="0049577B" w:rsidP="00D20F89">
            <w:pPr>
              <w:spacing w:line="240" w:lineRule="auto"/>
              <w:ind w:leftChars="0" w:left="0" w:rightChars="0" w:right="0"/>
              <w:jc w:val="center"/>
              <w:rPr>
                <w:sz w:val="24"/>
              </w:rPr>
            </w:pPr>
          </w:p>
        </w:tc>
        <w:tc>
          <w:tcPr>
            <w:tcW w:w="1900"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X9：被執行死刑之人數(1992-2016年)</w:t>
            </w:r>
          </w:p>
        </w:tc>
        <w:tc>
          <w:tcPr>
            <w:tcW w:w="1899" w:type="dxa"/>
            <w:shd w:val="clear" w:color="auto" w:fill="auto"/>
          </w:tcPr>
          <w:p w:rsidR="0049577B" w:rsidRPr="00D20F89" w:rsidRDefault="0049577B" w:rsidP="00D20F89">
            <w:pPr>
              <w:spacing w:line="240" w:lineRule="auto"/>
              <w:ind w:leftChars="0" w:left="0" w:rightChars="0" w:right="0"/>
              <w:jc w:val="center"/>
              <w:rPr>
                <w:sz w:val="24"/>
              </w:rPr>
            </w:pPr>
          </w:p>
        </w:tc>
        <w:tc>
          <w:tcPr>
            <w:tcW w:w="1899" w:type="dxa"/>
            <w:shd w:val="clear" w:color="auto" w:fill="auto"/>
          </w:tcPr>
          <w:p w:rsidR="0049577B" w:rsidRPr="00D20F89" w:rsidRDefault="0049577B" w:rsidP="00D20F89">
            <w:pPr>
              <w:spacing w:line="240" w:lineRule="auto"/>
              <w:ind w:leftChars="0" w:left="0" w:rightChars="0" w:right="0"/>
              <w:jc w:val="center"/>
              <w:rPr>
                <w:sz w:val="24"/>
              </w:rPr>
            </w:pPr>
          </w:p>
        </w:tc>
        <w:tc>
          <w:tcPr>
            <w:tcW w:w="1900"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X10：當年度之全般刑案破獲率(1992-2016年)</w:t>
            </w:r>
          </w:p>
        </w:tc>
        <w:tc>
          <w:tcPr>
            <w:tcW w:w="1899" w:type="dxa"/>
            <w:shd w:val="clear" w:color="auto" w:fill="auto"/>
          </w:tcPr>
          <w:p w:rsidR="0049577B" w:rsidRPr="00D20F89" w:rsidRDefault="0049577B" w:rsidP="00D20F89">
            <w:pPr>
              <w:spacing w:line="240" w:lineRule="auto"/>
              <w:ind w:leftChars="0" w:left="0" w:rightChars="0" w:right="0"/>
              <w:jc w:val="center"/>
              <w:rPr>
                <w:sz w:val="24"/>
              </w:rPr>
            </w:pPr>
          </w:p>
        </w:tc>
        <w:tc>
          <w:tcPr>
            <w:tcW w:w="1899" w:type="dxa"/>
            <w:shd w:val="clear" w:color="auto" w:fill="auto"/>
          </w:tcPr>
          <w:p w:rsidR="0049577B" w:rsidRPr="00D20F89" w:rsidRDefault="0049577B" w:rsidP="00D20F89">
            <w:pPr>
              <w:spacing w:line="240" w:lineRule="auto"/>
              <w:ind w:leftChars="0" w:left="0" w:rightChars="0" w:right="0"/>
              <w:jc w:val="center"/>
              <w:rPr>
                <w:sz w:val="24"/>
              </w:rPr>
            </w:pPr>
          </w:p>
        </w:tc>
        <w:tc>
          <w:tcPr>
            <w:tcW w:w="1900"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817A92">
        <w:tc>
          <w:tcPr>
            <w:tcW w:w="9634" w:type="dxa"/>
            <w:gridSpan w:val="4"/>
            <w:shd w:val="clear" w:color="auto" w:fill="auto"/>
          </w:tcPr>
          <w:p w:rsidR="0049577B" w:rsidRPr="00D20F89" w:rsidRDefault="0049577B" w:rsidP="00D20F89">
            <w:pPr>
              <w:spacing w:line="240" w:lineRule="auto"/>
              <w:ind w:leftChars="0" w:left="0" w:rightChars="0" w:right="0"/>
              <w:rPr>
                <w:sz w:val="24"/>
              </w:rPr>
            </w:pPr>
            <w:r w:rsidRPr="00D20F89">
              <w:rPr>
                <w:sz w:val="24"/>
              </w:rPr>
              <w:t>多元迴歸分析模型整體之R平方解釋量：0.602</w:t>
            </w:r>
          </w:p>
        </w:tc>
      </w:tr>
    </w:tbl>
    <w:p w:rsidR="0049577B" w:rsidRPr="00B40DC1" w:rsidRDefault="00817A92" w:rsidP="00D20F8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D20F89">
      <w:pPr>
        <w:spacing w:line="240" w:lineRule="auto"/>
        <w:ind w:leftChars="0" w:left="0" w:rightChars="0" w:right="0"/>
      </w:pPr>
    </w:p>
    <w:p w:rsidR="0049577B" w:rsidRPr="00B40DC1" w:rsidRDefault="00817A92" w:rsidP="00D20F89">
      <w:pPr>
        <w:spacing w:line="240" w:lineRule="auto"/>
        <w:ind w:leftChars="0" w:left="0" w:rightChars="0" w:right="0"/>
      </w:pPr>
      <w:r>
        <w:t xml:space="preserve">　　</w:t>
      </w:r>
      <w:r w:rsidR="0049577B" w:rsidRPr="00B40DC1">
        <w:t>由下表---影響下年度刑案發生率(1993年至2015年)相關因子(原因變項)之多元迴歸分析統計數據結果一覽表(本表係使用逐步進入法之迴歸分析方式)之統計資料可得知，依變項為下年度刑案發生率，每提升離婚率1個單位之標準差(1個標準單位)，則可增加0.366個單位之標準差(標準化迴歸係數值，Beta=0.366)之下年度刑案發生率。</w:t>
      </w:r>
    </w:p>
    <w:p w:rsidR="0049577B" w:rsidRPr="00B40DC1" w:rsidRDefault="00817A92" w:rsidP="00D20F89">
      <w:pPr>
        <w:spacing w:line="240" w:lineRule="auto"/>
        <w:ind w:leftChars="0" w:left="0" w:rightChars="0" w:right="0"/>
      </w:pPr>
      <w:r>
        <w:t xml:space="preserve">　　</w:t>
      </w:r>
      <w:r w:rsidR="0049577B" w:rsidRPr="00B40DC1">
        <w:t>每提升當年度之全般刑案破獲率1個單位之標準差(1個標準單位)，則可減少0.770個單位之標準差(標準化迴歸係數值，Beta=-0.770)之下年度刑案發生率。</w:t>
      </w:r>
    </w:p>
    <w:p w:rsidR="0049577B" w:rsidRPr="00B40DC1" w:rsidRDefault="0049577B" w:rsidP="00D20F89">
      <w:pPr>
        <w:spacing w:line="240" w:lineRule="auto"/>
        <w:ind w:leftChars="0" w:left="0" w:rightChars="0" w:right="0"/>
      </w:pPr>
      <w:r w:rsidRPr="00B40DC1">
        <w:t>另外，就本書特別加以關注之死刑是否能有效地嚇阻(減少)犯罪之發生而論，根據本表之資料可得知，執行死刑無法有效地嚇阻(減少</w:t>
      </w:r>
      <w:r w:rsidR="00587200">
        <w:t>)</w:t>
      </w:r>
      <w:r w:rsidRPr="00B40DC1">
        <w:t>下年度刑案發生率。復次，無期徒刑亦無法有效地嚇阻(減少)下年度刑案發生率之發生。</w:t>
      </w:r>
    </w:p>
    <w:p w:rsidR="0049577B" w:rsidRPr="00B40DC1" w:rsidRDefault="00151AD5" w:rsidP="00151AD5">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664AD3" w:rsidRDefault="0049577B" w:rsidP="00E736D6">
      <w:pPr>
        <w:pStyle w:val="4"/>
        <w:rPr>
          <w:lang w:eastAsia="zh-TW"/>
        </w:rPr>
      </w:pPr>
      <w:r w:rsidRPr="00664AD3">
        <w:rPr>
          <w:lang w:eastAsia="zh-TW"/>
        </w:rPr>
        <w:t>表12、影響下年度刑案發生率(1993年至2015年)相關因子(原因變項)之多元迴歸分析統計數據結果一覽表(本表係使用逐步迴歸分析法之迴歸分析方式)</w:t>
      </w:r>
      <w:r w:rsidRPr="00664AD3">
        <w:rPr>
          <w:rStyle w:val="af7"/>
          <w:rFonts w:eastAsia="新細明體"/>
          <w:b w:val="0"/>
          <w:sz w:val="20"/>
        </w:rPr>
        <w:footnoteReference w:id="112"/>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151AD5">
        <w:trPr>
          <w:tblHeader/>
        </w:trPr>
        <w:tc>
          <w:tcPr>
            <w:tcW w:w="3936" w:type="dxa"/>
            <w:shd w:val="clear" w:color="auto" w:fill="FAF0FA"/>
            <w:vAlign w:val="center"/>
          </w:tcPr>
          <w:p w:rsidR="0049577B" w:rsidRPr="00D20F89" w:rsidRDefault="0049577B" w:rsidP="00D20F89">
            <w:pPr>
              <w:spacing w:line="240" w:lineRule="auto"/>
              <w:ind w:leftChars="0" w:left="0" w:rightChars="0" w:right="0"/>
              <w:rPr>
                <w:sz w:val="24"/>
              </w:rPr>
            </w:pPr>
            <w:r w:rsidRPr="00D20F89">
              <w:rPr>
                <w:sz w:val="24"/>
              </w:rPr>
              <w:t>多元迴歸分析統計數據自變項(解釋因子，independent variable)之名稱</w:t>
            </w:r>
          </w:p>
        </w:tc>
        <w:tc>
          <w:tcPr>
            <w:tcW w:w="1994" w:type="dxa"/>
            <w:shd w:val="clear" w:color="auto" w:fill="FAF0FA"/>
            <w:vAlign w:val="center"/>
          </w:tcPr>
          <w:p w:rsidR="0049577B" w:rsidRPr="00D20F89" w:rsidRDefault="0049577B" w:rsidP="00D20F89">
            <w:pPr>
              <w:spacing w:line="240" w:lineRule="auto"/>
              <w:ind w:leftChars="0" w:left="0" w:rightChars="0" w:right="0"/>
              <w:rPr>
                <w:sz w:val="24"/>
              </w:rPr>
            </w:pPr>
            <w:r w:rsidRPr="00D20F89">
              <w:rPr>
                <w:sz w:val="24"/>
              </w:rPr>
              <w:t>標準化迴歸係數值(Beta)</w:t>
            </w:r>
          </w:p>
        </w:tc>
        <w:tc>
          <w:tcPr>
            <w:tcW w:w="1994" w:type="dxa"/>
            <w:shd w:val="clear" w:color="auto" w:fill="FAF0FA"/>
            <w:vAlign w:val="center"/>
          </w:tcPr>
          <w:p w:rsidR="0049577B" w:rsidRPr="00D20F89" w:rsidRDefault="0049577B" w:rsidP="00D20F89">
            <w:pPr>
              <w:spacing w:line="240" w:lineRule="auto"/>
              <w:ind w:leftChars="0" w:left="0" w:rightChars="0" w:right="0"/>
              <w:rPr>
                <w:sz w:val="24"/>
              </w:rPr>
            </w:pPr>
            <w:r w:rsidRPr="00D20F89">
              <w:rPr>
                <w:sz w:val="24"/>
              </w:rPr>
              <w:t>標準化迴歸係數值(Beta)之顯著度(水準)</w:t>
            </w:r>
          </w:p>
        </w:tc>
        <w:tc>
          <w:tcPr>
            <w:tcW w:w="1994" w:type="dxa"/>
            <w:shd w:val="clear" w:color="auto" w:fill="FAF0FA"/>
            <w:vAlign w:val="center"/>
          </w:tcPr>
          <w:p w:rsidR="0049577B" w:rsidRPr="00D20F89" w:rsidRDefault="0049577B" w:rsidP="00D20F89">
            <w:pPr>
              <w:spacing w:line="240" w:lineRule="auto"/>
              <w:ind w:leftChars="0" w:left="0" w:rightChars="0" w:right="0"/>
              <w:rPr>
                <w:sz w:val="24"/>
              </w:rPr>
            </w:pPr>
            <w:r w:rsidRPr="00D20F89">
              <w:rPr>
                <w:sz w:val="24"/>
              </w:rPr>
              <w:t>條件指標(CI)</w:t>
            </w:r>
            <w:r w:rsidR="003C1792" w:rsidRPr="00D20F89">
              <w:rPr>
                <w:sz w:val="24"/>
              </w:rPr>
              <w:t>(</w:t>
            </w:r>
            <w:r w:rsidRPr="00D20F89">
              <w:rPr>
                <w:sz w:val="24"/>
              </w:rPr>
              <w:t>檢視自變項是否有嚴重之共線問題)</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X1：失業率(1992-2016年)</w:t>
            </w:r>
          </w:p>
        </w:tc>
        <w:tc>
          <w:tcPr>
            <w:tcW w:w="1994" w:type="dxa"/>
            <w:shd w:val="clear" w:color="auto" w:fill="auto"/>
            <w:vAlign w:val="center"/>
          </w:tcPr>
          <w:p w:rsidR="0049577B" w:rsidRPr="00D20F89" w:rsidRDefault="0049577B" w:rsidP="00D20F89">
            <w:pPr>
              <w:spacing w:line="240" w:lineRule="auto"/>
              <w:ind w:leftChars="0" w:left="0" w:rightChars="0" w:right="0"/>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X2：結婚對數(1998-2013年)</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X3： 35歲以上人口之中，男性未婚之比例</w:t>
            </w:r>
            <w:r w:rsidR="003C1792" w:rsidRPr="00D20F89">
              <w:rPr>
                <w:sz w:val="24"/>
              </w:rPr>
              <w:t>(</w:t>
            </w:r>
            <w:r w:rsidRPr="00D20F89">
              <w:rPr>
                <w:sz w:val="24"/>
              </w:rPr>
              <w:t>1998-2013年)</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X4：離婚率(1998-2013年)</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0.366</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0.004</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30.518</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X5：GNI(平均每人國民所得毛額，以美元為單位)</w:t>
            </w:r>
            <w:r w:rsidR="003C1792" w:rsidRPr="00D20F89">
              <w:rPr>
                <w:sz w:val="24"/>
              </w:rPr>
              <w:t>(</w:t>
            </w:r>
            <w:r w:rsidRPr="00D20F89">
              <w:rPr>
                <w:sz w:val="24"/>
              </w:rPr>
              <w:t>1992-2016年)</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X6：低收入戶之家庭及就學生活補助金額(1998-2013年)</w:t>
            </w:r>
            <w:r w:rsidRPr="00D20F89">
              <w:rPr>
                <w:rStyle w:val="af7"/>
                <w:rFonts w:eastAsia="新細明體"/>
                <w:sz w:val="20"/>
              </w:rPr>
              <w:footnoteReference w:id="113"/>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X7：緩刑比率(1998-2013年)</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X8：無期徒刑之人數(1998-2013年)</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X9：被執行死刑之人數(1992-2016年)</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X10：當年度之全般刑案破獲率(1992-2016年)</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-0.770</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0.000</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11.141</w:t>
            </w:r>
          </w:p>
        </w:tc>
      </w:tr>
      <w:tr w:rsidR="0049577B" w:rsidRPr="00B40DC1" w:rsidTr="00664AD3">
        <w:tc>
          <w:tcPr>
            <w:tcW w:w="9918" w:type="dxa"/>
            <w:gridSpan w:val="4"/>
            <w:shd w:val="clear" w:color="auto" w:fill="auto"/>
          </w:tcPr>
          <w:p w:rsidR="0049577B" w:rsidRPr="00D20F89" w:rsidRDefault="0049577B" w:rsidP="00D20F89">
            <w:pPr>
              <w:spacing w:line="240" w:lineRule="auto"/>
              <w:ind w:leftChars="0" w:left="0" w:rightChars="0" w:right="0"/>
              <w:rPr>
                <w:sz w:val="24"/>
              </w:rPr>
            </w:pPr>
            <w:r w:rsidRPr="00D20F89">
              <w:rPr>
                <w:sz w:val="24"/>
              </w:rPr>
              <w:t>多元迴歸分析模型整體之R平方解釋量：0.845</w:t>
            </w:r>
          </w:p>
        </w:tc>
      </w:tr>
    </w:tbl>
    <w:p w:rsidR="0049577B" w:rsidRPr="00B40DC1" w:rsidRDefault="00817A92" w:rsidP="00D20F8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A14BAA" w:rsidRDefault="00A14BAA" w:rsidP="00D20F89">
      <w:pPr>
        <w:spacing w:line="240" w:lineRule="auto"/>
        <w:ind w:leftChars="0" w:left="0" w:rightChars="0" w:right="0"/>
      </w:pPr>
    </w:p>
    <w:p w:rsidR="0049577B" w:rsidRPr="00B40DC1" w:rsidRDefault="00817A92" w:rsidP="00D20F89">
      <w:pPr>
        <w:spacing w:line="240" w:lineRule="auto"/>
        <w:ind w:leftChars="0" w:left="0" w:rightChars="0" w:right="0"/>
      </w:pPr>
      <w:r>
        <w:t xml:space="preserve">　　</w:t>
      </w:r>
      <w:r w:rsidR="0049577B" w:rsidRPr="00B40DC1">
        <w:t>由下表---影響當年度重傷害及故意殺人犯罪(1992年至2016年)相關因子(原因變項)之多元迴歸分析統計數據結果一覽表(本表係使用強迫進入法之迴歸分析方式)之統計資料可得知，依變項為當年度重傷害及故意殺人犯罪，每提升GNI(平均每人國民所得毛額，以美元為單位</w:t>
      </w:r>
      <w:r w:rsidR="00587200">
        <w:t>)</w:t>
      </w:r>
      <w:r w:rsidR="0049577B" w:rsidRPr="00B40DC1">
        <w:t>1個單位之標準差(1個標準單位)，則可減少0.753個單位之標準差(標準化迴歸係數值，Beta=-0.753)之當年度重傷害及故意殺人犯罪。</w:t>
      </w:r>
    </w:p>
    <w:p w:rsidR="003C1792" w:rsidRDefault="00817A92" w:rsidP="00D20F8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當年度重傷害及故意殺人犯罪。復次，無期徒刑亦無法有效地嚇阻(減少</w:t>
      </w:r>
      <w:r w:rsidR="00587200">
        <w:t>)</w:t>
      </w:r>
      <w:r w:rsidR="0049577B" w:rsidRPr="00B40DC1">
        <w:t xml:space="preserve">當年度重傷害及故意殺人犯罪。 </w:t>
      </w:r>
    </w:p>
    <w:p w:rsidR="0049577B" w:rsidRPr="00B40DC1" w:rsidRDefault="00151AD5" w:rsidP="00151AD5">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664AD3">
        <w:rPr>
          <w:lang w:eastAsia="zh-TW"/>
        </w:rPr>
        <w:t>表13、影響當年度重傷害及故意殺人犯罪(1992年至2016年)相關因子(原因變項)之多元迴歸分析統計數據結果一覽表(本表係使用強迫進入法之迴歸分析方</w:t>
      </w:r>
      <w:r w:rsidRPr="00B40DC1">
        <w:rPr>
          <w:lang w:eastAsia="zh-TW"/>
        </w:rPr>
        <w:t>式)</w:t>
      </w:r>
      <w:r w:rsidRPr="00664AD3">
        <w:rPr>
          <w:rStyle w:val="af7"/>
          <w:rFonts w:eastAsia="新細明體"/>
          <w:sz w:val="20"/>
        </w:rPr>
        <w:footnoteReference w:id="114"/>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151AD5">
        <w:trPr>
          <w:tblHeader/>
        </w:trPr>
        <w:tc>
          <w:tcPr>
            <w:tcW w:w="3936" w:type="dxa"/>
            <w:shd w:val="clear" w:color="auto" w:fill="EFFDFF"/>
            <w:vAlign w:val="center"/>
          </w:tcPr>
          <w:p w:rsidR="0049577B" w:rsidRPr="00D20F89" w:rsidRDefault="0049577B" w:rsidP="00D20F89">
            <w:pPr>
              <w:spacing w:line="240" w:lineRule="auto"/>
              <w:ind w:leftChars="0" w:left="0" w:rightChars="0" w:right="0"/>
              <w:rPr>
                <w:sz w:val="24"/>
              </w:rPr>
            </w:pPr>
            <w:r w:rsidRPr="00D20F89">
              <w:rPr>
                <w:sz w:val="24"/>
              </w:rPr>
              <w:t>多元迴歸分析統計數據</w:t>
            </w:r>
          </w:p>
          <w:p w:rsidR="0049577B" w:rsidRPr="00D20F89" w:rsidRDefault="0049577B" w:rsidP="00D20F89">
            <w:pPr>
              <w:spacing w:line="240" w:lineRule="auto"/>
              <w:ind w:leftChars="0" w:left="0" w:rightChars="0" w:right="0"/>
              <w:rPr>
                <w:sz w:val="24"/>
              </w:rPr>
            </w:pPr>
            <w:r w:rsidRPr="00D20F89">
              <w:rPr>
                <w:sz w:val="24"/>
              </w:rPr>
              <w:t>自變項(解釋因子，independent variable)之名稱</w:t>
            </w:r>
          </w:p>
        </w:tc>
        <w:tc>
          <w:tcPr>
            <w:tcW w:w="1946" w:type="dxa"/>
            <w:shd w:val="clear" w:color="auto" w:fill="EFFDFF"/>
            <w:vAlign w:val="center"/>
          </w:tcPr>
          <w:p w:rsidR="0049577B" w:rsidRPr="00D20F89" w:rsidRDefault="0049577B" w:rsidP="00D20F89">
            <w:pPr>
              <w:spacing w:line="240" w:lineRule="auto"/>
              <w:ind w:leftChars="0" w:left="0" w:rightChars="0" w:right="0"/>
              <w:rPr>
                <w:sz w:val="24"/>
              </w:rPr>
            </w:pPr>
            <w:r w:rsidRPr="00D20F89">
              <w:rPr>
                <w:sz w:val="24"/>
              </w:rPr>
              <w:t>標準化迴歸係數值(Beta)</w:t>
            </w:r>
          </w:p>
        </w:tc>
        <w:tc>
          <w:tcPr>
            <w:tcW w:w="1947" w:type="dxa"/>
            <w:shd w:val="clear" w:color="auto" w:fill="EFFDFF"/>
            <w:vAlign w:val="center"/>
          </w:tcPr>
          <w:p w:rsidR="0049577B" w:rsidRPr="00D20F89" w:rsidRDefault="0049577B" w:rsidP="00D20F89">
            <w:pPr>
              <w:spacing w:line="240" w:lineRule="auto"/>
              <w:ind w:leftChars="0" w:left="0" w:rightChars="0" w:right="0"/>
              <w:rPr>
                <w:sz w:val="24"/>
              </w:rPr>
            </w:pPr>
            <w:r w:rsidRPr="00D20F89">
              <w:rPr>
                <w:sz w:val="24"/>
              </w:rPr>
              <w:t>標準化迴歸係數值(Beta)之顯著度(水準)</w:t>
            </w:r>
          </w:p>
        </w:tc>
        <w:tc>
          <w:tcPr>
            <w:tcW w:w="1947" w:type="dxa"/>
            <w:shd w:val="clear" w:color="auto" w:fill="EFFDFF"/>
            <w:vAlign w:val="center"/>
          </w:tcPr>
          <w:p w:rsidR="0049577B" w:rsidRPr="00D20F89" w:rsidRDefault="0049577B" w:rsidP="00D20F89">
            <w:pPr>
              <w:spacing w:line="240" w:lineRule="auto"/>
              <w:ind w:leftChars="0" w:left="0" w:rightChars="0" w:right="0"/>
              <w:rPr>
                <w:sz w:val="24"/>
              </w:rPr>
            </w:pPr>
            <w:r w:rsidRPr="00D20F89">
              <w:rPr>
                <w:sz w:val="24"/>
              </w:rPr>
              <w:t>條件指標(CI)</w:t>
            </w:r>
            <w:r w:rsidR="003C1792" w:rsidRPr="00D20F89">
              <w:rPr>
                <w:sz w:val="24"/>
              </w:rPr>
              <w:t>(</w:t>
            </w:r>
            <w:r w:rsidRPr="00D20F89">
              <w:rPr>
                <w:sz w:val="24"/>
              </w:rPr>
              <w:t>檢視自變項是否有嚴重之共線問題)</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X1：失業率(1992-2016年)</w:t>
            </w:r>
          </w:p>
        </w:tc>
        <w:tc>
          <w:tcPr>
            <w:tcW w:w="1946"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-0.223</w:t>
            </w:r>
          </w:p>
        </w:tc>
        <w:tc>
          <w:tcPr>
            <w:tcW w:w="1947"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0.069</w:t>
            </w:r>
          </w:p>
        </w:tc>
        <w:tc>
          <w:tcPr>
            <w:tcW w:w="1947"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6.956</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X2：結婚對數(1998-2013年)</w:t>
            </w:r>
          </w:p>
        </w:tc>
        <w:tc>
          <w:tcPr>
            <w:tcW w:w="1946"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0.120</w:t>
            </w:r>
          </w:p>
        </w:tc>
        <w:tc>
          <w:tcPr>
            <w:tcW w:w="1947"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0.254</w:t>
            </w:r>
          </w:p>
        </w:tc>
        <w:tc>
          <w:tcPr>
            <w:tcW w:w="1947"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11.558</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X3： 35歲以上人口之中，男性未婚之比例</w:t>
            </w:r>
            <w:r w:rsidR="003C1792" w:rsidRPr="00D20F89">
              <w:rPr>
                <w:sz w:val="24"/>
              </w:rPr>
              <w:t>(</w:t>
            </w:r>
            <w:r w:rsidRPr="00D20F89">
              <w:rPr>
                <w:sz w:val="24"/>
              </w:rPr>
              <w:t>1998-2013年)</w:t>
            </w:r>
          </w:p>
        </w:tc>
        <w:tc>
          <w:tcPr>
            <w:tcW w:w="1946"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X4：離婚率(1998-2013年)</w:t>
            </w:r>
          </w:p>
        </w:tc>
        <w:tc>
          <w:tcPr>
            <w:tcW w:w="1946"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X5：GNI(平均每人國民所得毛額，以美元為單位)</w:t>
            </w:r>
            <w:r w:rsidR="003C1792" w:rsidRPr="00D20F89">
              <w:rPr>
                <w:sz w:val="24"/>
              </w:rPr>
              <w:t>(</w:t>
            </w:r>
            <w:r w:rsidRPr="00D20F89">
              <w:rPr>
                <w:sz w:val="24"/>
              </w:rPr>
              <w:t>1992-2016年)</w:t>
            </w:r>
          </w:p>
        </w:tc>
        <w:tc>
          <w:tcPr>
            <w:tcW w:w="1946"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-0.753</w:t>
            </w:r>
          </w:p>
        </w:tc>
        <w:tc>
          <w:tcPr>
            <w:tcW w:w="1947"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0.000</w:t>
            </w:r>
          </w:p>
        </w:tc>
        <w:tc>
          <w:tcPr>
            <w:tcW w:w="1947"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28.124</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X6：低收入戶之家庭及就學生活補助金額(1998-2013年)</w:t>
            </w:r>
            <w:r w:rsidRPr="00D20F89">
              <w:rPr>
                <w:rStyle w:val="af7"/>
                <w:rFonts w:eastAsia="新細明體"/>
                <w:sz w:val="20"/>
              </w:rPr>
              <w:footnoteReference w:id="115"/>
            </w:r>
          </w:p>
        </w:tc>
        <w:tc>
          <w:tcPr>
            <w:tcW w:w="1946"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X7：緩刑比率(1998-2013年)</w:t>
            </w:r>
          </w:p>
        </w:tc>
        <w:tc>
          <w:tcPr>
            <w:tcW w:w="1946"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X8：無期徒刑之人數(1998-2013年)</w:t>
            </w:r>
          </w:p>
        </w:tc>
        <w:tc>
          <w:tcPr>
            <w:tcW w:w="1946"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X9：被執行死刑之人數(1992-2016年)</w:t>
            </w:r>
          </w:p>
        </w:tc>
        <w:tc>
          <w:tcPr>
            <w:tcW w:w="1946"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X10：當年度之全般刑案破獲率(1992-2016年)</w:t>
            </w:r>
          </w:p>
        </w:tc>
        <w:tc>
          <w:tcPr>
            <w:tcW w:w="1946"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c>
          <w:tcPr>
            <w:tcW w:w="1947"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664AD3">
        <w:tc>
          <w:tcPr>
            <w:tcW w:w="9776" w:type="dxa"/>
            <w:gridSpan w:val="4"/>
            <w:shd w:val="clear" w:color="auto" w:fill="auto"/>
          </w:tcPr>
          <w:p w:rsidR="0049577B" w:rsidRPr="00D20F89" w:rsidRDefault="0049577B" w:rsidP="00D20F89">
            <w:pPr>
              <w:spacing w:line="240" w:lineRule="auto"/>
              <w:ind w:leftChars="0" w:left="0" w:rightChars="0" w:right="0"/>
              <w:rPr>
                <w:sz w:val="24"/>
              </w:rPr>
            </w:pPr>
            <w:r w:rsidRPr="00D20F89">
              <w:rPr>
                <w:sz w:val="24"/>
              </w:rPr>
              <w:t>多元迴歸分析模型整體之R平方解釋量：0.871</w:t>
            </w:r>
          </w:p>
        </w:tc>
      </w:tr>
    </w:tbl>
    <w:p w:rsidR="0049577B" w:rsidRPr="00B40DC1" w:rsidRDefault="00817A92" w:rsidP="00D20F8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D20F89">
      <w:pPr>
        <w:spacing w:line="240" w:lineRule="auto"/>
        <w:ind w:leftChars="0" w:left="0" w:rightChars="0" w:right="0"/>
      </w:pPr>
    </w:p>
    <w:p w:rsidR="0049577B" w:rsidRPr="00B40DC1" w:rsidRDefault="00817A92" w:rsidP="00D20F89">
      <w:pPr>
        <w:spacing w:line="240" w:lineRule="auto"/>
        <w:ind w:leftChars="0" w:left="0" w:rightChars="0" w:right="0"/>
      </w:pPr>
      <w:r>
        <w:t xml:space="preserve">　　</w:t>
      </w:r>
      <w:r w:rsidR="0049577B" w:rsidRPr="00B40DC1">
        <w:t>由下表---影響當年度重傷害及故意殺人犯罪(1992年至2016年)相關因子(原因變項)之多元迴歸分析統計數據結果一覽表(本表係使用逐步迴歸分析法之迴歸分析方式)之統計資料可得知，依變項為當年度重傷害及故意殺人犯罪，每提升GNI(平均每人國民所得毛額，以美元為單位</w:t>
      </w:r>
      <w:r w:rsidR="00587200">
        <w:t>)</w:t>
      </w:r>
      <w:r w:rsidR="0049577B" w:rsidRPr="00B40DC1">
        <w:t>1個單位之標準差(1個標準單位)，則可減少0.919個單位之標準差(標準化迴歸係數值，Beta=-0.919)之當年度重傷害及故意殺人犯罪。</w:t>
      </w:r>
    </w:p>
    <w:p w:rsidR="0049577B" w:rsidRPr="00B40DC1" w:rsidRDefault="00817A92" w:rsidP="00D20F8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當年度重傷害及故意殺人犯罪。復次，無期徒刑亦無法有效地嚇阻(減少)當年度重傷害及故意殺人犯罪。</w:t>
      </w:r>
    </w:p>
    <w:p w:rsidR="0049577B" w:rsidRPr="00B40DC1" w:rsidRDefault="00151AD5" w:rsidP="00151AD5">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表14、影響當年度重傷害及故意殺人犯罪(1992年至2016年)相關因子(原因變項)之多元迴歸分析統計數據結果一覽表(本表係使用逐步迴歸分析法之迴歸分析方式)</w:t>
      </w:r>
      <w:r w:rsidRPr="00A14BAA">
        <w:rPr>
          <w:rStyle w:val="af7"/>
          <w:rFonts w:eastAsia="新細明體"/>
          <w:sz w:val="20"/>
        </w:rPr>
        <w:footnoteReference w:id="116"/>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41"/>
        <w:gridCol w:w="2041"/>
        <w:gridCol w:w="2042"/>
      </w:tblGrid>
      <w:tr w:rsidR="0049577B" w:rsidRPr="00B40DC1" w:rsidTr="00151AD5">
        <w:trPr>
          <w:tblHeader/>
        </w:trPr>
        <w:tc>
          <w:tcPr>
            <w:tcW w:w="3936" w:type="dxa"/>
            <w:shd w:val="clear" w:color="auto" w:fill="FAF0FA"/>
            <w:vAlign w:val="center"/>
          </w:tcPr>
          <w:p w:rsidR="0049577B" w:rsidRPr="00D20F89" w:rsidRDefault="0049577B" w:rsidP="00151AD5">
            <w:pPr>
              <w:spacing w:line="240" w:lineRule="auto"/>
              <w:ind w:leftChars="0" w:left="0" w:rightChars="0" w:right="0"/>
              <w:jc w:val="center"/>
              <w:rPr>
                <w:sz w:val="24"/>
              </w:rPr>
            </w:pPr>
            <w:r w:rsidRPr="00D20F89">
              <w:rPr>
                <w:sz w:val="24"/>
              </w:rPr>
              <w:t>多元迴歸分析統計數據</w:t>
            </w:r>
          </w:p>
          <w:p w:rsidR="0049577B" w:rsidRPr="00D20F89" w:rsidRDefault="0049577B" w:rsidP="00151AD5">
            <w:pPr>
              <w:spacing w:line="240" w:lineRule="auto"/>
              <w:ind w:leftChars="0" w:left="0" w:rightChars="0" w:right="0"/>
              <w:jc w:val="center"/>
              <w:rPr>
                <w:sz w:val="24"/>
              </w:rPr>
            </w:pPr>
            <w:r w:rsidRPr="00D20F89">
              <w:rPr>
                <w:sz w:val="24"/>
              </w:rPr>
              <w:t>自變項(解釋因子，independent variable)之名稱</w:t>
            </w:r>
          </w:p>
        </w:tc>
        <w:tc>
          <w:tcPr>
            <w:tcW w:w="2041" w:type="dxa"/>
            <w:shd w:val="clear" w:color="auto" w:fill="FAF0FA"/>
            <w:vAlign w:val="center"/>
          </w:tcPr>
          <w:p w:rsidR="0049577B" w:rsidRPr="00D20F89" w:rsidRDefault="0049577B" w:rsidP="00151AD5">
            <w:pPr>
              <w:spacing w:line="240" w:lineRule="auto"/>
              <w:ind w:leftChars="0" w:left="0" w:rightChars="0" w:right="0"/>
              <w:jc w:val="center"/>
              <w:rPr>
                <w:sz w:val="24"/>
              </w:rPr>
            </w:pPr>
            <w:r w:rsidRPr="00D20F89">
              <w:rPr>
                <w:sz w:val="24"/>
              </w:rPr>
              <w:t>標準化迴歸係數值(Beta)</w:t>
            </w:r>
          </w:p>
        </w:tc>
        <w:tc>
          <w:tcPr>
            <w:tcW w:w="2041" w:type="dxa"/>
            <w:shd w:val="clear" w:color="auto" w:fill="FAF0FA"/>
            <w:vAlign w:val="center"/>
          </w:tcPr>
          <w:p w:rsidR="0049577B" w:rsidRPr="00D20F89" w:rsidRDefault="0049577B" w:rsidP="00151AD5">
            <w:pPr>
              <w:spacing w:line="240" w:lineRule="auto"/>
              <w:ind w:leftChars="0" w:left="0" w:rightChars="0" w:right="0"/>
              <w:jc w:val="center"/>
              <w:rPr>
                <w:sz w:val="24"/>
              </w:rPr>
            </w:pPr>
            <w:r w:rsidRPr="00D20F89">
              <w:rPr>
                <w:sz w:val="24"/>
              </w:rPr>
              <w:t>標準化迴歸係數值(Beta)之顯著度(水準)</w:t>
            </w:r>
          </w:p>
        </w:tc>
        <w:tc>
          <w:tcPr>
            <w:tcW w:w="2042" w:type="dxa"/>
            <w:shd w:val="clear" w:color="auto" w:fill="FAF0FA"/>
            <w:vAlign w:val="center"/>
          </w:tcPr>
          <w:p w:rsidR="0049577B" w:rsidRPr="00D20F89" w:rsidRDefault="0049577B" w:rsidP="00151AD5">
            <w:pPr>
              <w:spacing w:line="240" w:lineRule="auto"/>
              <w:ind w:leftChars="0" w:left="0" w:rightChars="0" w:right="0"/>
              <w:jc w:val="center"/>
              <w:rPr>
                <w:sz w:val="24"/>
              </w:rPr>
            </w:pPr>
            <w:r w:rsidRPr="00D20F89">
              <w:rPr>
                <w:sz w:val="24"/>
              </w:rPr>
              <w:t>條件指標(CI)</w:t>
            </w:r>
            <w:r w:rsidR="003C1792" w:rsidRPr="00D20F89">
              <w:rPr>
                <w:sz w:val="24"/>
              </w:rPr>
              <w:t>(</w:t>
            </w:r>
            <w:r w:rsidRPr="00D20F89">
              <w:rPr>
                <w:sz w:val="24"/>
              </w:rPr>
              <w:t>檢視自變項是否有嚴重之共線問題)</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X1：失業率(1992-2016年)</w:t>
            </w:r>
          </w:p>
        </w:tc>
        <w:tc>
          <w:tcPr>
            <w:tcW w:w="2041"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2041"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2042"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X2：結婚對數(1998-2013年)</w:t>
            </w:r>
          </w:p>
        </w:tc>
        <w:tc>
          <w:tcPr>
            <w:tcW w:w="2041"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2041"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2042"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X3： 35歲以上人口之中，男性未婚之比例</w:t>
            </w:r>
            <w:r w:rsidR="003C1792" w:rsidRPr="00D20F89">
              <w:rPr>
                <w:sz w:val="24"/>
              </w:rPr>
              <w:t>(</w:t>
            </w:r>
            <w:r w:rsidRPr="00D20F89">
              <w:rPr>
                <w:sz w:val="24"/>
              </w:rPr>
              <w:t>1998-2013年)</w:t>
            </w:r>
          </w:p>
        </w:tc>
        <w:tc>
          <w:tcPr>
            <w:tcW w:w="2041"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2041"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2042"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X4：離婚率(1998-2013年)</w:t>
            </w:r>
          </w:p>
        </w:tc>
        <w:tc>
          <w:tcPr>
            <w:tcW w:w="2041"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2041"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2042"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X5：GNI(平均每人國民所得毛額，以美元為單位)</w:t>
            </w:r>
            <w:r w:rsidR="003C1792" w:rsidRPr="00D20F89">
              <w:rPr>
                <w:sz w:val="24"/>
              </w:rPr>
              <w:t>(</w:t>
            </w:r>
            <w:r w:rsidRPr="00D20F89">
              <w:rPr>
                <w:sz w:val="24"/>
              </w:rPr>
              <w:t>1992-2016年)</w:t>
            </w:r>
          </w:p>
        </w:tc>
        <w:tc>
          <w:tcPr>
            <w:tcW w:w="2041"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-0.919</w:t>
            </w:r>
          </w:p>
        </w:tc>
        <w:tc>
          <w:tcPr>
            <w:tcW w:w="2041"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0.000</w:t>
            </w:r>
          </w:p>
        </w:tc>
        <w:tc>
          <w:tcPr>
            <w:tcW w:w="2042"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8.851</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X6：低收入戶之家庭及就學生活補助金額(1998-2013年)</w:t>
            </w:r>
            <w:r w:rsidRPr="00A14BAA">
              <w:rPr>
                <w:rStyle w:val="af7"/>
                <w:rFonts w:eastAsia="新細明體"/>
                <w:sz w:val="20"/>
              </w:rPr>
              <w:footnoteReference w:id="117"/>
            </w:r>
          </w:p>
        </w:tc>
        <w:tc>
          <w:tcPr>
            <w:tcW w:w="2041" w:type="dxa"/>
            <w:shd w:val="clear" w:color="auto" w:fill="auto"/>
          </w:tcPr>
          <w:p w:rsidR="0049577B" w:rsidRPr="00D20F89" w:rsidRDefault="0049577B" w:rsidP="00D20F89">
            <w:pPr>
              <w:spacing w:line="240" w:lineRule="auto"/>
              <w:ind w:leftChars="0" w:left="0" w:rightChars="0" w:right="0"/>
              <w:jc w:val="center"/>
              <w:rPr>
                <w:sz w:val="24"/>
              </w:rPr>
            </w:pPr>
          </w:p>
        </w:tc>
        <w:tc>
          <w:tcPr>
            <w:tcW w:w="2041" w:type="dxa"/>
            <w:shd w:val="clear" w:color="auto" w:fill="auto"/>
          </w:tcPr>
          <w:p w:rsidR="0049577B" w:rsidRPr="00D20F89" w:rsidRDefault="0049577B" w:rsidP="00D20F89">
            <w:pPr>
              <w:spacing w:line="240" w:lineRule="auto"/>
              <w:ind w:leftChars="0" w:left="0" w:rightChars="0" w:right="0"/>
              <w:jc w:val="center"/>
              <w:rPr>
                <w:sz w:val="24"/>
              </w:rPr>
            </w:pPr>
          </w:p>
        </w:tc>
        <w:tc>
          <w:tcPr>
            <w:tcW w:w="2042"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X7：緩刑比率(1998-2013年)</w:t>
            </w:r>
          </w:p>
        </w:tc>
        <w:tc>
          <w:tcPr>
            <w:tcW w:w="2041" w:type="dxa"/>
            <w:shd w:val="clear" w:color="auto" w:fill="auto"/>
          </w:tcPr>
          <w:p w:rsidR="0049577B" w:rsidRPr="00D20F89" w:rsidRDefault="0049577B" w:rsidP="00D20F89">
            <w:pPr>
              <w:spacing w:line="240" w:lineRule="auto"/>
              <w:ind w:leftChars="0" w:left="0" w:rightChars="0" w:right="0"/>
              <w:jc w:val="center"/>
              <w:rPr>
                <w:sz w:val="24"/>
              </w:rPr>
            </w:pPr>
          </w:p>
        </w:tc>
        <w:tc>
          <w:tcPr>
            <w:tcW w:w="2041" w:type="dxa"/>
            <w:shd w:val="clear" w:color="auto" w:fill="auto"/>
          </w:tcPr>
          <w:p w:rsidR="0049577B" w:rsidRPr="00D20F89" w:rsidRDefault="0049577B" w:rsidP="00D20F89">
            <w:pPr>
              <w:spacing w:line="240" w:lineRule="auto"/>
              <w:ind w:leftChars="0" w:left="0" w:rightChars="0" w:right="0"/>
              <w:jc w:val="center"/>
              <w:rPr>
                <w:sz w:val="24"/>
              </w:rPr>
            </w:pPr>
          </w:p>
        </w:tc>
        <w:tc>
          <w:tcPr>
            <w:tcW w:w="2042"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X8：無期徒刑之人數(1998-2013年)</w:t>
            </w:r>
          </w:p>
        </w:tc>
        <w:tc>
          <w:tcPr>
            <w:tcW w:w="2041" w:type="dxa"/>
            <w:shd w:val="clear" w:color="auto" w:fill="auto"/>
          </w:tcPr>
          <w:p w:rsidR="0049577B" w:rsidRPr="00D20F89" w:rsidRDefault="0049577B" w:rsidP="00D20F89">
            <w:pPr>
              <w:spacing w:line="240" w:lineRule="auto"/>
              <w:ind w:leftChars="0" w:left="0" w:rightChars="0" w:right="0"/>
              <w:jc w:val="center"/>
              <w:rPr>
                <w:sz w:val="24"/>
              </w:rPr>
            </w:pPr>
          </w:p>
        </w:tc>
        <w:tc>
          <w:tcPr>
            <w:tcW w:w="2041" w:type="dxa"/>
            <w:shd w:val="clear" w:color="auto" w:fill="auto"/>
          </w:tcPr>
          <w:p w:rsidR="0049577B" w:rsidRPr="00D20F89" w:rsidRDefault="0049577B" w:rsidP="00D20F89">
            <w:pPr>
              <w:spacing w:line="240" w:lineRule="auto"/>
              <w:ind w:leftChars="0" w:left="0" w:rightChars="0" w:right="0"/>
              <w:jc w:val="center"/>
              <w:rPr>
                <w:sz w:val="24"/>
              </w:rPr>
            </w:pPr>
          </w:p>
        </w:tc>
        <w:tc>
          <w:tcPr>
            <w:tcW w:w="2042"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X9：被執行死刑之人數(1992-2016年)</w:t>
            </w:r>
          </w:p>
        </w:tc>
        <w:tc>
          <w:tcPr>
            <w:tcW w:w="2041" w:type="dxa"/>
            <w:shd w:val="clear" w:color="auto" w:fill="auto"/>
          </w:tcPr>
          <w:p w:rsidR="0049577B" w:rsidRPr="00D20F89" w:rsidRDefault="0049577B" w:rsidP="00D20F89">
            <w:pPr>
              <w:spacing w:line="240" w:lineRule="auto"/>
              <w:ind w:leftChars="0" w:left="0" w:rightChars="0" w:right="0"/>
              <w:jc w:val="center"/>
              <w:rPr>
                <w:sz w:val="24"/>
              </w:rPr>
            </w:pPr>
          </w:p>
        </w:tc>
        <w:tc>
          <w:tcPr>
            <w:tcW w:w="2041" w:type="dxa"/>
            <w:shd w:val="clear" w:color="auto" w:fill="auto"/>
          </w:tcPr>
          <w:p w:rsidR="0049577B" w:rsidRPr="00D20F89" w:rsidRDefault="0049577B" w:rsidP="00D20F89">
            <w:pPr>
              <w:spacing w:line="240" w:lineRule="auto"/>
              <w:ind w:leftChars="0" w:left="0" w:rightChars="0" w:right="0"/>
              <w:jc w:val="center"/>
              <w:rPr>
                <w:sz w:val="24"/>
              </w:rPr>
            </w:pPr>
          </w:p>
        </w:tc>
        <w:tc>
          <w:tcPr>
            <w:tcW w:w="2042"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X10：當年度之全般刑案破獲率(1992-2016年)</w:t>
            </w:r>
          </w:p>
        </w:tc>
        <w:tc>
          <w:tcPr>
            <w:tcW w:w="2041" w:type="dxa"/>
            <w:shd w:val="clear" w:color="auto" w:fill="auto"/>
          </w:tcPr>
          <w:p w:rsidR="0049577B" w:rsidRPr="00D20F89" w:rsidRDefault="0049577B" w:rsidP="00D20F89">
            <w:pPr>
              <w:spacing w:line="240" w:lineRule="auto"/>
              <w:ind w:leftChars="0" w:left="0" w:rightChars="0" w:right="0"/>
              <w:jc w:val="center"/>
              <w:rPr>
                <w:sz w:val="24"/>
              </w:rPr>
            </w:pPr>
          </w:p>
        </w:tc>
        <w:tc>
          <w:tcPr>
            <w:tcW w:w="2041" w:type="dxa"/>
            <w:shd w:val="clear" w:color="auto" w:fill="auto"/>
          </w:tcPr>
          <w:p w:rsidR="0049577B" w:rsidRPr="00D20F89" w:rsidRDefault="0049577B" w:rsidP="00D20F89">
            <w:pPr>
              <w:spacing w:line="240" w:lineRule="auto"/>
              <w:ind w:leftChars="0" w:left="0" w:rightChars="0" w:right="0"/>
              <w:jc w:val="center"/>
              <w:rPr>
                <w:sz w:val="24"/>
              </w:rPr>
            </w:pPr>
          </w:p>
        </w:tc>
        <w:tc>
          <w:tcPr>
            <w:tcW w:w="2042"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B40DC1" w:rsidTr="00664AD3">
        <w:tc>
          <w:tcPr>
            <w:tcW w:w="10060" w:type="dxa"/>
            <w:gridSpan w:val="4"/>
            <w:shd w:val="clear" w:color="auto" w:fill="auto"/>
          </w:tcPr>
          <w:p w:rsidR="0049577B" w:rsidRPr="00D20F89" w:rsidRDefault="0049577B" w:rsidP="00D20F89">
            <w:pPr>
              <w:spacing w:line="240" w:lineRule="auto"/>
              <w:ind w:leftChars="0" w:left="0" w:rightChars="0" w:right="0"/>
              <w:rPr>
                <w:sz w:val="24"/>
              </w:rPr>
            </w:pPr>
            <w:r w:rsidRPr="00D20F89">
              <w:rPr>
                <w:sz w:val="24"/>
              </w:rPr>
              <w:t>多元迴歸分析模型整體之R平方解釋量：0.833</w:t>
            </w:r>
          </w:p>
        </w:tc>
      </w:tr>
    </w:tbl>
    <w:p w:rsidR="0049577B" w:rsidRDefault="00817A92" w:rsidP="00D20F8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D20F89" w:rsidRPr="00B40DC1" w:rsidRDefault="00D20F89" w:rsidP="00D20F89">
      <w:pPr>
        <w:spacing w:line="240" w:lineRule="auto"/>
        <w:ind w:leftChars="0" w:left="0" w:rightChars="0" w:right="0"/>
      </w:pPr>
    </w:p>
    <w:p w:rsidR="0049577B" w:rsidRPr="00B40DC1" w:rsidRDefault="00817A92" w:rsidP="00D20F89">
      <w:pPr>
        <w:spacing w:line="240" w:lineRule="auto"/>
        <w:ind w:leftChars="0" w:left="0" w:rightChars="0" w:right="0"/>
      </w:pPr>
      <w:r>
        <w:t xml:space="preserve">　　</w:t>
      </w:r>
      <w:r w:rsidR="0049577B" w:rsidRPr="00B40DC1">
        <w:t>由下表---影響下年度重傷害及故意殺人犯罪(1993年至2015年)相關因子(原因變項)之多元迴歸分析統計數據結果一覽表(本表係使用逐步迴歸分析法之迴歸分析方式)之統計資料可得知，依變項為下年度重傷害及故意殺人犯罪，每提升失業率1個單位之標準差(1個標準單位)，則可減少0.330個單位之標準差(標準化迴歸係數值，Beta=-0.330)之下年度重傷害及故意殺人犯罪。有可能之成因，係失業者可請領失業補助金，「暫時地」解決其經濟困境，促使失業者未從事犯罪。</w:t>
      </w:r>
    </w:p>
    <w:p w:rsidR="0049577B" w:rsidRPr="00B40DC1" w:rsidRDefault="00817A92" w:rsidP="00D20F89">
      <w:pPr>
        <w:spacing w:line="240" w:lineRule="auto"/>
        <w:ind w:leftChars="0" w:left="0" w:rightChars="0" w:right="0"/>
      </w:pPr>
      <w:r>
        <w:t xml:space="preserve">　　</w:t>
      </w:r>
      <w:r w:rsidR="0049577B" w:rsidRPr="00B40DC1">
        <w:t>每提升GNI(平均每人國民所得毛額，以美元為單位</w:t>
      </w:r>
      <w:r w:rsidR="00587200">
        <w:t>)</w:t>
      </w:r>
      <w:r w:rsidR="0049577B" w:rsidRPr="00B40DC1">
        <w:t>1個單位之標準差(1個標準單位)，則可減少0.737個單位之標準差(標準化迴歸係數值，Beta=-0.737)之下年度重傷害及故意殺人犯罪。</w:t>
      </w:r>
    </w:p>
    <w:p w:rsidR="0049577B" w:rsidRPr="00B40DC1" w:rsidRDefault="00817A92" w:rsidP="00D20F8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下年度重傷害及故意殺人犯罪。復次，無期徒刑亦無法有效地嚇阻(減少</w:t>
      </w:r>
      <w:r w:rsidR="00587200">
        <w:t>)</w:t>
      </w:r>
      <w:r w:rsidR="0049577B" w:rsidRPr="00B40DC1">
        <w:t>下年度重傷害及故意殺人犯罪。</w:t>
      </w:r>
    </w:p>
    <w:p w:rsidR="0049577B" w:rsidRPr="00B40DC1" w:rsidRDefault="00151AD5" w:rsidP="00151AD5">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7175B7" w:rsidRDefault="0049577B" w:rsidP="00E736D6">
      <w:pPr>
        <w:pStyle w:val="4"/>
        <w:rPr>
          <w:lang w:eastAsia="zh-TW"/>
        </w:rPr>
      </w:pPr>
      <w:r w:rsidRPr="007175B7">
        <w:rPr>
          <w:lang w:eastAsia="zh-TW"/>
        </w:rPr>
        <w:t>表15、影響下年度重傷害及故意殺人犯罪(1993年至2015年)相關因子(原因變項)之多元迴歸分析統計數據結果一覽表(本表係使用逐步迴歸分析法之迴歸分析方式)</w:t>
      </w:r>
      <w:r w:rsidRPr="007175B7">
        <w:rPr>
          <w:rStyle w:val="af7"/>
          <w:rFonts w:eastAsia="新細明體"/>
          <w:b w:val="0"/>
          <w:sz w:val="20"/>
        </w:rPr>
        <w:footnoteReference w:id="118"/>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D20F89" w:rsidTr="00151AD5">
        <w:trPr>
          <w:tblHeader/>
        </w:trPr>
        <w:tc>
          <w:tcPr>
            <w:tcW w:w="3936" w:type="dxa"/>
            <w:shd w:val="clear" w:color="auto" w:fill="EFFDFF"/>
            <w:vAlign w:val="center"/>
          </w:tcPr>
          <w:p w:rsidR="00151AD5" w:rsidRDefault="0049577B" w:rsidP="00151AD5">
            <w:pPr>
              <w:spacing w:line="240" w:lineRule="auto"/>
              <w:ind w:leftChars="0" w:left="0" w:rightChars="0" w:right="0"/>
              <w:jc w:val="center"/>
              <w:rPr>
                <w:sz w:val="24"/>
              </w:rPr>
            </w:pPr>
            <w:r w:rsidRPr="00D20F89">
              <w:rPr>
                <w:sz w:val="24"/>
              </w:rPr>
              <w:t>多元迴歸分析統計數據</w:t>
            </w:r>
          </w:p>
          <w:p w:rsidR="0049577B" w:rsidRPr="00D20F89" w:rsidRDefault="0049577B" w:rsidP="00151AD5">
            <w:pPr>
              <w:spacing w:line="240" w:lineRule="auto"/>
              <w:ind w:leftChars="0" w:left="0" w:rightChars="0" w:right="0"/>
              <w:jc w:val="center"/>
              <w:rPr>
                <w:sz w:val="24"/>
              </w:rPr>
            </w:pPr>
            <w:r w:rsidRPr="00D20F89">
              <w:rPr>
                <w:sz w:val="24"/>
              </w:rPr>
              <w:t>自變項(解釋因子，independent variable)之名稱</w:t>
            </w:r>
          </w:p>
        </w:tc>
        <w:tc>
          <w:tcPr>
            <w:tcW w:w="1994" w:type="dxa"/>
            <w:shd w:val="clear" w:color="auto" w:fill="EFFDFF"/>
            <w:vAlign w:val="center"/>
          </w:tcPr>
          <w:p w:rsidR="0049577B" w:rsidRPr="00D20F89" w:rsidRDefault="0049577B" w:rsidP="00151AD5">
            <w:pPr>
              <w:spacing w:line="240" w:lineRule="auto"/>
              <w:ind w:leftChars="0" w:left="0" w:rightChars="0" w:right="0"/>
              <w:jc w:val="center"/>
              <w:rPr>
                <w:sz w:val="24"/>
              </w:rPr>
            </w:pPr>
            <w:r w:rsidRPr="00D20F89">
              <w:rPr>
                <w:sz w:val="24"/>
              </w:rPr>
              <w:t>標準化迴歸係數值(Beta)</w:t>
            </w:r>
          </w:p>
        </w:tc>
        <w:tc>
          <w:tcPr>
            <w:tcW w:w="1994" w:type="dxa"/>
            <w:shd w:val="clear" w:color="auto" w:fill="EFFDFF"/>
            <w:vAlign w:val="center"/>
          </w:tcPr>
          <w:p w:rsidR="0049577B" w:rsidRPr="00D20F89" w:rsidRDefault="0049577B" w:rsidP="00151AD5">
            <w:pPr>
              <w:spacing w:line="240" w:lineRule="auto"/>
              <w:ind w:leftChars="0" w:left="0" w:rightChars="0" w:right="0"/>
              <w:jc w:val="center"/>
              <w:rPr>
                <w:sz w:val="24"/>
              </w:rPr>
            </w:pPr>
            <w:r w:rsidRPr="00D20F89">
              <w:rPr>
                <w:sz w:val="24"/>
              </w:rPr>
              <w:t>標準化迴歸係數值(Beta)之顯著度(水準)</w:t>
            </w:r>
          </w:p>
        </w:tc>
        <w:tc>
          <w:tcPr>
            <w:tcW w:w="1994" w:type="dxa"/>
            <w:shd w:val="clear" w:color="auto" w:fill="EFFDFF"/>
            <w:vAlign w:val="center"/>
          </w:tcPr>
          <w:p w:rsidR="0049577B" w:rsidRPr="00D20F89" w:rsidRDefault="0049577B" w:rsidP="00151AD5">
            <w:pPr>
              <w:spacing w:line="240" w:lineRule="auto"/>
              <w:ind w:leftChars="0" w:left="0" w:rightChars="0" w:right="0"/>
              <w:jc w:val="center"/>
              <w:rPr>
                <w:sz w:val="24"/>
              </w:rPr>
            </w:pPr>
            <w:r w:rsidRPr="00D20F89">
              <w:rPr>
                <w:sz w:val="24"/>
              </w:rPr>
              <w:t>條件指標(CI)</w:t>
            </w:r>
            <w:r w:rsidR="003C1792" w:rsidRPr="00D20F89">
              <w:rPr>
                <w:sz w:val="24"/>
              </w:rPr>
              <w:t>(</w:t>
            </w:r>
            <w:r w:rsidRPr="00D20F89">
              <w:rPr>
                <w:sz w:val="24"/>
              </w:rPr>
              <w:t>檢視自變項是否有嚴重之共線問題)</w:t>
            </w:r>
          </w:p>
        </w:tc>
      </w:tr>
      <w:tr w:rsidR="0049577B" w:rsidRPr="00D20F89"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X1：失業率(1992-2016年)</w:t>
            </w:r>
          </w:p>
        </w:tc>
        <w:tc>
          <w:tcPr>
            <w:tcW w:w="1994" w:type="dxa"/>
            <w:shd w:val="clear" w:color="auto" w:fill="auto"/>
          </w:tcPr>
          <w:p w:rsidR="0049577B" w:rsidRPr="00D20F89" w:rsidRDefault="0049577B" w:rsidP="00D20F89">
            <w:pPr>
              <w:spacing w:line="240" w:lineRule="auto"/>
              <w:ind w:leftChars="0" w:left="0" w:rightChars="0" w:right="0"/>
              <w:rPr>
                <w:sz w:val="24"/>
              </w:rPr>
            </w:pPr>
            <w:r w:rsidRPr="00D20F89">
              <w:rPr>
                <w:sz w:val="24"/>
              </w:rPr>
              <w:t>-0.330</w:t>
            </w:r>
          </w:p>
        </w:tc>
        <w:tc>
          <w:tcPr>
            <w:tcW w:w="1994" w:type="dxa"/>
            <w:shd w:val="clear" w:color="auto" w:fill="auto"/>
          </w:tcPr>
          <w:p w:rsidR="0049577B" w:rsidRPr="00D20F89" w:rsidRDefault="0049577B" w:rsidP="00D20F89">
            <w:pPr>
              <w:spacing w:line="240" w:lineRule="auto"/>
              <w:ind w:leftChars="0" w:left="0" w:rightChars="0" w:right="0"/>
              <w:rPr>
                <w:sz w:val="24"/>
              </w:rPr>
            </w:pPr>
            <w:r w:rsidRPr="00D20F89">
              <w:rPr>
                <w:sz w:val="24"/>
              </w:rPr>
              <w:t>0.004</w:t>
            </w:r>
          </w:p>
        </w:tc>
        <w:tc>
          <w:tcPr>
            <w:tcW w:w="1994" w:type="dxa"/>
            <w:shd w:val="clear" w:color="auto" w:fill="auto"/>
          </w:tcPr>
          <w:p w:rsidR="0049577B" w:rsidRPr="00D20F89" w:rsidRDefault="0049577B" w:rsidP="00D20F89">
            <w:pPr>
              <w:spacing w:line="240" w:lineRule="auto"/>
              <w:ind w:leftChars="0" w:left="0" w:rightChars="0" w:right="0"/>
              <w:rPr>
                <w:sz w:val="24"/>
              </w:rPr>
            </w:pPr>
            <w:r w:rsidRPr="00D20F89">
              <w:rPr>
                <w:sz w:val="24"/>
              </w:rPr>
              <w:t>11.346</w:t>
            </w:r>
          </w:p>
        </w:tc>
      </w:tr>
      <w:tr w:rsidR="0049577B" w:rsidRPr="00D20F89"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X2：結婚對數(1998-2013年)</w:t>
            </w: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r>
      <w:tr w:rsidR="0049577B" w:rsidRPr="00D20F89"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X3： 35歲以上人口之中，男性未婚之比例</w:t>
            </w:r>
            <w:r w:rsidR="003C1792" w:rsidRPr="00D20F89">
              <w:rPr>
                <w:sz w:val="24"/>
              </w:rPr>
              <w:t>(</w:t>
            </w:r>
            <w:r w:rsidRPr="00D20F89">
              <w:rPr>
                <w:sz w:val="24"/>
              </w:rPr>
              <w:t>1998-2013年)</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D20F89"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X4：離婚率(1998-2013年)</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D20F89"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X5：GNI(平均每人國民所得毛額，以美元為單位)</w:t>
            </w:r>
            <w:r w:rsidR="003C1792" w:rsidRPr="00D20F89">
              <w:rPr>
                <w:sz w:val="24"/>
              </w:rPr>
              <w:t>(</w:t>
            </w:r>
            <w:r w:rsidRPr="00D20F89">
              <w:rPr>
                <w:sz w:val="24"/>
              </w:rPr>
              <w:t>1992-2016年)</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-0.737</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0.000</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r w:rsidRPr="00D20F89">
              <w:rPr>
                <w:sz w:val="24"/>
              </w:rPr>
              <w:t>7.622</w:t>
            </w:r>
          </w:p>
        </w:tc>
      </w:tr>
      <w:tr w:rsidR="0049577B" w:rsidRPr="00D20F89"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X6：低收入戶之家庭及就學生活補助金額(1998-2013年)</w:t>
            </w:r>
            <w:r w:rsidRPr="00A14BAA">
              <w:rPr>
                <w:rStyle w:val="af7"/>
                <w:rFonts w:eastAsia="新細明體"/>
                <w:sz w:val="20"/>
              </w:rPr>
              <w:footnoteReference w:id="119"/>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D20F89"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X7：緩刑比率(1998-2013年)</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D20F89"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X8：無期徒刑之人數(1998-2013年)</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D20F89"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X9：被執行死刑之人數(1992-2016年)</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D20F89"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X10：當年度之全般刑案破獲率(1992-2016年)</w:t>
            </w: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c>
          <w:tcPr>
            <w:tcW w:w="1994" w:type="dxa"/>
            <w:shd w:val="clear" w:color="auto" w:fill="auto"/>
          </w:tcPr>
          <w:p w:rsidR="0049577B" w:rsidRPr="00D20F89" w:rsidRDefault="0049577B" w:rsidP="00D20F89">
            <w:pPr>
              <w:spacing w:line="240" w:lineRule="auto"/>
              <w:ind w:leftChars="0" w:left="0" w:rightChars="0" w:right="0"/>
              <w:jc w:val="center"/>
              <w:rPr>
                <w:sz w:val="24"/>
              </w:rPr>
            </w:pPr>
          </w:p>
        </w:tc>
      </w:tr>
      <w:tr w:rsidR="0049577B" w:rsidRPr="00D20F89" w:rsidTr="007175B7">
        <w:tc>
          <w:tcPr>
            <w:tcW w:w="9918" w:type="dxa"/>
            <w:gridSpan w:val="4"/>
            <w:shd w:val="clear" w:color="auto" w:fill="auto"/>
          </w:tcPr>
          <w:p w:rsidR="0049577B" w:rsidRPr="00D20F89" w:rsidRDefault="0049577B" w:rsidP="00D20F89">
            <w:pPr>
              <w:spacing w:line="240" w:lineRule="auto"/>
              <w:ind w:leftChars="0" w:left="0" w:rightChars="0" w:right="0"/>
              <w:rPr>
                <w:sz w:val="24"/>
              </w:rPr>
            </w:pPr>
            <w:r w:rsidRPr="00D20F89">
              <w:rPr>
                <w:sz w:val="24"/>
              </w:rPr>
              <w:t>多元迴歸分析模型整體之R平方解釋量：0.904</w:t>
            </w:r>
          </w:p>
        </w:tc>
      </w:tr>
    </w:tbl>
    <w:p w:rsidR="0049577B" w:rsidRPr="00D20F89" w:rsidRDefault="00817A92" w:rsidP="00D20F89">
      <w:pPr>
        <w:spacing w:line="240" w:lineRule="auto"/>
        <w:ind w:leftChars="0" w:left="0" w:rightChars="0" w:right="0"/>
      </w:pPr>
      <w:r w:rsidRPr="00D20F89">
        <w:t>【資料來源】</w:t>
      </w:r>
      <w:r w:rsidR="0049577B" w:rsidRPr="00D20F89">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D20F89" w:rsidRDefault="00D20F89" w:rsidP="00D20F89">
      <w:pPr>
        <w:spacing w:line="240" w:lineRule="auto"/>
        <w:ind w:leftChars="0" w:left="0" w:rightChars="0" w:right="0"/>
      </w:pPr>
    </w:p>
    <w:p w:rsidR="0049577B" w:rsidRPr="00D20F89" w:rsidRDefault="00817A92" w:rsidP="00D20F89">
      <w:pPr>
        <w:spacing w:line="240" w:lineRule="auto"/>
        <w:ind w:leftChars="0" w:left="0" w:rightChars="0" w:right="0"/>
      </w:pPr>
      <w:r w:rsidRPr="00D20F89">
        <w:t xml:space="preserve">　　</w:t>
      </w:r>
      <w:r w:rsidR="0049577B" w:rsidRPr="00D20F89">
        <w:t>由下表---影響下年度重傷害及故意殺人犯罪(1993年至2015年)相關因子(原因變項)之多元迴歸分析統計數據結果一覽表(本表係使用強迫進入法之迴歸分析方式)之統計資料可得知，依變項為下年度重傷害及故意殺人犯罪，每提升失業率1個單位之標準差(1個標準單位)，則可減少0.330個單位之標準差(標準化迴歸係數值，Beta=-0.330)之下年度重傷害及故意殺人犯罪。有可能之成因，係失業者可請領失業補助金，「暫時地」解決其經濟困境，促使失業者未從事犯罪。</w:t>
      </w:r>
    </w:p>
    <w:p w:rsidR="0049577B" w:rsidRPr="00D20F89" w:rsidRDefault="00A14BAA" w:rsidP="00D20F89">
      <w:pPr>
        <w:spacing w:line="240" w:lineRule="auto"/>
        <w:ind w:leftChars="0" w:left="0" w:rightChars="0" w:right="0"/>
      </w:pPr>
      <w:r>
        <w:t xml:space="preserve">　　</w:t>
      </w:r>
      <w:r w:rsidR="0049577B" w:rsidRPr="00D20F89">
        <w:t>每提升GNI(平均每人國民所得毛額，以美元為單位</w:t>
      </w:r>
      <w:r w:rsidR="00587200">
        <w:t>)</w:t>
      </w:r>
      <w:r w:rsidR="0049577B" w:rsidRPr="00D20F89">
        <w:t>1個單位之標準差(1個標準單位)，則可減少0.737個單位之標準差(標準化迴歸係數值，Beta=-0.737)之下年度重傷害及故意殺人犯罪。</w:t>
      </w:r>
    </w:p>
    <w:p w:rsidR="0049577B" w:rsidRPr="00D20F89" w:rsidRDefault="00817A92" w:rsidP="00D20F89">
      <w:pPr>
        <w:spacing w:line="240" w:lineRule="auto"/>
        <w:ind w:leftChars="0" w:left="0" w:rightChars="0" w:right="0"/>
      </w:pPr>
      <w:r w:rsidRPr="00D20F89">
        <w:t xml:space="preserve">　　</w:t>
      </w:r>
      <w:r w:rsidR="0049577B" w:rsidRPr="00D20F89">
        <w:t>另外，就本書特別加以關注之死刑是否能有效地嚇阻(減少)犯罪之發生而論，根據本表之資料可得知，執行死刑無法有效地嚇阻(減少</w:t>
      </w:r>
      <w:r w:rsidR="00587200">
        <w:t>)</w:t>
      </w:r>
      <w:r w:rsidR="0049577B" w:rsidRPr="00D20F89">
        <w:t>下年度重傷害及故意殺人犯罪。復次，無期徒刑亦無法有效地嚇阻(減少</w:t>
      </w:r>
      <w:r w:rsidR="00587200">
        <w:t>)</w:t>
      </w:r>
      <w:r w:rsidR="0049577B" w:rsidRPr="00D20F89">
        <w:t>下年度重傷害及故意殺人犯罪。</w:t>
      </w:r>
    </w:p>
    <w:p w:rsidR="0049577B" w:rsidRPr="00B40DC1" w:rsidRDefault="00151AD5" w:rsidP="00151AD5">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7175B7" w:rsidRDefault="0049577B" w:rsidP="00E736D6">
      <w:pPr>
        <w:pStyle w:val="4"/>
        <w:rPr>
          <w:lang w:eastAsia="zh-TW"/>
        </w:rPr>
      </w:pPr>
      <w:r w:rsidRPr="007175B7">
        <w:rPr>
          <w:lang w:eastAsia="zh-TW"/>
        </w:rPr>
        <w:t>表16、影響下年度重傷害及故意殺人犯罪(1993年至2015年)相關因子(原因變項)之多元迴歸分析統計數據結果一覽表(本表係使用強迫進入法之迴歸分析方式)</w:t>
      </w:r>
      <w:r w:rsidRPr="00A14BAA">
        <w:rPr>
          <w:rStyle w:val="af7"/>
          <w:rFonts w:eastAsia="新細明體"/>
          <w:b w:val="0"/>
          <w:sz w:val="20"/>
        </w:rPr>
        <w:footnoteReference w:id="12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151AD5">
        <w:trPr>
          <w:tblHeader/>
        </w:trPr>
        <w:tc>
          <w:tcPr>
            <w:tcW w:w="3936" w:type="dxa"/>
            <w:shd w:val="clear" w:color="auto" w:fill="FAF0FA"/>
            <w:vAlign w:val="center"/>
          </w:tcPr>
          <w:p w:rsidR="00151AD5" w:rsidRPr="00A662A2" w:rsidRDefault="0049577B" w:rsidP="00151AD5">
            <w:pPr>
              <w:ind w:leftChars="11" w:left="29"/>
              <w:jc w:val="center"/>
              <w:rPr>
                <w:sz w:val="24"/>
              </w:rPr>
            </w:pPr>
            <w:r w:rsidRPr="00A662A2">
              <w:rPr>
                <w:sz w:val="24"/>
              </w:rPr>
              <w:t>多元迴歸分析統計數據</w:t>
            </w:r>
          </w:p>
          <w:p w:rsidR="0049577B" w:rsidRPr="00A662A2" w:rsidRDefault="0049577B" w:rsidP="00151AD5">
            <w:pPr>
              <w:ind w:leftChars="11" w:left="29"/>
              <w:jc w:val="center"/>
              <w:rPr>
                <w:sz w:val="24"/>
              </w:rPr>
            </w:pPr>
            <w:r w:rsidRPr="00A662A2">
              <w:rPr>
                <w:sz w:val="24"/>
              </w:rPr>
              <w:t>自變項(解釋因子，independent variable)之名稱</w:t>
            </w:r>
          </w:p>
        </w:tc>
        <w:tc>
          <w:tcPr>
            <w:tcW w:w="1946" w:type="dxa"/>
            <w:shd w:val="clear" w:color="auto" w:fill="FAF0FA"/>
            <w:vAlign w:val="center"/>
          </w:tcPr>
          <w:p w:rsidR="0049577B" w:rsidRPr="00A662A2" w:rsidRDefault="0049577B" w:rsidP="00151AD5">
            <w:pPr>
              <w:ind w:leftChars="11" w:left="29"/>
              <w:jc w:val="center"/>
              <w:rPr>
                <w:sz w:val="24"/>
              </w:rPr>
            </w:pPr>
            <w:r w:rsidRPr="00A662A2">
              <w:rPr>
                <w:sz w:val="24"/>
              </w:rPr>
              <w:t>標準化迴歸係數值(Beta)</w:t>
            </w:r>
          </w:p>
        </w:tc>
        <w:tc>
          <w:tcPr>
            <w:tcW w:w="1947" w:type="dxa"/>
            <w:shd w:val="clear" w:color="auto" w:fill="FAF0FA"/>
            <w:vAlign w:val="center"/>
          </w:tcPr>
          <w:p w:rsidR="0049577B" w:rsidRPr="00A662A2" w:rsidRDefault="0049577B" w:rsidP="00151AD5">
            <w:pPr>
              <w:ind w:leftChars="11" w:left="29"/>
              <w:jc w:val="center"/>
              <w:rPr>
                <w:sz w:val="24"/>
              </w:rPr>
            </w:pPr>
            <w:r w:rsidRPr="00A662A2">
              <w:rPr>
                <w:sz w:val="24"/>
              </w:rPr>
              <w:t>標準化迴歸係數值(Beta)之顯著度(水準)</w:t>
            </w:r>
          </w:p>
        </w:tc>
        <w:tc>
          <w:tcPr>
            <w:tcW w:w="1947" w:type="dxa"/>
            <w:shd w:val="clear" w:color="auto" w:fill="FAF0FA"/>
            <w:vAlign w:val="center"/>
          </w:tcPr>
          <w:p w:rsidR="0049577B" w:rsidRPr="00A662A2" w:rsidRDefault="0049577B" w:rsidP="00151AD5">
            <w:pPr>
              <w:ind w:leftChars="11" w:left="29"/>
              <w:jc w:val="center"/>
              <w:rPr>
                <w:sz w:val="24"/>
              </w:rPr>
            </w:pPr>
            <w:r w:rsidRPr="00A662A2">
              <w:rPr>
                <w:sz w:val="24"/>
              </w:rPr>
              <w:t>條件指標(CI)</w:t>
            </w:r>
            <w:r w:rsidR="003C1792" w:rsidRPr="00A662A2">
              <w:rPr>
                <w:sz w:val="24"/>
              </w:rPr>
              <w:t>(</w:t>
            </w:r>
            <w:r w:rsidRPr="00A662A2">
              <w:rPr>
                <w:sz w:val="24"/>
              </w:rPr>
              <w:t>檢視自變項是否有嚴重之共線問題)</w:t>
            </w:r>
          </w:p>
        </w:tc>
      </w:tr>
      <w:tr w:rsidR="0049577B" w:rsidRPr="00B40DC1" w:rsidTr="00151AD5">
        <w:tc>
          <w:tcPr>
            <w:tcW w:w="3936" w:type="dxa"/>
            <w:shd w:val="clear" w:color="auto" w:fill="auto"/>
          </w:tcPr>
          <w:p w:rsidR="0049577B" w:rsidRPr="00A662A2" w:rsidRDefault="0049577B" w:rsidP="007175B7">
            <w:pPr>
              <w:ind w:leftChars="11" w:left="29"/>
              <w:rPr>
                <w:sz w:val="24"/>
              </w:rPr>
            </w:pPr>
            <w:r w:rsidRPr="00A662A2">
              <w:rPr>
                <w:sz w:val="24"/>
              </w:rPr>
              <w:t>X1：失業率(1992-2016年)</w:t>
            </w:r>
          </w:p>
        </w:tc>
        <w:tc>
          <w:tcPr>
            <w:tcW w:w="1946" w:type="dxa"/>
            <w:shd w:val="clear" w:color="auto" w:fill="auto"/>
          </w:tcPr>
          <w:p w:rsidR="0049577B" w:rsidRPr="00A662A2" w:rsidRDefault="0049577B" w:rsidP="000D26BB">
            <w:pPr>
              <w:rPr>
                <w:sz w:val="24"/>
              </w:rPr>
            </w:pPr>
            <w:r w:rsidRPr="00A662A2">
              <w:rPr>
                <w:sz w:val="24"/>
              </w:rPr>
              <w:t>-0.330</w:t>
            </w:r>
          </w:p>
        </w:tc>
        <w:tc>
          <w:tcPr>
            <w:tcW w:w="1947" w:type="dxa"/>
            <w:shd w:val="clear" w:color="auto" w:fill="auto"/>
          </w:tcPr>
          <w:p w:rsidR="0049577B" w:rsidRPr="00A662A2" w:rsidRDefault="0049577B" w:rsidP="000D26BB">
            <w:pPr>
              <w:rPr>
                <w:sz w:val="24"/>
              </w:rPr>
            </w:pPr>
            <w:r w:rsidRPr="00A662A2">
              <w:rPr>
                <w:sz w:val="24"/>
              </w:rPr>
              <w:t>0.000</w:t>
            </w:r>
          </w:p>
        </w:tc>
        <w:tc>
          <w:tcPr>
            <w:tcW w:w="1947" w:type="dxa"/>
            <w:shd w:val="clear" w:color="auto" w:fill="auto"/>
          </w:tcPr>
          <w:p w:rsidR="0049577B" w:rsidRPr="00A662A2" w:rsidRDefault="0049577B" w:rsidP="000D26BB">
            <w:pPr>
              <w:rPr>
                <w:sz w:val="24"/>
              </w:rPr>
            </w:pPr>
            <w:r w:rsidRPr="00A662A2">
              <w:rPr>
                <w:sz w:val="24"/>
              </w:rPr>
              <w:t>7.543</w:t>
            </w:r>
          </w:p>
        </w:tc>
      </w:tr>
      <w:tr w:rsidR="0049577B" w:rsidRPr="00B40DC1" w:rsidTr="00151AD5">
        <w:tc>
          <w:tcPr>
            <w:tcW w:w="3936" w:type="dxa"/>
            <w:shd w:val="clear" w:color="auto" w:fill="auto"/>
          </w:tcPr>
          <w:p w:rsidR="0049577B" w:rsidRPr="00A662A2" w:rsidRDefault="0049577B" w:rsidP="007175B7">
            <w:pPr>
              <w:ind w:leftChars="11" w:left="29"/>
              <w:rPr>
                <w:sz w:val="24"/>
              </w:rPr>
            </w:pPr>
            <w:r w:rsidRPr="00A662A2">
              <w:rPr>
                <w:sz w:val="24"/>
              </w:rPr>
              <w:t>X2：結婚對數(1998-2013年)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151AD5">
        <w:tc>
          <w:tcPr>
            <w:tcW w:w="3936" w:type="dxa"/>
            <w:shd w:val="clear" w:color="auto" w:fill="auto"/>
          </w:tcPr>
          <w:p w:rsidR="0049577B" w:rsidRPr="00A662A2" w:rsidRDefault="0049577B" w:rsidP="007175B7">
            <w:pPr>
              <w:ind w:leftChars="11" w:left="29"/>
              <w:rPr>
                <w:sz w:val="24"/>
              </w:rPr>
            </w:pPr>
            <w:r w:rsidRPr="00A662A2">
              <w:rPr>
                <w:sz w:val="24"/>
              </w:rPr>
              <w:t>X3： 35歲以上人口之中，男性未婚之比例</w:t>
            </w:r>
            <w:r w:rsidR="003C1792" w:rsidRPr="00A662A2">
              <w:rPr>
                <w:sz w:val="24"/>
              </w:rPr>
              <w:t>(</w:t>
            </w:r>
            <w:r w:rsidRPr="00A662A2">
              <w:rPr>
                <w:sz w:val="24"/>
              </w:rPr>
              <w:t>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151AD5">
        <w:tc>
          <w:tcPr>
            <w:tcW w:w="3936" w:type="dxa"/>
            <w:shd w:val="clear" w:color="auto" w:fill="auto"/>
          </w:tcPr>
          <w:p w:rsidR="0049577B" w:rsidRPr="00A662A2" w:rsidRDefault="0049577B" w:rsidP="007175B7">
            <w:pPr>
              <w:ind w:leftChars="11" w:left="29"/>
              <w:rPr>
                <w:sz w:val="24"/>
              </w:rPr>
            </w:pPr>
            <w:r w:rsidRPr="00A662A2">
              <w:rPr>
                <w:sz w:val="24"/>
              </w:rPr>
              <w:t>X4：離婚率(1998-2013年)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151AD5">
        <w:tc>
          <w:tcPr>
            <w:tcW w:w="3936" w:type="dxa"/>
            <w:shd w:val="clear" w:color="auto" w:fill="auto"/>
          </w:tcPr>
          <w:p w:rsidR="0049577B" w:rsidRPr="00A662A2" w:rsidRDefault="0049577B" w:rsidP="007175B7">
            <w:pPr>
              <w:ind w:leftChars="11" w:left="29"/>
              <w:rPr>
                <w:sz w:val="24"/>
              </w:rPr>
            </w:pPr>
            <w:r w:rsidRPr="00A662A2">
              <w:rPr>
                <w:sz w:val="24"/>
              </w:rPr>
              <w:t>X5：GNI(平均每人國民所得毛額，以美元為單位)</w:t>
            </w:r>
            <w:r w:rsidR="003C1792" w:rsidRPr="00A662A2">
              <w:rPr>
                <w:sz w:val="24"/>
              </w:rPr>
              <w:t>(</w:t>
            </w:r>
            <w:r w:rsidRPr="00A662A2">
              <w:rPr>
                <w:sz w:val="24"/>
              </w:rPr>
              <w:t>1992-2016年)</w:t>
            </w:r>
          </w:p>
        </w:tc>
        <w:tc>
          <w:tcPr>
            <w:tcW w:w="1946" w:type="dxa"/>
            <w:shd w:val="clear" w:color="auto" w:fill="auto"/>
          </w:tcPr>
          <w:p w:rsidR="0049577B" w:rsidRPr="00A662A2" w:rsidRDefault="0049577B" w:rsidP="000D26BB">
            <w:pPr>
              <w:rPr>
                <w:sz w:val="24"/>
              </w:rPr>
            </w:pPr>
            <w:r w:rsidRPr="00A662A2">
              <w:rPr>
                <w:sz w:val="24"/>
              </w:rPr>
              <w:t>-0.737</w:t>
            </w:r>
          </w:p>
        </w:tc>
        <w:tc>
          <w:tcPr>
            <w:tcW w:w="1947" w:type="dxa"/>
            <w:shd w:val="clear" w:color="auto" w:fill="auto"/>
          </w:tcPr>
          <w:p w:rsidR="0049577B" w:rsidRPr="00A662A2" w:rsidRDefault="0049577B" w:rsidP="000D26BB">
            <w:pPr>
              <w:rPr>
                <w:sz w:val="24"/>
              </w:rPr>
            </w:pPr>
            <w:r w:rsidRPr="00A662A2">
              <w:rPr>
                <w:sz w:val="24"/>
              </w:rPr>
              <w:t>0.000</w:t>
            </w:r>
          </w:p>
        </w:tc>
        <w:tc>
          <w:tcPr>
            <w:tcW w:w="1947" w:type="dxa"/>
            <w:shd w:val="clear" w:color="auto" w:fill="auto"/>
          </w:tcPr>
          <w:p w:rsidR="0049577B" w:rsidRPr="00A662A2" w:rsidRDefault="0049577B" w:rsidP="000D26BB">
            <w:pPr>
              <w:rPr>
                <w:sz w:val="24"/>
              </w:rPr>
            </w:pPr>
            <w:r w:rsidRPr="00A662A2">
              <w:rPr>
                <w:sz w:val="24"/>
              </w:rPr>
              <w:t>11.224</w:t>
            </w:r>
          </w:p>
        </w:tc>
      </w:tr>
      <w:tr w:rsidR="0049577B" w:rsidRPr="00B40DC1" w:rsidTr="00151AD5">
        <w:tc>
          <w:tcPr>
            <w:tcW w:w="3936" w:type="dxa"/>
            <w:shd w:val="clear" w:color="auto" w:fill="auto"/>
          </w:tcPr>
          <w:p w:rsidR="0049577B" w:rsidRPr="00A662A2" w:rsidRDefault="0049577B" w:rsidP="007175B7">
            <w:pPr>
              <w:ind w:leftChars="11" w:left="29"/>
              <w:rPr>
                <w:sz w:val="24"/>
              </w:rPr>
            </w:pPr>
            <w:r w:rsidRPr="00A662A2">
              <w:rPr>
                <w:sz w:val="24"/>
              </w:rPr>
              <w:t>X6：低收入戶之家庭及就學生活補助金額(1998-2013年)</w:t>
            </w:r>
            <w:r w:rsidRPr="00A662A2">
              <w:rPr>
                <w:rStyle w:val="af7"/>
                <w:rFonts w:eastAsia="新細明體"/>
                <w:sz w:val="20"/>
              </w:rPr>
              <w:footnoteReference w:id="121"/>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151AD5">
        <w:tc>
          <w:tcPr>
            <w:tcW w:w="3936" w:type="dxa"/>
            <w:shd w:val="clear" w:color="auto" w:fill="auto"/>
          </w:tcPr>
          <w:p w:rsidR="0049577B" w:rsidRPr="00A662A2" w:rsidRDefault="0049577B" w:rsidP="007175B7">
            <w:pPr>
              <w:ind w:leftChars="11" w:left="29"/>
              <w:rPr>
                <w:sz w:val="24"/>
              </w:rPr>
            </w:pPr>
            <w:r w:rsidRPr="00A662A2">
              <w:rPr>
                <w:sz w:val="24"/>
              </w:rPr>
              <w:t>X7：緩刑比率(1998-2013年)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151AD5">
        <w:tc>
          <w:tcPr>
            <w:tcW w:w="3936" w:type="dxa"/>
            <w:shd w:val="clear" w:color="auto" w:fill="auto"/>
          </w:tcPr>
          <w:p w:rsidR="0049577B" w:rsidRPr="00A662A2" w:rsidRDefault="0049577B" w:rsidP="007175B7">
            <w:pPr>
              <w:ind w:leftChars="11" w:left="29"/>
              <w:rPr>
                <w:sz w:val="24"/>
              </w:rPr>
            </w:pPr>
            <w:r w:rsidRPr="00A662A2">
              <w:rPr>
                <w:sz w:val="24"/>
              </w:rPr>
              <w:t>X8：無期徒刑之人數(1998-2013年)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151AD5">
        <w:tc>
          <w:tcPr>
            <w:tcW w:w="3936" w:type="dxa"/>
            <w:shd w:val="clear" w:color="auto" w:fill="auto"/>
          </w:tcPr>
          <w:p w:rsidR="0049577B" w:rsidRPr="00A662A2" w:rsidRDefault="0049577B" w:rsidP="007175B7">
            <w:pPr>
              <w:ind w:leftChars="11" w:left="29"/>
              <w:rPr>
                <w:sz w:val="24"/>
              </w:rPr>
            </w:pPr>
            <w:r w:rsidRPr="00A662A2">
              <w:rPr>
                <w:sz w:val="24"/>
              </w:rPr>
              <w:t>X9：被執行死刑之人數(1992-2016年)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151AD5">
        <w:tc>
          <w:tcPr>
            <w:tcW w:w="3936" w:type="dxa"/>
            <w:shd w:val="clear" w:color="auto" w:fill="auto"/>
          </w:tcPr>
          <w:p w:rsidR="0049577B" w:rsidRPr="00A662A2" w:rsidRDefault="0049577B" w:rsidP="007175B7">
            <w:pPr>
              <w:ind w:leftChars="11" w:left="29"/>
              <w:rPr>
                <w:sz w:val="24"/>
              </w:rPr>
            </w:pPr>
            <w:r w:rsidRPr="00A662A2">
              <w:rPr>
                <w:sz w:val="24"/>
              </w:rPr>
              <w:t>X10：當年度之全般刑案破獲率(1992-2016年)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151AD5">
        <w:tc>
          <w:tcPr>
            <w:tcW w:w="9776" w:type="dxa"/>
            <w:gridSpan w:val="4"/>
            <w:shd w:val="clear" w:color="auto" w:fill="auto"/>
          </w:tcPr>
          <w:p w:rsidR="0049577B" w:rsidRPr="00A662A2" w:rsidRDefault="0049577B" w:rsidP="000D26BB">
            <w:pPr>
              <w:rPr>
                <w:sz w:val="24"/>
              </w:rPr>
            </w:pPr>
            <w:r w:rsidRPr="00A662A2">
              <w:rPr>
                <w:sz w:val="24"/>
              </w:rPr>
              <w:t>多元迴歸分析模型整體之R平方解釋量：0.909</w:t>
            </w:r>
          </w:p>
        </w:tc>
      </w:tr>
    </w:tbl>
    <w:p w:rsidR="0049577B" w:rsidRPr="00B40DC1" w:rsidRDefault="00817A92" w:rsidP="00D20F8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D26BB"/>
    <w:p w:rsidR="0049577B" w:rsidRPr="00B40DC1" w:rsidRDefault="007175B7" w:rsidP="00D20F89">
      <w:pPr>
        <w:spacing w:line="240" w:lineRule="auto"/>
        <w:ind w:leftChars="0" w:left="0" w:rightChars="0" w:right="0"/>
      </w:pPr>
      <w:r>
        <w:t xml:space="preserve">　　</w:t>
      </w:r>
      <w:r w:rsidR="0049577B" w:rsidRPr="00B40DC1">
        <w:t>由下表---影響下下年度重傷害及故意殺人犯罪(1994年至2014年)相關因子(原因變項)之多元迴歸分析統計數據結果一覽表(本表係使用逐步迴歸分析法之迴歸分析方式)之統計資料可得知，依變項為下下年度重傷害及故意殺人犯罪，每提升X3：35歲以上人口之中，男性未婚之比例</w:t>
      </w:r>
      <w:r w:rsidR="003C1792">
        <w:t>(</w:t>
      </w:r>
      <w:r w:rsidR="0049577B" w:rsidRPr="00B40DC1">
        <w:t>1998-2013年)1個單位之標準差(1個標準單位)，則可減少0.948個單位之標準差(標準化迴歸係數值，Beta=-0.948)之下下年度重傷害及故意殺人犯罪。</w:t>
      </w:r>
    </w:p>
    <w:p w:rsidR="0049577B" w:rsidRPr="00B40DC1" w:rsidRDefault="00817A92" w:rsidP="00D20F89">
      <w:pPr>
        <w:spacing w:line="240" w:lineRule="auto"/>
        <w:ind w:leftChars="0" w:left="0" w:rightChars="0" w:right="0"/>
      </w:pPr>
      <w:r>
        <w:t xml:space="preserve">　　</w:t>
      </w:r>
      <w:r w:rsidR="0049577B" w:rsidRPr="00B40DC1">
        <w:t>犯罪學之學者，Sampson &amp; Laub認為行為人對婚姻的強力附著，可降低犯罪，不過，在台灣，實際之情形，是35歲以上人口之中之男性，如對婚姻未進行強力附著(未婚)，反而可大大地降低(reduce)下下年度重傷害及故意殺人犯罪。針對台灣地區而論---一個超低薪之社會，行為人對婚姻的強力附著，會造成生活經濟壓力之增加，在此情形之下，Sampson &amp; Laub之理論---「行為人對婚姻的強力附著，可降低犯罪」之主張，未必是正確的，有可能是錯的，可能會誤導台灣之人口政策。</w:t>
      </w:r>
    </w:p>
    <w:p w:rsidR="0049577B" w:rsidRPr="00B40DC1" w:rsidRDefault="00817A92" w:rsidP="00D20F89">
      <w:pPr>
        <w:spacing w:line="240" w:lineRule="auto"/>
        <w:ind w:leftChars="0" w:left="0" w:rightChars="0" w:right="0"/>
      </w:pPr>
      <w:r>
        <w:t xml:space="preserve">　　</w:t>
      </w:r>
      <w:r w:rsidR="0049577B" w:rsidRPr="00B40DC1">
        <w:t>另外，就本書特別加以關注之死刑是否能有效地嚇阻(減少</w:t>
      </w:r>
      <w:r w:rsidR="00587200">
        <w:t>)</w:t>
      </w:r>
      <w:r w:rsidR="0049577B" w:rsidRPr="00B40DC1">
        <w:t>下下年度重傷害及故意殺人犯罪之發生而論，本書作者嘗試用強制方式，將死刑投入多元迴歸分析之中，效果不佳，反而無法得出適切之多元迴歸分析模型，如未將死刑投入多元迴歸分析之中，反而能得出適切之多元迴歸分析。根據本表之資料可得知，執行死刑無法有效地嚇阻(減少</w:t>
      </w:r>
      <w:r w:rsidR="00587200">
        <w:t>)</w:t>
      </w:r>
      <w:r w:rsidR="0049577B" w:rsidRPr="00B40DC1">
        <w:t>下下年度重傷害及故意殺人犯罪。復次，無期徒刑亦無法有效地嚇阻(減少</w:t>
      </w:r>
      <w:r w:rsidR="00587200">
        <w:t>)</w:t>
      </w:r>
      <w:r w:rsidR="0049577B" w:rsidRPr="00B40DC1">
        <w:t>下下年度重傷害及故意殺人犯罪。</w:t>
      </w:r>
    </w:p>
    <w:p w:rsidR="0049577B" w:rsidRPr="00B40DC1" w:rsidRDefault="00151AD5" w:rsidP="00151AD5">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7175B7" w:rsidRDefault="0049577B" w:rsidP="00E736D6">
      <w:pPr>
        <w:pStyle w:val="4"/>
        <w:rPr>
          <w:lang w:eastAsia="zh-TW"/>
        </w:rPr>
      </w:pPr>
      <w:r w:rsidRPr="007175B7">
        <w:rPr>
          <w:lang w:eastAsia="zh-TW"/>
        </w:rPr>
        <w:t>表17、影響下下年度重傷害及故意殺人犯罪(1994年至2014年)相關因子(原因變項)之多元迴歸分析統計數據結果一覽表(本表係使用逐步迴歸分析法之迴歸分析方式)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151AD5">
        <w:trPr>
          <w:tblHeader/>
        </w:trPr>
        <w:tc>
          <w:tcPr>
            <w:tcW w:w="3936" w:type="dxa"/>
            <w:shd w:val="clear" w:color="auto" w:fill="EFFDFF"/>
            <w:vAlign w:val="center"/>
          </w:tcPr>
          <w:p w:rsidR="00151AD5" w:rsidRDefault="0049577B" w:rsidP="00D20F89">
            <w:pPr>
              <w:spacing w:line="240" w:lineRule="auto"/>
              <w:ind w:leftChars="0" w:left="0" w:rightChars="0" w:right="0"/>
              <w:jc w:val="center"/>
              <w:rPr>
                <w:sz w:val="24"/>
              </w:rPr>
            </w:pPr>
            <w:r w:rsidRPr="00D20F89">
              <w:rPr>
                <w:sz w:val="24"/>
              </w:rPr>
              <w:t>多元迴歸分析統計數據</w:t>
            </w:r>
          </w:p>
          <w:p w:rsidR="0049577B" w:rsidRPr="00D20F89" w:rsidRDefault="0049577B" w:rsidP="00D20F89">
            <w:pPr>
              <w:spacing w:line="240" w:lineRule="auto"/>
              <w:ind w:leftChars="0" w:left="0" w:rightChars="0" w:right="0"/>
              <w:jc w:val="center"/>
              <w:rPr>
                <w:sz w:val="24"/>
              </w:rPr>
            </w:pPr>
            <w:r w:rsidRPr="00D20F89">
              <w:rPr>
                <w:sz w:val="24"/>
              </w:rPr>
              <w:t>自變項(解釋因子，independent variable)之名稱</w:t>
            </w:r>
          </w:p>
        </w:tc>
        <w:tc>
          <w:tcPr>
            <w:tcW w:w="1994" w:type="dxa"/>
            <w:shd w:val="clear" w:color="auto" w:fill="EFFDFF"/>
            <w:vAlign w:val="center"/>
          </w:tcPr>
          <w:p w:rsidR="0049577B" w:rsidRPr="00D20F89" w:rsidRDefault="0049577B" w:rsidP="00D20F89">
            <w:pPr>
              <w:spacing w:line="240" w:lineRule="auto"/>
              <w:ind w:leftChars="0" w:left="0" w:rightChars="0" w:right="0"/>
              <w:jc w:val="center"/>
              <w:rPr>
                <w:sz w:val="24"/>
              </w:rPr>
            </w:pPr>
            <w:r w:rsidRPr="00D20F89">
              <w:rPr>
                <w:sz w:val="24"/>
              </w:rPr>
              <w:t>標準化迴歸係數值(Beta)</w:t>
            </w:r>
          </w:p>
        </w:tc>
        <w:tc>
          <w:tcPr>
            <w:tcW w:w="1994" w:type="dxa"/>
            <w:shd w:val="clear" w:color="auto" w:fill="EFFDFF"/>
            <w:vAlign w:val="center"/>
          </w:tcPr>
          <w:p w:rsidR="0049577B" w:rsidRPr="00D20F89" w:rsidRDefault="0049577B" w:rsidP="00D20F89">
            <w:pPr>
              <w:spacing w:line="240" w:lineRule="auto"/>
              <w:ind w:leftChars="0" w:left="0" w:rightChars="0" w:right="0"/>
              <w:jc w:val="center"/>
              <w:rPr>
                <w:sz w:val="24"/>
              </w:rPr>
            </w:pPr>
            <w:r w:rsidRPr="00D20F89">
              <w:rPr>
                <w:sz w:val="24"/>
              </w:rPr>
              <w:t>標準化迴歸係數值(Beta)之顯著度(水準)</w:t>
            </w:r>
          </w:p>
        </w:tc>
        <w:tc>
          <w:tcPr>
            <w:tcW w:w="1994" w:type="dxa"/>
            <w:shd w:val="clear" w:color="auto" w:fill="EFFDFF"/>
            <w:vAlign w:val="center"/>
          </w:tcPr>
          <w:p w:rsidR="0049577B" w:rsidRPr="00D20F89" w:rsidRDefault="0049577B" w:rsidP="00D20F89">
            <w:pPr>
              <w:spacing w:line="240" w:lineRule="auto"/>
              <w:ind w:leftChars="0" w:left="0" w:rightChars="0" w:right="0"/>
              <w:jc w:val="center"/>
              <w:rPr>
                <w:sz w:val="24"/>
              </w:rPr>
            </w:pPr>
            <w:r w:rsidRPr="00D20F89">
              <w:rPr>
                <w:sz w:val="24"/>
              </w:rPr>
              <w:t>條件指標(CI)</w:t>
            </w:r>
            <w:r w:rsidR="003C1792" w:rsidRPr="00D20F89">
              <w:rPr>
                <w:sz w:val="24"/>
              </w:rPr>
              <w:t>(</w:t>
            </w:r>
            <w:r w:rsidRPr="00D20F89">
              <w:rPr>
                <w:sz w:val="24"/>
              </w:rPr>
              <w:t>檢視自變項是否有嚴重之共線問題)</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X1：失業率(1992-2016年)</w:t>
            </w:r>
          </w:p>
        </w:tc>
        <w:tc>
          <w:tcPr>
            <w:tcW w:w="1994" w:type="dxa"/>
            <w:shd w:val="clear" w:color="auto" w:fill="auto"/>
            <w:vAlign w:val="center"/>
          </w:tcPr>
          <w:p w:rsidR="0049577B" w:rsidRPr="00D20F89" w:rsidRDefault="0049577B" w:rsidP="00D20F89">
            <w:pPr>
              <w:spacing w:line="240" w:lineRule="auto"/>
              <w:ind w:leftChars="0" w:left="0" w:rightChars="0" w:right="0"/>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X2：結婚對數(1998-2013年)</w:t>
            </w:r>
          </w:p>
        </w:tc>
        <w:tc>
          <w:tcPr>
            <w:tcW w:w="1994" w:type="dxa"/>
            <w:shd w:val="clear" w:color="auto" w:fill="auto"/>
            <w:vAlign w:val="center"/>
          </w:tcPr>
          <w:p w:rsidR="0049577B" w:rsidRPr="00D20F89" w:rsidRDefault="0049577B" w:rsidP="00D20F89">
            <w:pPr>
              <w:spacing w:line="240" w:lineRule="auto"/>
              <w:ind w:leftChars="0" w:left="0" w:rightChars="0" w:right="0"/>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rPr>
                <w:sz w:val="24"/>
              </w:rPr>
            </w:pPr>
          </w:p>
        </w:tc>
        <w:tc>
          <w:tcPr>
            <w:tcW w:w="1994" w:type="dxa"/>
            <w:shd w:val="clear" w:color="auto" w:fill="auto"/>
            <w:vAlign w:val="center"/>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X3： 35歲以上人口之中，男性未婚之比例</w:t>
            </w:r>
            <w:r w:rsidR="003C1792" w:rsidRPr="00D20F89">
              <w:rPr>
                <w:sz w:val="24"/>
              </w:rPr>
              <w:t>(</w:t>
            </w:r>
            <w:r w:rsidRPr="00D20F89">
              <w:rPr>
                <w:sz w:val="24"/>
              </w:rPr>
              <w:t>1998-2013年)</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-0.948</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0.000</w:t>
            </w:r>
          </w:p>
        </w:tc>
        <w:tc>
          <w:tcPr>
            <w:tcW w:w="1994"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16.325</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X4：離婚率(1998-2013年)</w:t>
            </w: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X5：GNI(平均每人國民所得毛額，以美元為單位)</w:t>
            </w:r>
            <w:r w:rsidR="003C1792" w:rsidRPr="00D20F89">
              <w:rPr>
                <w:sz w:val="24"/>
              </w:rPr>
              <w:t>(</w:t>
            </w:r>
            <w:r w:rsidRPr="00D20F89">
              <w:rPr>
                <w:sz w:val="24"/>
              </w:rPr>
              <w:t>1992-2016年)</w:t>
            </w: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X6：低收入戶之家庭及就學生活補助金額(1998-2013年)</w:t>
            </w:r>
            <w:r w:rsidRPr="00D20F89">
              <w:rPr>
                <w:rStyle w:val="af7"/>
                <w:rFonts w:eastAsia="新細明體"/>
                <w:sz w:val="20"/>
              </w:rPr>
              <w:footnoteReference w:id="122"/>
            </w: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X7：緩刑比率(1998-2013年)</w:t>
            </w: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X8：無期徒刑之人數(1998-2013年)</w:t>
            </w: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X9：被執行死刑之人數(1992-2016年)</w:t>
            </w: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X10：當年度之全般刑案破獲率(1992-2016年)</w:t>
            </w: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c>
          <w:tcPr>
            <w:tcW w:w="1994"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7175B7">
        <w:tc>
          <w:tcPr>
            <w:tcW w:w="9918" w:type="dxa"/>
            <w:gridSpan w:val="4"/>
            <w:shd w:val="clear" w:color="auto" w:fill="auto"/>
          </w:tcPr>
          <w:p w:rsidR="0049577B" w:rsidRPr="00D20F89" w:rsidRDefault="0049577B" w:rsidP="00D20F89">
            <w:pPr>
              <w:spacing w:line="240" w:lineRule="auto"/>
              <w:ind w:leftChars="0" w:left="0" w:rightChars="0" w:right="0"/>
              <w:rPr>
                <w:sz w:val="24"/>
              </w:rPr>
            </w:pPr>
            <w:r w:rsidRPr="00D20F89">
              <w:rPr>
                <w:sz w:val="24"/>
              </w:rPr>
              <w:t>多元迴歸分析模型整體之R平方解釋量：0.892</w:t>
            </w:r>
          </w:p>
        </w:tc>
      </w:tr>
    </w:tbl>
    <w:p w:rsidR="0049577B" w:rsidRPr="00B40DC1" w:rsidRDefault="00817A92" w:rsidP="00D20F8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D20F89" w:rsidRDefault="00D20F89" w:rsidP="00D20F89">
      <w:pPr>
        <w:spacing w:line="240" w:lineRule="auto"/>
        <w:ind w:leftChars="0" w:left="0" w:rightChars="0" w:right="0"/>
      </w:pPr>
    </w:p>
    <w:p w:rsidR="0049577B" w:rsidRPr="00B40DC1" w:rsidRDefault="00817A92" w:rsidP="00D20F89">
      <w:pPr>
        <w:spacing w:line="240" w:lineRule="auto"/>
        <w:ind w:leftChars="0" w:left="0" w:rightChars="0" w:right="0"/>
      </w:pPr>
      <w:r>
        <w:t xml:space="preserve">　　</w:t>
      </w:r>
      <w:r w:rsidR="0049577B" w:rsidRPr="00B40DC1">
        <w:t>由下表---影響下下年度重傷害及故意殺人犯罪(1994年至2014年)相關因子(原因變項)之多元迴歸分析統計數據結果一覽表(本表係使用強迫進入法之迴歸分析方式)之統計資料可得知，依變項為下下年度重傷害及故意殺人犯罪，每提升X1：失業率(1992-2016年</w:t>
      </w:r>
      <w:r w:rsidR="00587200">
        <w:t>)</w:t>
      </w:r>
      <w:r w:rsidR="0049577B" w:rsidRPr="00B40DC1">
        <w:t>1個單位之標準差(1個標準單位)，則可減少0.440個單位之標準差(標準化迴歸係數值，Beta=-0.440)之下下年度重傷害及故意殺人犯罪。有可能之成因，係失業者可請領失業補助金，「暫時地」解決其經濟困境，促使失業者未從事犯罪。</w:t>
      </w:r>
    </w:p>
    <w:p w:rsidR="0049577B" w:rsidRPr="00B40DC1" w:rsidRDefault="00817A92" w:rsidP="00D20F89">
      <w:pPr>
        <w:spacing w:line="240" w:lineRule="auto"/>
        <w:ind w:leftChars="0" w:left="0" w:rightChars="0" w:right="0"/>
      </w:pPr>
      <w:r>
        <w:t xml:space="preserve">　　</w:t>
      </w:r>
      <w:r w:rsidR="0049577B" w:rsidRPr="00B40DC1">
        <w:t>每提升X5：GNI(平均每人國民所得毛額，以美元為單位)</w:t>
      </w:r>
      <w:r w:rsidR="003C1792">
        <w:t>(</w:t>
      </w:r>
      <w:r w:rsidR="0049577B" w:rsidRPr="00B40DC1">
        <w:t>1992-2016年</w:t>
      </w:r>
      <w:r w:rsidR="00587200">
        <w:t>)</w:t>
      </w:r>
      <w:r w:rsidR="0049577B" w:rsidRPr="00B40DC1">
        <w:t>1個單位之標準差(1個標準單位)，則可減少0.672個單位之標準差(標準化迴歸係數值，Beta=-0.672)之下下年度重傷害及故意殺人犯罪。</w:t>
      </w:r>
    </w:p>
    <w:p w:rsidR="0049577B" w:rsidRPr="00B40DC1" w:rsidRDefault="00817A92" w:rsidP="00D20F89">
      <w:pPr>
        <w:spacing w:line="240" w:lineRule="auto"/>
        <w:ind w:leftChars="0" w:left="0" w:rightChars="0" w:right="0"/>
      </w:pPr>
      <w:r>
        <w:t xml:space="preserve">　　</w:t>
      </w:r>
      <w:r w:rsidR="0049577B" w:rsidRPr="00B40DC1">
        <w:t>另外，就本書特別加以關注之死刑是否能有效地嚇阻(減少</w:t>
      </w:r>
      <w:r w:rsidR="00587200">
        <w:t>)</w:t>
      </w:r>
      <w:r w:rsidR="0049577B" w:rsidRPr="00B40DC1">
        <w:t>下下年度重傷害及故意殺人犯罪之發生而論，本書作者嘗試用強制方式，將死刑投入多元迴歸分析之中，效果不佳，反而無法得出適切之多元迴歸分析模型，如未將死刑投入多元迴歸分析之中，反而能得出適切之多元迴歸分析。根據本表之資料可得知，執行死刑無法有效地嚇阻(減少)下下年度重傷害及故意殺人犯罪。復次，無期徒刑亦無法有效地嚇阻(減少)下下年度重傷害及故意殺人犯罪。</w:t>
      </w:r>
    </w:p>
    <w:p w:rsidR="0049577B" w:rsidRPr="00B40DC1" w:rsidRDefault="00151AD5" w:rsidP="00151AD5">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表18、影響下下年度重傷害及故意殺人犯罪(1994年至2014年)相關因子(原因變項)之多元迴歸分析統計數據結果一覽表(本表係使用強迫進入法之迴歸分析方式)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151AD5">
        <w:trPr>
          <w:tblHeader/>
        </w:trPr>
        <w:tc>
          <w:tcPr>
            <w:tcW w:w="3936" w:type="dxa"/>
            <w:shd w:val="clear" w:color="auto" w:fill="FAF0FA"/>
            <w:vAlign w:val="center"/>
          </w:tcPr>
          <w:p w:rsidR="00151AD5" w:rsidRDefault="0049577B" w:rsidP="00151AD5">
            <w:pPr>
              <w:spacing w:line="240" w:lineRule="auto"/>
              <w:ind w:leftChars="0" w:left="0" w:rightChars="0" w:right="0"/>
              <w:jc w:val="center"/>
              <w:rPr>
                <w:sz w:val="24"/>
              </w:rPr>
            </w:pPr>
            <w:r w:rsidRPr="00D20F89">
              <w:rPr>
                <w:sz w:val="24"/>
              </w:rPr>
              <w:t>多元迴歸分析統計數據</w:t>
            </w:r>
          </w:p>
          <w:p w:rsidR="0049577B" w:rsidRPr="00D20F89" w:rsidRDefault="0049577B" w:rsidP="00151AD5">
            <w:pPr>
              <w:spacing w:line="240" w:lineRule="auto"/>
              <w:ind w:leftChars="0" w:left="0" w:rightChars="0" w:right="0"/>
              <w:jc w:val="center"/>
              <w:rPr>
                <w:sz w:val="24"/>
              </w:rPr>
            </w:pPr>
            <w:r w:rsidRPr="00D20F89">
              <w:rPr>
                <w:sz w:val="24"/>
              </w:rPr>
              <w:t>自變項(解釋因子，independent variable)之名稱</w:t>
            </w:r>
          </w:p>
        </w:tc>
        <w:tc>
          <w:tcPr>
            <w:tcW w:w="1946" w:type="dxa"/>
            <w:shd w:val="clear" w:color="auto" w:fill="FAF0FA"/>
            <w:vAlign w:val="center"/>
          </w:tcPr>
          <w:p w:rsidR="0049577B" w:rsidRPr="00D20F89" w:rsidRDefault="0049577B" w:rsidP="00151AD5">
            <w:pPr>
              <w:spacing w:line="240" w:lineRule="auto"/>
              <w:ind w:leftChars="0" w:left="0" w:rightChars="0" w:right="0"/>
              <w:jc w:val="center"/>
              <w:rPr>
                <w:sz w:val="24"/>
              </w:rPr>
            </w:pPr>
            <w:r w:rsidRPr="00D20F89">
              <w:rPr>
                <w:sz w:val="24"/>
              </w:rPr>
              <w:t>標準化迴歸係數值(Beta)</w:t>
            </w:r>
          </w:p>
        </w:tc>
        <w:tc>
          <w:tcPr>
            <w:tcW w:w="1947" w:type="dxa"/>
            <w:shd w:val="clear" w:color="auto" w:fill="FAF0FA"/>
            <w:vAlign w:val="center"/>
          </w:tcPr>
          <w:p w:rsidR="0049577B" w:rsidRPr="00D20F89" w:rsidRDefault="0049577B" w:rsidP="00151AD5">
            <w:pPr>
              <w:spacing w:line="240" w:lineRule="auto"/>
              <w:ind w:leftChars="0" w:left="0" w:rightChars="0" w:right="0"/>
              <w:jc w:val="center"/>
              <w:rPr>
                <w:sz w:val="24"/>
              </w:rPr>
            </w:pPr>
            <w:r w:rsidRPr="00D20F89">
              <w:rPr>
                <w:sz w:val="24"/>
              </w:rPr>
              <w:t>標準化迴歸係數值(Beta)之顯著度(水準)</w:t>
            </w:r>
          </w:p>
        </w:tc>
        <w:tc>
          <w:tcPr>
            <w:tcW w:w="1947" w:type="dxa"/>
            <w:shd w:val="clear" w:color="auto" w:fill="FAF0FA"/>
            <w:vAlign w:val="center"/>
          </w:tcPr>
          <w:p w:rsidR="0049577B" w:rsidRPr="00D20F89" w:rsidRDefault="0049577B" w:rsidP="00151AD5">
            <w:pPr>
              <w:spacing w:line="240" w:lineRule="auto"/>
              <w:ind w:leftChars="0" w:left="0" w:rightChars="0" w:right="0"/>
              <w:jc w:val="center"/>
              <w:rPr>
                <w:sz w:val="24"/>
              </w:rPr>
            </w:pPr>
            <w:r w:rsidRPr="00D20F89">
              <w:rPr>
                <w:sz w:val="24"/>
              </w:rPr>
              <w:t>條件指標(CI)</w:t>
            </w:r>
            <w:r w:rsidR="003C1792" w:rsidRPr="00D20F89">
              <w:rPr>
                <w:sz w:val="24"/>
              </w:rPr>
              <w:t>(</w:t>
            </w:r>
            <w:r w:rsidRPr="00D20F89">
              <w:rPr>
                <w:sz w:val="24"/>
              </w:rPr>
              <w:t>檢視自變項是否有嚴重之共線問題)</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X1：失業率(1992-2016年)</w:t>
            </w:r>
          </w:p>
        </w:tc>
        <w:tc>
          <w:tcPr>
            <w:tcW w:w="1946"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-0.440</w:t>
            </w: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0.000</w:t>
            </w: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7.622</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X2：結婚對數(1998-2013年)</w:t>
            </w:r>
          </w:p>
        </w:tc>
        <w:tc>
          <w:tcPr>
            <w:tcW w:w="1946"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X3： 35歲以上人口之中，男性未婚之比例</w:t>
            </w:r>
            <w:r w:rsidR="003C1792" w:rsidRPr="00D20F89">
              <w:rPr>
                <w:sz w:val="24"/>
              </w:rPr>
              <w:t>(</w:t>
            </w:r>
            <w:r w:rsidRPr="00D20F89">
              <w:rPr>
                <w:sz w:val="24"/>
              </w:rPr>
              <w:t>1998-2013年)</w:t>
            </w:r>
          </w:p>
        </w:tc>
        <w:tc>
          <w:tcPr>
            <w:tcW w:w="1946"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X4：離婚率(1998-2013年)</w:t>
            </w:r>
          </w:p>
        </w:tc>
        <w:tc>
          <w:tcPr>
            <w:tcW w:w="1946"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X5：GNI(平均每人國民所得毛額，以美元為單位)</w:t>
            </w:r>
            <w:r w:rsidR="003C1792" w:rsidRPr="00D20F89">
              <w:rPr>
                <w:sz w:val="24"/>
              </w:rPr>
              <w:t>(</w:t>
            </w:r>
            <w:r w:rsidRPr="00D20F89">
              <w:rPr>
                <w:sz w:val="24"/>
              </w:rPr>
              <w:t>1992-2016年)</w:t>
            </w:r>
          </w:p>
        </w:tc>
        <w:tc>
          <w:tcPr>
            <w:tcW w:w="1946"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-0.672</w:t>
            </w: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0.000</w:t>
            </w: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r w:rsidRPr="00D20F89">
              <w:rPr>
                <w:sz w:val="24"/>
              </w:rPr>
              <w:t>11.346</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X6：低收入戶之家庭及就學生活補助金額(1998-2013年)</w:t>
            </w:r>
            <w:r w:rsidRPr="00A14BAA">
              <w:rPr>
                <w:rStyle w:val="af7"/>
                <w:rFonts w:eastAsia="新細明體"/>
                <w:sz w:val="20"/>
              </w:rPr>
              <w:footnoteReference w:id="123"/>
            </w:r>
          </w:p>
        </w:tc>
        <w:tc>
          <w:tcPr>
            <w:tcW w:w="1946"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p>
        </w:tc>
        <w:tc>
          <w:tcPr>
            <w:tcW w:w="1947" w:type="dxa"/>
            <w:shd w:val="clear" w:color="auto" w:fill="auto"/>
            <w:vAlign w:val="center"/>
          </w:tcPr>
          <w:p w:rsidR="0049577B" w:rsidRPr="00D20F89" w:rsidRDefault="0049577B" w:rsidP="00D20F89">
            <w:pPr>
              <w:spacing w:line="240" w:lineRule="auto"/>
              <w:ind w:leftChars="0" w:left="0" w:rightChars="0" w:right="0"/>
              <w:jc w:val="center"/>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X7：緩刑比率(1998-2013年)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X8：無期徒刑之人數(1998-2013年)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X9：被執行死刑之人數(1992-2016年)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X10：當年度之全般刑案破獲率(1992-2016年)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7175B7">
        <w:tc>
          <w:tcPr>
            <w:tcW w:w="9776" w:type="dxa"/>
            <w:gridSpan w:val="4"/>
            <w:shd w:val="clear" w:color="auto" w:fill="auto"/>
          </w:tcPr>
          <w:p w:rsidR="0049577B" w:rsidRPr="00D20F89" w:rsidRDefault="0049577B" w:rsidP="00D20F89">
            <w:pPr>
              <w:spacing w:line="240" w:lineRule="auto"/>
              <w:ind w:leftChars="0" w:left="0" w:rightChars="0" w:right="0"/>
              <w:rPr>
                <w:sz w:val="24"/>
              </w:rPr>
            </w:pPr>
            <w:r w:rsidRPr="00D20F89">
              <w:rPr>
                <w:sz w:val="24"/>
              </w:rPr>
              <w:t>多元迴歸分析模型整體之R平方解釋量：0.961</w:t>
            </w:r>
          </w:p>
        </w:tc>
      </w:tr>
    </w:tbl>
    <w:p w:rsidR="0049577B" w:rsidRPr="00B40DC1" w:rsidRDefault="00817A92" w:rsidP="00D20F8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D20F89">
      <w:pPr>
        <w:spacing w:line="240" w:lineRule="auto"/>
        <w:ind w:leftChars="0" w:left="0" w:rightChars="0" w:right="0"/>
      </w:pPr>
    </w:p>
    <w:p w:rsidR="0049577B" w:rsidRPr="00B40DC1" w:rsidRDefault="00817A92" w:rsidP="00D20F89">
      <w:pPr>
        <w:spacing w:line="240" w:lineRule="auto"/>
        <w:ind w:leftChars="0" w:left="0" w:rightChars="0" w:right="0"/>
      </w:pPr>
      <w:r>
        <w:t xml:space="preserve">　　</w:t>
      </w:r>
      <w:r w:rsidR="0049577B" w:rsidRPr="00B40DC1">
        <w:t>由下表---影響當年度殺人犯罪被定罪人數(1998年至2013年)相關因子(原因變項)之多元迴歸分析統計數據結果一覽表(本表係使用逐步迴歸分析法之迴歸分析方式)之統計資料可得知，依變項為當年度殺人犯罪被定罪人數，每提升無期徒刑之人數1個單位之標準差(1個標準單位)，則可增加0.761個單位之標準差之當年度殺人犯罪被定罪人數(標準化迴歸係數值，Beta=0.761)。</w:t>
      </w:r>
    </w:p>
    <w:p w:rsidR="0049577B" w:rsidRPr="00B40DC1" w:rsidRDefault="00817A92" w:rsidP="00D20F89">
      <w:pPr>
        <w:spacing w:line="240" w:lineRule="auto"/>
        <w:ind w:leftChars="0" w:left="0" w:rightChars="0" w:right="0"/>
      </w:pPr>
      <w:r>
        <w:t xml:space="preserve">　　</w:t>
      </w:r>
      <w:r w:rsidR="0049577B" w:rsidRPr="00B40DC1">
        <w:t>每提升被執行死刑之人數1個單位之標準差(1個標準單位)，則可增加0.271個單位之標準差(標準化迴歸係數值，Beta=0.271)之當年度殺人犯罪被定罪人數。</w:t>
      </w:r>
    </w:p>
    <w:p w:rsidR="0049577B" w:rsidRPr="00B40DC1" w:rsidRDefault="00E26F8A" w:rsidP="00D20F8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當年度殺人犯罪被定罪人數，執行死刑卻可有效地增加當年度殺人犯罪被定罪人數。復次，無期徒刑可有效地增加當年度殺人犯罪被定罪人數。</w:t>
      </w:r>
    </w:p>
    <w:p w:rsidR="0049577B" w:rsidRPr="00B40DC1" w:rsidRDefault="00151AD5" w:rsidP="00151AD5">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E736D6" w:rsidRDefault="0049577B" w:rsidP="00E736D6">
      <w:pPr>
        <w:pStyle w:val="4"/>
        <w:rPr>
          <w:lang w:eastAsia="zh-TW"/>
        </w:rPr>
      </w:pPr>
      <w:r w:rsidRPr="00E736D6">
        <w:rPr>
          <w:lang w:eastAsia="zh-TW"/>
        </w:rPr>
        <w:t>表19、影響當年度殺人犯罪被定罪人數(1998年至2013年)相關因子(原因變項)之多元迴歸分析統計數據結果一覽表(本表係使用逐步迴歸分析法之迴歸分析方式)</w:t>
      </w:r>
      <w:r w:rsidRPr="00151AD5">
        <w:rPr>
          <w:rStyle w:val="af7"/>
          <w:rFonts w:eastAsia="新細明體" w:cs="Arial Unicode MS"/>
          <w:sz w:val="20"/>
        </w:rPr>
        <w:footnoteReference w:id="124"/>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151AD5">
        <w:trPr>
          <w:tblHeader/>
        </w:trPr>
        <w:tc>
          <w:tcPr>
            <w:tcW w:w="3936" w:type="dxa"/>
            <w:shd w:val="clear" w:color="auto" w:fill="EFFDFF"/>
            <w:vAlign w:val="center"/>
          </w:tcPr>
          <w:p w:rsidR="00151AD5" w:rsidRDefault="0049577B" w:rsidP="00A14BAA">
            <w:pPr>
              <w:spacing w:line="240" w:lineRule="auto"/>
              <w:ind w:leftChars="0" w:left="0" w:rightChars="0" w:right="0"/>
              <w:jc w:val="center"/>
              <w:rPr>
                <w:sz w:val="24"/>
              </w:rPr>
            </w:pPr>
            <w:r w:rsidRPr="00D20F89">
              <w:rPr>
                <w:sz w:val="24"/>
              </w:rPr>
              <w:t>多元迴歸分析統計數據</w:t>
            </w:r>
          </w:p>
          <w:p w:rsidR="0049577B" w:rsidRPr="00D20F89" w:rsidRDefault="0049577B" w:rsidP="00A14BAA">
            <w:pPr>
              <w:spacing w:line="240" w:lineRule="auto"/>
              <w:ind w:leftChars="0" w:left="0" w:rightChars="0" w:right="0"/>
              <w:jc w:val="center"/>
              <w:rPr>
                <w:sz w:val="24"/>
              </w:rPr>
            </w:pPr>
            <w:r w:rsidRPr="00D20F89">
              <w:rPr>
                <w:sz w:val="24"/>
              </w:rPr>
              <w:t>自變項(解釋因子，independent variable)之名稱</w:t>
            </w:r>
          </w:p>
        </w:tc>
        <w:tc>
          <w:tcPr>
            <w:tcW w:w="1946" w:type="dxa"/>
            <w:shd w:val="clear" w:color="auto" w:fill="EFFDFF"/>
            <w:vAlign w:val="center"/>
          </w:tcPr>
          <w:p w:rsidR="0049577B" w:rsidRPr="00D20F89" w:rsidRDefault="0049577B" w:rsidP="00A14BAA">
            <w:pPr>
              <w:spacing w:line="240" w:lineRule="auto"/>
              <w:ind w:leftChars="0" w:left="0" w:rightChars="0" w:right="0"/>
              <w:jc w:val="center"/>
              <w:rPr>
                <w:sz w:val="24"/>
              </w:rPr>
            </w:pPr>
            <w:r w:rsidRPr="00D20F89">
              <w:rPr>
                <w:sz w:val="24"/>
              </w:rPr>
              <w:t>標準化迴歸係數值(Beta)</w:t>
            </w:r>
          </w:p>
        </w:tc>
        <w:tc>
          <w:tcPr>
            <w:tcW w:w="1947" w:type="dxa"/>
            <w:shd w:val="clear" w:color="auto" w:fill="EFFDFF"/>
            <w:vAlign w:val="center"/>
          </w:tcPr>
          <w:p w:rsidR="0049577B" w:rsidRPr="00D20F89" w:rsidRDefault="0049577B" w:rsidP="00A14BAA">
            <w:pPr>
              <w:spacing w:line="240" w:lineRule="auto"/>
              <w:ind w:leftChars="0" w:left="0" w:rightChars="0" w:right="0"/>
              <w:jc w:val="center"/>
              <w:rPr>
                <w:sz w:val="24"/>
              </w:rPr>
            </w:pPr>
            <w:r w:rsidRPr="00D20F89">
              <w:rPr>
                <w:sz w:val="24"/>
              </w:rPr>
              <w:t>標準化迴歸係數值(Beta)之顯著度(水準)</w:t>
            </w:r>
          </w:p>
        </w:tc>
        <w:tc>
          <w:tcPr>
            <w:tcW w:w="1947" w:type="dxa"/>
            <w:shd w:val="clear" w:color="auto" w:fill="EFFDFF"/>
            <w:vAlign w:val="center"/>
          </w:tcPr>
          <w:p w:rsidR="0049577B" w:rsidRPr="00D20F89" w:rsidRDefault="0049577B" w:rsidP="00A14BAA">
            <w:pPr>
              <w:spacing w:line="240" w:lineRule="auto"/>
              <w:ind w:leftChars="0" w:left="0" w:rightChars="0" w:right="0"/>
              <w:jc w:val="center"/>
              <w:rPr>
                <w:sz w:val="24"/>
              </w:rPr>
            </w:pPr>
            <w:r w:rsidRPr="00D20F89">
              <w:rPr>
                <w:sz w:val="24"/>
              </w:rPr>
              <w:t>條件指標(CI)</w:t>
            </w:r>
            <w:r w:rsidR="003C1792" w:rsidRPr="00D20F89">
              <w:rPr>
                <w:sz w:val="24"/>
              </w:rPr>
              <w:t>(</w:t>
            </w:r>
            <w:r w:rsidRPr="00D20F89">
              <w:rPr>
                <w:sz w:val="24"/>
              </w:rPr>
              <w:t>檢視自變項是否有嚴重之共線問題)</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X1：失業率(1992-2016年)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X2：結婚對數(1998-2013年)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X3： 35歲以上人口之中，男性未婚之比例</w:t>
            </w:r>
            <w:r w:rsidR="003C1792" w:rsidRPr="00D20F89">
              <w:rPr>
                <w:sz w:val="24"/>
              </w:rPr>
              <w:t>(</w:t>
            </w:r>
            <w:r w:rsidRPr="00D20F89">
              <w:rPr>
                <w:sz w:val="24"/>
              </w:rPr>
              <w:t>1998-2013年)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X4：離婚率(1998-2013年)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X5：GNI(平均每人國民所得毛額，以美元為單位)</w:t>
            </w:r>
            <w:r w:rsidR="003C1792" w:rsidRPr="00D20F89">
              <w:rPr>
                <w:sz w:val="24"/>
              </w:rPr>
              <w:t>(</w:t>
            </w:r>
            <w:r w:rsidRPr="00D20F89">
              <w:rPr>
                <w:sz w:val="24"/>
              </w:rPr>
              <w:t>1992-2016年)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X6：低收入戶之家庭及就學生活補助金額(1998-2013年)</w:t>
            </w:r>
            <w:r w:rsidRPr="00A14BAA">
              <w:rPr>
                <w:rStyle w:val="af7"/>
                <w:rFonts w:eastAsia="新細明體"/>
                <w:sz w:val="20"/>
              </w:rPr>
              <w:footnoteReference w:id="125"/>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X7：緩刑比率(1998-2013年)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X8：無期徒刑之人數(1998-2013年)</w:t>
            </w:r>
          </w:p>
        </w:tc>
        <w:tc>
          <w:tcPr>
            <w:tcW w:w="1946" w:type="dxa"/>
            <w:shd w:val="clear" w:color="auto" w:fill="auto"/>
          </w:tcPr>
          <w:p w:rsidR="0049577B" w:rsidRPr="00D20F89" w:rsidRDefault="0049577B" w:rsidP="00D20F89">
            <w:pPr>
              <w:spacing w:line="240" w:lineRule="auto"/>
              <w:ind w:leftChars="0" w:left="0" w:rightChars="0" w:right="0"/>
              <w:rPr>
                <w:sz w:val="24"/>
              </w:rPr>
            </w:pPr>
            <w:r w:rsidRPr="00D20F89">
              <w:rPr>
                <w:sz w:val="24"/>
              </w:rPr>
              <w:t>0.761</w:t>
            </w:r>
          </w:p>
        </w:tc>
        <w:tc>
          <w:tcPr>
            <w:tcW w:w="1947" w:type="dxa"/>
            <w:shd w:val="clear" w:color="auto" w:fill="auto"/>
          </w:tcPr>
          <w:p w:rsidR="0049577B" w:rsidRPr="00D20F89" w:rsidRDefault="0049577B" w:rsidP="00D20F89">
            <w:pPr>
              <w:spacing w:line="240" w:lineRule="auto"/>
              <w:ind w:leftChars="0" w:left="0" w:rightChars="0" w:right="0"/>
              <w:rPr>
                <w:sz w:val="24"/>
              </w:rPr>
            </w:pPr>
            <w:r w:rsidRPr="00D20F89">
              <w:rPr>
                <w:sz w:val="24"/>
              </w:rPr>
              <w:t>0.000</w:t>
            </w:r>
          </w:p>
        </w:tc>
        <w:tc>
          <w:tcPr>
            <w:tcW w:w="1947" w:type="dxa"/>
            <w:shd w:val="clear" w:color="auto" w:fill="auto"/>
          </w:tcPr>
          <w:p w:rsidR="0049577B" w:rsidRPr="00D20F89" w:rsidRDefault="0049577B" w:rsidP="00D20F89">
            <w:pPr>
              <w:spacing w:line="240" w:lineRule="auto"/>
              <w:ind w:leftChars="0" w:left="0" w:rightChars="0" w:right="0"/>
              <w:rPr>
                <w:sz w:val="24"/>
              </w:rPr>
            </w:pPr>
            <w:r w:rsidRPr="00D20F89">
              <w:rPr>
                <w:sz w:val="24"/>
              </w:rPr>
              <w:t>3.026</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X9：被執行死刑之人數(1992-2016年)</w:t>
            </w:r>
          </w:p>
        </w:tc>
        <w:tc>
          <w:tcPr>
            <w:tcW w:w="1946" w:type="dxa"/>
            <w:shd w:val="clear" w:color="auto" w:fill="auto"/>
          </w:tcPr>
          <w:p w:rsidR="0049577B" w:rsidRPr="00D20F89" w:rsidRDefault="0049577B" w:rsidP="00D20F89">
            <w:pPr>
              <w:spacing w:line="240" w:lineRule="auto"/>
              <w:ind w:leftChars="0" w:left="0" w:rightChars="0" w:right="0"/>
              <w:rPr>
                <w:sz w:val="24"/>
              </w:rPr>
            </w:pPr>
            <w:r w:rsidRPr="00D20F89">
              <w:rPr>
                <w:sz w:val="24"/>
              </w:rPr>
              <w:t>0.271</w:t>
            </w:r>
          </w:p>
        </w:tc>
        <w:tc>
          <w:tcPr>
            <w:tcW w:w="1947" w:type="dxa"/>
            <w:shd w:val="clear" w:color="auto" w:fill="auto"/>
          </w:tcPr>
          <w:p w:rsidR="0049577B" w:rsidRPr="00D20F89" w:rsidRDefault="0049577B" w:rsidP="00D20F89">
            <w:pPr>
              <w:spacing w:line="240" w:lineRule="auto"/>
              <w:ind w:leftChars="0" w:left="0" w:rightChars="0" w:right="0"/>
              <w:rPr>
                <w:sz w:val="24"/>
              </w:rPr>
            </w:pPr>
            <w:r w:rsidRPr="00D20F89">
              <w:rPr>
                <w:sz w:val="24"/>
              </w:rPr>
              <w:t>0.017</w:t>
            </w:r>
          </w:p>
        </w:tc>
        <w:tc>
          <w:tcPr>
            <w:tcW w:w="1947" w:type="dxa"/>
            <w:shd w:val="clear" w:color="auto" w:fill="auto"/>
          </w:tcPr>
          <w:p w:rsidR="0049577B" w:rsidRPr="00D20F89" w:rsidRDefault="0049577B" w:rsidP="00D20F89">
            <w:pPr>
              <w:spacing w:line="240" w:lineRule="auto"/>
              <w:ind w:leftChars="0" w:left="0" w:rightChars="0" w:right="0"/>
              <w:rPr>
                <w:sz w:val="24"/>
              </w:rPr>
            </w:pPr>
            <w:r w:rsidRPr="00D20F89">
              <w:rPr>
                <w:sz w:val="24"/>
              </w:rPr>
              <w:t>7.576</w:t>
            </w:r>
          </w:p>
        </w:tc>
      </w:tr>
      <w:tr w:rsidR="0049577B" w:rsidRPr="00B40DC1" w:rsidTr="00151AD5">
        <w:tc>
          <w:tcPr>
            <w:tcW w:w="3936" w:type="dxa"/>
            <w:shd w:val="clear" w:color="auto" w:fill="auto"/>
          </w:tcPr>
          <w:p w:rsidR="0049577B" w:rsidRPr="00D20F89" w:rsidRDefault="0049577B" w:rsidP="00D20F89">
            <w:pPr>
              <w:spacing w:line="240" w:lineRule="auto"/>
              <w:ind w:leftChars="0" w:left="0" w:rightChars="0" w:right="0"/>
              <w:rPr>
                <w:sz w:val="24"/>
              </w:rPr>
            </w:pPr>
            <w:r w:rsidRPr="00D20F89">
              <w:rPr>
                <w:sz w:val="24"/>
              </w:rPr>
              <w:t>X10：當年度之全般刑案破獲率(1992-2016年)</w:t>
            </w:r>
          </w:p>
        </w:tc>
        <w:tc>
          <w:tcPr>
            <w:tcW w:w="1946"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c>
          <w:tcPr>
            <w:tcW w:w="1947" w:type="dxa"/>
            <w:shd w:val="clear" w:color="auto" w:fill="auto"/>
          </w:tcPr>
          <w:p w:rsidR="0049577B" w:rsidRPr="00D20F89" w:rsidRDefault="0049577B" w:rsidP="00D20F89">
            <w:pPr>
              <w:spacing w:line="240" w:lineRule="auto"/>
              <w:ind w:leftChars="0" w:left="0" w:rightChars="0" w:right="0"/>
              <w:rPr>
                <w:sz w:val="24"/>
              </w:rPr>
            </w:pPr>
          </w:p>
        </w:tc>
      </w:tr>
      <w:tr w:rsidR="0049577B" w:rsidRPr="00B40DC1" w:rsidTr="007175B7">
        <w:tc>
          <w:tcPr>
            <w:tcW w:w="9776" w:type="dxa"/>
            <w:gridSpan w:val="4"/>
            <w:shd w:val="clear" w:color="auto" w:fill="auto"/>
          </w:tcPr>
          <w:p w:rsidR="0049577B" w:rsidRPr="00D20F89" w:rsidRDefault="0049577B" w:rsidP="00D20F89">
            <w:pPr>
              <w:spacing w:line="240" w:lineRule="auto"/>
              <w:ind w:leftChars="0" w:left="0" w:rightChars="0" w:right="0"/>
              <w:rPr>
                <w:sz w:val="24"/>
              </w:rPr>
            </w:pPr>
            <w:r w:rsidRPr="00D20F89">
              <w:rPr>
                <w:sz w:val="24"/>
              </w:rPr>
              <w:t>多元迴歸分析模型整體之R平方解釋量：0.920</w:t>
            </w:r>
          </w:p>
        </w:tc>
      </w:tr>
    </w:tbl>
    <w:p w:rsidR="0049577B" w:rsidRPr="00B40DC1" w:rsidRDefault="00817A92" w:rsidP="00E736D6">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E736D6">
      <w:pPr>
        <w:spacing w:line="240" w:lineRule="auto"/>
        <w:ind w:leftChars="0" w:left="0" w:rightChars="0" w:right="0"/>
      </w:pPr>
    </w:p>
    <w:p w:rsidR="0049577B" w:rsidRPr="00B40DC1" w:rsidRDefault="00817A92" w:rsidP="00E736D6">
      <w:pPr>
        <w:spacing w:line="240" w:lineRule="auto"/>
        <w:ind w:leftChars="0" w:left="0" w:rightChars="0" w:right="0"/>
      </w:pPr>
      <w:r>
        <w:t xml:space="preserve">　　</w:t>
      </w:r>
      <w:r w:rsidR="0049577B" w:rsidRPr="00B40DC1">
        <w:t>由下表---影響當年度殺人犯罪被定罪人數(1998年至2013年)相關因子(原因變項)之多元迴歸分析統計數據結果一覽表(本表係使用強迫進入法之迴歸分析方式)之統計資料可得知，依變項為當年度殺人犯罪被定罪人數，每提升無期徒刑之人數1個單位之標準差(1個標準單位)，則可增加0.763個單位之標準差(標準化迴歸係數值，Beta=0.763)之當年度殺人犯罪被定罪人數。每提升被執行死刑之人數1個單位之標準差(1個標準單位)，則可增加0.276個單位之標準差(標準化迴歸係數值，Beta=0.276)之當年度殺人犯罪被定罪人數。</w:t>
      </w:r>
    </w:p>
    <w:p w:rsidR="0049577B" w:rsidRDefault="007175B7" w:rsidP="00E736D6">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當年度殺人犯罪被定罪人數，執行死刑卻可有效地增加當年度殺人犯罪被定罪人數。復次，無期徒刑可有效地增加當年度殺人犯罪被定罪人數。</w:t>
      </w:r>
    </w:p>
    <w:p w:rsidR="0049577B" w:rsidRPr="00B40DC1" w:rsidRDefault="002031B1" w:rsidP="002031B1">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7175B7" w:rsidRDefault="0049577B" w:rsidP="00E736D6">
      <w:pPr>
        <w:pStyle w:val="4"/>
        <w:rPr>
          <w:lang w:eastAsia="zh-TW"/>
        </w:rPr>
      </w:pPr>
      <w:r w:rsidRPr="007175B7">
        <w:rPr>
          <w:lang w:eastAsia="zh-TW"/>
        </w:rPr>
        <w:t>表20、影響當年度殺人犯罪被定罪人數(1998年至2013年)相關因子(原因變項)之多元迴歸分析統計數據結果一覽表(本表係使用強迫進入法之迴歸分析方式)</w:t>
      </w:r>
      <w:r w:rsidRPr="00E736D6">
        <w:rPr>
          <w:rStyle w:val="af7"/>
          <w:rFonts w:eastAsia="新細明體"/>
          <w:b w:val="0"/>
          <w:sz w:val="20"/>
        </w:rPr>
        <w:footnoteReference w:id="126"/>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FAF0FA"/>
            <w:vAlign w:val="center"/>
          </w:tcPr>
          <w:p w:rsidR="0049577B" w:rsidRPr="00E736D6" w:rsidRDefault="0049577B" w:rsidP="00E736D6">
            <w:pPr>
              <w:spacing w:line="240" w:lineRule="auto"/>
              <w:ind w:leftChars="0" w:left="0" w:rightChars="0" w:right="0"/>
              <w:jc w:val="center"/>
              <w:rPr>
                <w:sz w:val="24"/>
              </w:rPr>
            </w:pPr>
            <w:r w:rsidRPr="00E736D6">
              <w:rPr>
                <w:sz w:val="24"/>
              </w:rPr>
              <w:t>多元迴歸分析統計數據</w:t>
            </w:r>
          </w:p>
          <w:p w:rsidR="0049577B" w:rsidRPr="00E736D6" w:rsidRDefault="0049577B" w:rsidP="00E736D6">
            <w:pPr>
              <w:spacing w:line="240" w:lineRule="auto"/>
              <w:ind w:leftChars="0" w:left="0" w:rightChars="0" w:right="0"/>
              <w:jc w:val="center"/>
              <w:rPr>
                <w:sz w:val="24"/>
              </w:rPr>
            </w:pPr>
            <w:r w:rsidRPr="00E736D6">
              <w:rPr>
                <w:sz w:val="24"/>
              </w:rPr>
              <w:t>自變項(解釋因子，independent variable)之名稱</w:t>
            </w:r>
          </w:p>
        </w:tc>
        <w:tc>
          <w:tcPr>
            <w:tcW w:w="1946" w:type="dxa"/>
            <w:shd w:val="clear" w:color="auto" w:fill="FAF0FA"/>
            <w:vAlign w:val="center"/>
          </w:tcPr>
          <w:p w:rsidR="0049577B" w:rsidRPr="00E736D6" w:rsidRDefault="0049577B" w:rsidP="00E736D6">
            <w:pPr>
              <w:spacing w:line="240" w:lineRule="auto"/>
              <w:ind w:leftChars="0" w:left="0" w:rightChars="0" w:right="0"/>
              <w:jc w:val="center"/>
              <w:rPr>
                <w:sz w:val="24"/>
              </w:rPr>
            </w:pPr>
            <w:r w:rsidRPr="00E736D6">
              <w:rPr>
                <w:sz w:val="24"/>
              </w:rPr>
              <w:t>標準化迴歸係數值(Beta)</w:t>
            </w:r>
          </w:p>
        </w:tc>
        <w:tc>
          <w:tcPr>
            <w:tcW w:w="1947" w:type="dxa"/>
            <w:shd w:val="clear" w:color="auto" w:fill="FAF0FA"/>
            <w:vAlign w:val="center"/>
          </w:tcPr>
          <w:p w:rsidR="0049577B" w:rsidRPr="00E736D6" w:rsidRDefault="0049577B" w:rsidP="00E736D6">
            <w:pPr>
              <w:spacing w:line="240" w:lineRule="auto"/>
              <w:ind w:leftChars="0" w:left="0" w:rightChars="0" w:right="0"/>
              <w:jc w:val="center"/>
              <w:rPr>
                <w:sz w:val="24"/>
              </w:rPr>
            </w:pPr>
            <w:r w:rsidRPr="00E736D6">
              <w:rPr>
                <w:sz w:val="24"/>
              </w:rPr>
              <w:t>標準化迴歸係數值(Beta)之顯著度(水準)</w:t>
            </w:r>
          </w:p>
        </w:tc>
        <w:tc>
          <w:tcPr>
            <w:tcW w:w="1947" w:type="dxa"/>
            <w:shd w:val="clear" w:color="auto" w:fill="FAF0FA"/>
            <w:vAlign w:val="center"/>
          </w:tcPr>
          <w:p w:rsidR="0049577B" w:rsidRPr="00E736D6" w:rsidRDefault="0049577B" w:rsidP="00E736D6">
            <w:pPr>
              <w:spacing w:line="240" w:lineRule="auto"/>
              <w:ind w:leftChars="0" w:left="0" w:rightChars="0" w:right="0"/>
              <w:jc w:val="center"/>
              <w:rPr>
                <w:sz w:val="24"/>
              </w:rPr>
            </w:pPr>
            <w:r w:rsidRPr="00E736D6">
              <w:rPr>
                <w:sz w:val="24"/>
              </w:rPr>
              <w:t>條件指標(CI)</w:t>
            </w:r>
            <w:r w:rsidR="003C1792" w:rsidRPr="00E736D6">
              <w:rPr>
                <w:sz w:val="24"/>
              </w:rPr>
              <w:t>(</w:t>
            </w:r>
            <w:r w:rsidRPr="00E736D6">
              <w:rPr>
                <w:sz w:val="24"/>
              </w:rPr>
              <w:t>檢視自變項是否有嚴重之共線問題)</w:t>
            </w:r>
          </w:p>
        </w:tc>
      </w:tr>
      <w:tr w:rsidR="0049577B" w:rsidRPr="00B40DC1" w:rsidTr="002031B1">
        <w:tc>
          <w:tcPr>
            <w:tcW w:w="3936" w:type="dxa"/>
            <w:shd w:val="clear" w:color="auto" w:fill="auto"/>
          </w:tcPr>
          <w:p w:rsidR="0049577B" w:rsidRPr="00E736D6" w:rsidRDefault="0049577B" w:rsidP="00E736D6">
            <w:pPr>
              <w:spacing w:line="240" w:lineRule="auto"/>
              <w:ind w:leftChars="0" w:left="0" w:rightChars="0" w:right="0"/>
              <w:rPr>
                <w:sz w:val="24"/>
              </w:rPr>
            </w:pPr>
            <w:r w:rsidRPr="00E736D6">
              <w:rPr>
                <w:sz w:val="24"/>
              </w:rPr>
              <w:t>X1：失業率(1992-2016年)</w:t>
            </w:r>
          </w:p>
        </w:tc>
        <w:tc>
          <w:tcPr>
            <w:tcW w:w="1946"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0.092</w:t>
            </w: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0.378</w:t>
            </w: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2.894</w:t>
            </w:r>
          </w:p>
        </w:tc>
      </w:tr>
      <w:tr w:rsidR="0049577B" w:rsidRPr="00B40DC1" w:rsidTr="002031B1">
        <w:tc>
          <w:tcPr>
            <w:tcW w:w="3936" w:type="dxa"/>
            <w:shd w:val="clear" w:color="auto" w:fill="auto"/>
          </w:tcPr>
          <w:p w:rsidR="0049577B" w:rsidRPr="00E736D6" w:rsidRDefault="0049577B" w:rsidP="00E736D6">
            <w:pPr>
              <w:spacing w:line="240" w:lineRule="auto"/>
              <w:ind w:leftChars="0" w:left="0" w:rightChars="0" w:right="0"/>
              <w:rPr>
                <w:sz w:val="24"/>
              </w:rPr>
            </w:pPr>
            <w:r w:rsidRPr="00E736D6">
              <w:rPr>
                <w:sz w:val="24"/>
              </w:rPr>
              <w:t>X2：結婚對數(1998-2013年)</w:t>
            </w:r>
          </w:p>
        </w:tc>
        <w:tc>
          <w:tcPr>
            <w:tcW w:w="1946"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0.125</w:t>
            </w: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0.146</w:t>
            </w: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8.460</w:t>
            </w:r>
          </w:p>
        </w:tc>
      </w:tr>
      <w:tr w:rsidR="0049577B" w:rsidRPr="00B40DC1" w:rsidTr="002031B1">
        <w:tc>
          <w:tcPr>
            <w:tcW w:w="3936" w:type="dxa"/>
            <w:shd w:val="clear" w:color="auto" w:fill="auto"/>
          </w:tcPr>
          <w:p w:rsidR="0049577B" w:rsidRPr="00E736D6" w:rsidRDefault="0049577B" w:rsidP="00E736D6">
            <w:pPr>
              <w:spacing w:line="240" w:lineRule="auto"/>
              <w:ind w:leftChars="0" w:left="0" w:rightChars="0" w:right="0"/>
              <w:rPr>
                <w:sz w:val="24"/>
              </w:rPr>
            </w:pPr>
            <w:r w:rsidRPr="00E736D6">
              <w:rPr>
                <w:sz w:val="24"/>
              </w:rPr>
              <w:t>X3： 35歲以上人口之中，男性未婚之比例</w:t>
            </w:r>
            <w:r w:rsidR="003C1792" w:rsidRPr="00E736D6">
              <w:rPr>
                <w:sz w:val="24"/>
              </w:rPr>
              <w:t>(</w:t>
            </w:r>
            <w:r w:rsidRPr="00E736D6">
              <w:rPr>
                <w:sz w:val="24"/>
              </w:rPr>
              <w:t>1998-2013年)</w:t>
            </w:r>
          </w:p>
        </w:tc>
        <w:tc>
          <w:tcPr>
            <w:tcW w:w="1946"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E736D6" w:rsidRDefault="0049577B" w:rsidP="00E736D6">
            <w:pPr>
              <w:spacing w:line="240" w:lineRule="auto"/>
              <w:ind w:leftChars="0" w:left="0" w:rightChars="0" w:right="0"/>
              <w:rPr>
                <w:sz w:val="24"/>
              </w:rPr>
            </w:pPr>
            <w:r w:rsidRPr="00E736D6">
              <w:rPr>
                <w:sz w:val="24"/>
              </w:rPr>
              <w:t>X4：離婚率(1998-2013年)</w:t>
            </w:r>
          </w:p>
        </w:tc>
        <w:tc>
          <w:tcPr>
            <w:tcW w:w="1946"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E736D6" w:rsidRDefault="0049577B" w:rsidP="00E736D6">
            <w:pPr>
              <w:spacing w:line="240" w:lineRule="auto"/>
              <w:ind w:leftChars="0" w:left="0" w:rightChars="0" w:right="0"/>
              <w:rPr>
                <w:sz w:val="24"/>
              </w:rPr>
            </w:pPr>
            <w:r w:rsidRPr="00E736D6">
              <w:rPr>
                <w:sz w:val="24"/>
              </w:rPr>
              <w:t>X5：GNI(平均每人國民所得毛額，以美元為單位)</w:t>
            </w:r>
            <w:r w:rsidR="003C1792" w:rsidRPr="00E736D6">
              <w:rPr>
                <w:sz w:val="24"/>
              </w:rPr>
              <w:t>(</w:t>
            </w:r>
            <w:r w:rsidRPr="00E736D6">
              <w:rPr>
                <w:sz w:val="24"/>
              </w:rPr>
              <w:t>1992-2016年)</w:t>
            </w:r>
          </w:p>
        </w:tc>
        <w:tc>
          <w:tcPr>
            <w:tcW w:w="1946"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E736D6" w:rsidRDefault="0049577B" w:rsidP="00E736D6">
            <w:pPr>
              <w:spacing w:line="240" w:lineRule="auto"/>
              <w:ind w:leftChars="0" w:left="0" w:rightChars="0" w:right="0"/>
              <w:rPr>
                <w:sz w:val="24"/>
              </w:rPr>
            </w:pPr>
            <w:r w:rsidRPr="00E736D6">
              <w:rPr>
                <w:sz w:val="24"/>
              </w:rPr>
              <w:t>X6：低收入戶之家庭及就學生活補助金額(1998-2013年</w:t>
            </w:r>
            <w:r w:rsidRPr="00A14BAA">
              <w:rPr>
                <w:rFonts w:ascii="Arial Unicode MS" w:eastAsia="新細明體" w:hAnsi="Arial Unicode MS"/>
                <w:color w:val="FF6600"/>
                <w:sz w:val="20"/>
              </w:rPr>
              <w:t>)</w:t>
            </w:r>
            <w:r w:rsidRPr="00A14BAA">
              <w:rPr>
                <w:rStyle w:val="af7"/>
                <w:rFonts w:eastAsia="新細明體"/>
                <w:sz w:val="20"/>
              </w:rPr>
              <w:footnoteReference w:id="127"/>
            </w:r>
          </w:p>
        </w:tc>
        <w:tc>
          <w:tcPr>
            <w:tcW w:w="1946"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E736D6" w:rsidRDefault="0049577B" w:rsidP="00E736D6">
            <w:pPr>
              <w:spacing w:line="240" w:lineRule="auto"/>
              <w:ind w:leftChars="0" w:left="0" w:rightChars="0" w:right="0"/>
              <w:rPr>
                <w:sz w:val="24"/>
              </w:rPr>
            </w:pPr>
            <w:r w:rsidRPr="00E736D6">
              <w:rPr>
                <w:sz w:val="24"/>
              </w:rPr>
              <w:t>X7：緩刑比率(1998-2013年)</w:t>
            </w:r>
          </w:p>
        </w:tc>
        <w:tc>
          <w:tcPr>
            <w:tcW w:w="1946"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E736D6" w:rsidRDefault="0049577B" w:rsidP="00E736D6">
            <w:pPr>
              <w:spacing w:line="240" w:lineRule="auto"/>
              <w:ind w:leftChars="0" w:left="0" w:rightChars="0" w:right="0"/>
              <w:rPr>
                <w:sz w:val="24"/>
              </w:rPr>
            </w:pPr>
            <w:r w:rsidRPr="00E736D6">
              <w:rPr>
                <w:sz w:val="24"/>
              </w:rPr>
              <w:t>X8：無期徒刑之人數(1998-2013年)</w:t>
            </w:r>
          </w:p>
        </w:tc>
        <w:tc>
          <w:tcPr>
            <w:tcW w:w="1946"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0.763</w:t>
            </w: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0.000</w:t>
            </w: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27.364</w:t>
            </w:r>
          </w:p>
        </w:tc>
      </w:tr>
      <w:tr w:rsidR="0049577B" w:rsidRPr="00B40DC1" w:rsidTr="002031B1">
        <w:tc>
          <w:tcPr>
            <w:tcW w:w="3936" w:type="dxa"/>
            <w:shd w:val="clear" w:color="auto" w:fill="auto"/>
          </w:tcPr>
          <w:p w:rsidR="0049577B" w:rsidRPr="00E736D6" w:rsidRDefault="0049577B" w:rsidP="00E736D6">
            <w:pPr>
              <w:spacing w:line="240" w:lineRule="auto"/>
              <w:ind w:leftChars="0" w:left="0" w:rightChars="0" w:right="0"/>
              <w:rPr>
                <w:sz w:val="24"/>
              </w:rPr>
            </w:pPr>
            <w:r w:rsidRPr="00E736D6">
              <w:rPr>
                <w:sz w:val="24"/>
              </w:rPr>
              <w:t>X9：被執行死刑之人數(1992-2016年)</w:t>
            </w:r>
          </w:p>
        </w:tc>
        <w:tc>
          <w:tcPr>
            <w:tcW w:w="1946"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0.276</w:t>
            </w: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0.042</w:t>
            </w: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r w:rsidRPr="00E736D6">
              <w:rPr>
                <w:sz w:val="24"/>
              </w:rPr>
              <w:t>13.617</w:t>
            </w:r>
          </w:p>
        </w:tc>
      </w:tr>
      <w:tr w:rsidR="0049577B" w:rsidRPr="00B40DC1" w:rsidTr="002031B1">
        <w:tc>
          <w:tcPr>
            <w:tcW w:w="3936" w:type="dxa"/>
            <w:shd w:val="clear" w:color="auto" w:fill="auto"/>
          </w:tcPr>
          <w:p w:rsidR="0049577B" w:rsidRPr="00E736D6" w:rsidRDefault="0049577B" w:rsidP="00E736D6">
            <w:pPr>
              <w:spacing w:line="240" w:lineRule="auto"/>
              <w:ind w:leftChars="0" w:left="0" w:rightChars="0" w:right="0"/>
              <w:rPr>
                <w:sz w:val="24"/>
              </w:rPr>
            </w:pPr>
            <w:r w:rsidRPr="00E736D6">
              <w:rPr>
                <w:sz w:val="24"/>
              </w:rPr>
              <w:t>X10：當年度之全般刑案破獲率(1992-2016年)</w:t>
            </w:r>
          </w:p>
        </w:tc>
        <w:tc>
          <w:tcPr>
            <w:tcW w:w="1946"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c>
          <w:tcPr>
            <w:tcW w:w="1947" w:type="dxa"/>
            <w:shd w:val="clear" w:color="auto" w:fill="auto"/>
            <w:vAlign w:val="center"/>
          </w:tcPr>
          <w:p w:rsidR="0049577B" w:rsidRPr="00E736D6" w:rsidRDefault="0049577B" w:rsidP="00E736D6">
            <w:pPr>
              <w:spacing w:line="240" w:lineRule="auto"/>
              <w:ind w:leftChars="0" w:left="0" w:rightChars="0" w:right="0"/>
              <w:jc w:val="center"/>
              <w:rPr>
                <w:sz w:val="24"/>
              </w:rPr>
            </w:pPr>
          </w:p>
        </w:tc>
      </w:tr>
      <w:tr w:rsidR="0049577B" w:rsidRPr="00B40DC1" w:rsidTr="007175B7">
        <w:tc>
          <w:tcPr>
            <w:tcW w:w="9776" w:type="dxa"/>
            <w:gridSpan w:val="4"/>
            <w:shd w:val="clear" w:color="auto" w:fill="auto"/>
          </w:tcPr>
          <w:p w:rsidR="0049577B" w:rsidRPr="00E736D6" w:rsidRDefault="0049577B" w:rsidP="00E736D6">
            <w:pPr>
              <w:spacing w:line="240" w:lineRule="auto"/>
              <w:ind w:leftChars="0" w:left="0" w:rightChars="0" w:right="0"/>
              <w:rPr>
                <w:sz w:val="24"/>
              </w:rPr>
            </w:pPr>
            <w:r w:rsidRPr="00E736D6">
              <w:rPr>
                <w:sz w:val="24"/>
              </w:rPr>
              <w:t>多元迴歸分析模型整體之R平方解釋量：0.928</w:t>
            </w:r>
          </w:p>
        </w:tc>
      </w:tr>
    </w:tbl>
    <w:p w:rsidR="0049577B" w:rsidRDefault="00817A92" w:rsidP="00E736D6">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E736D6" w:rsidRPr="00B40DC1" w:rsidRDefault="00E736D6" w:rsidP="00E736D6">
      <w:pPr>
        <w:spacing w:line="240" w:lineRule="auto"/>
        <w:ind w:leftChars="0" w:left="0" w:rightChars="0" w:right="0"/>
      </w:pPr>
    </w:p>
    <w:p w:rsidR="0049577B" w:rsidRPr="00B40DC1" w:rsidRDefault="00817A92" w:rsidP="00E736D6">
      <w:pPr>
        <w:spacing w:line="240" w:lineRule="auto"/>
        <w:ind w:leftChars="0" w:left="0" w:rightChars="0" w:right="0"/>
      </w:pPr>
      <w:r>
        <w:t xml:space="preserve">　　</w:t>
      </w:r>
      <w:r w:rsidR="0049577B" w:rsidRPr="00B40DC1">
        <w:t>死刑是會促進殺人犯罪，本書將此種理論，命名為「死刑積極促進殺人犯罪理論」。根據本書之研究成果，每提升被執行死刑之人數1個單位之標準差(1個標準單位)，則可增加0.276個單位之標準差(標準化迴歸係數值，Beta=0.276)之當年度殺人犯罪被定罪人數。在此，作者擬再引用許春金教授、吳景芳教授、李湧清教授、曾正一教授、許金標君、蔡田木教授之研究成果，再次驗證「死刑積極促進殺人犯罪理論」。</w:t>
      </w:r>
    </w:p>
    <w:p w:rsidR="0049577B" w:rsidRPr="00B40DC1" w:rsidRDefault="00817A92" w:rsidP="00E736D6">
      <w:pPr>
        <w:spacing w:line="240" w:lineRule="auto"/>
        <w:ind w:leftChars="0" w:left="0" w:rightChars="0" w:right="0"/>
      </w:pPr>
      <w:r>
        <w:t xml:space="preserve">　　</w:t>
      </w:r>
      <w:r w:rsidR="0049577B" w:rsidRPr="00B40DC1">
        <w:t>在下表中，本表格所使用之迴歸係數(B係數)，係為未被加以標準化的迴歸係數，其意義為每單位X值(自變數、自變項、解釋變項、因變項、</w:t>
      </w:r>
      <w:r w:rsidR="0049577B" w:rsidRPr="00B40DC1">
        <w:rPr>
          <w:bCs/>
        </w:rPr>
        <w:t>控制變數)</w:t>
      </w:r>
      <w:r w:rsidR="0049577B" w:rsidRPr="00B40DC1">
        <w:t>的變動時，Y值(依變項、結果變項、應變項、目的變項)隨著變動的原始量。B係數之性質，正負向則代表</w:t>
      </w:r>
      <w:r w:rsidR="0049577B" w:rsidRPr="00B40DC1">
        <w:rPr>
          <w:iCs/>
        </w:rPr>
        <w:t>X</w:t>
      </w:r>
      <w:r w:rsidR="0049577B" w:rsidRPr="00B40DC1">
        <w:t>(自變數、自變項、解釋變項、因變項、</w:t>
      </w:r>
      <w:r w:rsidR="0049577B" w:rsidRPr="00B40DC1">
        <w:rPr>
          <w:bCs/>
        </w:rPr>
        <w:t>控制變數)</w:t>
      </w:r>
      <w:r w:rsidR="0049577B" w:rsidRPr="00B40DC1">
        <w:t>與</w:t>
      </w:r>
      <w:r w:rsidR="0049577B" w:rsidRPr="00B40DC1">
        <w:rPr>
          <w:iCs/>
        </w:rPr>
        <w:t>Y</w:t>
      </w:r>
      <w:r w:rsidR="0049577B" w:rsidRPr="00B40DC1">
        <w:t>變項(依變項、結果變項、應變項、目的變項)的關係方向。通常，未標準化之迴歸係數之正負方向，會與t值之正負方向，兩者呈現一致化之情形。未標準化之迴歸係數為正方向時，t值亦為正方向。未標準化之迴歸係數為負方向時，t值亦為負方向。</w:t>
      </w:r>
    </w:p>
    <w:p w:rsidR="0049577B" w:rsidRPr="00B40DC1" w:rsidRDefault="00817A92" w:rsidP="00E736D6">
      <w:pPr>
        <w:spacing w:line="240" w:lineRule="auto"/>
        <w:ind w:leftChars="0" w:left="0" w:rightChars="0" w:right="0"/>
      </w:pPr>
      <w:r>
        <w:t xml:space="preserve">　　</w:t>
      </w:r>
      <w:r w:rsidR="0049577B" w:rsidRPr="00B40DC1">
        <w:t>根據下表「各種重要犯罪嚇阻指標及社會指標與犯罪率之同時效應複迴歸分析表（絶對數模式</w:t>
      </w:r>
      <w:r w:rsidR="0049577B" w:rsidRPr="007175B7">
        <w:rPr>
          <w:rStyle w:val="af7"/>
          <w:rFonts w:eastAsia="新細明體"/>
          <w:sz w:val="20"/>
        </w:rPr>
        <w:footnoteReference w:id="128"/>
      </w:r>
      <w:r w:rsidR="0049577B" w:rsidRPr="007175B7">
        <w:rPr>
          <w:rFonts w:ascii="Arial Unicode MS" w:eastAsia="新細明體" w:hAnsi="Arial Unicode MS"/>
          <w:color w:val="FF6600"/>
          <w:sz w:val="20"/>
        </w:rPr>
        <w:t>）</w:t>
      </w:r>
      <w:r w:rsidR="0049577B" w:rsidRPr="00B40DC1">
        <w:t>」之數據，就執行死刑之同一年度內的同時效應而論，死刑對於同一年度內之總犯罪率，並沒有壓制效果，死刑無法抑制總體犯罪率。死刑對於同一年度內之「強姦犯罪率」、「暴力性財產犯罪率」與「擄人勒贖犯罪率」而言，均是沒有統計上之抑制與壓制力道。換言之，國家執行死刑，並不會「抑制」或「降低」同一年度內之「總體犯罪率」、「強姦犯罪率」、「暴力性財產犯罪率」與「擄人勒贖犯罪率」。在殺人犯罪率方面，死刑對於同一年度內之殺人犯罪率，不僅沒有壓制效果，更甚者，會助長殺人案件之發生，且達統計上之顯著水準（迴歸係數為0.18，t值為2.417）。換言之，死刑會促發殺人案件之發生，死刑無法嚇阻或壓制殺人案件之發生。此種之結論，與本書之研究所得，完全一致。吾人不僅要反思，既然死刑會促進殺人犯罪率之發生，死刑即無存在之必要性。因為，法務部－執行死刑，同一年度內之殺人犯罪率，即會上升。作者擬要提問以下之問題：難道有必要須執行死刑，而令殺人案件不斷上揚？死刑是一個好的刑事司法制裁之措施？國家存在之目的，係要促進殺人犯罪率？或者，降低殺人犯罪率？</w:t>
      </w:r>
    </w:p>
    <w:p w:rsidR="0049577B" w:rsidRPr="00B40DC1" w:rsidRDefault="00817A92" w:rsidP="00E736D6">
      <w:pPr>
        <w:spacing w:line="240" w:lineRule="auto"/>
        <w:ind w:leftChars="0" w:left="0" w:rightChars="0" w:right="0"/>
      </w:pPr>
      <w:r>
        <w:t xml:space="preserve">　　</w:t>
      </w:r>
      <w:r w:rsidR="0049577B" w:rsidRPr="00B40DC1">
        <w:t>答案應為：沒有必要須執行死刑，死刑不是一個好的刑事司法制裁之措施，國家存在之目的，係要降低殺人犯罪率。基此，宜廢止死刑。</w:t>
      </w:r>
    </w:p>
    <w:p w:rsidR="003C1792" w:rsidRDefault="0049577B" w:rsidP="002031B1">
      <w:pPr>
        <w:jc w:val="right"/>
      </w:pPr>
      <w:r w:rsidRPr="00B40DC1">
        <w:t xml:space="preserve"> </w:t>
      </w:r>
      <w:r w:rsidR="002031B1" w:rsidRPr="00D45AD2">
        <w:rPr>
          <w:rFonts w:hint="eastAsia"/>
          <w:sz w:val="22"/>
        </w:rPr>
        <w:t>。。。。。。。。。。。。。。。。。。</w:t>
      </w:r>
      <w:hyperlink w:anchor="a目次1" w:history="1">
        <w:r w:rsidR="002031B1">
          <w:rPr>
            <w:rStyle w:val="a7"/>
            <w:sz w:val="22"/>
            <w:lang w:eastAsia="zh-TW"/>
          </w:rPr>
          <w:t>回總目次</w:t>
        </w:r>
      </w:hyperlink>
      <w:r w:rsidR="002031B1" w:rsidRPr="00D45AD2">
        <w:rPr>
          <w:color w:val="808000"/>
          <w:sz w:val="22"/>
        </w:rPr>
        <w:t>〉〉</w:t>
      </w:r>
    </w:p>
    <w:p w:rsidR="0049577B" w:rsidRPr="00B40DC1" w:rsidRDefault="0049577B" w:rsidP="00E736D6">
      <w:pPr>
        <w:pStyle w:val="4"/>
        <w:rPr>
          <w:lang w:eastAsia="zh-TW"/>
        </w:rPr>
      </w:pPr>
      <w:r w:rsidRPr="00B40DC1">
        <w:rPr>
          <w:lang w:eastAsia="zh-TW"/>
        </w:rPr>
        <w:t>表21、各種犯罪嚇阻重要指標及社會指標對於犯罪率之同時效應複迴歸分析(絕對數模式)(1961~1990)(括號內為t值)</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441"/>
        <w:gridCol w:w="1417"/>
        <w:gridCol w:w="1559"/>
        <w:gridCol w:w="1560"/>
        <w:gridCol w:w="1984"/>
      </w:tblGrid>
      <w:tr w:rsidR="0049577B" w:rsidRPr="00B40DC1" w:rsidTr="007175B7">
        <w:trPr>
          <w:tblHeader/>
          <w:jc w:val="center"/>
        </w:trPr>
        <w:tc>
          <w:tcPr>
            <w:tcW w:w="1815" w:type="dxa"/>
            <w:shd w:val="clear" w:color="auto" w:fill="EFFDFF"/>
          </w:tcPr>
          <w:p w:rsidR="007175B7" w:rsidRPr="00E736D6" w:rsidRDefault="0049577B" w:rsidP="00E736D6">
            <w:pPr>
              <w:spacing w:line="240" w:lineRule="auto"/>
              <w:ind w:leftChars="0" w:left="0" w:rightChars="0" w:right="0"/>
              <w:rPr>
                <w:sz w:val="24"/>
              </w:rPr>
            </w:pPr>
            <w:r w:rsidRPr="00E736D6">
              <w:rPr>
                <w:sz w:val="24"/>
              </w:rPr>
              <w:t>依變項迴歸係數(t值)</w:t>
            </w:r>
          </w:p>
          <w:p w:rsidR="0049577B" w:rsidRPr="00E736D6" w:rsidRDefault="0049577B" w:rsidP="00E736D6">
            <w:pPr>
              <w:spacing w:line="240" w:lineRule="auto"/>
              <w:ind w:leftChars="0" w:left="0" w:rightChars="0" w:right="0"/>
              <w:rPr>
                <w:sz w:val="24"/>
              </w:rPr>
            </w:pPr>
            <w:r w:rsidRPr="00E736D6">
              <w:rPr>
                <w:sz w:val="24"/>
              </w:rPr>
              <w:t>自(因)變項</w:t>
            </w:r>
          </w:p>
        </w:tc>
        <w:tc>
          <w:tcPr>
            <w:tcW w:w="1441" w:type="dxa"/>
            <w:shd w:val="clear" w:color="auto" w:fill="EFFDFF"/>
          </w:tcPr>
          <w:p w:rsidR="0049577B" w:rsidRPr="00E736D6" w:rsidRDefault="0049577B" w:rsidP="00E736D6">
            <w:pPr>
              <w:spacing w:line="240" w:lineRule="auto"/>
              <w:ind w:leftChars="0" w:left="0" w:rightChars="0" w:right="0"/>
              <w:rPr>
                <w:sz w:val="24"/>
              </w:rPr>
            </w:pPr>
            <w:r w:rsidRPr="00E736D6">
              <w:rPr>
                <w:sz w:val="24"/>
              </w:rPr>
              <w:t>總犯罪率(依變項</w:t>
            </w:r>
            <w:r w:rsidRPr="00E736D6">
              <w:rPr>
                <w:iCs/>
                <w:sz w:val="24"/>
                <w:lang w:bidi="bn-IN"/>
              </w:rPr>
              <w:t>，</w:t>
            </w:r>
            <w:r w:rsidRPr="00E736D6">
              <w:rPr>
                <w:sz w:val="24"/>
              </w:rPr>
              <w:t>應變數</w:t>
            </w:r>
            <w:r w:rsidR="00587200">
              <w:rPr>
                <w:sz w:val="24"/>
              </w:rPr>
              <w:t>)</w:t>
            </w:r>
          </w:p>
        </w:tc>
        <w:tc>
          <w:tcPr>
            <w:tcW w:w="1417" w:type="dxa"/>
            <w:shd w:val="clear" w:color="auto" w:fill="EFFDFF"/>
          </w:tcPr>
          <w:p w:rsidR="0049577B" w:rsidRPr="00E736D6" w:rsidRDefault="0049577B" w:rsidP="00E736D6">
            <w:pPr>
              <w:spacing w:line="240" w:lineRule="auto"/>
              <w:ind w:leftChars="0" w:left="0" w:rightChars="0" w:right="0"/>
              <w:rPr>
                <w:sz w:val="24"/>
              </w:rPr>
            </w:pPr>
            <w:r w:rsidRPr="00E736D6">
              <w:rPr>
                <w:sz w:val="24"/>
              </w:rPr>
              <w:t>殺人犯罪率(依變項</w:t>
            </w:r>
            <w:r w:rsidRPr="00E736D6">
              <w:rPr>
                <w:iCs/>
                <w:sz w:val="24"/>
                <w:lang w:bidi="bn-IN"/>
              </w:rPr>
              <w:t>，</w:t>
            </w:r>
            <w:r w:rsidRPr="00E736D6">
              <w:rPr>
                <w:sz w:val="24"/>
              </w:rPr>
              <w:t>應變數)</w:t>
            </w:r>
          </w:p>
        </w:tc>
        <w:tc>
          <w:tcPr>
            <w:tcW w:w="1559" w:type="dxa"/>
            <w:shd w:val="clear" w:color="auto" w:fill="EFFDFF"/>
          </w:tcPr>
          <w:p w:rsidR="0049577B" w:rsidRPr="00E736D6" w:rsidRDefault="0049577B" w:rsidP="00E736D6">
            <w:pPr>
              <w:spacing w:line="240" w:lineRule="auto"/>
              <w:ind w:leftChars="0" w:left="0" w:rightChars="0" w:right="0"/>
              <w:rPr>
                <w:sz w:val="24"/>
              </w:rPr>
            </w:pPr>
            <w:r w:rsidRPr="00E736D6">
              <w:rPr>
                <w:sz w:val="24"/>
              </w:rPr>
              <w:t>強姦犯罪率(依變項</w:t>
            </w:r>
            <w:r w:rsidRPr="00E736D6">
              <w:rPr>
                <w:iCs/>
                <w:sz w:val="24"/>
                <w:lang w:bidi="bn-IN"/>
              </w:rPr>
              <w:t>，</w:t>
            </w:r>
            <w:r w:rsidRPr="00E736D6">
              <w:rPr>
                <w:sz w:val="24"/>
              </w:rPr>
              <w:t>應變數)</w:t>
            </w:r>
          </w:p>
        </w:tc>
        <w:tc>
          <w:tcPr>
            <w:tcW w:w="1560" w:type="dxa"/>
            <w:shd w:val="clear" w:color="auto" w:fill="EFFDFF"/>
          </w:tcPr>
          <w:p w:rsidR="0049577B" w:rsidRPr="00E736D6" w:rsidRDefault="0049577B" w:rsidP="00E736D6">
            <w:pPr>
              <w:spacing w:line="240" w:lineRule="auto"/>
              <w:ind w:leftChars="0" w:left="0" w:rightChars="0" w:right="0"/>
              <w:rPr>
                <w:sz w:val="24"/>
              </w:rPr>
            </w:pPr>
            <w:r w:rsidRPr="00E736D6">
              <w:rPr>
                <w:sz w:val="24"/>
              </w:rPr>
              <w:t>暴力性財產犯罪率(依變項</w:t>
            </w:r>
            <w:r w:rsidRPr="00E736D6">
              <w:rPr>
                <w:iCs/>
                <w:sz w:val="24"/>
                <w:lang w:bidi="bn-IN"/>
              </w:rPr>
              <w:t>，</w:t>
            </w:r>
            <w:r w:rsidRPr="00E736D6">
              <w:rPr>
                <w:sz w:val="24"/>
              </w:rPr>
              <w:t>應變數)</w:t>
            </w:r>
          </w:p>
        </w:tc>
        <w:tc>
          <w:tcPr>
            <w:tcW w:w="1984" w:type="dxa"/>
            <w:shd w:val="clear" w:color="auto" w:fill="EFFDFF"/>
          </w:tcPr>
          <w:p w:rsidR="0049577B" w:rsidRPr="00E736D6" w:rsidRDefault="0049577B" w:rsidP="00E736D6">
            <w:pPr>
              <w:spacing w:line="240" w:lineRule="auto"/>
              <w:ind w:leftChars="0" w:left="0" w:rightChars="0" w:right="0"/>
              <w:rPr>
                <w:sz w:val="24"/>
              </w:rPr>
            </w:pPr>
            <w:r w:rsidRPr="00E736D6">
              <w:rPr>
                <w:sz w:val="24"/>
              </w:rPr>
              <w:t>擄人勒贖犯罪率(依變項</w:t>
            </w:r>
            <w:r w:rsidRPr="00E736D6">
              <w:rPr>
                <w:iCs/>
                <w:sz w:val="24"/>
                <w:lang w:bidi="bn-IN"/>
              </w:rPr>
              <w:t>，</w:t>
            </w:r>
            <w:r w:rsidRPr="00E736D6">
              <w:rPr>
                <w:sz w:val="24"/>
              </w:rPr>
              <w:t>應變數)</w:t>
            </w:r>
          </w:p>
        </w:tc>
      </w:tr>
      <w:tr w:rsidR="0049577B" w:rsidRPr="00B40DC1" w:rsidTr="00E736D6">
        <w:trPr>
          <w:jc w:val="center"/>
        </w:trPr>
        <w:tc>
          <w:tcPr>
            <w:tcW w:w="1815" w:type="dxa"/>
            <w:shd w:val="clear" w:color="auto" w:fill="auto"/>
          </w:tcPr>
          <w:p w:rsidR="0049577B" w:rsidRPr="00E736D6" w:rsidRDefault="0049577B" w:rsidP="00E736D6">
            <w:pPr>
              <w:spacing w:line="240" w:lineRule="auto"/>
              <w:ind w:leftChars="0" w:left="0" w:rightChars="0" w:right="0"/>
              <w:rPr>
                <w:sz w:val="24"/>
              </w:rPr>
            </w:pPr>
            <w:r w:rsidRPr="00E736D6">
              <w:rPr>
                <w:sz w:val="24"/>
              </w:rPr>
              <w:t>被執行死刑之人數(自變項</w:t>
            </w:r>
            <w:r w:rsidR="00587200">
              <w:rPr>
                <w:sz w:val="24"/>
              </w:rPr>
              <w:t>)</w:t>
            </w:r>
          </w:p>
        </w:tc>
        <w:tc>
          <w:tcPr>
            <w:tcW w:w="1441"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.080</w:t>
            </w:r>
          </w:p>
          <w:p w:rsidR="0049577B" w:rsidRPr="00E736D6" w:rsidRDefault="0049577B" w:rsidP="00A14BAA">
            <w:pPr>
              <w:spacing w:line="240" w:lineRule="auto"/>
              <w:ind w:leftChars="0" w:left="0" w:rightChars="0" w:right="0"/>
              <w:jc w:val="center"/>
              <w:rPr>
                <w:sz w:val="24"/>
              </w:rPr>
            </w:pPr>
            <w:r w:rsidRPr="00E736D6">
              <w:rPr>
                <w:sz w:val="24"/>
              </w:rPr>
              <w:t>(1.089)</w:t>
            </w:r>
          </w:p>
        </w:tc>
        <w:tc>
          <w:tcPr>
            <w:tcW w:w="1417"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.0180</w:t>
            </w:r>
          </w:p>
          <w:p w:rsidR="0049577B" w:rsidRPr="00E736D6" w:rsidRDefault="0049577B" w:rsidP="00A14BAA">
            <w:pPr>
              <w:spacing w:line="240" w:lineRule="auto"/>
              <w:ind w:leftChars="0" w:left="0" w:rightChars="0" w:right="0"/>
              <w:jc w:val="center"/>
              <w:rPr>
                <w:sz w:val="24"/>
              </w:rPr>
            </w:pPr>
            <w:r w:rsidRPr="00E736D6">
              <w:rPr>
                <w:sz w:val="24"/>
              </w:rPr>
              <w:t>(2.417)</w:t>
            </w:r>
            <w:r w:rsidRPr="00E736D6">
              <w:rPr>
                <w:position w:val="10"/>
                <w:sz w:val="24"/>
              </w:rPr>
              <w:t>﹡</w:t>
            </w:r>
          </w:p>
        </w:tc>
        <w:tc>
          <w:tcPr>
            <w:tcW w:w="1559"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-.025</w:t>
            </w:r>
          </w:p>
          <w:p w:rsidR="0049577B" w:rsidRPr="00E736D6" w:rsidRDefault="0049577B" w:rsidP="00A14BAA">
            <w:pPr>
              <w:spacing w:line="240" w:lineRule="auto"/>
              <w:ind w:leftChars="0" w:left="0" w:rightChars="0" w:right="0"/>
              <w:jc w:val="center"/>
              <w:rPr>
                <w:sz w:val="24"/>
              </w:rPr>
            </w:pPr>
            <w:r w:rsidRPr="00E736D6">
              <w:rPr>
                <w:sz w:val="24"/>
              </w:rPr>
              <w:t>(-.868)</w:t>
            </w:r>
          </w:p>
        </w:tc>
        <w:tc>
          <w:tcPr>
            <w:tcW w:w="1560"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-.008</w:t>
            </w:r>
          </w:p>
          <w:p w:rsidR="0049577B" w:rsidRPr="00E736D6" w:rsidRDefault="0049577B" w:rsidP="00A14BAA">
            <w:pPr>
              <w:spacing w:line="240" w:lineRule="auto"/>
              <w:ind w:leftChars="0" w:left="0" w:rightChars="0" w:right="0"/>
              <w:jc w:val="center"/>
              <w:rPr>
                <w:sz w:val="24"/>
              </w:rPr>
            </w:pPr>
            <w:r w:rsidRPr="00E736D6">
              <w:rPr>
                <w:sz w:val="24"/>
              </w:rPr>
              <w:t>(-1.801)</w:t>
            </w:r>
          </w:p>
        </w:tc>
        <w:tc>
          <w:tcPr>
            <w:tcW w:w="1984" w:type="dxa"/>
            <w:shd w:val="clear" w:color="auto" w:fill="auto"/>
            <w:vAlign w:val="center"/>
          </w:tcPr>
          <w:p w:rsidR="003C1792" w:rsidRPr="00E736D6" w:rsidRDefault="0049577B" w:rsidP="00A14BAA">
            <w:pPr>
              <w:spacing w:line="240" w:lineRule="auto"/>
              <w:ind w:leftChars="0" w:left="0" w:rightChars="0" w:right="0"/>
              <w:jc w:val="center"/>
              <w:rPr>
                <w:sz w:val="24"/>
              </w:rPr>
            </w:pPr>
            <w:r w:rsidRPr="00E736D6">
              <w:rPr>
                <w:sz w:val="24"/>
              </w:rPr>
              <w:t>-1.668(E-04)</w:t>
            </w:r>
            <w:r w:rsidRPr="00E736D6">
              <w:rPr>
                <w:rStyle w:val="af7"/>
                <w:rFonts w:eastAsia="新細明體"/>
                <w:sz w:val="20"/>
              </w:rPr>
              <w:footnoteReference w:id="129"/>
            </w:r>
          </w:p>
          <w:p w:rsidR="0049577B" w:rsidRPr="00E736D6" w:rsidRDefault="0049577B" w:rsidP="00A14BAA">
            <w:pPr>
              <w:spacing w:line="240" w:lineRule="auto"/>
              <w:ind w:leftChars="0" w:left="0" w:rightChars="0" w:right="0"/>
              <w:jc w:val="center"/>
              <w:rPr>
                <w:sz w:val="24"/>
              </w:rPr>
            </w:pPr>
            <w:r w:rsidRPr="00E736D6">
              <w:rPr>
                <w:sz w:val="24"/>
              </w:rPr>
              <w:t>(-.055)</w:t>
            </w:r>
          </w:p>
        </w:tc>
      </w:tr>
      <w:tr w:rsidR="0049577B" w:rsidRPr="00B40DC1" w:rsidTr="00E736D6">
        <w:trPr>
          <w:jc w:val="center"/>
        </w:trPr>
        <w:tc>
          <w:tcPr>
            <w:tcW w:w="1815" w:type="dxa"/>
            <w:shd w:val="clear" w:color="auto" w:fill="auto"/>
          </w:tcPr>
          <w:p w:rsidR="0049577B" w:rsidRPr="00E736D6" w:rsidRDefault="0049577B" w:rsidP="00E736D6">
            <w:pPr>
              <w:spacing w:line="240" w:lineRule="auto"/>
              <w:ind w:leftChars="0" w:left="0" w:rightChars="0" w:right="0"/>
              <w:rPr>
                <w:sz w:val="24"/>
              </w:rPr>
            </w:pPr>
            <w:r w:rsidRPr="00E736D6">
              <w:rPr>
                <w:sz w:val="24"/>
              </w:rPr>
              <w:t>刑案破獲率(自變項)</w:t>
            </w:r>
          </w:p>
        </w:tc>
        <w:tc>
          <w:tcPr>
            <w:tcW w:w="1441"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.073</w:t>
            </w:r>
          </w:p>
          <w:p w:rsidR="0049577B" w:rsidRPr="00E736D6" w:rsidRDefault="0049577B" w:rsidP="00A14BAA">
            <w:pPr>
              <w:spacing w:line="240" w:lineRule="auto"/>
              <w:ind w:leftChars="0" w:left="0" w:rightChars="0" w:right="0"/>
              <w:jc w:val="center"/>
              <w:rPr>
                <w:sz w:val="24"/>
              </w:rPr>
            </w:pPr>
            <w:r w:rsidRPr="00E736D6">
              <w:rPr>
                <w:sz w:val="24"/>
              </w:rPr>
              <w:t>(.324)</w:t>
            </w:r>
          </w:p>
        </w:tc>
        <w:tc>
          <w:tcPr>
            <w:tcW w:w="1417"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-.008</w:t>
            </w:r>
          </w:p>
          <w:p w:rsidR="0049577B" w:rsidRPr="00E736D6" w:rsidRDefault="0049577B" w:rsidP="00A14BAA">
            <w:pPr>
              <w:spacing w:line="240" w:lineRule="auto"/>
              <w:ind w:leftChars="0" w:left="0" w:rightChars="0" w:right="0"/>
              <w:jc w:val="center"/>
              <w:rPr>
                <w:sz w:val="24"/>
              </w:rPr>
            </w:pPr>
            <w:r w:rsidRPr="00E736D6">
              <w:rPr>
                <w:sz w:val="24"/>
              </w:rPr>
              <w:t>(-.49)</w:t>
            </w:r>
          </w:p>
        </w:tc>
        <w:tc>
          <w:tcPr>
            <w:tcW w:w="1559"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-0.21</w:t>
            </w:r>
          </w:p>
          <w:p w:rsidR="0049577B" w:rsidRPr="00E736D6" w:rsidRDefault="0049577B" w:rsidP="00A14BAA">
            <w:pPr>
              <w:spacing w:line="240" w:lineRule="auto"/>
              <w:ind w:leftChars="0" w:left="0" w:rightChars="0" w:right="0"/>
              <w:jc w:val="center"/>
              <w:rPr>
                <w:sz w:val="24"/>
              </w:rPr>
            </w:pPr>
            <w:r w:rsidRPr="00E736D6">
              <w:rPr>
                <w:sz w:val="24"/>
              </w:rPr>
              <w:t>(-.931)</w:t>
            </w:r>
          </w:p>
        </w:tc>
        <w:tc>
          <w:tcPr>
            <w:tcW w:w="1560"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-.003</w:t>
            </w:r>
          </w:p>
          <w:p w:rsidR="0049577B" w:rsidRPr="00E736D6" w:rsidRDefault="0049577B" w:rsidP="00A14BAA">
            <w:pPr>
              <w:spacing w:line="240" w:lineRule="auto"/>
              <w:ind w:leftChars="0" w:left="0" w:rightChars="0" w:right="0"/>
              <w:jc w:val="center"/>
              <w:rPr>
                <w:sz w:val="24"/>
              </w:rPr>
            </w:pPr>
            <w:r w:rsidRPr="00E736D6">
              <w:rPr>
                <w:sz w:val="24"/>
              </w:rPr>
              <w:t>(-.520)</w:t>
            </w:r>
          </w:p>
        </w:tc>
        <w:tc>
          <w:tcPr>
            <w:tcW w:w="1984"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4.889(E-04)</w:t>
            </w:r>
            <w:r w:rsidRPr="00E736D6">
              <w:rPr>
                <w:rStyle w:val="af7"/>
                <w:rFonts w:eastAsia="新細明體"/>
                <w:sz w:val="20"/>
              </w:rPr>
              <w:footnoteReference w:id="130"/>
            </w:r>
          </w:p>
          <w:p w:rsidR="0049577B" w:rsidRPr="00E736D6" w:rsidRDefault="0049577B" w:rsidP="00A14BAA">
            <w:pPr>
              <w:spacing w:line="240" w:lineRule="auto"/>
              <w:ind w:leftChars="0" w:left="0" w:rightChars="0" w:right="0"/>
              <w:jc w:val="center"/>
              <w:rPr>
                <w:sz w:val="24"/>
              </w:rPr>
            </w:pPr>
            <w:r w:rsidRPr="00E736D6">
              <w:rPr>
                <w:sz w:val="24"/>
              </w:rPr>
              <w:t>(.568)</w:t>
            </w:r>
          </w:p>
        </w:tc>
      </w:tr>
      <w:tr w:rsidR="0049577B" w:rsidRPr="00B40DC1" w:rsidTr="00E736D6">
        <w:trPr>
          <w:jc w:val="center"/>
        </w:trPr>
        <w:tc>
          <w:tcPr>
            <w:tcW w:w="1815" w:type="dxa"/>
            <w:shd w:val="clear" w:color="auto" w:fill="auto"/>
          </w:tcPr>
          <w:p w:rsidR="0049577B" w:rsidRPr="00E736D6" w:rsidRDefault="0049577B" w:rsidP="00E736D6">
            <w:pPr>
              <w:spacing w:line="240" w:lineRule="auto"/>
              <w:ind w:leftChars="0" w:left="0" w:rightChars="0" w:right="0"/>
              <w:rPr>
                <w:sz w:val="24"/>
              </w:rPr>
            </w:pPr>
            <w:r w:rsidRPr="00E736D6">
              <w:rPr>
                <w:sz w:val="24"/>
              </w:rPr>
              <w:t>失業率(自變項)</w:t>
            </w:r>
          </w:p>
        </w:tc>
        <w:tc>
          <w:tcPr>
            <w:tcW w:w="1441"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3.848</w:t>
            </w:r>
          </w:p>
          <w:p w:rsidR="0049577B" w:rsidRPr="00E736D6" w:rsidRDefault="0049577B" w:rsidP="00A14BAA">
            <w:pPr>
              <w:spacing w:line="240" w:lineRule="auto"/>
              <w:ind w:leftChars="0" w:left="0" w:rightChars="0" w:right="0"/>
              <w:jc w:val="center"/>
              <w:rPr>
                <w:sz w:val="24"/>
              </w:rPr>
            </w:pPr>
            <w:r w:rsidRPr="00E736D6">
              <w:rPr>
                <w:sz w:val="24"/>
              </w:rPr>
              <w:t>(3.077</w:t>
            </w:r>
            <w:r w:rsidR="00587200">
              <w:rPr>
                <w:sz w:val="24"/>
              </w:rPr>
              <w:t>)</w:t>
            </w:r>
            <w:r w:rsidRPr="00E736D6">
              <w:rPr>
                <w:position w:val="10"/>
                <w:sz w:val="24"/>
              </w:rPr>
              <w:t>﹡</w:t>
            </w:r>
          </w:p>
        </w:tc>
        <w:tc>
          <w:tcPr>
            <w:tcW w:w="1417"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.033</w:t>
            </w:r>
          </w:p>
          <w:p w:rsidR="0049577B" w:rsidRPr="00E736D6" w:rsidRDefault="0049577B" w:rsidP="00A14BAA">
            <w:pPr>
              <w:spacing w:line="240" w:lineRule="auto"/>
              <w:ind w:leftChars="0" w:left="0" w:rightChars="0" w:right="0"/>
              <w:jc w:val="center"/>
              <w:rPr>
                <w:sz w:val="24"/>
              </w:rPr>
            </w:pPr>
            <w:r w:rsidRPr="00E736D6">
              <w:rPr>
                <w:sz w:val="24"/>
              </w:rPr>
              <w:t>(.697)</w:t>
            </w:r>
          </w:p>
        </w:tc>
        <w:tc>
          <w:tcPr>
            <w:tcW w:w="1559"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-.027</w:t>
            </w:r>
          </w:p>
          <w:p w:rsidR="0049577B" w:rsidRPr="00E736D6" w:rsidRDefault="0049577B" w:rsidP="00A14BAA">
            <w:pPr>
              <w:spacing w:line="240" w:lineRule="auto"/>
              <w:ind w:leftChars="0" w:left="0" w:rightChars="0" w:right="0"/>
              <w:jc w:val="center"/>
              <w:rPr>
                <w:sz w:val="24"/>
              </w:rPr>
            </w:pPr>
            <w:r w:rsidRPr="00E736D6">
              <w:rPr>
                <w:sz w:val="24"/>
              </w:rPr>
              <w:t>(-.376)</w:t>
            </w:r>
          </w:p>
        </w:tc>
        <w:tc>
          <w:tcPr>
            <w:tcW w:w="1560"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.005</w:t>
            </w:r>
          </w:p>
          <w:p w:rsidR="0049577B" w:rsidRPr="00E736D6" w:rsidRDefault="0049577B" w:rsidP="00A14BAA">
            <w:pPr>
              <w:spacing w:line="240" w:lineRule="auto"/>
              <w:ind w:leftChars="0" w:left="0" w:rightChars="0" w:right="0"/>
              <w:jc w:val="center"/>
              <w:rPr>
                <w:sz w:val="24"/>
              </w:rPr>
            </w:pPr>
            <w:r w:rsidRPr="00E736D6">
              <w:rPr>
                <w:sz w:val="24"/>
              </w:rPr>
              <w:t>(.117)</w:t>
            </w:r>
          </w:p>
        </w:tc>
        <w:tc>
          <w:tcPr>
            <w:tcW w:w="1984"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.009</w:t>
            </w:r>
          </w:p>
          <w:p w:rsidR="0049577B" w:rsidRPr="00E736D6" w:rsidRDefault="0049577B" w:rsidP="00A14BAA">
            <w:pPr>
              <w:spacing w:line="240" w:lineRule="auto"/>
              <w:ind w:leftChars="0" w:left="0" w:rightChars="0" w:right="0"/>
              <w:jc w:val="center"/>
              <w:rPr>
                <w:sz w:val="24"/>
              </w:rPr>
            </w:pPr>
            <w:r w:rsidRPr="00E736D6">
              <w:rPr>
                <w:sz w:val="24"/>
              </w:rPr>
              <w:t>(1.019)</w:t>
            </w:r>
          </w:p>
        </w:tc>
      </w:tr>
      <w:tr w:rsidR="0049577B" w:rsidRPr="00B40DC1" w:rsidTr="00E736D6">
        <w:trPr>
          <w:jc w:val="center"/>
        </w:trPr>
        <w:tc>
          <w:tcPr>
            <w:tcW w:w="1815" w:type="dxa"/>
            <w:shd w:val="clear" w:color="auto" w:fill="auto"/>
          </w:tcPr>
          <w:p w:rsidR="0049577B" w:rsidRPr="00E736D6" w:rsidRDefault="0049577B" w:rsidP="00E736D6">
            <w:pPr>
              <w:spacing w:line="240" w:lineRule="auto"/>
              <w:ind w:leftChars="0" w:left="0" w:rightChars="0" w:right="0"/>
              <w:rPr>
                <w:sz w:val="24"/>
              </w:rPr>
            </w:pPr>
            <w:r w:rsidRPr="00E736D6">
              <w:rPr>
                <w:sz w:val="24"/>
              </w:rPr>
              <w:t>離婚率(自變項)</w:t>
            </w:r>
          </w:p>
        </w:tc>
        <w:tc>
          <w:tcPr>
            <w:tcW w:w="1441"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59.425</w:t>
            </w:r>
          </w:p>
          <w:p w:rsidR="0049577B" w:rsidRPr="00E736D6" w:rsidRDefault="0049577B" w:rsidP="00A14BAA">
            <w:pPr>
              <w:spacing w:line="240" w:lineRule="auto"/>
              <w:ind w:leftChars="0" w:left="0" w:rightChars="0" w:right="0"/>
              <w:jc w:val="center"/>
              <w:rPr>
                <w:sz w:val="24"/>
              </w:rPr>
            </w:pPr>
            <w:r w:rsidRPr="00E736D6">
              <w:rPr>
                <w:sz w:val="24"/>
              </w:rPr>
              <w:t>(2.776</w:t>
            </w:r>
            <w:r w:rsidR="00587200">
              <w:rPr>
                <w:sz w:val="24"/>
              </w:rPr>
              <w:t>)</w:t>
            </w:r>
            <w:r w:rsidRPr="00E736D6">
              <w:rPr>
                <w:position w:val="10"/>
                <w:sz w:val="24"/>
              </w:rPr>
              <w:t>﹡</w:t>
            </w:r>
          </w:p>
        </w:tc>
        <w:tc>
          <w:tcPr>
            <w:tcW w:w="1417"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2.219</w:t>
            </w:r>
          </w:p>
          <w:p w:rsidR="0049577B" w:rsidRPr="00E736D6" w:rsidRDefault="0049577B" w:rsidP="00A14BAA">
            <w:pPr>
              <w:spacing w:line="240" w:lineRule="auto"/>
              <w:ind w:leftChars="0" w:left="0" w:rightChars="0" w:right="0"/>
              <w:jc w:val="center"/>
              <w:rPr>
                <w:sz w:val="24"/>
              </w:rPr>
            </w:pPr>
            <w:r w:rsidRPr="00E736D6">
              <w:rPr>
                <w:sz w:val="24"/>
              </w:rPr>
              <w:t>(2.985</w:t>
            </w:r>
            <w:r w:rsidR="00587200">
              <w:rPr>
                <w:sz w:val="24"/>
              </w:rPr>
              <w:t>)</w:t>
            </w:r>
            <w:r w:rsidRPr="00E736D6">
              <w:rPr>
                <w:position w:val="10"/>
                <w:sz w:val="24"/>
              </w:rPr>
              <w:t>﹡</w:t>
            </w:r>
          </w:p>
        </w:tc>
        <w:tc>
          <w:tcPr>
            <w:tcW w:w="1559"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-.127</w:t>
            </w:r>
          </w:p>
          <w:p w:rsidR="0049577B" w:rsidRPr="00E736D6" w:rsidRDefault="0049577B" w:rsidP="00A14BAA">
            <w:pPr>
              <w:spacing w:line="240" w:lineRule="auto"/>
              <w:ind w:leftChars="0" w:left="0" w:rightChars="0" w:right="0"/>
              <w:jc w:val="center"/>
              <w:rPr>
                <w:sz w:val="24"/>
              </w:rPr>
            </w:pPr>
            <w:r w:rsidRPr="00E736D6">
              <w:rPr>
                <w:sz w:val="24"/>
              </w:rPr>
              <w:t>(-.129)</w:t>
            </w:r>
          </w:p>
        </w:tc>
        <w:tc>
          <w:tcPr>
            <w:tcW w:w="1560"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-.374</w:t>
            </w:r>
          </w:p>
          <w:p w:rsidR="0049577B" w:rsidRPr="00E736D6" w:rsidRDefault="0049577B" w:rsidP="00A14BAA">
            <w:pPr>
              <w:spacing w:line="240" w:lineRule="auto"/>
              <w:ind w:leftChars="0" w:left="0" w:rightChars="0" w:right="0"/>
              <w:jc w:val="center"/>
              <w:rPr>
                <w:sz w:val="24"/>
              </w:rPr>
            </w:pPr>
            <w:r w:rsidRPr="00E736D6">
              <w:rPr>
                <w:sz w:val="24"/>
              </w:rPr>
              <w:t>(-.494)</w:t>
            </w:r>
          </w:p>
        </w:tc>
        <w:tc>
          <w:tcPr>
            <w:tcW w:w="1984"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-.103</w:t>
            </w:r>
          </w:p>
          <w:p w:rsidR="0049577B" w:rsidRPr="00E736D6" w:rsidRDefault="0049577B" w:rsidP="00A14BAA">
            <w:pPr>
              <w:spacing w:line="240" w:lineRule="auto"/>
              <w:ind w:leftChars="0" w:left="0" w:rightChars="0" w:right="0"/>
              <w:jc w:val="center"/>
              <w:rPr>
                <w:sz w:val="24"/>
              </w:rPr>
            </w:pPr>
            <w:r w:rsidRPr="00E736D6">
              <w:rPr>
                <w:sz w:val="24"/>
              </w:rPr>
              <w:t>(-1.201)</w:t>
            </w:r>
          </w:p>
        </w:tc>
      </w:tr>
      <w:tr w:rsidR="0049577B" w:rsidRPr="00B40DC1" w:rsidTr="00E736D6">
        <w:trPr>
          <w:jc w:val="center"/>
        </w:trPr>
        <w:tc>
          <w:tcPr>
            <w:tcW w:w="1815" w:type="dxa"/>
            <w:shd w:val="clear" w:color="auto" w:fill="auto"/>
          </w:tcPr>
          <w:p w:rsidR="0049577B" w:rsidRPr="00E736D6" w:rsidRDefault="0049577B" w:rsidP="00E736D6">
            <w:pPr>
              <w:spacing w:line="240" w:lineRule="auto"/>
              <w:ind w:leftChars="0" w:left="0" w:rightChars="0" w:right="0"/>
              <w:rPr>
                <w:sz w:val="24"/>
              </w:rPr>
            </w:pPr>
            <w:r w:rsidRPr="00E736D6">
              <w:rPr>
                <w:sz w:val="24"/>
              </w:rPr>
              <w:t>15~29歲</w:t>
            </w:r>
          </w:p>
          <w:p w:rsidR="0049577B" w:rsidRPr="00E736D6" w:rsidRDefault="0049577B" w:rsidP="00E736D6">
            <w:pPr>
              <w:spacing w:line="240" w:lineRule="auto"/>
              <w:ind w:leftChars="0" w:left="0" w:rightChars="0" w:right="0"/>
              <w:rPr>
                <w:sz w:val="24"/>
              </w:rPr>
            </w:pPr>
            <w:r w:rsidRPr="00E736D6">
              <w:rPr>
                <w:sz w:val="24"/>
              </w:rPr>
              <w:t>人口比例(自變項)</w:t>
            </w:r>
          </w:p>
        </w:tc>
        <w:tc>
          <w:tcPr>
            <w:tcW w:w="1441"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-2.190</w:t>
            </w:r>
          </w:p>
          <w:p w:rsidR="0049577B" w:rsidRPr="00E736D6" w:rsidRDefault="0049577B" w:rsidP="00A14BAA">
            <w:pPr>
              <w:spacing w:line="240" w:lineRule="auto"/>
              <w:ind w:leftChars="0" w:left="0" w:rightChars="0" w:right="0"/>
              <w:jc w:val="center"/>
              <w:rPr>
                <w:sz w:val="24"/>
              </w:rPr>
            </w:pPr>
            <w:r w:rsidRPr="00E736D6">
              <w:rPr>
                <w:sz w:val="24"/>
              </w:rPr>
              <w:t>(-4.893</w:t>
            </w:r>
            <w:r w:rsidR="00587200">
              <w:rPr>
                <w:sz w:val="24"/>
              </w:rPr>
              <w:t>)</w:t>
            </w:r>
            <w:r w:rsidRPr="00E736D6">
              <w:rPr>
                <w:position w:val="10"/>
                <w:sz w:val="24"/>
              </w:rPr>
              <w:t>﹡</w:t>
            </w:r>
          </w:p>
        </w:tc>
        <w:tc>
          <w:tcPr>
            <w:tcW w:w="1417"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-.027</w:t>
            </w:r>
          </w:p>
          <w:p w:rsidR="0049577B" w:rsidRPr="00E736D6" w:rsidRDefault="0049577B" w:rsidP="00A14BAA">
            <w:pPr>
              <w:spacing w:line="240" w:lineRule="auto"/>
              <w:ind w:leftChars="0" w:left="0" w:rightChars="0" w:right="0"/>
              <w:jc w:val="center"/>
              <w:rPr>
                <w:sz w:val="24"/>
              </w:rPr>
            </w:pPr>
            <w:r w:rsidRPr="00E736D6">
              <w:rPr>
                <w:sz w:val="24"/>
              </w:rPr>
              <w:t>(-1.867)</w:t>
            </w:r>
          </w:p>
        </w:tc>
        <w:tc>
          <w:tcPr>
            <w:tcW w:w="1559"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-.761</w:t>
            </w:r>
          </w:p>
          <w:p w:rsidR="0049577B" w:rsidRPr="00E736D6" w:rsidRDefault="0049577B" w:rsidP="00A14BAA">
            <w:pPr>
              <w:spacing w:line="240" w:lineRule="auto"/>
              <w:ind w:leftChars="0" w:left="0" w:rightChars="0" w:right="0"/>
              <w:jc w:val="center"/>
              <w:rPr>
                <w:sz w:val="24"/>
              </w:rPr>
            </w:pPr>
            <w:r w:rsidRPr="00E736D6">
              <w:rPr>
                <w:sz w:val="24"/>
              </w:rPr>
              <w:t>(-1.042)</w:t>
            </w:r>
          </w:p>
        </w:tc>
        <w:tc>
          <w:tcPr>
            <w:tcW w:w="1560"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-.029</w:t>
            </w:r>
          </w:p>
          <w:p w:rsidR="0049577B" w:rsidRPr="00E736D6" w:rsidRDefault="0049577B" w:rsidP="00A14BAA">
            <w:pPr>
              <w:spacing w:line="240" w:lineRule="auto"/>
              <w:ind w:leftChars="0" w:left="0" w:rightChars="0" w:right="0"/>
              <w:jc w:val="center"/>
              <w:rPr>
                <w:sz w:val="24"/>
              </w:rPr>
            </w:pPr>
            <w:r w:rsidRPr="00E736D6">
              <w:rPr>
                <w:sz w:val="24"/>
              </w:rPr>
              <w:t>(-1.901)</w:t>
            </w:r>
          </w:p>
        </w:tc>
        <w:tc>
          <w:tcPr>
            <w:tcW w:w="1984"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.004</w:t>
            </w:r>
          </w:p>
          <w:p w:rsidR="0049577B" w:rsidRPr="00E736D6" w:rsidRDefault="0049577B" w:rsidP="00A14BAA">
            <w:pPr>
              <w:spacing w:line="240" w:lineRule="auto"/>
              <w:ind w:leftChars="0" w:left="0" w:rightChars="0" w:right="0"/>
              <w:jc w:val="center"/>
              <w:rPr>
                <w:sz w:val="24"/>
              </w:rPr>
            </w:pPr>
            <w:r w:rsidRPr="00E736D6">
              <w:rPr>
                <w:sz w:val="24"/>
              </w:rPr>
              <w:t>(.991)</w:t>
            </w:r>
          </w:p>
        </w:tc>
      </w:tr>
      <w:tr w:rsidR="0049577B" w:rsidRPr="00B40DC1" w:rsidTr="00E736D6">
        <w:trPr>
          <w:jc w:val="center"/>
        </w:trPr>
        <w:tc>
          <w:tcPr>
            <w:tcW w:w="1815" w:type="dxa"/>
            <w:shd w:val="clear" w:color="auto" w:fill="auto"/>
          </w:tcPr>
          <w:p w:rsidR="0049577B" w:rsidRPr="00E736D6" w:rsidRDefault="0049577B" w:rsidP="00E736D6">
            <w:pPr>
              <w:spacing w:line="240" w:lineRule="auto"/>
              <w:ind w:leftChars="0" w:left="0" w:rightChars="0" w:right="0"/>
              <w:rPr>
                <w:sz w:val="24"/>
              </w:rPr>
            </w:pPr>
            <w:r w:rsidRPr="00E736D6">
              <w:rPr>
                <w:sz w:val="24"/>
              </w:rPr>
              <w:t>國民平均所得(自變項)</w:t>
            </w:r>
          </w:p>
        </w:tc>
        <w:tc>
          <w:tcPr>
            <w:tcW w:w="1441"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3.80(E-04)</w:t>
            </w:r>
            <w:r w:rsidRPr="00E736D6">
              <w:rPr>
                <w:rStyle w:val="af7"/>
                <w:rFonts w:eastAsia="新細明體"/>
                <w:sz w:val="20"/>
              </w:rPr>
              <w:footnoteReference w:id="131"/>
            </w:r>
          </w:p>
          <w:p w:rsidR="0049577B" w:rsidRPr="00E736D6" w:rsidRDefault="0049577B" w:rsidP="00A14BAA">
            <w:pPr>
              <w:spacing w:line="240" w:lineRule="auto"/>
              <w:ind w:leftChars="0" w:left="0" w:rightChars="0" w:right="0"/>
              <w:jc w:val="center"/>
              <w:rPr>
                <w:sz w:val="24"/>
              </w:rPr>
            </w:pPr>
            <w:r w:rsidRPr="00E736D6">
              <w:rPr>
                <w:sz w:val="24"/>
              </w:rPr>
              <w:t>(4.120</w:t>
            </w:r>
            <w:r w:rsidR="00587200">
              <w:rPr>
                <w:sz w:val="24"/>
              </w:rPr>
              <w:t>)</w:t>
            </w:r>
            <w:r w:rsidRPr="00E736D6">
              <w:rPr>
                <w:position w:val="10"/>
                <w:sz w:val="24"/>
              </w:rPr>
              <w:t>﹡</w:t>
            </w:r>
          </w:p>
        </w:tc>
        <w:tc>
          <w:tcPr>
            <w:tcW w:w="1417" w:type="dxa"/>
            <w:shd w:val="clear" w:color="auto" w:fill="auto"/>
            <w:vAlign w:val="center"/>
          </w:tcPr>
          <w:p w:rsidR="0049577B" w:rsidRPr="00E736D6" w:rsidRDefault="0049577B" w:rsidP="00A14BAA">
            <w:pPr>
              <w:spacing w:line="240" w:lineRule="auto"/>
              <w:ind w:leftChars="0" w:left="0" w:rightChars="0" w:right="0"/>
              <w:jc w:val="center"/>
              <w:rPr>
                <w:rFonts w:ascii="Arial Unicode MS" w:eastAsia="新細明體" w:hAnsi="Arial Unicode MS"/>
                <w:color w:val="FF6600"/>
                <w:sz w:val="24"/>
              </w:rPr>
            </w:pPr>
            <w:r w:rsidRPr="00E736D6">
              <w:rPr>
                <w:sz w:val="24"/>
              </w:rPr>
              <w:t>9.743(E-07)</w:t>
            </w:r>
            <w:r w:rsidRPr="00E736D6">
              <w:rPr>
                <w:rStyle w:val="af7"/>
                <w:rFonts w:eastAsia="新細明體"/>
                <w:sz w:val="20"/>
              </w:rPr>
              <w:footnoteReference w:id="132"/>
            </w:r>
          </w:p>
          <w:p w:rsidR="0049577B" w:rsidRPr="00E736D6" w:rsidRDefault="0049577B" w:rsidP="00A14BAA">
            <w:pPr>
              <w:spacing w:line="240" w:lineRule="auto"/>
              <w:ind w:leftChars="0" w:left="0" w:rightChars="0" w:right="0"/>
              <w:jc w:val="center"/>
              <w:rPr>
                <w:sz w:val="24"/>
              </w:rPr>
            </w:pPr>
            <w:r w:rsidRPr="00E736D6">
              <w:rPr>
                <w:sz w:val="24"/>
              </w:rPr>
              <w:t>(.247)</w:t>
            </w:r>
          </w:p>
        </w:tc>
        <w:tc>
          <w:tcPr>
            <w:tcW w:w="1559"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-9.009(E-06)</w:t>
            </w:r>
          </w:p>
          <w:p w:rsidR="0049577B" w:rsidRPr="00E736D6" w:rsidRDefault="0049577B" w:rsidP="00A14BAA">
            <w:pPr>
              <w:spacing w:line="240" w:lineRule="auto"/>
              <w:ind w:leftChars="0" w:left="0" w:rightChars="0" w:right="0"/>
              <w:jc w:val="center"/>
              <w:rPr>
                <w:sz w:val="24"/>
              </w:rPr>
            </w:pPr>
            <w:r w:rsidRPr="00E736D6">
              <w:rPr>
                <w:sz w:val="24"/>
              </w:rPr>
              <w:t>(-.668)</w:t>
            </w:r>
          </w:p>
        </w:tc>
        <w:tc>
          <w:tcPr>
            <w:tcW w:w="1560"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5.774(E-07)</w:t>
            </w:r>
          </w:p>
          <w:p w:rsidR="0049577B" w:rsidRPr="00E736D6" w:rsidRDefault="0049577B" w:rsidP="00A14BAA">
            <w:pPr>
              <w:spacing w:line="240" w:lineRule="auto"/>
              <w:ind w:leftChars="0" w:left="0" w:rightChars="0" w:right="0"/>
              <w:jc w:val="center"/>
              <w:rPr>
                <w:sz w:val="24"/>
              </w:rPr>
            </w:pPr>
            <w:r w:rsidRPr="00E736D6">
              <w:rPr>
                <w:sz w:val="24"/>
              </w:rPr>
              <w:t>(.145)</w:t>
            </w:r>
          </w:p>
        </w:tc>
        <w:tc>
          <w:tcPr>
            <w:tcW w:w="1984"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1.083(E-07)</w:t>
            </w:r>
          </w:p>
          <w:p w:rsidR="0049577B" w:rsidRPr="00E736D6" w:rsidRDefault="0049577B" w:rsidP="00A14BAA">
            <w:pPr>
              <w:spacing w:line="240" w:lineRule="auto"/>
              <w:ind w:leftChars="0" w:left="0" w:rightChars="0" w:right="0"/>
              <w:jc w:val="center"/>
              <w:rPr>
                <w:sz w:val="24"/>
              </w:rPr>
            </w:pPr>
            <w:r w:rsidRPr="00E736D6">
              <w:rPr>
                <w:sz w:val="24"/>
              </w:rPr>
              <w:t>(.192)</w:t>
            </w:r>
          </w:p>
        </w:tc>
      </w:tr>
      <w:tr w:rsidR="0049577B" w:rsidRPr="00B40DC1" w:rsidTr="00E736D6">
        <w:trPr>
          <w:jc w:val="center"/>
        </w:trPr>
        <w:tc>
          <w:tcPr>
            <w:tcW w:w="1815" w:type="dxa"/>
            <w:shd w:val="clear" w:color="auto" w:fill="auto"/>
          </w:tcPr>
          <w:p w:rsidR="0049577B" w:rsidRPr="00E736D6" w:rsidRDefault="0049577B" w:rsidP="00E736D6">
            <w:pPr>
              <w:spacing w:line="240" w:lineRule="auto"/>
              <w:ind w:leftChars="0" w:left="0" w:rightChars="0" w:right="0"/>
              <w:rPr>
                <w:sz w:val="24"/>
              </w:rPr>
            </w:pPr>
            <w:r w:rsidRPr="00E736D6">
              <w:rPr>
                <w:sz w:val="24"/>
              </w:rPr>
              <w:t>司法經費(自變項)</w:t>
            </w:r>
          </w:p>
        </w:tc>
        <w:tc>
          <w:tcPr>
            <w:tcW w:w="1441"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-.049</w:t>
            </w:r>
          </w:p>
          <w:p w:rsidR="0049577B" w:rsidRPr="00E736D6" w:rsidRDefault="0049577B" w:rsidP="00A14BAA">
            <w:pPr>
              <w:spacing w:line="240" w:lineRule="auto"/>
              <w:ind w:leftChars="0" w:left="0" w:rightChars="0" w:right="0"/>
              <w:jc w:val="center"/>
              <w:rPr>
                <w:sz w:val="24"/>
              </w:rPr>
            </w:pPr>
            <w:r w:rsidRPr="00E736D6">
              <w:rPr>
                <w:sz w:val="24"/>
              </w:rPr>
              <w:t>(-4.197</w:t>
            </w:r>
            <w:r w:rsidR="00587200">
              <w:rPr>
                <w:sz w:val="24"/>
              </w:rPr>
              <w:t>)</w:t>
            </w:r>
            <w:r w:rsidRPr="00E736D6">
              <w:rPr>
                <w:position w:val="10"/>
                <w:sz w:val="24"/>
              </w:rPr>
              <w:t>﹡</w:t>
            </w:r>
          </w:p>
        </w:tc>
        <w:tc>
          <w:tcPr>
            <w:tcW w:w="1417"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-.001</w:t>
            </w:r>
          </w:p>
          <w:p w:rsidR="0049577B" w:rsidRPr="00E736D6" w:rsidRDefault="0049577B" w:rsidP="00A14BAA">
            <w:pPr>
              <w:spacing w:line="240" w:lineRule="auto"/>
              <w:ind w:leftChars="0" w:left="0" w:rightChars="0" w:right="0"/>
              <w:jc w:val="center"/>
              <w:rPr>
                <w:sz w:val="24"/>
              </w:rPr>
            </w:pPr>
            <w:r w:rsidRPr="00E736D6">
              <w:rPr>
                <w:sz w:val="24"/>
              </w:rPr>
              <w:t>(-2.947</w:t>
            </w:r>
            <w:r w:rsidR="00587200">
              <w:rPr>
                <w:sz w:val="24"/>
              </w:rPr>
              <w:t>)</w:t>
            </w:r>
            <w:r w:rsidRPr="00E736D6">
              <w:rPr>
                <w:position w:val="10"/>
                <w:sz w:val="24"/>
              </w:rPr>
              <w:t>﹡</w:t>
            </w:r>
          </w:p>
        </w:tc>
        <w:tc>
          <w:tcPr>
            <w:tcW w:w="1559"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-.004(E-04)</w:t>
            </w:r>
          </w:p>
          <w:p w:rsidR="0049577B" w:rsidRPr="00E736D6" w:rsidRDefault="0049577B" w:rsidP="00A14BAA">
            <w:pPr>
              <w:spacing w:line="240" w:lineRule="auto"/>
              <w:ind w:leftChars="0" w:left="0" w:rightChars="0" w:right="0"/>
              <w:jc w:val="center"/>
              <w:rPr>
                <w:sz w:val="24"/>
              </w:rPr>
            </w:pPr>
            <w:r w:rsidRPr="00E736D6">
              <w:rPr>
                <w:sz w:val="24"/>
              </w:rPr>
              <w:t>(-1.266)</w:t>
            </w:r>
          </w:p>
        </w:tc>
        <w:tc>
          <w:tcPr>
            <w:tcW w:w="1560"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6.395(E-04)</w:t>
            </w:r>
          </w:p>
          <w:p w:rsidR="0049577B" w:rsidRPr="00E736D6" w:rsidRDefault="0049577B" w:rsidP="00A14BAA">
            <w:pPr>
              <w:spacing w:line="240" w:lineRule="auto"/>
              <w:ind w:leftChars="0" w:left="0" w:rightChars="0" w:right="0"/>
              <w:jc w:val="center"/>
              <w:rPr>
                <w:sz w:val="24"/>
              </w:rPr>
            </w:pPr>
            <w:r w:rsidRPr="00E736D6">
              <w:rPr>
                <w:sz w:val="24"/>
              </w:rPr>
              <w:t>(1.626)</w:t>
            </w:r>
          </w:p>
        </w:tc>
        <w:tc>
          <w:tcPr>
            <w:tcW w:w="1984"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7.523(E-05)</w:t>
            </w:r>
          </w:p>
          <w:p w:rsidR="0049577B" w:rsidRPr="00E736D6" w:rsidRDefault="0049577B" w:rsidP="00A14BAA">
            <w:pPr>
              <w:spacing w:line="240" w:lineRule="auto"/>
              <w:ind w:leftChars="0" w:left="0" w:rightChars="0" w:right="0"/>
              <w:jc w:val="center"/>
              <w:rPr>
                <w:sz w:val="24"/>
              </w:rPr>
            </w:pPr>
            <w:r w:rsidRPr="00E736D6">
              <w:rPr>
                <w:sz w:val="24"/>
              </w:rPr>
              <w:t>(1.765)</w:t>
            </w:r>
          </w:p>
        </w:tc>
      </w:tr>
      <w:tr w:rsidR="0049577B" w:rsidRPr="00B40DC1" w:rsidTr="00E736D6">
        <w:trPr>
          <w:jc w:val="center"/>
        </w:trPr>
        <w:tc>
          <w:tcPr>
            <w:tcW w:w="1815" w:type="dxa"/>
            <w:shd w:val="clear" w:color="auto" w:fill="auto"/>
          </w:tcPr>
          <w:p w:rsidR="0049577B" w:rsidRPr="00E736D6" w:rsidRDefault="0049577B" w:rsidP="00E736D6">
            <w:pPr>
              <w:spacing w:line="240" w:lineRule="auto"/>
              <w:ind w:leftChars="0" w:left="0" w:rightChars="0" w:right="0"/>
              <w:rPr>
                <w:sz w:val="24"/>
              </w:rPr>
            </w:pPr>
            <w:r w:rsidRPr="00E736D6">
              <w:rPr>
                <w:sz w:val="24"/>
              </w:rPr>
              <w:t>警民比例(自變項)</w:t>
            </w:r>
          </w:p>
        </w:tc>
        <w:tc>
          <w:tcPr>
            <w:tcW w:w="1441"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.635</w:t>
            </w:r>
          </w:p>
          <w:p w:rsidR="0049577B" w:rsidRPr="00E736D6" w:rsidRDefault="0049577B" w:rsidP="00A14BAA">
            <w:pPr>
              <w:spacing w:line="240" w:lineRule="auto"/>
              <w:ind w:leftChars="0" w:left="0" w:rightChars="0" w:right="0"/>
              <w:jc w:val="center"/>
              <w:rPr>
                <w:sz w:val="24"/>
              </w:rPr>
            </w:pPr>
            <w:r w:rsidRPr="00E736D6">
              <w:rPr>
                <w:sz w:val="24"/>
              </w:rPr>
              <w:t>(.836)</w:t>
            </w:r>
          </w:p>
        </w:tc>
        <w:tc>
          <w:tcPr>
            <w:tcW w:w="1417"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-.007</w:t>
            </w:r>
          </w:p>
          <w:p w:rsidR="0049577B" w:rsidRPr="00E736D6" w:rsidRDefault="0049577B" w:rsidP="00A14BAA">
            <w:pPr>
              <w:spacing w:line="240" w:lineRule="auto"/>
              <w:ind w:leftChars="0" w:left="0" w:rightChars="0" w:right="0"/>
              <w:jc w:val="center"/>
              <w:rPr>
                <w:sz w:val="24"/>
              </w:rPr>
            </w:pPr>
            <w:r w:rsidRPr="00E736D6">
              <w:rPr>
                <w:sz w:val="24"/>
              </w:rPr>
              <w:t>(-.225)</w:t>
            </w:r>
          </w:p>
        </w:tc>
        <w:tc>
          <w:tcPr>
            <w:tcW w:w="1559"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-.034</w:t>
            </w:r>
          </w:p>
          <w:p w:rsidR="0049577B" w:rsidRPr="00E736D6" w:rsidRDefault="0049577B" w:rsidP="00A14BAA">
            <w:pPr>
              <w:spacing w:line="240" w:lineRule="auto"/>
              <w:ind w:leftChars="0" w:left="0" w:rightChars="0" w:right="0"/>
              <w:jc w:val="center"/>
              <w:rPr>
                <w:sz w:val="24"/>
              </w:rPr>
            </w:pPr>
            <w:r w:rsidRPr="00E736D6">
              <w:rPr>
                <w:sz w:val="24"/>
              </w:rPr>
              <w:t>(-1.338)</w:t>
            </w:r>
          </w:p>
        </w:tc>
        <w:tc>
          <w:tcPr>
            <w:tcW w:w="1560"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.089</w:t>
            </w:r>
          </w:p>
          <w:p w:rsidR="0049577B" w:rsidRPr="00E736D6" w:rsidRDefault="0049577B" w:rsidP="00A14BAA">
            <w:pPr>
              <w:spacing w:line="240" w:lineRule="auto"/>
              <w:ind w:leftChars="0" w:left="0" w:rightChars="0" w:right="0"/>
              <w:jc w:val="center"/>
              <w:rPr>
                <w:sz w:val="24"/>
              </w:rPr>
            </w:pPr>
            <w:r w:rsidRPr="00E736D6">
              <w:rPr>
                <w:sz w:val="24"/>
              </w:rPr>
              <w:t>(2.884</w:t>
            </w:r>
            <w:r w:rsidR="00587200">
              <w:rPr>
                <w:sz w:val="24"/>
              </w:rPr>
              <w:t>)</w:t>
            </w:r>
            <w:r w:rsidRPr="00E736D6">
              <w:rPr>
                <w:position w:val="10"/>
                <w:sz w:val="24"/>
              </w:rPr>
              <w:t>﹡</w:t>
            </w:r>
          </w:p>
        </w:tc>
        <w:tc>
          <w:tcPr>
            <w:tcW w:w="1984"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.001</w:t>
            </w:r>
          </w:p>
          <w:p w:rsidR="0049577B" w:rsidRPr="00E736D6" w:rsidRDefault="0049577B" w:rsidP="00A14BAA">
            <w:pPr>
              <w:spacing w:line="240" w:lineRule="auto"/>
              <w:ind w:leftChars="0" w:left="0" w:rightChars="0" w:right="0"/>
              <w:jc w:val="center"/>
              <w:rPr>
                <w:sz w:val="24"/>
              </w:rPr>
            </w:pPr>
            <w:r w:rsidRPr="00E736D6">
              <w:rPr>
                <w:sz w:val="24"/>
              </w:rPr>
              <w:t>(.438)</w:t>
            </w:r>
          </w:p>
        </w:tc>
      </w:tr>
      <w:tr w:rsidR="0049577B" w:rsidRPr="00B40DC1" w:rsidTr="00E736D6">
        <w:trPr>
          <w:jc w:val="center"/>
        </w:trPr>
        <w:tc>
          <w:tcPr>
            <w:tcW w:w="1815" w:type="dxa"/>
            <w:shd w:val="clear" w:color="auto" w:fill="auto"/>
          </w:tcPr>
          <w:p w:rsidR="0049577B" w:rsidRPr="00E736D6" w:rsidRDefault="0049577B" w:rsidP="00E736D6">
            <w:pPr>
              <w:spacing w:line="240" w:lineRule="auto"/>
              <w:ind w:leftChars="0" w:left="0" w:rightChars="0" w:right="0"/>
              <w:rPr>
                <w:sz w:val="24"/>
              </w:rPr>
            </w:pPr>
            <w:r w:rsidRPr="00E736D6">
              <w:rPr>
                <w:sz w:val="24"/>
              </w:rPr>
              <w:t>常數</w:t>
            </w:r>
          </w:p>
        </w:tc>
        <w:tc>
          <w:tcPr>
            <w:tcW w:w="1441"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21.568</w:t>
            </w:r>
          </w:p>
          <w:p w:rsidR="0049577B" w:rsidRPr="00E736D6" w:rsidRDefault="0049577B" w:rsidP="00A14BAA">
            <w:pPr>
              <w:spacing w:line="240" w:lineRule="auto"/>
              <w:ind w:leftChars="0" w:left="0" w:rightChars="0" w:right="0"/>
              <w:jc w:val="center"/>
              <w:rPr>
                <w:sz w:val="24"/>
              </w:rPr>
            </w:pPr>
            <w:r w:rsidRPr="00E736D6">
              <w:rPr>
                <w:sz w:val="24"/>
              </w:rPr>
              <w:t>(.818)</w:t>
            </w:r>
          </w:p>
        </w:tc>
        <w:tc>
          <w:tcPr>
            <w:tcW w:w="1417"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1.292</w:t>
            </w:r>
          </w:p>
          <w:p w:rsidR="0049577B" w:rsidRPr="00E736D6" w:rsidRDefault="0049577B" w:rsidP="00A14BAA">
            <w:pPr>
              <w:spacing w:line="240" w:lineRule="auto"/>
              <w:ind w:leftChars="0" w:left="0" w:rightChars="0" w:right="0"/>
              <w:jc w:val="center"/>
              <w:rPr>
                <w:sz w:val="24"/>
              </w:rPr>
            </w:pPr>
            <w:r w:rsidRPr="00E736D6">
              <w:rPr>
                <w:sz w:val="24"/>
              </w:rPr>
              <w:t>(.562)</w:t>
            </w:r>
          </w:p>
        </w:tc>
        <w:tc>
          <w:tcPr>
            <w:tcW w:w="1559"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28.897</w:t>
            </w:r>
          </w:p>
          <w:p w:rsidR="0049577B" w:rsidRPr="00E736D6" w:rsidRDefault="0049577B" w:rsidP="00A14BAA">
            <w:pPr>
              <w:spacing w:line="240" w:lineRule="auto"/>
              <w:ind w:leftChars="0" w:left="0" w:rightChars="0" w:right="0"/>
              <w:jc w:val="center"/>
              <w:rPr>
                <w:sz w:val="24"/>
              </w:rPr>
            </w:pPr>
            <w:r w:rsidRPr="00E736D6">
              <w:rPr>
                <w:sz w:val="24"/>
              </w:rPr>
              <w:t>(1.129)</w:t>
            </w:r>
          </w:p>
        </w:tc>
        <w:tc>
          <w:tcPr>
            <w:tcW w:w="1560"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-.659</w:t>
            </w:r>
          </w:p>
          <w:p w:rsidR="0049577B" w:rsidRPr="00E736D6" w:rsidRDefault="0049577B" w:rsidP="00A14BAA">
            <w:pPr>
              <w:spacing w:line="240" w:lineRule="auto"/>
              <w:ind w:leftChars="0" w:left="0" w:rightChars="0" w:right="0"/>
              <w:jc w:val="center"/>
              <w:rPr>
                <w:sz w:val="24"/>
              </w:rPr>
            </w:pPr>
            <w:r w:rsidRPr="00E736D6">
              <w:rPr>
                <w:sz w:val="24"/>
              </w:rPr>
              <w:t>(-.500)</w:t>
            </w:r>
          </w:p>
        </w:tc>
        <w:tc>
          <w:tcPr>
            <w:tcW w:w="1984" w:type="dxa"/>
            <w:shd w:val="clear" w:color="auto" w:fill="auto"/>
            <w:vAlign w:val="center"/>
          </w:tcPr>
          <w:p w:rsidR="0049577B" w:rsidRPr="00E736D6" w:rsidRDefault="0049577B" w:rsidP="00A14BAA">
            <w:pPr>
              <w:spacing w:line="240" w:lineRule="auto"/>
              <w:ind w:leftChars="0" w:left="0" w:rightChars="0" w:right="0"/>
              <w:jc w:val="center"/>
              <w:rPr>
                <w:sz w:val="24"/>
              </w:rPr>
            </w:pPr>
            <w:r w:rsidRPr="00E736D6">
              <w:rPr>
                <w:sz w:val="24"/>
              </w:rPr>
              <w:t>-.183</w:t>
            </w:r>
          </w:p>
          <w:p w:rsidR="0049577B" w:rsidRPr="00E736D6" w:rsidRDefault="0049577B" w:rsidP="00A14BAA">
            <w:pPr>
              <w:spacing w:line="240" w:lineRule="auto"/>
              <w:ind w:leftChars="0" w:left="0" w:rightChars="0" w:right="0"/>
              <w:jc w:val="center"/>
              <w:rPr>
                <w:sz w:val="24"/>
              </w:rPr>
            </w:pPr>
            <w:r w:rsidRPr="00E736D6">
              <w:rPr>
                <w:sz w:val="24"/>
              </w:rPr>
              <w:t>(-1.191)</w:t>
            </w:r>
          </w:p>
        </w:tc>
      </w:tr>
    </w:tbl>
    <w:p w:rsidR="0049577B" w:rsidRPr="00B40DC1" w:rsidRDefault="00E736D6" w:rsidP="005340E7">
      <w:pPr>
        <w:spacing w:line="240" w:lineRule="auto"/>
        <w:ind w:leftChars="0" w:left="0" w:rightChars="0" w:right="0"/>
      </w:pPr>
      <w:r>
        <w:t>【註】</w:t>
      </w:r>
      <w:r w:rsidR="0049577B" w:rsidRPr="00B40DC1">
        <w:t>本表格之資料來源，係為---許春金、吳景芳、李湧清、曾正一、許金標、蔡田木(1994)，死刑存廢之探討，台北：行政院研究發展考核委員會編印，頁119，並經由作者重新改寫與闡釋其統計實證數據之意義。</w:t>
      </w:r>
    </w:p>
    <w:p w:rsidR="0049577B" w:rsidRPr="00B40DC1" w:rsidRDefault="0049577B" w:rsidP="005340E7">
      <w:pPr>
        <w:spacing w:line="240" w:lineRule="auto"/>
        <w:ind w:leftChars="0" w:left="0" w:rightChars="0" w:right="0"/>
      </w:pPr>
    </w:p>
    <w:p w:rsidR="0049577B" w:rsidRPr="00B40DC1" w:rsidRDefault="007175B7" w:rsidP="005340E7">
      <w:pPr>
        <w:spacing w:line="240" w:lineRule="auto"/>
        <w:ind w:leftChars="0" w:left="0" w:rightChars="0" w:right="0"/>
      </w:pPr>
      <w:r>
        <w:t xml:space="preserve">　　</w:t>
      </w:r>
      <w:r w:rsidR="0049577B" w:rsidRPr="00B40DC1">
        <w:t>根據下表「各種重要犯罪嚇阻指標變化及社會指標變化與犯罪率變化之同時效應複迴歸分析表」（相對數模式）之實證數據，就執行死刑之同一年度內的同時效應而言（相對數模式），死刑對於同一年度內之「總體犯罪率」、「強姦犯罪率」、「暴力性財產犯罪率」與「擄人勒贖犯罪率」而論，均欠缺抑制及嚇阻之作用。亦即，死刑對於上述之各類犯罪，沒有嚇阻力道。然而，死刑對於殺人犯罪率而論，卻存有正向的助長作用；亦即，死刑可提升殺人犯罪之發生，且達到統計上之正向顯著效果（迴歸係數為0.15，t值為2.230）。此種之結論，與本書之研究所得，完全一致。</w:t>
      </w:r>
    </w:p>
    <w:p w:rsidR="0049577B" w:rsidRPr="00B40DC1" w:rsidRDefault="003409A9" w:rsidP="005340E7">
      <w:pPr>
        <w:spacing w:line="240" w:lineRule="auto"/>
        <w:ind w:leftChars="0" w:left="0" w:rightChars="0" w:right="0"/>
      </w:pPr>
      <w:r>
        <w:t xml:space="preserve">　　</w:t>
      </w:r>
      <w:r w:rsidR="0049577B" w:rsidRPr="00B40DC1">
        <w:t>換言之，法務部－執行死刑，當年度之殺人案件數立即上揚。吾人擬要反問一個問題；國家存在之必要，究竟是要抑制殺人犯罪案件之發生？抑或，國家有</w:t>
      </w:r>
      <w:hyperlink r:id="rId256" w:history="1">
        <w:r w:rsidR="0049577B" w:rsidRPr="005340E7">
          <w:rPr>
            <w:rStyle w:val="a7"/>
            <w:rFonts w:cs="Times New Roman"/>
            <w:lang w:eastAsia="zh-TW" w:bidi="ar-SA"/>
          </w:rPr>
          <w:t>憲法</w:t>
        </w:r>
      </w:hyperlink>
      <w:r w:rsidR="0049577B" w:rsidRPr="00B40DC1">
        <w:t>上之法律義務，須不斷地思考如何助長殺人犯罪案件之發生？假若當吾人已確知：死刑會助長殺人案件之發生，台灣社會仍須要「支持死刑」否？有必要須如此「不理智」與「不成熟」否？有必要須如此「意氣用事」否？根據上述之實證調查結果，已充分地顯示：死刑確會增進殺人犯罪案件之發生。在此種情況下，理論上，實應廢除死刑。假若吾人仍繼續支持死刑，在「理智」上，即顯得非常不成熟，欠缺法律邏輯性及思考性。為了有效地降低殺人犯罪之發生，國家廢除死刑是唯一之王道、仁道與正道。國家如維持死刑，恐係霸道、不仁道與不正道。</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表22、各種嚇阻犯罪重要指標變化及社會指標之變化對於犯罪率之變化之同時效應複回歸分析(相對數模式)</w:t>
      </w:r>
      <w:r w:rsidR="003C1792">
        <w:rPr>
          <w:lang w:eastAsia="zh-TW"/>
        </w:rPr>
        <w:t>(</w:t>
      </w:r>
      <w:r w:rsidRPr="00B40DC1">
        <w:rPr>
          <w:lang w:eastAsia="zh-TW"/>
        </w:rPr>
        <w:t>1961~1990)</w:t>
      </w:r>
      <w:r w:rsidR="003C1792">
        <w:rPr>
          <w:lang w:eastAsia="zh-TW"/>
        </w:rPr>
        <w:t>(</w:t>
      </w:r>
      <w:r w:rsidRPr="00B40DC1">
        <w:rPr>
          <w:lang w:eastAsia="zh-TW"/>
        </w:rPr>
        <w:t>括號內為t值)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76"/>
        <w:gridCol w:w="1679"/>
        <w:gridCol w:w="1679"/>
        <w:gridCol w:w="1679"/>
        <w:gridCol w:w="1679"/>
      </w:tblGrid>
      <w:tr w:rsidR="0049577B" w:rsidRPr="00B40DC1" w:rsidTr="00A662A2">
        <w:trPr>
          <w:tblHeader/>
          <w:jc w:val="center"/>
        </w:trPr>
        <w:tc>
          <w:tcPr>
            <w:tcW w:w="1696" w:type="dxa"/>
            <w:shd w:val="clear" w:color="auto" w:fill="FAF0FA"/>
            <w:vAlign w:val="center"/>
          </w:tcPr>
          <w:p w:rsidR="003C1792" w:rsidRPr="00A662A2" w:rsidRDefault="0049577B" w:rsidP="00A662A2">
            <w:pPr>
              <w:spacing w:line="240" w:lineRule="auto"/>
              <w:ind w:leftChars="0" w:left="0" w:rightChars="0" w:right="0"/>
              <w:jc w:val="center"/>
              <w:rPr>
                <w:sz w:val="24"/>
              </w:rPr>
            </w:pPr>
            <w:r w:rsidRPr="00A662A2">
              <w:rPr>
                <w:sz w:val="24"/>
              </w:rPr>
              <w:t>依變項</w:t>
            </w:r>
          </w:p>
          <w:p w:rsidR="0049577B" w:rsidRPr="00A662A2" w:rsidRDefault="0049577B" w:rsidP="00A662A2">
            <w:pPr>
              <w:spacing w:line="240" w:lineRule="auto"/>
              <w:ind w:leftChars="0" w:left="0" w:rightChars="0" w:right="0"/>
              <w:jc w:val="center"/>
              <w:rPr>
                <w:sz w:val="24"/>
              </w:rPr>
            </w:pPr>
            <w:r w:rsidRPr="00A662A2">
              <w:rPr>
                <w:sz w:val="24"/>
              </w:rPr>
              <w:t>迴歸係數</w:t>
            </w:r>
          </w:p>
          <w:p w:rsidR="0049577B" w:rsidRPr="00A662A2" w:rsidRDefault="0049577B" w:rsidP="00A662A2">
            <w:pPr>
              <w:spacing w:line="240" w:lineRule="auto"/>
              <w:ind w:leftChars="0" w:left="0" w:rightChars="0" w:right="0"/>
              <w:jc w:val="center"/>
              <w:rPr>
                <w:sz w:val="24"/>
              </w:rPr>
            </w:pPr>
            <w:r w:rsidRPr="00A662A2">
              <w:rPr>
                <w:sz w:val="24"/>
              </w:rPr>
              <w:t>t-值</w:t>
            </w:r>
          </w:p>
          <w:p w:rsidR="0049577B" w:rsidRPr="00A662A2" w:rsidRDefault="0049577B" w:rsidP="00A662A2">
            <w:pPr>
              <w:spacing w:line="240" w:lineRule="auto"/>
              <w:ind w:leftChars="0" w:left="0" w:rightChars="0" w:right="0"/>
              <w:jc w:val="center"/>
              <w:rPr>
                <w:sz w:val="24"/>
              </w:rPr>
            </w:pPr>
            <w:r w:rsidRPr="00A662A2">
              <w:rPr>
                <w:sz w:val="24"/>
              </w:rPr>
              <w:t>自變項</w:t>
            </w:r>
          </w:p>
        </w:tc>
        <w:tc>
          <w:tcPr>
            <w:tcW w:w="1099" w:type="dxa"/>
            <w:shd w:val="clear" w:color="auto" w:fill="FAF0FA"/>
            <w:vAlign w:val="center"/>
          </w:tcPr>
          <w:p w:rsidR="0049577B" w:rsidRPr="00A662A2" w:rsidRDefault="0049577B" w:rsidP="00A662A2">
            <w:pPr>
              <w:spacing w:line="240" w:lineRule="auto"/>
              <w:ind w:leftChars="0" w:left="0" w:rightChars="0" w:right="0"/>
              <w:jc w:val="center"/>
              <w:rPr>
                <w:sz w:val="24"/>
              </w:rPr>
            </w:pPr>
            <w:r w:rsidRPr="00A662A2">
              <w:rPr>
                <w:sz w:val="24"/>
              </w:rPr>
              <w:t>總犯罪率之變化(依變項、結果變項)</w:t>
            </w:r>
          </w:p>
        </w:tc>
        <w:tc>
          <w:tcPr>
            <w:tcW w:w="1679" w:type="dxa"/>
            <w:shd w:val="clear" w:color="auto" w:fill="FAF0FA"/>
            <w:vAlign w:val="center"/>
          </w:tcPr>
          <w:p w:rsidR="0049577B" w:rsidRPr="00A662A2" w:rsidRDefault="0049577B" w:rsidP="00A662A2">
            <w:pPr>
              <w:spacing w:line="240" w:lineRule="auto"/>
              <w:ind w:leftChars="0" w:left="0" w:rightChars="0" w:right="0"/>
              <w:jc w:val="center"/>
              <w:rPr>
                <w:sz w:val="24"/>
              </w:rPr>
            </w:pPr>
            <w:r w:rsidRPr="00A662A2">
              <w:rPr>
                <w:sz w:val="24"/>
              </w:rPr>
              <w:t>殺人犯罪率之變化(依變項、結果變項)</w:t>
            </w:r>
          </w:p>
        </w:tc>
        <w:tc>
          <w:tcPr>
            <w:tcW w:w="1679" w:type="dxa"/>
            <w:shd w:val="clear" w:color="auto" w:fill="FAF0FA"/>
            <w:vAlign w:val="center"/>
          </w:tcPr>
          <w:p w:rsidR="0049577B" w:rsidRPr="00A662A2" w:rsidRDefault="0049577B" w:rsidP="00A662A2">
            <w:pPr>
              <w:spacing w:line="240" w:lineRule="auto"/>
              <w:ind w:leftChars="0" w:left="0" w:rightChars="0" w:right="0"/>
              <w:jc w:val="center"/>
              <w:rPr>
                <w:sz w:val="24"/>
              </w:rPr>
            </w:pPr>
            <w:r w:rsidRPr="00A662A2">
              <w:rPr>
                <w:sz w:val="24"/>
              </w:rPr>
              <w:t>強姦犯罪率之變化(依變項、結果變項)</w:t>
            </w:r>
          </w:p>
        </w:tc>
        <w:tc>
          <w:tcPr>
            <w:tcW w:w="1679" w:type="dxa"/>
            <w:shd w:val="clear" w:color="auto" w:fill="FAF0FA"/>
            <w:vAlign w:val="center"/>
          </w:tcPr>
          <w:p w:rsidR="0049577B" w:rsidRPr="00A662A2" w:rsidRDefault="0049577B" w:rsidP="00A662A2">
            <w:pPr>
              <w:spacing w:line="240" w:lineRule="auto"/>
              <w:ind w:leftChars="0" w:left="0" w:rightChars="0" w:right="0"/>
              <w:jc w:val="center"/>
              <w:rPr>
                <w:sz w:val="24"/>
              </w:rPr>
            </w:pPr>
            <w:r w:rsidRPr="00A662A2">
              <w:rPr>
                <w:sz w:val="24"/>
              </w:rPr>
              <w:t>暴力性財產犯罪率之變化(依變項、結果變項)</w:t>
            </w:r>
          </w:p>
        </w:tc>
        <w:tc>
          <w:tcPr>
            <w:tcW w:w="1679" w:type="dxa"/>
            <w:shd w:val="clear" w:color="auto" w:fill="FAF0FA"/>
            <w:vAlign w:val="center"/>
          </w:tcPr>
          <w:p w:rsidR="0049577B" w:rsidRPr="00A662A2" w:rsidRDefault="0049577B" w:rsidP="00A662A2">
            <w:pPr>
              <w:spacing w:line="240" w:lineRule="auto"/>
              <w:ind w:leftChars="0" w:left="0" w:rightChars="0" w:right="0"/>
              <w:jc w:val="center"/>
              <w:rPr>
                <w:sz w:val="24"/>
              </w:rPr>
            </w:pPr>
            <w:r w:rsidRPr="00A662A2">
              <w:rPr>
                <w:sz w:val="24"/>
              </w:rPr>
              <w:t>擄人勒贖犯罪率之變化(依變項、結果變項)</w:t>
            </w:r>
          </w:p>
        </w:tc>
      </w:tr>
      <w:tr w:rsidR="0049577B" w:rsidRPr="00B40DC1" w:rsidTr="007175B7">
        <w:trPr>
          <w:jc w:val="center"/>
        </w:trPr>
        <w:tc>
          <w:tcPr>
            <w:tcW w:w="1696" w:type="dxa"/>
            <w:shd w:val="clear" w:color="auto" w:fill="auto"/>
          </w:tcPr>
          <w:p w:rsidR="0049577B" w:rsidRPr="00A662A2" w:rsidRDefault="0049577B" w:rsidP="00A662A2">
            <w:pPr>
              <w:spacing w:line="240" w:lineRule="auto"/>
              <w:ind w:leftChars="0" w:left="0" w:rightChars="0" w:right="0"/>
              <w:rPr>
                <w:sz w:val="24"/>
              </w:rPr>
            </w:pPr>
            <w:r w:rsidRPr="00A662A2">
              <w:rPr>
                <w:sz w:val="24"/>
              </w:rPr>
              <w:t>被執行死刑之人數之變化(自變項)</w:t>
            </w:r>
          </w:p>
        </w:tc>
        <w:tc>
          <w:tcPr>
            <w:tcW w:w="109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.152</w:t>
            </w:r>
          </w:p>
          <w:p w:rsidR="0049577B" w:rsidRPr="00A662A2" w:rsidRDefault="0049577B" w:rsidP="00A662A2">
            <w:pPr>
              <w:spacing w:line="240" w:lineRule="auto"/>
              <w:ind w:leftChars="0" w:left="0" w:rightChars="0" w:right="0"/>
              <w:jc w:val="center"/>
              <w:rPr>
                <w:sz w:val="24"/>
              </w:rPr>
            </w:pPr>
            <w:r w:rsidRPr="00A662A2">
              <w:rPr>
                <w:sz w:val="24"/>
              </w:rPr>
              <w:t>(1.701)</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.015</w:t>
            </w:r>
          </w:p>
          <w:p w:rsidR="0049577B" w:rsidRPr="00A662A2" w:rsidRDefault="0049577B" w:rsidP="00A662A2">
            <w:pPr>
              <w:spacing w:line="240" w:lineRule="auto"/>
              <w:ind w:leftChars="0" w:left="0" w:rightChars="0" w:right="0"/>
              <w:jc w:val="center"/>
              <w:rPr>
                <w:sz w:val="24"/>
              </w:rPr>
            </w:pPr>
            <w:r w:rsidRPr="00A662A2">
              <w:rPr>
                <w:sz w:val="24"/>
              </w:rPr>
              <w:t>(2.230)</w:t>
            </w:r>
            <w:r w:rsidRPr="00A662A2">
              <w:rPr>
                <w:position w:val="10"/>
                <w:sz w:val="24"/>
              </w:rPr>
              <w:t>﹡</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.008</w:t>
            </w:r>
          </w:p>
          <w:p w:rsidR="0049577B" w:rsidRPr="00A662A2" w:rsidRDefault="0049577B" w:rsidP="00A662A2">
            <w:pPr>
              <w:spacing w:line="240" w:lineRule="auto"/>
              <w:ind w:leftChars="0" w:left="0" w:rightChars="0" w:right="0"/>
              <w:jc w:val="center"/>
              <w:rPr>
                <w:sz w:val="24"/>
              </w:rPr>
            </w:pPr>
            <w:r w:rsidRPr="00A662A2">
              <w:rPr>
                <w:sz w:val="24"/>
              </w:rPr>
              <w:t>(2.070)</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-.051</w:t>
            </w:r>
          </w:p>
          <w:p w:rsidR="0049577B" w:rsidRPr="00A662A2" w:rsidRDefault="0049577B" w:rsidP="00A662A2">
            <w:pPr>
              <w:spacing w:line="240" w:lineRule="auto"/>
              <w:ind w:leftChars="0" w:left="0" w:rightChars="0" w:right="0"/>
              <w:jc w:val="center"/>
              <w:rPr>
                <w:sz w:val="24"/>
              </w:rPr>
            </w:pPr>
            <w:r w:rsidRPr="00A662A2">
              <w:rPr>
                <w:sz w:val="24"/>
              </w:rPr>
              <w:t>(-1.748)</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.004</w:t>
            </w:r>
          </w:p>
          <w:p w:rsidR="0049577B" w:rsidRPr="00A662A2" w:rsidRDefault="0049577B" w:rsidP="00A662A2">
            <w:pPr>
              <w:spacing w:line="240" w:lineRule="auto"/>
              <w:ind w:leftChars="0" w:left="0" w:rightChars="0" w:right="0"/>
              <w:jc w:val="center"/>
              <w:rPr>
                <w:sz w:val="24"/>
              </w:rPr>
            </w:pPr>
            <w:r w:rsidRPr="00A662A2">
              <w:rPr>
                <w:sz w:val="24"/>
              </w:rPr>
              <w:t>(1.172)</w:t>
            </w:r>
          </w:p>
        </w:tc>
      </w:tr>
      <w:tr w:rsidR="0049577B" w:rsidRPr="00B40DC1" w:rsidTr="007175B7">
        <w:trPr>
          <w:jc w:val="center"/>
        </w:trPr>
        <w:tc>
          <w:tcPr>
            <w:tcW w:w="1696" w:type="dxa"/>
            <w:shd w:val="clear" w:color="auto" w:fill="auto"/>
          </w:tcPr>
          <w:p w:rsidR="0049577B" w:rsidRPr="00A662A2" w:rsidRDefault="0049577B" w:rsidP="00A662A2">
            <w:pPr>
              <w:spacing w:line="240" w:lineRule="auto"/>
              <w:ind w:leftChars="0" w:left="0" w:rightChars="0" w:right="0"/>
              <w:rPr>
                <w:sz w:val="24"/>
              </w:rPr>
            </w:pPr>
            <w:r w:rsidRPr="00A662A2">
              <w:rPr>
                <w:sz w:val="24"/>
              </w:rPr>
              <w:t>刑案破獲率之變化(自變項)</w:t>
            </w:r>
          </w:p>
        </w:tc>
        <w:tc>
          <w:tcPr>
            <w:tcW w:w="109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-.057</w:t>
            </w:r>
          </w:p>
          <w:p w:rsidR="0049577B" w:rsidRPr="00A662A2" w:rsidRDefault="0049577B" w:rsidP="00A662A2">
            <w:pPr>
              <w:spacing w:line="240" w:lineRule="auto"/>
              <w:ind w:leftChars="0" w:left="0" w:rightChars="0" w:right="0"/>
              <w:jc w:val="center"/>
              <w:rPr>
                <w:sz w:val="24"/>
              </w:rPr>
            </w:pPr>
            <w:r w:rsidRPr="00A662A2">
              <w:rPr>
                <w:sz w:val="24"/>
              </w:rPr>
              <w:t>(-.203)</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-.009</w:t>
            </w:r>
          </w:p>
          <w:p w:rsidR="0049577B" w:rsidRPr="00A662A2" w:rsidRDefault="0049577B" w:rsidP="00A662A2">
            <w:pPr>
              <w:spacing w:line="240" w:lineRule="auto"/>
              <w:ind w:leftChars="0" w:left="0" w:rightChars="0" w:right="0"/>
              <w:jc w:val="center"/>
              <w:rPr>
                <w:sz w:val="24"/>
              </w:rPr>
            </w:pPr>
            <w:r w:rsidRPr="00A662A2">
              <w:rPr>
                <w:sz w:val="24"/>
              </w:rPr>
              <w:t>(-.547)</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-.004</w:t>
            </w:r>
          </w:p>
          <w:p w:rsidR="0049577B" w:rsidRPr="00A662A2" w:rsidRDefault="0049577B" w:rsidP="00A662A2">
            <w:pPr>
              <w:spacing w:line="240" w:lineRule="auto"/>
              <w:ind w:leftChars="0" w:left="0" w:rightChars="0" w:right="0"/>
              <w:jc w:val="center"/>
              <w:rPr>
                <w:sz w:val="24"/>
              </w:rPr>
            </w:pPr>
            <w:r w:rsidRPr="00A662A2">
              <w:rPr>
                <w:sz w:val="24"/>
              </w:rPr>
              <w:t>(-1.044)</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-0.034</w:t>
            </w:r>
          </w:p>
          <w:p w:rsidR="0049577B" w:rsidRPr="00A662A2" w:rsidRDefault="0049577B" w:rsidP="00A662A2">
            <w:pPr>
              <w:spacing w:line="240" w:lineRule="auto"/>
              <w:ind w:leftChars="0" w:left="0" w:rightChars="0" w:right="0"/>
              <w:jc w:val="center"/>
              <w:rPr>
                <w:sz w:val="24"/>
              </w:rPr>
            </w:pPr>
            <w:r w:rsidRPr="00A662A2">
              <w:rPr>
                <w:sz w:val="24"/>
              </w:rPr>
              <w:t>(-1.895)</w:t>
            </w:r>
          </w:p>
        </w:tc>
        <w:tc>
          <w:tcPr>
            <w:tcW w:w="1679" w:type="dxa"/>
            <w:shd w:val="clear" w:color="auto" w:fill="auto"/>
            <w:vAlign w:val="center"/>
          </w:tcPr>
          <w:p w:rsidR="003C1792" w:rsidRPr="00A662A2" w:rsidRDefault="0049577B" w:rsidP="00A662A2">
            <w:pPr>
              <w:spacing w:line="240" w:lineRule="auto"/>
              <w:ind w:leftChars="0" w:left="0" w:rightChars="0" w:right="0"/>
              <w:jc w:val="center"/>
              <w:rPr>
                <w:sz w:val="24"/>
              </w:rPr>
            </w:pPr>
            <w:r w:rsidRPr="00A662A2">
              <w:rPr>
                <w:sz w:val="24"/>
              </w:rPr>
              <w:t>-3.499(E-05)</w:t>
            </w:r>
            <w:r w:rsidRPr="00A662A2">
              <w:rPr>
                <w:rStyle w:val="af7"/>
                <w:rFonts w:eastAsia="新細明體"/>
                <w:sz w:val="20"/>
              </w:rPr>
              <w:footnoteReference w:id="133"/>
            </w:r>
          </w:p>
          <w:p w:rsidR="0049577B" w:rsidRPr="00A662A2" w:rsidRDefault="0049577B" w:rsidP="00A662A2">
            <w:pPr>
              <w:spacing w:line="240" w:lineRule="auto"/>
              <w:ind w:leftChars="0" w:left="0" w:rightChars="0" w:right="0"/>
              <w:jc w:val="center"/>
              <w:rPr>
                <w:sz w:val="24"/>
              </w:rPr>
            </w:pPr>
            <w:r w:rsidRPr="00A662A2">
              <w:rPr>
                <w:sz w:val="24"/>
              </w:rPr>
              <w:t>(-.055)</w:t>
            </w:r>
          </w:p>
        </w:tc>
      </w:tr>
      <w:tr w:rsidR="0049577B" w:rsidRPr="00B40DC1" w:rsidTr="007175B7">
        <w:trPr>
          <w:jc w:val="center"/>
        </w:trPr>
        <w:tc>
          <w:tcPr>
            <w:tcW w:w="1696" w:type="dxa"/>
            <w:shd w:val="clear" w:color="auto" w:fill="auto"/>
          </w:tcPr>
          <w:p w:rsidR="0049577B" w:rsidRPr="00A662A2" w:rsidRDefault="0049577B" w:rsidP="00A662A2">
            <w:pPr>
              <w:spacing w:line="240" w:lineRule="auto"/>
              <w:ind w:leftChars="0" w:left="0" w:rightChars="0" w:right="0"/>
              <w:rPr>
                <w:sz w:val="24"/>
              </w:rPr>
            </w:pPr>
            <w:r w:rsidRPr="00A662A2">
              <w:rPr>
                <w:sz w:val="24"/>
              </w:rPr>
              <w:t>失業率之變化(自變項)</w:t>
            </w:r>
          </w:p>
        </w:tc>
        <w:tc>
          <w:tcPr>
            <w:tcW w:w="109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3.975</w:t>
            </w:r>
          </w:p>
          <w:p w:rsidR="0049577B" w:rsidRPr="00A662A2" w:rsidRDefault="0049577B" w:rsidP="00A662A2">
            <w:pPr>
              <w:spacing w:line="240" w:lineRule="auto"/>
              <w:ind w:leftChars="0" w:left="0" w:rightChars="0" w:right="0"/>
              <w:jc w:val="center"/>
              <w:rPr>
                <w:sz w:val="24"/>
              </w:rPr>
            </w:pPr>
            <w:r w:rsidRPr="00A662A2">
              <w:rPr>
                <w:sz w:val="24"/>
              </w:rPr>
              <w:t>(2.049)</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-0.56</w:t>
            </w:r>
          </w:p>
          <w:p w:rsidR="0049577B" w:rsidRPr="00A662A2" w:rsidRDefault="0049577B" w:rsidP="00A662A2">
            <w:pPr>
              <w:spacing w:line="240" w:lineRule="auto"/>
              <w:ind w:leftChars="0" w:left="0" w:rightChars="0" w:right="0"/>
              <w:jc w:val="center"/>
              <w:rPr>
                <w:sz w:val="24"/>
              </w:rPr>
            </w:pPr>
            <w:r w:rsidRPr="00A662A2">
              <w:rPr>
                <w:sz w:val="24"/>
              </w:rPr>
              <w:t>(-.700)</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.071</w:t>
            </w:r>
          </w:p>
          <w:p w:rsidR="0049577B" w:rsidRPr="00A662A2" w:rsidRDefault="0049577B" w:rsidP="00A662A2">
            <w:pPr>
              <w:spacing w:line="240" w:lineRule="auto"/>
              <w:ind w:leftChars="0" w:left="0" w:rightChars="0" w:right="0"/>
              <w:jc w:val="center"/>
              <w:rPr>
                <w:sz w:val="24"/>
              </w:rPr>
            </w:pPr>
            <w:r w:rsidRPr="00A662A2">
              <w:rPr>
                <w:sz w:val="24"/>
              </w:rPr>
              <w:t>(1.500)</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.109</w:t>
            </w:r>
          </w:p>
          <w:p w:rsidR="0049577B" w:rsidRPr="00A662A2" w:rsidRDefault="0049577B" w:rsidP="00A662A2">
            <w:pPr>
              <w:spacing w:line="240" w:lineRule="auto"/>
              <w:ind w:leftChars="0" w:left="0" w:rightChars="0" w:right="0"/>
              <w:jc w:val="center"/>
              <w:rPr>
                <w:sz w:val="24"/>
              </w:rPr>
            </w:pPr>
            <w:r w:rsidRPr="00A662A2">
              <w:rPr>
                <w:sz w:val="24"/>
              </w:rPr>
              <w:t>(1.183)</w:t>
            </w:r>
          </w:p>
        </w:tc>
        <w:tc>
          <w:tcPr>
            <w:tcW w:w="1679" w:type="dxa"/>
            <w:shd w:val="clear" w:color="auto" w:fill="auto"/>
            <w:vAlign w:val="center"/>
          </w:tcPr>
          <w:p w:rsidR="003C1792" w:rsidRPr="00A662A2" w:rsidRDefault="0049577B" w:rsidP="00A662A2">
            <w:pPr>
              <w:spacing w:line="240" w:lineRule="auto"/>
              <w:ind w:leftChars="0" w:left="0" w:rightChars="0" w:right="0"/>
              <w:jc w:val="center"/>
              <w:rPr>
                <w:sz w:val="24"/>
              </w:rPr>
            </w:pPr>
            <w:r w:rsidRPr="00A662A2">
              <w:rPr>
                <w:sz w:val="24"/>
              </w:rPr>
              <w:t>-4.434(E-04)</w:t>
            </w:r>
            <w:r w:rsidRPr="00A662A2">
              <w:rPr>
                <w:rStyle w:val="af7"/>
                <w:rFonts w:eastAsia="新細明體"/>
                <w:sz w:val="20"/>
              </w:rPr>
              <w:footnoteReference w:id="134"/>
            </w:r>
          </w:p>
          <w:p w:rsidR="0049577B" w:rsidRPr="00A662A2" w:rsidRDefault="0049577B" w:rsidP="00A662A2">
            <w:pPr>
              <w:spacing w:line="240" w:lineRule="auto"/>
              <w:ind w:leftChars="0" w:left="0" w:rightChars="0" w:right="0"/>
              <w:jc w:val="center"/>
              <w:rPr>
                <w:sz w:val="24"/>
              </w:rPr>
            </w:pPr>
            <w:r w:rsidRPr="00A662A2">
              <w:rPr>
                <w:sz w:val="24"/>
              </w:rPr>
              <w:t>(-.044)</w:t>
            </w:r>
          </w:p>
        </w:tc>
      </w:tr>
      <w:tr w:rsidR="0049577B" w:rsidRPr="00B40DC1" w:rsidTr="007175B7">
        <w:trPr>
          <w:jc w:val="center"/>
        </w:trPr>
        <w:tc>
          <w:tcPr>
            <w:tcW w:w="1696" w:type="dxa"/>
            <w:shd w:val="clear" w:color="auto" w:fill="auto"/>
          </w:tcPr>
          <w:p w:rsidR="0049577B" w:rsidRPr="00A662A2" w:rsidRDefault="0049577B" w:rsidP="00A662A2">
            <w:pPr>
              <w:spacing w:line="240" w:lineRule="auto"/>
              <w:ind w:leftChars="0" w:left="0" w:rightChars="0" w:right="0"/>
              <w:rPr>
                <w:sz w:val="24"/>
              </w:rPr>
            </w:pPr>
            <w:r w:rsidRPr="00A662A2">
              <w:rPr>
                <w:sz w:val="24"/>
              </w:rPr>
              <w:t>離婚率之變化(自變項)</w:t>
            </w:r>
          </w:p>
        </w:tc>
        <w:tc>
          <w:tcPr>
            <w:tcW w:w="109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61.828</w:t>
            </w:r>
          </w:p>
          <w:p w:rsidR="0049577B" w:rsidRPr="00A662A2" w:rsidRDefault="0049577B" w:rsidP="00A662A2">
            <w:pPr>
              <w:spacing w:line="240" w:lineRule="auto"/>
              <w:ind w:leftChars="0" w:left="0" w:rightChars="0" w:right="0"/>
              <w:jc w:val="center"/>
              <w:rPr>
                <w:sz w:val="24"/>
              </w:rPr>
            </w:pPr>
            <w:r w:rsidRPr="00A662A2">
              <w:rPr>
                <w:sz w:val="24"/>
              </w:rPr>
              <w:t>(1.886)</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1.328</w:t>
            </w:r>
          </w:p>
          <w:p w:rsidR="0049577B" w:rsidRPr="00A662A2" w:rsidRDefault="0049577B" w:rsidP="00A662A2">
            <w:pPr>
              <w:spacing w:line="240" w:lineRule="auto"/>
              <w:ind w:leftChars="0" w:left="0" w:rightChars="0" w:right="0"/>
              <w:jc w:val="center"/>
              <w:rPr>
                <w:sz w:val="24"/>
              </w:rPr>
            </w:pPr>
            <w:r w:rsidRPr="00A662A2">
              <w:rPr>
                <w:sz w:val="24"/>
              </w:rPr>
              <w:t>(1.295)</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1.522</w:t>
            </w:r>
          </w:p>
          <w:p w:rsidR="0049577B" w:rsidRPr="00A662A2" w:rsidRDefault="0049577B" w:rsidP="00A662A2">
            <w:pPr>
              <w:spacing w:line="240" w:lineRule="auto"/>
              <w:ind w:leftChars="0" w:left="0" w:rightChars="0" w:right="0"/>
              <w:jc w:val="center"/>
              <w:rPr>
                <w:sz w:val="24"/>
              </w:rPr>
            </w:pPr>
            <w:r w:rsidRPr="00A662A2">
              <w:rPr>
                <w:sz w:val="24"/>
              </w:rPr>
              <w:t>(1.728)</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-.336</w:t>
            </w:r>
          </w:p>
          <w:p w:rsidR="0049577B" w:rsidRPr="00A662A2" w:rsidRDefault="0049577B" w:rsidP="00A662A2">
            <w:pPr>
              <w:spacing w:line="240" w:lineRule="auto"/>
              <w:ind w:leftChars="0" w:left="0" w:rightChars="0" w:right="0"/>
              <w:jc w:val="center"/>
              <w:rPr>
                <w:sz w:val="24"/>
              </w:rPr>
            </w:pPr>
            <w:r w:rsidRPr="00A662A2">
              <w:rPr>
                <w:sz w:val="24"/>
              </w:rPr>
              <w:t>(-.476)</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-.303</w:t>
            </w:r>
          </w:p>
          <w:p w:rsidR="0049577B" w:rsidRPr="00A662A2" w:rsidRDefault="0049577B" w:rsidP="00A662A2">
            <w:pPr>
              <w:spacing w:line="240" w:lineRule="auto"/>
              <w:ind w:leftChars="0" w:left="0" w:rightChars="0" w:right="0"/>
              <w:jc w:val="center"/>
              <w:rPr>
                <w:sz w:val="24"/>
              </w:rPr>
            </w:pPr>
            <w:r w:rsidRPr="00A662A2">
              <w:rPr>
                <w:sz w:val="24"/>
              </w:rPr>
              <w:t>(-2.122</w:t>
            </w:r>
            <w:r w:rsidR="00587200">
              <w:rPr>
                <w:sz w:val="24"/>
              </w:rPr>
              <w:t>)</w:t>
            </w:r>
            <w:r w:rsidRPr="00A662A2">
              <w:rPr>
                <w:position w:val="10"/>
                <w:sz w:val="24"/>
              </w:rPr>
              <w:t>﹡</w:t>
            </w:r>
          </w:p>
        </w:tc>
      </w:tr>
      <w:tr w:rsidR="0049577B" w:rsidRPr="00B40DC1" w:rsidTr="007175B7">
        <w:trPr>
          <w:jc w:val="center"/>
        </w:trPr>
        <w:tc>
          <w:tcPr>
            <w:tcW w:w="1696" w:type="dxa"/>
            <w:shd w:val="clear" w:color="auto" w:fill="auto"/>
          </w:tcPr>
          <w:p w:rsidR="0049577B" w:rsidRPr="00A662A2" w:rsidRDefault="0049577B" w:rsidP="00A662A2">
            <w:pPr>
              <w:spacing w:line="240" w:lineRule="auto"/>
              <w:ind w:leftChars="0" w:left="0" w:rightChars="0" w:right="0"/>
              <w:rPr>
                <w:sz w:val="24"/>
              </w:rPr>
            </w:pPr>
            <w:r w:rsidRPr="00A662A2">
              <w:rPr>
                <w:sz w:val="24"/>
              </w:rPr>
              <w:t>15~29歲</w:t>
            </w:r>
          </w:p>
          <w:p w:rsidR="0049577B" w:rsidRPr="00A662A2" w:rsidRDefault="0049577B" w:rsidP="00A662A2">
            <w:pPr>
              <w:spacing w:line="240" w:lineRule="auto"/>
              <w:ind w:leftChars="0" w:left="0" w:rightChars="0" w:right="0"/>
              <w:rPr>
                <w:sz w:val="24"/>
              </w:rPr>
            </w:pPr>
            <w:r w:rsidRPr="00A662A2">
              <w:rPr>
                <w:sz w:val="24"/>
              </w:rPr>
              <w:t>人口比例之變化(自變項)</w:t>
            </w:r>
          </w:p>
        </w:tc>
        <w:tc>
          <w:tcPr>
            <w:tcW w:w="109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-3.161</w:t>
            </w:r>
          </w:p>
          <w:p w:rsidR="0049577B" w:rsidRPr="00A662A2" w:rsidRDefault="0049577B" w:rsidP="00A662A2">
            <w:pPr>
              <w:spacing w:line="240" w:lineRule="auto"/>
              <w:ind w:leftChars="0" w:left="0" w:rightChars="0" w:right="0"/>
              <w:jc w:val="center"/>
              <w:rPr>
                <w:sz w:val="24"/>
              </w:rPr>
            </w:pPr>
            <w:r w:rsidRPr="00A662A2">
              <w:rPr>
                <w:sz w:val="24"/>
              </w:rPr>
              <w:t>(-1.251)</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-.002</w:t>
            </w:r>
          </w:p>
          <w:p w:rsidR="0049577B" w:rsidRPr="00A662A2" w:rsidRDefault="0049577B" w:rsidP="00A662A2">
            <w:pPr>
              <w:spacing w:line="240" w:lineRule="auto"/>
              <w:ind w:leftChars="0" w:left="0" w:rightChars="0" w:right="0"/>
              <w:jc w:val="center"/>
              <w:rPr>
                <w:sz w:val="24"/>
              </w:rPr>
            </w:pPr>
            <w:r w:rsidRPr="00A662A2">
              <w:rPr>
                <w:sz w:val="24"/>
              </w:rPr>
              <w:t>(-.022)</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-.189</w:t>
            </w:r>
          </w:p>
          <w:p w:rsidR="0049577B" w:rsidRPr="00A662A2" w:rsidRDefault="0049577B" w:rsidP="00A662A2">
            <w:pPr>
              <w:spacing w:line="240" w:lineRule="auto"/>
              <w:ind w:leftChars="0" w:left="0" w:rightChars="0" w:right="0"/>
              <w:jc w:val="center"/>
              <w:rPr>
                <w:sz w:val="24"/>
              </w:rPr>
            </w:pPr>
            <w:r w:rsidRPr="00A662A2">
              <w:rPr>
                <w:sz w:val="24"/>
              </w:rPr>
              <w:t>(-2.976)</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-.976</w:t>
            </w:r>
          </w:p>
          <w:p w:rsidR="0049577B" w:rsidRPr="00A662A2" w:rsidRDefault="0049577B" w:rsidP="00A662A2">
            <w:pPr>
              <w:spacing w:line="240" w:lineRule="auto"/>
              <w:ind w:leftChars="0" w:left="0" w:rightChars="0" w:right="0"/>
              <w:jc w:val="center"/>
              <w:rPr>
                <w:sz w:val="24"/>
              </w:rPr>
            </w:pPr>
            <w:r w:rsidRPr="00A662A2">
              <w:rPr>
                <w:sz w:val="24"/>
              </w:rPr>
              <w:t>(-1.562)</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-.012</w:t>
            </w:r>
          </w:p>
          <w:p w:rsidR="0049577B" w:rsidRPr="00A662A2" w:rsidRDefault="0049577B" w:rsidP="00A662A2">
            <w:pPr>
              <w:spacing w:line="240" w:lineRule="auto"/>
              <w:ind w:leftChars="0" w:left="0" w:rightChars="0" w:right="0"/>
              <w:jc w:val="center"/>
              <w:rPr>
                <w:sz w:val="24"/>
              </w:rPr>
            </w:pPr>
            <w:r w:rsidRPr="00A662A2">
              <w:rPr>
                <w:sz w:val="24"/>
              </w:rPr>
              <w:t>(-.989)</w:t>
            </w:r>
          </w:p>
        </w:tc>
      </w:tr>
      <w:tr w:rsidR="0049577B" w:rsidRPr="00B40DC1" w:rsidTr="007175B7">
        <w:trPr>
          <w:jc w:val="center"/>
        </w:trPr>
        <w:tc>
          <w:tcPr>
            <w:tcW w:w="1696" w:type="dxa"/>
            <w:shd w:val="clear" w:color="auto" w:fill="auto"/>
          </w:tcPr>
          <w:p w:rsidR="0049577B" w:rsidRPr="00A662A2" w:rsidRDefault="0049577B" w:rsidP="00A662A2">
            <w:pPr>
              <w:spacing w:line="240" w:lineRule="auto"/>
              <w:ind w:leftChars="0" w:left="0" w:rightChars="0" w:right="0"/>
              <w:rPr>
                <w:sz w:val="24"/>
              </w:rPr>
            </w:pPr>
            <w:r w:rsidRPr="00A662A2">
              <w:rPr>
                <w:sz w:val="24"/>
              </w:rPr>
              <w:t>國民平均所得之變化(自變項)</w:t>
            </w:r>
          </w:p>
        </w:tc>
        <w:tc>
          <w:tcPr>
            <w:tcW w:w="109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2.398(E-04)</w:t>
            </w:r>
          </w:p>
          <w:p w:rsidR="0049577B" w:rsidRPr="00A662A2" w:rsidRDefault="0049577B" w:rsidP="00A662A2">
            <w:pPr>
              <w:spacing w:line="240" w:lineRule="auto"/>
              <w:ind w:leftChars="0" w:left="0" w:rightChars="0" w:right="0"/>
              <w:jc w:val="center"/>
              <w:rPr>
                <w:sz w:val="24"/>
              </w:rPr>
            </w:pPr>
            <w:r w:rsidRPr="00A662A2">
              <w:rPr>
                <w:sz w:val="24"/>
              </w:rPr>
              <w:t>(1.165)</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-4.505(E-06)</w:t>
            </w:r>
          </w:p>
          <w:p w:rsidR="0049577B" w:rsidRPr="00A662A2" w:rsidRDefault="0049577B" w:rsidP="00A662A2">
            <w:pPr>
              <w:spacing w:line="240" w:lineRule="auto"/>
              <w:ind w:leftChars="0" w:left="0" w:rightChars="0" w:right="0"/>
              <w:jc w:val="center"/>
              <w:rPr>
                <w:sz w:val="24"/>
              </w:rPr>
            </w:pPr>
            <w:r w:rsidRPr="00A662A2">
              <w:rPr>
                <w:sz w:val="24"/>
              </w:rPr>
              <w:t>(.526)</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-9.972(E-06)</w:t>
            </w:r>
          </w:p>
          <w:p w:rsidR="0049577B" w:rsidRPr="00A662A2" w:rsidRDefault="0049577B" w:rsidP="00A662A2">
            <w:pPr>
              <w:spacing w:line="240" w:lineRule="auto"/>
              <w:ind w:leftChars="0" w:left="0" w:rightChars="0" w:right="0"/>
              <w:jc w:val="center"/>
              <w:rPr>
                <w:sz w:val="24"/>
              </w:rPr>
            </w:pPr>
            <w:r w:rsidRPr="00A662A2">
              <w:rPr>
                <w:sz w:val="24"/>
              </w:rPr>
              <w:t>(-1.664)</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5.245(E-06)</w:t>
            </w:r>
          </w:p>
          <w:p w:rsidR="0049577B" w:rsidRPr="00A662A2" w:rsidRDefault="0049577B" w:rsidP="00A662A2">
            <w:pPr>
              <w:spacing w:line="240" w:lineRule="auto"/>
              <w:ind w:leftChars="0" w:left="0" w:rightChars="0" w:right="0"/>
              <w:jc w:val="center"/>
              <w:rPr>
                <w:sz w:val="24"/>
              </w:rPr>
            </w:pPr>
            <w:r w:rsidRPr="00A662A2">
              <w:rPr>
                <w:sz w:val="24"/>
              </w:rPr>
              <w:t>(.421)</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-1.228(E-06)</w:t>
            </w:r>
            <w:r w:rsidRPr="00A662A2">
              <w:rPr>
                <w:rStyle w:val="af7"/>
                <w:rFonts w:eastAsia="新細明體"/>
                <w:sz w:val="20"/>
              </w:rPr>
              <w:footnoteReference w:id="135"/>
            </w:r>
          </w:p>
          <w:p w:rsidR="0049577B" w:rsidRPr="00A662A2" w:rsidRDefault="0049577B" w:rsidP="00A662A2">
            <w:pPr>
              <w:spacing w:line="240" w:lineRule="auto"/>
              <w:ind w:leftChars="0" w:left="0" w:rightChars="0" w:right="0"/>
              <w:jc w:val="center"/>
              <w:rPr>
                <w:sz w:val="24"/>
              </w:rPr>
            </w:pPr>
            <w:r w:rsidRPr="00A662A2">
              <w:rPr>
                <w:sz w:val="24"/>
              </w:rPr>
              <w:t>(-1.049)</w:t>
            </w:r>
          </w:p>
        </w:tc>
      </w:tr>
      <w:tr w:rsidR="0049577B" w:rsidRPr="00B40DC1" w:rsidTr="007175B7">
        <w:trPr>
          <w:jc w:val="center"/>
        </w:trPr>
        <w:tc>
          <w:tcPr>
            <w:tcW w:w="1696" w:type="dxa"/>
            <w:shd w:val="clear" w:color="auto" w:fill="auto"/>
          </w:tcPr>
          <w:p w:rsidR="0049577B" w:rsidRPr="00A662A2" w:rsidRDefault="0049577B" w:rsidP="00A662A2">
            <w:pPr>
              <w:spacing w:line="240" w:lineRule="auto"/>
              <w:ind w:leftChars="0" w:left="0" w:rightChars="0" w:right="0"/>
              <w:rPr>
                <w:sz w:val="24"/>
              </w:rPr>
            </w:pPr>
            <w:r w:rsidRPr="00A662A2">
              <w:rPr>
                <w:sz w:val="24"/>
              </w:rPr>
              <w:t>司法經費之變化(自變項)</w:t>
            </w:r>
          </w:p>
        </w:tc>
        <w:tc>
          <w:tcPr>
            <w:tcW w:w="109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-.053</w:t>
            </w:r>
          </w:p>
          <w:p w:rsidR="0049577B" w:rsidRPr="00A662A2" w:rsidRDefault="0049577B" w:rsidP="00A662A2">
            <w:pPr>
              <w:spacing w:line="240" w:lineRule="auto"/>
              <w:ind w:leftChars="0" w:left="0" w:rightChars="0" w:right="0"/>
              <w:jc w:val="center"/>
              <w:rPr>
                <w:sz w:val="24"/>
              </w:rPr>
            </w:pPr>
            <w:r w:rsidRPr="00A662A2">
              <w:rPr>
                <w:sz w:val="24"/>
              </w:rPr>
              <w:t>(-3.166</w:t>
            </w:r>
            <w:r w:rsidR="00587200">
              <w:rPr>
                <w:sz w:val="24"/>
              </w:rPr>
              <w:t>)</w:t>
            </w:r>
            <w:r w:rsidRPr="00A662A2">
              <w:rPr>
                <w:position w:val="10"/>
                <w:sz w:val="24"/>
              </w:rPr>
              <w:t>﹡</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-5.670(E-04)</w:t>
            </w:r>
          </w:p>
          <w:p w:rsidR="0049577B" w:rsidRPr="00A662A2" w:rsidRDefault="0049577B" w:rsidP="00A662A2">
            <w:pPr>
              <w:spacing w:line="240" w:lineRule="auto"/>
              <w:ind w:leftChars="0" w:left="0" w:rightChars="0" w:right="0"/>
              <w:jc w:val="center"/>
              <w:rPr>
                <w:sz w:val="24"/>
              </w:rPr>
            </w:pPr>
            <w:r w:rsidRPr="00A662A2">
              <w:rPr>
                <w:sz w:val="24"/>
              </w:rPr>
              <w:t>(-0.910)</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-.001</w:t>
            </w:r>
          </w:p>
          <w:p w:rsidR="0049577B" w:rsidRPr="00A662A2" w:rsidRDefault="0049577B" w:rsidP="00A662A2">
            <w:pPr>
              <w:spacing w:line="240" w:lineRule="auto"/>
              <w:ind w:leftChars="0" w:left="0" w:rightChars="0" w:right="0"/>
              <w:jc w:val="center"/>
              <w:rPr>
                <w:sz w:val="24"/>
              </w:rPr>
            </w:pPr>
            <w:r w:rsidRPr="00A662A2">
              <w:rPr>
                <w:sz w:val="24"/>
              </w:rPr>
              <w:t>(-3.119</w:t>
            </w:r>
            <w:r w:rsidR="00587200">
              <w:rPr>
                <w:sz w:val="24"/>
              </w:rPr>
              <w:t>)</w:t>
            </w:r>
            <w:r w:rsidRPr="00A662A2">
              <w:rPr>
                <w:position w:val="10"/>
                <w:sz w:val="24"/>
              </w:rPr>
              <w:t>﹡</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-5.887(E-04)</w:t>
            </w:r>
          </w:p>
          <w:p w:rsidR="0049577B" w:rsidRPr="00A662A2" w:rsidRDefault="0049577B" w:rsidP="00A662A2">
            <w:pPr>
              <w:spacing w:line="240" w:lineRule="auto"/>
              <w:ind w:leftChars="0" w:left="0" w:rightChars="0" w:right="0"/>
              <w:jc w:val="center"/>
              <w:rPr>
                <w:sz w:val="24"/>
              </w:rPr>
            </w:pPr>
            <w:r w:rsidRPr="00A662A2">
              <w:rPr>
                <w:sz w:val="24"/>
              </w:rPr>
              <w:t>(-1.019)</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-1.959(E-05)</w:t>
            </w:r>
          </w:p>
          <w:p w:rsidR="0049577B" w:rsidRPr="00A662A2" w:rsidRDefault="0049577B" w:rsidP="00A662A2">
            <w:pPr>
              <w:spacing w:line="240" w:lineRule="auto"/>
              <w:ind w:leftChars="0" w:left="0" w:rightChars="0" w:right="0"/>
              <w:jc w:val="center"/>
              <w:rPr>
                <w:sz w:val="24"/>
              </w:rPr>
            </w:pPr>
            <w:r w:rsidRPr="00A662A2">
              <w:rPr>
                <w:sz w:val="24"/>
              </w:rPr>
              <w:t>(-.335)</w:t>
            </w:r>
          </w:p>
        </w:tc>
      </w:tr>
      <w:tr w:rsidR="0049577B" w:rsidRPr="00B40DC1" w:rsidTr="007175B7">
        <w:trPr>
          <w:jc w:val="center"/>
        </w:trPr>
        <w:tc>
          <w:tcPr>
            <w:tcW w:w="1696" w:type="dxa"/>
            <w:shd w:val="clear" w:color="auto" w:fill="auto"/>
          </w:tcPr>
          <w:p w:rsidR="0049577B" w:rsidRPr="00A662A2" w:rsidRDefault="0049577B" w:rsidP="00A662A2">
            <w:pPr>
              <w:spacing w:line="240" w:lineRule="auto"/>
              <w:ind w:leftChars="0" w:left="0" w:rightChars="0" w:right="0"/>
              <w:rPr>
                <w:sz w:val="24"/>
              </w:rPr>
            </w:pPr>
            <w:r w:rsidRPr="00A662A2">
              <w:rPr>
                <w:sz w:val="24"/>
              </w:rPr>
              <w:t>警民比例之變化(自變項)</w:t>
            </w:r>
          </w:p>
        </w:tc>
        <w:tc>
          <w:tcPr>
            <w:tcW w:w="109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-0.40</w:t>
            </w:r>
          </w:p>
          <w:p w:rsidR="0049577B" w:rsidRPr="00A662A2" w:rsidRDefault="0049577B" w:rsidP="00A662A2">
            <w:pPr>
              <w:spacing w:line="240" w:lineRule="auto"/>
              <w:ind w:leftChars="0" w:left="0" w:rightChars="0" w:right="0"/>
              <w:jc w:val="center"/>
              <w:rPr>
                <w:sz w:val="24"/>
              </w:rPr>
            </w:pPr>
            <w:r w:rsidRPr="00A662A2">
              <w:rPr>
                <w:sz w:val="24"/>
              </w:rPr>
              <w:t>(-.165)</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-.006</w:t>
            </w:r>
          </w:p>
          <w:p w:rsidR="0049577B" w:rsidRPr="00A662A2" w:rsidRDefault="0049577B" w:rsidP="00A662A2">
            <w:pPr>
              <w:spacing w:line="240" w:lineRule="auto"/>
              <w:ind w:leftChars="0" w:left="0" w:rightChars="0" w:right="0"/>
              <w:jc w:val="center"/>
              <w:rPr>
                <w:sz w:val="24"/>
              </w:rPr>
            </w:pPr>
            <w:r w:rsidRPr="00A662A2">
              <w:rPr>
                <w:sz w:val="24"/>
              </w:rPr>
              <w:t>(-.166)</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.066</w:t>
            </w:r>
          </w:p>
          <w:p w:rsidR="0049577B" w:rsidRPr="00A662A2" w:rsidRDefault="0049577B" w:rsidP="00A662A2">
            <w:pPr>
              <w:spacing w:line="240" w:lineRule="auto"/>
              <w:ind w:leftChars="0" w:left="0" w:rightChars="0" w:right="0"/>
              <w:jc w:val="center"/>
              <w:rPr>
                <w:sz w:val="24"/>
              </w:rPr>
            </w:pPr>
            <w:r w:rsidRPr="00A662A2">
              <w:rPr>
                <w:sz w:val="24"/>
              </w:rPr>
              <w:t>(2.990</w:t>
            </w:r>
            <w:r w:rsidR="00587200">
              <w:rPr>
                <w:sz w:val="24"/>
              </w:rPr>
              <w:t>)</w:t>
            </w:r>
            <w:r w:rsidRPr="00A662A2">
              <w:rPr>
                <w:position w:val="10"/>
                <w:sz w:val="24"/>
              </w:rPr>
              <w:t>﹡</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-.041</w:t>
            </w:r>
          </w:p>
          <w:p w:rsidR="0049577B" w:rsidRPr="00A662A2" w:rsidRDefault="0049577B" w:rsidP="00A662A2">
            <w:pPr>
              <w:spacing w:line="240" w:lineRule="auto"/>
              <w:ind w:leftChars="0" w:left="0" w:rightChars="0" w:right="0"/>
              <w:jc w:val="center"/>
              <w:rPr>
                <w:sz w:val="24"/>
              </w:rPr>
            </w:pPr>
            <w:r w:rsidRPr="00A662A2">
              <w:rPr>
                <w:sz w:val="24"/>
              </w:rPr>
              <w:t>(-2.056)</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-8.697(E-04)</w:t>
            </w:r>
            <w:r w:rsidRPr="00A662A2">
              <w:rPr>
                <w:rStyle w:val="af7"/>
                <w:rFonts w:eastAsia="新細明體"/>
                <w:sz w:val="20"/>
              </w:rPr>
              <w:footnoteReference w:id="136"/>
            </w:r>
          </w:p>
          <w:p w:rsidR="0049577B" w:rsidRPr="00A662A2" w:rsidRDefault="0049577B" w:rsidP="00A662A2">
            <w:pPr>
              <w:spacing w:line="240" w:lineRule="auto"/>
              <w:ind w:leftChars="0" w:left="0" w:rightChars="0" w:right="0"/>
              <w:jc w:val="center"/>
              <w:rPr>
                <w:sz w:val="24"/>
              </w:rPr>
            </w:pPr>
            <w:r w:rsidRPr="00A662A2">
              <w:rPr>
                <w:sz w:val="24"/>
              </w:rPr>
              <w:t>(-.337)</w:t>
            </w:r>
          </w:p>
        </w:tc>
      </w:tr>
      <w:tr w:rsidR="0049577B" w:rsidRPr="00B40DC1" w:rsidTr="007175B7">
        <w:trPr>
          <w:jc w:val="center"/>
        </w:trPr>
        <w:tc>
          <w:tcPr>
            <w:tcW w:w="1696" w:type="dxa"/>
            <w:shd w:val="clear" w:color="auto" w:fill="auto"/>
          </w:tcPr>
          <w:p w:rsidR="0049577B" w:rsidRPr="00A662A2" w:rsidRDefault="0049577B" w:rsidP="00A662A2">
            <w:pPr>
              <w:spacing w:line="240" w:lineRule="auto"/>
              <w:ind w:leftChars="0" w:left="0" w:rightChars="0" w:right="0"/>
              <w:rPr>
                <w:sz w:val="24"/>
              </w:rPr>
            </w:pPr>
            <w:r w:rsidRPr="00A662A2">
              <w:rPr>
                <w:sz w:val="24"/>
              </w:rPr>
              <w:t>常數</w:t>
            </w:r>
          </w:p>
        </w:tc>
        <w:tc>
          <w:tcPr>
            <w:tcW w:w="109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1.636</w:t>
            </w:r>
          </w:p>
          <w:p w:rsidR="0049577B" w:rsidRPr="00A662A2" w:rsidRDefault="0049577B" w:rsidP="00A662A2">
            <w:pPr>
              <w:spacing w:line="240" w:lineRule="auto"/>
              <w:ind w:leftChars="0" w:left="0" w:rightChars="0" w:right="0"/>
              <w:jc w:val="center"/>
              <w:rPr>
                <w:sz w:val="24"/>
              </w:rPr>
            </w:pPr>
            <w:r w:rsidRPr="00A662A2">
              <w:rPr>
                <w:sz w:val="24"/>
              </w:rPr>
              <w:t>(.597)</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-.043</w:t>
            </w:r>
          </w:p>
          <w:p w:rsidR="0049577B" w:rsidRPr="00A662A2" w:rsidRDefault="0049577B" w:rsidP="00A662A2">
            <w:pPr>
              <w:spacing w:line="240" w:lineRule="auto"/>
              <w:ind w:leftChars="0" w:left="0" w:rightChars="0" w:right="0"/>
              <w:jc w:val="center"/>
              <w:rPr>
                <w:sz w:val="24"/>
              </w:rPr>
            </w:pPr>
            <w:r w:rsidRPr="00A662A2">
              <w:rPr>
                <w:sz w:val="24"/>
              </w:rPr>
              <w:t>(-.378)</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.181</w:t>
            </w:r>
          </w:p>
          <w:p w:rsidR="0049577B" w:rsidRPr="00A662A2" w:rsidRDefault="0049577B" w:rsidP="00A662A2">
            <w:pPr>
              <w:spacing w:line="240" w:lineRule="auto"/>
              <w:ind w:leftChars="0" w:left="0" w:rightChars="0" w:right="0"/>
              <w:jc w:val="center"/>
              <w:rPr>
                <w:sz w:val="24"/>
              </w:rPr>
            </w:pPr>
            <w:r w:rsidRPr="00A662A2">
              <w:rPr>
                <w:sz w:val="24"/>
              </w:rPr>
              <w:t>(2.631)</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-.257</w:t>
            </w:r>
          </w:p>
          <w:p w:rsidR="0049577B" w:rsidRPr="00A662A2" w:rsidRDefault="0049577B" w:rsidP="00A662A2">
            <w:pPr>
              <w:spacing w:line="240" w:lineRule="auto"/>
              <w:ind w:leftChars="0" w:left="0" w:rightChars="0" w:right="0"/>
              <w:jc w:val="center"/>
              <w:rPr>
                <w:sz w:val="24"/>
              </w:rPr>
            </w:pPr>
            <w:r w:rsidRPr="00A662A2">
              <w:rPr>
                <w:sz w:val="24"/>
              </w:rPr>
              <w:t>(-1.442)</w:t>
            </w:r>
          </w:p>
        </w:tc>
        <w:tc>
          <w:tcPr>
            <w:tcW w:w="1679" w:type="dxa"/>
            <w:shd w:val="clear" w:color="auto" w:fill="auto"/>
            <w:vAlign w:val="center"/>
          </w:tcPr>
          <w:p w:rsidR="0049577B" w:rsidRPr="00A662A2" w:rsidRDefault="0049577B" w:rsidP="00A662A2">
            <w:pPr>
              <w:spacing w:line="240" w:lineRule="auto"/>
              <w:ind w:leftChars="0" w:left="0" w:rightChars="0" w:right="0"/>
              <w:jc w:val="center"/>
              <w:rPr>
                <w:sz w:val="24"/>
              </w:rPr>
            </w:pPr>
            <w:r w:rsidRPr="00A662A2">
              <w:rPr>
                <w:sz w:val="24"/>
              </w:rPr>
              <w:t>.032</w:t>
            </w:r>
          </w:p>
          <w:p w:rsidR="0049577B" w:rsidRPr="00A662A2" w:rsidRDefault="0049577B" w:rsidP="00A662A2">
            <w:pPr>
              <w:spacing w:line="240" w:lineRule="auto"/>
              <w:ind w:leftChars="0" w:left="0" w:rightChars="0" w:right="0"/>
              <w:jc w:val="center"/>
              <w:rPr>
                <w:sz w:val="24"/>
              </w:rPr>
            </w:pPr>
            <w:r w:rsidRPr="00A662A2">
              <w:rPr>
                <w:sz w:val="24"/>
              </w:rPr>
              <w:t>(1.858)</w:t>
            </w:r>
          </w:p>
        </w:tc>
      </w:tr>
    </w:tbl>
    <w:p w:rsidR="0049577B" w:rsidRDefault="00E736D6" w:rsidP="005340E7">
      <w:pPr>
        <w:spacing w:line="240" w:lineRule="auto"/>
        <w:ind w:leftChars="0" w:left="0" w:rightChars="0" w:right="0"/>
      </w:pPr>
      <w:r>
        <w:t>【註】</w:t>
      </w:r>
      <w:r w:rsidR="0049577B" w:rsidRPr="00B40DC1">
        <w:t>本表格之資料來源，係為---許春金、吳景芳、李湧清、曾正一、許金標、蔡田木(1994)，死刑存廢之探討，台北：行政院研究發展考核委員會編印，頁120，並經由作者重新改寫與闡釋其統計實證數據之意義。</w:t>
      </w:r>
    </w:p>
    <w:p w:rsidR="007175B7" w:rsidRPr="00B40DC1" w:rsidRDefault="007175B7" w:rsidP="000D26BB"/>
    <w:p w:rsidR="0049577B" w:rsidRPr="00B40DC1" w:rsidRDefault="00817A92" w:rsidP="005340E7">
      <w:pPr>
        <w:spacing w:line="240" w:lineRule="auto"/>
        <w:ind w:leftChars="0" w:left="0" w:rightChars="0" w:right="0"/>
      </w:pPr>
      <w:r>
        <w:t xml:space="preserve">　　</w:t>
      </w:r>
      <w:r w:rsidR="0049577B" w:rsidRPr="00B40DC1">
        <w:t>由下表---影響當年度擄人勒贖犯罪(1992年至2016年)相關因子(原因變項)之多元迴歸分析統計數據結果一覽表(本表係使用強迫進入法之迴歸分析方式)之統計資料可得知，依變項為當年度擄人勒贖犯罪，每提升GNI(平均每人國民所得毛額，以美元為單位)1個單位之標準差(1個標準單位)，則可降低0.779個單位之標準差(標準化迴歸係數值，Beta=-0.779)之當年度擄人勒贖犯罪。</w:t>
      </w:r>
    </w:p>
    <w:p w:rsidR="0049577B" w:rsidRPr="00B40DC1" w:rsidRDefault="00A662A2" w:rsidP="005340E7">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當年度擄人勒贖犯罪。復次，無期徒刑亦無法有效地嚇阻(減少</w:t>
      </w:r>
      <w:r w:rsidR="00587200">
        <w:t>)</w:t>
      </w:r>
      <w:r w:rsidR="0049577B" w:rsidRPr="00B40DC1">
        <w:t>當年度擄人勒贖犯罪。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表23、影響當年度擄人勒贖犯罪(1992年至2016年)相關因子(原因變項)之多元迴歸分析統計數據結果一覽表(本表係使用強迫進入法之迴歸分析方式)</w:t>
      </w:r>
      <w:r w:rsidRPr="003409A9">
        <w:rPr>
          <w:rStyle w:val="af7"/>
          <w:rFonts w:eastAsia="新細明體"/>
          <w:sz w:val="20"/>
        </w:rPr>
        <w:footnoteReference w:id="137"/>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EFFDFF"/>
            <w:vAlign w:val="center"/>
          </w:tcPr>
          <w:p w:rsidR="009214BE" w:rsidRPr="00A662A2" w:rsidRDefault="0049577B" w:rsidP="009214BE">
            <w:pPr>
              <w:ind w:leftChars="11" w:left="29"/>
              <w:jc w:val="center"/>
              <w:rPr>
                <w:sz w:val="24"/>
              </w:rPr>
            </w:pPr>
            <w:r w:rsidRPr="00A662A2">
              <w:rPr>
                <w:sz w:val="24"/>
              </w:rPr>
              <w:t>多元迴歸分析統計數據</w:t>
            </w:r>
          </w:p>
          <w:p w:rsidR="0049577B" w:rsidRPr="00A662A2" w:rsidRDefault="0049577B" w:rsidP="009214BE">
            <w:pPr>
              <w:ind w:leftChars="11" w:left="29"/>
              <w:jc w:val="center"/>
              <w:rPr>
                <w:sz w:val="24"/>
              </w:rPr>
            </w:pPr>
            <w:r w:rsidRPr="00A662A2">
              <w:rPr>
                <w:sz w:val="24"/>
              </w:rPr>
              <w:t>自變項(解釋因子，independent variable)之名稱</w:t>
            </w:r>
          </w:p>
        </w:tc>
        <w:tc>
          <w:tcPr>
            <w:tcW w:w="1946" w:type="dxa"/>
            <w:shd w:val="clear" w:color="auto" w:fill="EFFDFF"/>
            <w:vAlign w:val="center"/>
          </w:tcPr>
          <w:p w:rsidR="0049577B" w:rsidRPr="00A662A2" w:rsidRDefault="0049577B" w:rsidP="009214BE">
            <w:pPr>
              <w:ind w:leftChars="11" w:left="29"/>
              <w:jc w:val="center"/>
              <w:rPr>
                <w:sz w:val="24"/>
              </w:rPr>
            </w:pPr>
            <w:r w:rsidRPr="00A662A2">
              <w:rPr>
                <w:sz w:val="24"/>
              </w:rPr>
              <w:t>標準化迴歸係數值(Beta)</w:t>
            </w:r>
          </w:p>
        </w:tc>
        <w:tc>
          <w:tcPr>
            <w:tcW w:w="1947" w:type="dxa"/>
            <w:shd w:val="clear" w:color="auto" w:fill="EFFDFF"/>
            <w:vAlign w:val="center"/>
          </w:tcPr>
          <w:p w:rsidR="0049577B" w:rsidRPr="00A662A2" w:rsidRDefault="0049577B" w:rsidP="009214BE">
            <w:pPr>
              <w:ind w:leftChars="11" w:left="29"/>
              <w:jc w:val="center"/>
              <w:rPr>
                <w:sz w:val="24"/>
              </w:rPr>
            </w:pPr>
            <w:r w:rsidRPr="00A662A2">
              <w:rPr>
                <w:sz w:val="24"/>
              </w:rPr>
              <w:t>標準化迴歸係數值(Beta)之顯著度(水準)</w:t>
            </w:r>
          </w:p>
        </w:tc>
        <w:tc>
          <w:tcPr>
            <w:tcW w:w="1947" w:type="dxa"/>
            <w:shd w:val="clear" w:color="auto" w:fill="EFFDFF"/>
            <w:vAlign w:val="center"/>
          </w:tcPr>
          <w:p w:rsidR="0049577B" w:rsidRPr="00A662A2" w:rsidRDefault="0049577B" w:rsidP="009214BE">
            <w:pPr>
              <w:ind w:leftChars="11" w:left="29"/>
              <w:jc w:val="center"/>
              <w:rPr>
                <w:sz w:val="24"/>
              </w:rPr>
            </w:pPr>
            <w:r w:rsidRPr="00A662A2">
              <w:rPr>
                <w:sz w:val="24"/>
              </w:rPr>
              <w:t>條件指標(CI)</w:t>
            </w:r>
            <w:r w:rsidR="003C1792" w:rsidRPr="00A662A2">
              <w:rPr>
                <w:sz w:val="24"/>
              </w:rPr>
              <w:t>(</w:t>
            </w:r>
            <w:r w:rsidRPr="00A662A2">
              <w:rPr>
                <w:sz w:val="24"/>
              </w:rPr>
              <w:t>檢視自變項是否有嚴重之共線問題)</w:t>
            </w:r>
          </w:p>
        </w:tc>
      </w:tr>
      <w:tr w:rsidR="0049577B" w:rsidRPr="00B40DC1" w:rsidTr="00A662A2">
        <w:tc>
          <w:tcPr>
            <w:tcW w:w="3936" w:type="dxa"/>
            <w:shd w:val="clear" w:color="auto" w:fill="auto"/>
          </w:tcPr>
          <w:p w:rsidR="0049577B" w:rsidRPr="00A662A2" w:rsidRDefault="0049577B" w:rsidP="003409A9">
            <w:pPr>
              <w:ind w:leftChars="66" w:left="172"/>
              <w:rPr>
                <w:sz w:val="24"/>
              </w:rPr>
            </w:pPr>
            <w:r w:rsidRPr="00A662A2">
              <w:rPr>
                <w:sz w:val="24"/>
              </w:rPr>
              <w:t>X1：失業率(1992-2016年)</w:t>
            </w:r>
          </w:p>
        </w:tc>
        <w:tc>
          <w:tcPr>
            <w:tcW w:w="1946" w:type="dxa"/>
            <w:shd w:val="clear" w:color="auto" w:fill="auto"/>
            <w:vAlign w:val="center"/>
          </w:tcPr>
          <w:p w:rsidR="0049577B" w:rsidRPr="00A662A2" w:rsidRDefault="0049577B" w:rsidP="00A662A2">
            <w:pPr>
              <w:jc w:val="center"/>
              <w:rPr>
                <w:sz w:val="24"/>
              </w:rPr>
            </w:pPr>
            <w:r w:rsidRPr="00A662A2">
              <w:rPr>
                <w:sz w:val="24"/>
              </w:rPr>
              <w:t>-0.135</w:t>
            </w:r>
          </w:p>
        </w:tc>
        <w:tc>
          <w:tcPr>
            <w:tcW w:w="1947" w:type="dxa"/>
            <w:shd w:val="clear" w:color="auto" w:fill="auto"/>
            <w:vAlign w:val="center"/>
          </w:tcPr>
          <w:p w:rsidR="0049577B" w:rsidRPr="00A662A2" w:rsidRDefault="0049577B" w:rsidP="00A662A2">
            <w:pPr>
              <w:jc w:val="center"/>
              <w:rPr>
                <w:sz w:val="24"/>
              </w:rPr>
            </w:pPr>
            <w:r w:rsidRPr="00A662A2">
              <w:rPr>
                <w:sz w:val="24"/>
              </w:rPr>
              <w:t>0.379</w:t>
            </w:r>
          </w:p>
        </w:tc>
        <w:tc>
          <w:tcPr>
            <w:tcW w:w="1947" w:type="dxa"/>
            <w:shd w:val="clear" w:color="auto" w:fill="auto"/>
            <w:vAlign w:val="center"/>
          </w:tcPr>
          <w:p w:rsidR="0049577B" w:rsidRPr="00A662A2" w:rsidRDefault="0049577B" w:rsidP="00A662A2">
            <w:pPr>
              <w:jc w:val="center"/>
              <w:rPr>
                <w:sz w:val="24"/>
              </w:rPr>
            </w:pPr>
            <w:r w:rsidRPr="00A662A2">
              <w:rPr>
                <w:sz w:val="24"/>
              </w:rPr>
              <w:t>6.956</w:t>
            </w:r>
          </w:p>
        </w:tc>
      </w:tr>
      <w:tr w:rsidR="0049577B" w:rsidRPr="00B40DC1" w:rsidTr="00A662A2">
        <w:tc>
          <w:tcPr>
            <w:tcW w:w="3936" w:type="dxa"/>
            <w:shd w:val="clear" w:color="auto" w:fill="auto"/>
          </w:tcPr>
          <w:p w:rsidR="0049577B" w:rsidRPr="00A662A2" w:rsidRDefault="0049577B" w:rsidP="007175B7">
            <w:pPr>
              <w:ind w:leftChars="66" w:left="172"/>
              <w:rPr>
                <w:sz w:val="24"/>
              </w:rPr>
            </w:pPr>
            <w:r w:rsidRPr="00A662A2">
              <w:rPr>
                <w:sz w:val="24"/>
              </w:rPr>
              <w:t>X2：結婚對數(1998-2013年)</w:t>
            </w:r>
          </w:p>
        </w:tc>
        <w:tc>
          <w:tcPr>
            <w:tcW w:w="1946" w:type="dxa"/>
            <w:shd w:val="clear" w:color="auto" w:fill="auto"/>
            <w:vAlign w:val="center"/>
          </w:tcPr>
          <w:p w:rsidR="0049577B" w:rsidRPr="00A662A2" w:rsidRDefault="0049577B" w:rsidP="00A662A2">
            <w:pPr>
              <w:jc w:val="center"/>
              <w:rPr>
                <w:sz w:val="24"/>
              </w:rPr>
            </w:pPr>
            <w:r w:rsidRPr="00A662A2">
              <w:rPr>
                <w:sz w:val="24"/>
              </w:rPr>
              <w:t>0.105</w:t>
            </w:r>
          </w:p>
        </w:tc>
        <w:tc>
          <w:tcPr>
            <w:tcW w:w="1947" w:type="dxa"/>
            <w:shd w:val="clear" w:color="auto" w:fill="auto"/>
            <w:vAlign w:val="center"/>
          </w:tcPr>
          <w:p w:rsidR="0049577B" w:rsidRPr="00A662A2" w:rsidRDefault="0049577B" w:rsidP="00A662A2">
            <w:pPr>
              <w:jc w:val="center"/>
              <w:rPr>
                <w:sz w:val="24"/>
              </w:rPr>
            </w:pPr>
            <w:r w:rsidRPr="00A662A2">
              <w:rPr>
                <w:sz w:val="24"/>
              </w:rPr>
              <w:t>0.444</w:t>
            </w:r>
          </w:p>
        </w:tc>
        <w:tc>
          <w:tcPr>
            <w:tcW w:w="1947" w:type="dxa"/>
            <w:shd w:val="clear" w:color="auto" w:fill="auto"/>
            <w:vAlign w:val="center"/>
          </w:tcPr>
          <w:p w:rsidR="0049577B" w:rsidRPr="00A662A2" w:rsidRDefault="0049577B" w:rsidP="00A662A2">
            <w:pPr>
              <w:jc w:val="center"/>
              <w:rPr>
                <w:sz w:val="24"/>
              </w:rPr>
            </w:pPr>
            <w:r w:rsidRPr="00A662A2">
              <w:rPr>
                <w:sz w:val="24"/>
              </w:rPr>
              <w:t>11.558</w:t>
            </w:r>
          </w:p>
        </w:tc>
      </w:tr>
      <w:tr w:rsidR="0049577B" w:rsidRPr="00B40DC1" w:rsidTr="00A662A2">
        <w:tc>
          <w:tcPr>
            <w:tcW w:w="3936" w:type="dxa"/>
            <w:shd w:val="clear" w:color="auto" w:fill="auto"/>
          </w:tcPr>
          <w:p w:rsidR="0049577B" w:rsidRPr="00A662A2" w:rsidRDefault="0049577B" w:rsidP="007175B7">
            <w:pPr>
              <w:ind w:leftChars="66" w:left="172"/>
              <w:rPr>
                <w:sz w:val="24"/>
              </w:rPr>
            </w:pPr>
            <w:r w:rsidRPr="00A662A2">
              <w:rPr>
                <w:sz w:val="24"/>
              </w:rPr>
              <w:t>X3： 35歲以上人口之中，男性未婚之比例</w:t>
            </w:r>
            <w:r w:rsidR="003C1792" w:rsidRPr="00A662A2">
              <w:rPr>
                <w:sz w:val="24"/>
              </w:rPr>
              <w:t>(</w:t>
            </w:r>
            <w:r w:rsidRPr="00A662A2">
              <w:rPr>
                <w:sz w:val="24"/>
              </w:rPr>
              <w:t>1998-2013年)</w:t>
            </w:r>
          </w:p>
        </w:tc>
        <w:tc>
          <w:tcPr>
            <w:tcW w:w="1946" w:type="dxa"/>
            <w:shd w:val="clear" w:color="auto" w:fill="auto"/>
            <w:vAlign w:val="center"/>
          </w:tcPr>
          <w:p w:rsidR="0049577B" w:rsidRPr="00A662A2" w:rsidRDefault="0049577B" w:rsidP="00A662A2">
            <w:pPr>
              <w:jc w:val="center"/>
              <w:rPr>
                <w:sz w:val="24"/>
              </w:rPr>
            </w:pPr>
          </w:p>
        </w:tc>
        <w:tc>
          <w:tcPr>
            <w:tcW w:w="1947" w:type="dxa"/>
            <w:shd w:val="clear" w:color="auto" w:fill="auto"/>
            <w:vAlign w:val="center"/>
          </w:tcPr>
          <w:p w:rsidR="0049577B" w:rsidRPr="00A662A2" w:rsidRDefault="0049577B" w:rsidP="00A662A2">
            <w:pPr>
              <w:jc w:val="center"/>
              <w:rPr>
                <w:sz w:val="24"/>
              </w:rPr>
            </w:pPr>
          </w:p>
        </w:tc>
        <w:tc>
          <w:tcPr>
            <w:tcW w:w="1947" w:type="dxa"/>
            <w:shd w:val="clear" w:color="auto" w:fill="auto"/>
            <w:vAlign w:val="center"/>
          </w:tcPr>
          <w:p w:rsidR="0049577B" w:rsidRPr="00A662A2" w:rsidRDefault="0049577B" w:rsidP="00A662A2">
            <w:pPr>
              <w:jc w:val="center"/>
              <w:rPr>
                <w:sz w:val="24"/>
              </w:rPr>
            </w:pPr>
          </w:p>
        </w:tc>
      </w:tr>
      <w:tr w:rsidR="0049577B" w:rsidRPr="00B40DC1" w:rsidTr="00A662A2">
        <w:tc>
          <w:tcPr>
            <w:tcW w:w="3936" w:type="dxa"/>
            <w:shd w:val="clear" w:color="auto" w:fill="auto"/>
          </w:tcPr>
          <w:p w:rsidR="0049577B" w:rsidRPr="00A662A2" w:rsidRDefault="0049577B" w:rsidP="007175B7">
            <w:pPr>
              <w:ind w:leftChars="66" w:left="172"/>
              <w:rPr>
                <w:sz w:val="24"/>
              </w:rPr>
            </w:pPr>
            <w:r w:rsidRPr="00A662A2">
              <w:rPr>
                <w:sz w:val="24"/>
              </w:rPr>
              <w:t>X4：離婚率(1998-2013年)</w:t>
            </w:r>
          </w:p>
        </w:tc>
        <w:tc>
          <w:tcPr>
            <w:tcW w:w="1946" w:type="dxa"/>
            <w:shd w:val="clear" w:color="auto" w:fill="auto"/>
            <w:vAlign w:val="center"/>
          </w:tcPr>
          <w:p w:rsidR="0049577B" w:rsidRPr="00A662A2" w:rsidRDefault="0049577B" w:rsidP="00A662A2">
            <w:pPr>
              <w:jc w:val="center"/>
              <w:rPr>
                <w:sz w:val="24"/>
              </w:rPr>
            </w:pPr>
          </w:p>
        </w:tc>
        <w:tc>
          <w:tcPr>
            <w:tcW w:w="1947" w:type="dxa"/>
            <w:shd w:val="clear" w:color="auto" w:fill="auto"/>
            <w:vAlign w:val="center"/>
          </w:tcPr>
          <w:p w:rsidR="0049577B" w:rsidRPr="00A662A2" w:rsidRDefault="0049577B" w:rsidP="00A662A2">
            <w:pPr>
              <w:jc w:val="center"/>
              <w:rPr>
                <w:sz w:val="24"/>
              </w:rPr>
            </w:pPr>
          </w:p>
        </w:tc>
        <w:tc>
          <w:tcPr>
            <w:tcW w:w="1947" w:type="dxa"/>
            <w:shd w:val="clear" w:color="auto" w:fill="auto"/>
            <w:vAlign w:val="center"/>
          </w:tcPr>
          <w:p w:rsidR="0049577B" w:rsidRPr="00A662A2" w:rsidRDefault="0049577B" w:rsidP="00A662A2">
            <w:pPr>
              <w:jc w:val="center"/>
              <w:rPr>
                <w:sz w:val="24"/>
              </w:rPr>
            </w:pPr>
          </w:p>
        </w:tc>
      </w:tr>
      <w:tr w:rsidR="0049577B" w:rsidRPr="00B40DC1" w:rsidTr="00A662A2">
        <w:tc>
          <w:tcPr>
            <w:tcW w:w="3936" w:type="dxa"/>
            <w:shd w:val="clear" w:color="auto" w:fill="auto"/>
          </w:tcPr>
          <w:p w:rsidR="0049577B" w:rsidRPr="00A662A2" w:rsidRDefault="0049577B" w:rsidP="007175B7">
            <w:pPr>
              <w:ind w:leftChars="66" w:left="172"/>
              <w:rPr>
                <w:sz w:val="24"/>
              </w:rPr>
            </w:pPr>
            <w:r w:rsidRPr="00A662A2">
              <w:rPr>
                <w:sz w:val="24"/>
              </w:rPr>
              <w:t>X5：GNI(平均每人國民所得毛額，以美元為單位)</w:t>
            </w:r>
            <w:r w:rsidR="003C1792" w:rsidRPr="00A662A2">
              <w:rPr>
                <w:sz w:val="24"/>
              </w:rPr>
              <w:t>(</w:t>
            </w:r>
            <w:r w:rsidRPr="00A662A2">
              <w:rPr>
                <w:sz w:val="24"/>
              </w:rPr>
              <w:t>1992-2016年)</w:t>
            </w:r>
          </w:p>
        </w:tc>
        <w:tc>
          <w:tcPr>
            <w:tcW w:w="1946" w:type="dxa"/>
            <w:shd w:val="clear" w:color="auto" w:fill="auto"/>
            <w:vAlign w:val="center"/>
          </w:tcPr>
          <w:p w:rsidR="0049577B" w:rsidRPr="00A662A2" w:rsidRDefault="0049577B" w:rsidP="00A662A2">
            <w:pPr>
              <w:jc w:val="center"/>
              <w:rPr>
                <w:sz w:val="24"/>
              </w:rPr>
            </w:pPr>
            <w:r w:rsidRPr="00A662A2">
              <w:rPr>
                <w:sz w:val="24"/>
              </w:rPr>
              <w:t>-0.779</w:t>
            </w:r>
          </w:p>
        </w:tc>
        <w:tc>
          <w:tcPr>
            <w:tcW w:w="1947" w:type="dxa"/>
            <w:shd w:val="clear" w:color="auto" w:fill="auto"/>
            <w:vAlign w:val="center"/>
          </w:tcPr>
          <w:p w:rsidR="0049577B" w:rsidRPr="00A662A2" w:rsidRDefault="0049577B" w:rsidP="00A662A2">
            <w:pPr>
              <w:jc w:val="center"/>
              <w:rPr>
                <w:sz w:val="24"/>
              </w:rPr>
            </w:pPr>
            <w:r w:rsidRPr="00A662A2">
              <w:rPr>
                <w:sz w:val="24"/>
              </w:rPr>
              <w:t>0.000</w:t>
            </w:r>
          </w:p>
        </w:tc>
        <w:tc>
          <w:tcPr>
            <w:tcW w:w="1947" w:type="dxa"/>
            <w:shd w:val="clear" w:color="auto" w:fill="auto"/>
            <w:vAlign w:val="center"/>
          </w:tcPr>
          <w:p w:rsidR="0049577B" w:rsidRPr="00A662A2" w:rsidRDefault="0049577B" w:rsidP="00A662A2">
            <w:pPr>
              <w:jc w:val="center"/>
              <w:rPr>
                <w:sz w:val="24"/>
              </w:rPr>
            </w:pPr>
            <w:r w:rsidRPr="00A662A2">
              <w:rPr>
                <w:sz w:val="24"/>
              </w:rPr>
              <w:t>28.124</w:t>
            </w:r>
          </w:p>
        </w:tc>
      </w:tr>
      <w:tr w:rsidR="0049577B" w:rsidRPr="00B40DC1" w:rsidTr="002031B1">
        <w:tc>
          <w:tcPr>
            <w:tcW w:w="3936" w:type="dxa"/>
            <w:shd w:val="clear" w:color="auto" w:fill="auto"/>
          </w:tcPr>
          <w:p w:rsidR="0049577B" w:rsidRPr="00A662A2" w:rsidRDefault="0049577B" w:rsidP="007175B7">
            <w:pPr>
              <w:ind w:leftChars="66" w:left="172"/>
              <w:rPr>
                <w:sz w:val="24"/>
              </w:rPr>
            </w:pPr>
            <w:r w:rsidRPr="00A662A2">
              <w:rPr>
                <w:sz w:val="24"/>
              </w:rPr>
              <w:t>X6：低收入戶之家庭及就學生活補助金額(1998-2013年)</w:t>
            </w:r>
            <w:r w:rsidRPr="00A662A2">
              <w:rPr>
                <w:rStyle w:val="af7"/>
                <w:rFonts w:eastAsia="新細明體"/>
                <w:sz w:val="20"/>
              </w:rPr>
              <w:footnoteReference w:id="138"/>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2031B1">
        <w:tc>
          <w:tcPr>
            <w:tcW w:w="3936" w:type="dxa"/>
            <w:shd w:val="clear" w:color="auto" w:fill="auto"/>
          </w:tcPr>
          <w:p w:rsidR="0049577B" w:rsidRPr="00A662A2" w:rsidRDefault="0049577B" w:rsidP="007175B7">
            <w:pPr>
              <w:ind w:leftChars="66" w:left="172"/>
              <w:rPr>
                <w:sz w:val="24"/>
              </w:rPr>
            </w:pPr>
            <w:r w:rsidRPr="00A662A2">
              <w:rPr>
                <w:sz w:val="24"/>
              </w:rPr>
              <w:t>X7：緩刑比率(1998-2013年)</w:t>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2031B1">
        <w:tc>
          <w:tcPr>
            <w:tcW w:w="3936" w:type="dxa"/>
            <w:shd w:val="clear" w:color="auto" w:fill="auto"/>
          </w:tcPr>
          <w:p w:rsidR="0049577B" w:rsidRPr="00A662A2" w:rsidRDefault="0049577B" w:rsidP="007175B7">
            <w:pPr>
              <w:ind w:leftChars="66" w:left="172"/>
              <w:rPr>
                <w:sz w:val="24"/>
              </w:rPr>
            </w:pPr>
            <w:r w:rsidRPr="00A662A2">
              <w:rPr>
                <w:sz w:val="24"/>
              </w:rPr>
              <w:t>X8：無期徒刑之人數(1998-2013年)</w:t>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2031B1">
        <w:tc>
          <w:tcPr>
            <w:tcW w:w="3936" w:type="dxa"/>
            <w:shd w:val="clear" w:color="auto" w:fill="auto"/>
          </w:tcPr>
          <w:p w:rsidR="0049577B" w:rsidRPr="00A662A2" w:rsidRDefault="0049577B" w:rsidP="007175B7">
            <w:pPr>
              <w:ind w:leftChars="66" w:left="172"/>
              <w:rPr>
                <w:sz w:val="24"/>
              </w:rPr>
            </w:pPr>
            <w:r w:rsidRPr="00A662A2">
              <w:rPr>
                <w:sz w:val="24"/>
              </w:rPr>
              <w:t>X9：被執行死刑之人數(1992-2016年)</w:t>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2031B1">
        <w:tc>
          <w:tcPr>
            <w:tcW w:w="3936" w:type="dxa"/>
            <w:shd w:val="clear" w:color="auto" w:fill="auto"/>
          </w:tcPr>
          <w:p w:rsidR="0049577B" w:rsidRPr="00A662A2" w:rsidRDefault="0049577B" w:rsidP="007175B7">
            <w:pPr>
              <w:ind w:leftChars="66" w:left="172"/>
              <w:rPr>
                <w:sz w:val="24"/>
              </w:rPr>
            </w:pPr>
            <w:r w:rsidRPr="00A662A2">
              <w:rPr>
                <w:sz w:val="24"/>
              </w:rPr>
              <w:t>X10：當年度之全般刑案破獲率(1992-2016年)</w:t>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817A92">
        <w:tc>
          <w:tcPr>
            <w:tcW w:w="9776" w:type="dxa"/>
            <w:gridSpan w:val="4"/>
            <w:shd w:val="clear" w:color="auto" w:fill="auto"/>
          </w:tcPr>
          <w:p w:rsidR="0049577B" w:rsidRPr="00A662A2" w:rsidRDefault="0049577B" w:rsidP="000D26BB">
            <w:pPr>
              <w:rPr>
                <w:sz w:val="24"/>
              </w:rPr>
            </w:pPr>
            <w:r w:rsidRPr="00A662A2">
              <w:rPr>
                <w:sz w:val="24"/>
              </w:rPr>
              <w:t>多元迴歸分析模型整體之R平方解釋量：0.774</w:t>
            </w:r>
          </w:p>
        </w:tc>
      </w:tr>
    </w:tbl>
    <w:p w:rsidR="0049577B" w:rsidRPr="00B40DC1" w:rsidRDefault="00817A92" w:rsidP="003409A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D26BB"/>
    <w:p w:rsidR="0049577B" w:rsidRPr="00B40DC1" w:rsidRDefault="007175B7" w:rsidP="003409A9">
      <w:pPr>
        <w:spacing w:line="240" w:lineRule="auto"/>
        <w:ind w:leftChars="0" w:left="0" w:rightChars="0" w:right="0"/>
      </w:pPr>
      <w:r>
        <w:t xml:space="preserve">　　</w:t>
      </w:r>
      <w:r w:rsidR="0049577B" w:rsidRPr="00B40DC1">
        <w:t>由下表---影響下年度擄人勒贖犯罪(1993年至2015年)相關因子(原因變項)之多元迴歸分析統計數據結果一覽表(本表係使用逐步迴歸分析法之迴歸分析方式)之統計資料可得知，依變項為下年度擄人勒贖犯罪，每提升失業率1個單位之標準差(1個標準單位)，則可降低0.341個單位之標準差(標準化迴歸係數值，Beta=-0.341)之下年度擄人勒贖犯罪。有可能之成因，係失業者可請領失業補助金，「暫時地」解決其經濟困境，促使失業者未從事犯罪。</w:t>
      </w:r>
    </w:p>
    <w:p w:rsidR="0049577B" w:rsidRPr="00B40DC1" w:rsidRDefault="00817A92" w:rsidP="003409A9">
      <w:pPr>
        <w:spacing w:line="240" w:lineRule="auto"/>
        <w:ind w:leftChars="0" w:left="0" w:rightChars="0" w:right="0"/>
      </w:pPr>
      <w:r>
        <w:t xml:space="preserve">　　</w:t>
      </w:r>
      <w:r w:rsidR="0049577B" w:rsidRPr="00B40DC1">
        <w:t>每提升緩刑比率1個單位之標準差(1個標準單位)，則可增加0.818個單位之標準差(標準化迴歸係數值，Beta=0.818)之下年度擄人勒贖犯罪。</w:t>
      </w:r>
    </w:p>
    <w:p w:rsidR="0049577B" w:rsidRPr="00B40DC1" w:rsidRDefault="0049577B" w:rsidP="003409A9">
      <w:pPr>
        <w:spacing w:line="240" w:lineRule="auto"/>
        <w:ind w:leftChars="0" w:left="0" w:rightChars="0" w:right="0"/>
      </w:pPr>
      <w:r w:rsidRPr="00B40DC1">
        <w:t>另外，就本書特別加以關注之死刑是否能有效地嚇阻(減少)犯罪之發生而論，根據本表之資料可得知，執行死刑無法有效地嚇阻(減少)下年度擄人勒贖犯罪。復次，無期徒刑亦無法有效地嚇阻(減少</w:t>
      </w:r>
      <w:r w:rsidR="00587200">
        <w:t>)</w:t>
      </w:r>
      <w:r w:rsidRPr="00B40DC1">
        <w:t>下年度擄人勒贖犯罪。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表24、影響下年度擄人勒贖犯罪(1993年至2015年)相關因子(原因變項)之多元迴歸分析統計數據結果一覽表(本表係使用逐步迴歸分析法之迴歸分析方式)</w:t>
      </w:r>
      <w:r w:rsidRPr="007175B7">
        <w:rPr>
          <w:rStyle w:val="af7"/>
          <w:rFonts w:eastAsia="新細明體"/>
          <w:sz w:val="20"/>
        </w:rPr>
        <w:footnoteReference w:id="139"/>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2031B1">
        <w:trPr>
          <w:tblHeader/>
        </w:trPr>
        <w:tc>
          <w:tcPr>
            <w:tcW w:w="3936" w:type="dxa"/>
            <w:shd w:val="clear" w:color="auto" w:fill="FAF0FA"/>
            <w:vAlign w:val="center"/>
          </w:tcPr>
          <w:p w:rsidR="009214BE" w:rsidRPr="00A662A2" w:rsidRDefault="009214BE" w:rsidP="009214BE">
            <w:pPr>
              <w:ind w:leftChars="11" w:left="29"/>
              <w:jc w:val="center"/>
              <w:rPr>
                <w:sz w:val="24"/>
              </w:rPr>
            </w:pPr>
            <w:r w:rsidRPr="00A662A2">
              <w:rPr>
                <w:sz w:val="24"/>
              </w:rPr>
              <w:t>多元迴歸分析統計數據</w:t>
            </w:r>
          </w:p>
          <w:p w:rsidR="0049577B" w:rsidRPr="00A662A2" w:rsidRDefault="009214BE" w:rsidP="009214BE">
            <w:pPr>
              <w:ind w:leftChars="0" w:left="0"/>
              <w:rPr>
                <w:sz w:val="24"/>
              </w:rPr>
            </w:pPr>
            <w:r w:rsidRPr="00A662A2">
              <w:rPr>
                <w:sz w:val="24"/>
              </w:rPr>
              <w:t>自變項(解釋因子，independent variable)之名稱</w:t>
            </w:r>
          </w:p>
        </w:tc>
        <w:tc>
          <w:tcPr>
            <w:tcW w:w="1994" w:type="dxa"/>
            <w:shd w:val="clear" w:color="auto" w:fill="FAF0FA"/>
            <w:vAlign w:val="center"/>
          </w:tcPr>
          <w:p w:rsidR="0049577B" w:rsidRPr="00A662A2" w:rsidRDefault="0049577B" w:rsidP="003409A9">
            <w:pPr>
              <w:ind w:leftChars="0" w:left="0"/>
              <w:rPr>
                <w:sz w:val="24"/>
              </w:rPr>
            </w:pPr>
            <w:r w:rsidRPr="00A662A2">
              <w:rPr>
                <w:sz w:val="24"/>
              </w:rPr>
              <w:t>標準化迴歸係數值(Beta)</w:t>
            </w:r>
          </w:p>
        </w:tc>
        <w:tc>
          <w:tcPr>
            <w:tcW w:w="1994" w:type="dxa"/>
            <w:shd w:val="clear" w:color="auto" w:fill="FAF0FA"/>
            <w:vAlign w:val="center"/>
          </w:tcPr>
          <w:p w:rsidR="0049577B" w:rsidRPr="00A662A2" w:rsidRDefault="0049577B" w:rsidP="003409A9">
            <w:pPr>
              <w:ind w:leftChars="0" w:left="0"/>
              <w:rPr>
                <w:sz w:val="24"/>
              </w:rPr>
            </w:pPr>
            <w:r w:rsidRPr="00A662A2">
              <w:rPr>
                <w:sz w:val="24"/>
              </w:rPr>
              <w:t>標準化迴歸係數值(Beta)之顯著度(水準)</w:t>
            </w:r>
          </w:p>
        </w:tc>
        <w:tc>
          <w:tcPr>
            <w:tcW w:w="1994" w:type="dxa"/>
            <w:shd w:val="clear" w:color="auto" w:fill="FAF0FA"/>
            <w:vAlign w:val="center"/>
          </w:tcPr>
          <w:p w:rsidR="0049577B" w:rsidRPr="00A662A2" w:rsidRDefault="0049577B" w:rsidP="003409A9">
            <w:pPr>
              <w:ind w:leftChars="0" w:left="0"/>
              <w:rPr>
                <w:sz w:val="24"/>
              </w:rPr>
            </w:pPr>
            <w:r w:rsidRPr="00A662A2">
              <w:rPr>
                <w:sz w:val="24"/>
              </w:rPr>
              <w:t>條件指標(CI)</w:t>
            </w:r>
            <w:r w:rsidR="003C1792" w:rsidRPr="00A662A2">
              <w:rPr>
                <w:sz w:val="24"/>
              </w:rPr>
              <w:t>(</w:t>
            </w:r>
            <w:r w:rsidRPr="00A662A2">
              <w:rPr>
                <w:sz w:val="24"/>
              </w:rPr>
              <w:t>檢視自變項是否有嚴重之共線問題)</w:t>
            </w: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X1：失業率(1992-2016年)</w:t>
            </w:r>
          </w:p>
        </w:tc>
        <w:tc>
          <w:tcPr>
            <w:tcW w:w="1994" w:type="dxa"/>
            <w:shd w:val="clear" w:color="auto" w:fill="auto"/>
            <w:vAlign w:val="center"/>
          </w:tcPr>
          <w:p w:rsidR="0049577B" w:rsidRPr="00A662A2" w:rsidRDefault="0049577B" w:rsidP="003409A9">
            <w:pPr>
              <w:ind w:leftChars="11" w:left="29"/>
              <w:jc w:val="center"/>
              <w:rPr>
                <w:sz w:val="24"/>
              </w:rPr>
            </w:pPr>
            <w:r w:rsidRPr="00A662A2">
              <w:rPr>
                <w:sz w:val="24"/>
              </w:rPr>
              <w:t>-0.341</w:t>
            </w:r>
          </w:p>
        </w:tc>
        <w:tc>
          <w:tcPr>
            <w:tcW w:w="1994" w:type="dxa"/>
            <w:shd w:val="clear" w:color="auto" w:fill="auto"/>
            <w:vAlign w:val="center"/>
          </w:tcPr>
          <w:p w:rsidR="0049577B" w:rsidRPr="00A662A2" w:rsidRDefault="0049577B" w:rsidP="003409A9">
            <w:pPr>
              <w:ind w:leftChars="11" w:left="29"/>
              <w:jc w:val="center"/>
              <w:rPr>
                <w:sz w:val="24"/>
              </w:rPr>
            </w:pPr>
            <w:r w:rsidRPr="00A662A2">
              <w:rPr>
                <w:sz w:val="24"/>
              </w:rPr>
              <w:t>0.000</w:t>
            </w:r>
          </w:p>
        </w:tc>
        <w:tc>
          <w:tcPr>
            <w:tcW w:w="1994" w:type="dxa"/>
            <w:shd w:val="clear" w:color="auto" w:fill="auto"/>
            <w:vAlign w:val="center"/>
          </w:tcPr>
          <w:p w:rsidR="0049577B" w:rsidRPr="00A662A2" w:rsidRDefault="0049577B" w:rsidP="003409A9">
            <w:pPr>
              <w:ind w:leftChars="11" w:left="29"/>
              <w:jc w:val="center"/>
              <w:rPr>
                <w:sz w:val="24"/>
              </w:rPr>
            </w:pPr>
            <w:r w:rsidRPr="00A662A2">
              <w:rPr>
                <w:sz w:val="24"/>
              </w:rPr>
              <w:t>13.652</w:t>
            </w: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X2：結婚對數(1998-2013年)</w:t>
            </w: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X3： 35歲以上人口之中，男性未婚之比例</w:t>
            </w:r>
            <w:r w:rsidR="003C1792" w:rsidRPr="00A662A2">
              <w:rPr>
                <w:sz w:val="24"/>
              </w:rPr>
              <w:t>(</w:t>
            </w:r>
            <w:r w:rsidRPr="00A662A2">
              <w:rPr>
                <w:sz w:val="24"/>
              </w:rPr>
              <w:t>1998-2013年)</w:t>
            </w: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X4：離婚率(1998-2013年)</w:t>
            </w: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X5：GNI(平均每人國民所得毛額，以美元為單位)</w:t>
            </w:r>
            <w:r w:rsidR="003C1792" w:rsidRPr="00A662A2">
              <w:rPr>
                <w:sz w:val="24"/>
              </w:rPr>
              <w:t>(</w:t>
            </w:r>
            <w:r w:rsidRPr="00A662A2">
              <w:rPr>
                <w:sz w:val="24"/>
              </w:rPr>
              <w:t>1992-2016年)</w:t>
            </w: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X6：低收入戶之家庭及就學生活補助金額(1998-2013年)</w:t>
            </w:r>
            <w:r w:rsidRPr="00A662A2">
              <w:rPr>
                <w:rStyle w:val="af7"/>
                <w:rFonts w:eastAsia="新細明體"/>
                <w:sz w:val="20"/>
              </w:rPr>
              <w:footnoteReference w:id="140"/>
            </w: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X7：緩刑比率(1998-2013年)</w:t>
            </w:r>
          </w:p>
        </w:tc>
        <w:tc>
          <w:tcPr>
            <w:tcW w:w="1994" w:type="dxa"/>
            <w:shd w:val="clear" w:color="auto" w:fill="auto"/>
            <w:vAlign w:val="center"/>
          </w:tcPr>
          <w:p w:rsidR="0049577B" w:rsidRPr="00A662A2" w:rsidRDefault="0049577B" w:rsidP="003409A9">
            <w:pPr>
              <w:ind w:leftChars="11" w:left="29"/>
              <w:jc w:val="center"/>
              <w:rPr>
                <w:sz w:val="24"/>
              </w:rPr>
            </w:pPr>
            <w:r w:rsidRPr="00A662A2">
              <w:rPr>
                <w:sz w:val="24"/>
              </w:rPr>
              <w:t>0.818</w:t>
            </w:r>
          </w:p>
        </w:tc>
        <w:tc>
          <w:tcPr>
            <w:tcW w:w="1994" w:type="dxa"/>
            <w:shd w:val="clear" w:color="auto" w:fill="auto"/>
            <w:vAlign w:val="center"/>
          </w:tcPr>
          <w:p w:rsidR="0049577B" w:rsidRPr="00A662A2" w:rsidRDefault="0049577B" w:rsidP="003409A9">
            <w:pPr>
              <w:ind w:leftChars="11" w:left="29"/>
              <w:jc w:val="center"/>
              <w:rPr>
                <w:sz w:val="24"/>
              </w:rPr>
            </w:pPr>
            <w:r w:rsidRPr="00A662A2">
              <w:rPr>
                <w:sz w:val="24"/>
              </w:rPr>
              <w:t>0.000</w:t>
            </w:r>
          </w:p>
        </w:tc>
        <w:tc>
          <w:tcPr>
            <w:tcW w:w="1994" w:type="dxa"/>
            <w:shd w:val="clear" w:color="auto" w:fill="auto"/>
            <w:vAlign w:val="center"/>
          </w:tcPr>
          <w:p w:rsidR="0049577B" w:rsidRPr="00A662A2" w:rsidRDefault="0049577B" w:rsidP="003409A9">
            <w:pPr>
              <w:ind w:leftChars="11" w:left="29"/>
              <w:jc w:val="center"/>
              <w:rPr>
                <w:sz w:val="24"/>
              </w:rPr>
            </w:pPr>
            <w:r w:rsidRPr="00A662A2">
              <w:rPr>
                <w:sz w:val="24"/>
              </w:rPr>
              <w:t>5.221</w:t>
            </w: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X8：無期徒刑之人數(1998-2013年)</w:t>
            </w: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X9：被執行死刑之人數(1992-2016年)</w:t>
            </w: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X10：當年度之全般刑案破獲率(1992-2016年)</w:t>
            </w: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c>
          <w:tcPr>
            <w:tcW w:w="1994" w:type="dxa"/>
            <w:shd w:val="clear" w:color="auto" w:fill="auto"/>
            <w:vAlign w:val="center"/>
          </w:tcPr>
          <w:p w:rsidR="0049577B" w:rsidRPr="00A662A2" w:rsidRDefault="0049577B" w:rsidP="003409A9">
            <w:pPr>
              <w:ind w:leftChars="11" w:left="29"/>
              <w:jc w:val="center"/>
              <w:rPr>
                <w:sz w:val="24"/>
              </w:rPr>
            </w:pPr>
          </w:p>
        </w:tc>
      </w:tr>
      <w:tr w:rsidR="0049577B" w:rsidRPr="00B40DC1" w:rsidTr="00817A92">
        <w:tc>
          <w:tcPr>
            <w:tcW w:w="9918" w:type="dxa"/>
            <w:gridSpan w:val="4"/>
            <w:shd w:val="clear" w:color="auto" w:fill="auto"/>
          </w:tcPr>
          <w:p w:rsidR="0049577B" w:rsidRPr="00A662A2" w:rsidRDefault="0049577B" w:rsidP="00817A92">
            <w:pPr>
              <w:ind w:leftChars="11" w:left="29"/>
              <w:rPr>
                <w:sz w:val="24"/>
              </w:rPr>
            </w:pPr>
            <w:r w:rsidRPr="00A662A2">
              <w:rPr>
                <w:sz w:val="24"/>
              </w:rPr>
              <w:t>多元迴歸分析模型整體之R平方解釋量：0.993</w:t>
            </w:r>
          </w:p>
        </w:tc>
      </w:tr>
    </w:tbl>
    <w:p w:rsidR="0049577B" w:rsidRPr="00B40DC1" w:rsidRDefault="00817A92" w:rsidP="003409A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3409A9">
      <w:pPr>
        <w:spacing w:line="240" w:lineRule="auto"/>
        <w:ind w:leftChars="0" w:left="0" w:rightChars="0" w:right="0"/>
      </w:pPr>
    </w:p>
    <w:p w:rsidR="0049577B" w:rsidRPr="00B40DC1" w:rsidRDefault="00817A92" w:rsidP="002031B1">
      <w:pPr>
        <w:spacing w:line="240" w:lineRule="auto"/>
        <w:ind w:leftChars="0" w:left="0" w:rightChars="0" w:right="0"/>
      </w:pPr>
      <w:r>
        <w:t xml:space="preserve">　　</w:t>
      </w:r>
      <w:r w:rsidR="0049577B" w:rsidRPr="00B40DC1">
        <w:t>由下表---影響下年度擄人勒贖犯罪(1993年至2015年)相關因子(原因變項)之多元迴歸分析統計數據結果一覽表(本表係使用強迫進入法之迴歸分析方式)之統計資料可得知，依變項為下年度擄人勒贖犯罪，每提升結婚對數1個單位之標準差(1個標準單位)，則可增加0.235個單位之標準差(標準化迴歸係數值，Beta=0.235)之下年度擄人勒贖犯罪。目前政府非常鼓勵國人結婚，但假若無相關妥適之配套措施，國民結婚，反而會促發下年度之擄人勒贖犯罪。換言之，國人不結婚，係為一位守法之公民，國人一結婚，假若無相關妥適之配套措施，有可能成為下年度擄人勒贖犯罪之「重大」罪犯。政府非常鼓勵國人結婚之政策，容有精進之空間。</w:t>
      </w:r>
    </w:p>
    <w:p w:rsidR="0049577B" w:rsidRDefault="00817A92" w:rsidP="003409A9">
      <w:pPr>
        <w:spacing w:line="240" w:lineRule="auto"/>
        <w:ind w:leftChars="0" w:left="0" w:rightChars="0" w:right="0"/>
      </w:pPr>
      <w:r>
        <w:t xml:space="preserve">　　</w:t>
      </w:r>
      <w:r w:rsidR="0049577B" w:rsidRPr="00B40DC1">
        <w:t>Sampson &amp; Laub之逐級年齡非正式社會控制理論的主張如下</w:t>
      </w:r>
      <w:r w:rsidR="0049577B" w:rsidRPr="007175B7">
        <w:rPr>
          <w:rStyle w:val="af7"/>
          <w:rFonts w:eastAsia="新細明體"/>
          <w:sz w:val="20"/>
        </w:rPr>
        <w:footnoteReference w:id="141"/>
      </w:r>
      <w:r w:rsidR="0049577B" w:rsidRPr="00B40DC1">
        <w:t>：</w:t>
      </w:r>
    </w:p>
    <w:p w:rsidR="007175B7" w:rsidRDefault="007175B7" w:rsidP="003409A9">
      <w:pPr>
        <w:spacing w:line="240" w:lineRule="auto"/>
        <w:ind w:leftChars="0" w:left="0" w:rightChars="0" w:right="0"/>
      </w:pPr>
      <w:r>
        <w:rPr>
          <w:rFonts w:hint="eastAsia"/>
        </w:rPr>
        <w:t xml:space="preserve">　　</w:t>
      </w:r>
      <w:r>
        <w:t>1、結構變項（性別、年齡、種族、教育程度、家庭社經地位、家庭人口數等）透過家庭及學校控制的中介變項作用，而解釋兒童及少年時期的偏差行為。</w:t>
      </w:r>
    </w:p>
    <w:p w:rsidR="007175B7" w:rsidRDefault="007175B7" w:rsidP="003409A9">
      <w:pPr>
        <w:spacing w:line="240" w:lineRule="auto"/>
        <w:ind w:leftChars="0" w:left="0" w:rightChars="0" w:right="0"/>
      </w:pPr>
      <w:r>
        <w:rPr>
          <w:rFonts w:hint="eastAsia"/>
        </w:rPr>
        <w:t xml:space="preserve">　　</w:t>
      </w:r>
      <w:r>
        <w:t>2、兒童時期的反社會行為可以不同的型態（如酗酒、精神疾病、意外事故、犯罪或偏差行為等）而延續至成人時期。</w:t>
      </w:r>
    </w:p>
    <w:p w:rsidR="007175B7" w:rsidRDefault="007175B7" w:rsidP="003409A9">
      <w:pPr>
        <w:spacing w:line="240" w:lineRule="auto"/>
        <w:ind w:leftChars="0" w:left="0" w:rightChars="0" w:right="0"/>
      </w:pPr>
      <w:r>
        <w:rPr>
          <w:rFonts w:hint="eastAsia"/>
        </w:rPr>
        <w:t xml:space="preserve">　　</w:t>
      </w:r>
      <w:r>
        <w:t>3、但無論早期犯罪傾向如何，成人時期的家庭及就業狀況，可以解釋成人犯罪狀況之改變。</w:t>
      </w:r>
    </w:p>
    <w:p w:rsidR="007175B7" w:rsidRDefault="007175B7" w:rsidP="003409A9">
      <w:pPr>
        <w:spacing w:line="240" w:lineRule="auto"/>
        <w:ind w:leftChars="0" w:left="0" w:rightChars="0" w:right="0"/>
      </w:pPr>
      <w:r>
        <w:rPr>
          <w:rFonts w:hint="eastAsia"/>
        </w:rPr>
        <w:t xml:space="preserve">　　</w:t>
      </w:r>
      <w:r>
        <w:t>4、個體日後的人生經驗的各個階段，非正式社會控制，諸如家庭、學校、職業、婚姻等的附著，Sampson &amp; Laub稱之為社會資本，對個人是否從事犯行的影響是很重要的。</w:t>
      </w:r>
    </w:p>
    <w:p w:rsidR="007175B7" w:rsidRDefault="007175B7" w:rsidP="003409A9">
      <w:pPr>
        <w:spacing w:line="240" w:lineRule="auto"/>
        <w:ind w:leftChars="0" w:left="0" w:rightChars="0" w:right="0"/>
      </w:pPr>
      <w:r>
        <w:rPr>
          <w:rFonts w:hint="eastAsia"/>
        </w:rPr>
        <w:t xml:space="preserve">　　</w:t>
      </w:r>
      <w:r>
        <w:t>5、家庭及學校非正式社會控制過程是解釋兒童及少年時期偏差行為的主要原因。</w:t>
      </w:r>
    </w:p>
    <w:p w:rsidR="007175B7" w:rsidRDefault="007175B7" w:rsidP="003409A9">
      <w:pPr>
        <w:spacing w:line="240" w:lineRule="auto"/>
        <w:ind w:leftChars="0" w:left="0" w:rightChars="0" w:right="0"/>
      </w:pPr>
      <w:r>
        <w:rPr>
          <w:rFonts w:hint="eastAsia"/>
        </w:rPr>
        <w:t xml:space="preserve">　　</w:t>
      </w:r>
      <w:r>
        <w:t>6、結構變項只有在對非正式社會控制的家庭及學校過程有所影響時，才顯示其重要性。</w:t>
      </w:r>
    </w:p>
    <w:p w:rsidR="007175B7" w:rsidRDefault="007175B7" w:rsidP="003409A9">
      <w:pPr>
        <w:spacing w:line="240" w:lineRule="auto"/>
        <w:ind w:leftChars="0" w:left="0" w:rightChars="0" w:right="0"/>
      </w:pPr>
      <w:r>
        <w:rPr>
          <w:rFonts w:hint="eastAsia"/>
        </w:rPr>
        <w:t xml:space="preserve">　　</w:t>
      </w:r>
      <w:r>
        <w:t>7、結構變項對偏差行為沒有直接影響。</w:t>
      </w:r>
    </w:p>
    <w:p w:rsidR="007175B7" w:rsidRDefault="007175B7" w:rsidP="003409A9">
      <w:pPr>
        <w:spacing w:line="240" w:lineRule="auto"/>
        <w:ind w:leftChars="0" w:left="0" w:rightChars="0" w:right="0"/>
      </w:pPr>
      <w:r>
        <w:rPr>
          <w:rFonts w:hint="eastAsia"/>
        </w:rPr>
        <w:t xml:space="preserve">　　</w:t>
      </w:r>
      <w:r>
        <w:t>8、個體的特性，諸如不良個性、適應困難、早期失序行為等，也會對非正式社會控制的家庭、學校過程及偏差行為造成影響，但個人的因素，並不會顯著降低家庭及學校鍵對偏差行為的影響。</w:t>
      </w:r>
    </w:p>
    <w:p w:rsidR="007175B7" w:rsidRDefault="007175B7" w:rsidP="003409A9">
      <w:pPr>
        <w:spacing w:line="240" w:lineRule="auto"/>
        <w:ind w:leftChars="0" w:left="0" w:rightChars="0" w:right="0"/>
      </w:pPr>
      <w:r>
        <w:rPr>
          <w:rFonts w:hint="eastAsia"/>
        </w:rPr>
        <w:t xml:space="preserve">　　</w:t>
      </w:r>
      <w:r>
        <w:t>9、個體早年時期的偏差行為可以預測到成人時期的社會鍵是微弱的。</w:t>
      </w:r>
    </w:p>
    <w:p w:rsidR="007175B7" w:rsidRDefault="007175B7" w:rsidP="003409A9">
      <w:pPr>
        <w:spacing w:line="240" w:lineRule="auto"/>
        <w:ind w:leftChars="0" w:left="0" w:rightChars="0" w:right="0"/>
      </w:pPr>
      <w:r>
        <w:rPr>
          <w:rFonts w:hint="eastAsia"/>
        </w:rPr>
        <w:t xml:space="preserve">　　</w:t>
      </w:r>
      <w:r>
        <w:t>10、微弱的成人時期的社會鍵則可以預測此人現在和未來的犯罪及偏差行為可能性是很高的。</w:t>
      </w:r>
    </w:p>
    <w:p w:rsidR="007175B7" w:rsidRDefault="007175B7" w:rsidP="003409A9">
      <w:pPr>
        <w:spacing w:line="240" w:lineRule="auto"/>
        <w:ind w:leftChars="0" w:left="0" w:rightChars="0" w:right="0"/>
      </w:pPr>
      <w:r>
        <w:rPr>
          <w:rFonts w:hint="eastAsia"/>
        </w:rPr>
        <w:t xml:space="preserve">　　</w:t>
      </w:r>
      <w:r>
        <w:t>11、從兒童時期的反社會行為和少年時期的偏差行為，至成年時期的犯罪，其連結點是弱的社會鍵。</w:t>
      </w:r>
    </w:p>
    <w:p w:rsidR="007175B7" w:rsidRDefault="007175B7" w:rsidP="003409A9">
      <w:pPr>
        <w:spacing w:line="240" w:lineRule="auto"/>
        <w:ind w:leftChars="0" w:left="0" w:rightChars="0" w:right="0"/>
      </w:pPr>
      <w:r>
        <w:rPr>
          <w:rFonts w:hint="eastAsia"/>
        </w:rPr>
        <w:t xml:space="preserve">　　</w:t>
      </w:r>
      <w:r>
        <w:t>12、成年時期的重要生命事件及社會化經驗，在某種程度上，是可以抵銷早期生命經驗的影響。</w:t>
      </w:r>
    </w:p>
    <w:p w:rsidR="007175B7" w:rsidRDefault="007175B7" w:rsidP="003409A9">
      <w:pPr>
        <w:spacing w:line="240" w:lineRule="auto"/>
        <w:ind w:leftChars="0" w:left="0" w:rightChars="0" w:right="0"/>
      </w:pPr>
      <w:r>
        <w:rPr>
          <w:rFonts w:hint="eastAsia"/>
        </w:rPr>
        <w:t xml:space="preserve">　　</w:t>
      </w:r>
      <w:r>
        <w:t>13、一個人在少年時期沒有犯罪紀錄，但成年後的弱社會鍵，卻可以說明其犯罪發生的原因。</w:t>
      </w:r>
    </w:p>
    <w:p w:rsidR="007175B7" w:rsidRDefault="007175B7" w:rsidP="003409A9">
      <w:pPr>
        <w:spacing w:line="240" w:lineRule="auto"/>
        <w:ind w:leftChars="0" w:left="0" w:rightChars="0" w:right="0"/>
      </w:pPr>
      <w:r>
        <w:rPr>
          <w:rFonts w:hint="eastAsia"/>
        </w:rPr>
        <w:t xml:space="preserve">　　</w:t>
      </w:r>
      <w:r>
        <w:t>14、一個人在少年時期雖然有犯罪紀錄，但成年後的強社會鍵，卻可以說明其不去犯罪的原因。</w:t>
      </w:r>
    </w:p>
    <w:p w:rsidR="007175B7" w:rsidRDefault="007175B7" w:rsidP="003409A9">
      <w:pPr>
        <w:spacing w:line="240" w:lineRule="auto"/>
        <w:ind w:leftChars="0" w:left="0" w:rightChars="0" w:right="0"/>
      </w:pPr>
      <w:r>
        <w:rPr>
          <w:rFonts w:hint="eastAsia"/>
        </w:rPr>
        <w:t xml:space="preserve">　　</w:t>
      </w:r>
      <w:r>
        <w:t>15、因此，該理論較強調的是社會鍵的品質，而非生命事件的發生或時間。</w:t>
      </w:r>
    </w:p>
    <w:p w:rsidR="0049577B" w:rsidRPr="00B40DC1" w:rsidRDefault="00817A92" w:rsidP="003409A9">
      <w:pPr>
        <w:spacing w:line="240" w:lineRule="auto"/>
        <w:ind w:leftChars="0" w:left="0" w:rightChars="0" w:right="0"/>
      </w:pPr>
      <w:r>
        <w:t xml:space="preserve">　　</w:t>
      </w:r>
      <w:r w:rsidR="0049577B" w:rsidRPr="00B40DC1">
        <w:t>Sampson &amp; Laub認為行為人對婚姻的附著，可降低犯罪，亦即，個體日後的人生經驗的各個階段，非正式社會控制（家庭、學校、職業、婚姻等的附著，Sampson &amp; Laub稱之為社會資本）對個人是否從事犯行的影響仍是很重要的。其中最重要的轉折點是「婚姻」與「就業」</w:t>
      </w:r>
      <w:r w:rsidR="0049577B" w:rsidRPr="00817A92">
        <w:rPr>
          <w:rStyle w:val="af7"/>
          <w:rFonts w:eastAsia="新細明體"/>
          <w:sz w:val="20"/>
        </w:rPr>
        <w:footnoteReference w:id="142"/>
      </w:r>
      <w:r w:rsidR="0049577B" w:rsidRPr="00B40DC1">
        <w:t>。在台灣，恐非如此，實況為每提升結婚對數1個單位之標準差(1個標準單位)，則可增加0.235個單位之標準差(標準化迴歸係數值，Beta=0.235)之下年度擄人勒贖犯罪。行為人對婚姻的附著(指結婚)，反而提升下年度擄人勒贖犯罪，此種結果，澈底推翻Sampson &amp; Laub之逐級年齡非正式社會控制理論。本書提出一種新論點，亦即，行為人對婚姻的附著(指結婚)愈強，下年度從事擄人勒贖犯罪之機率愈高。反之，行為人對婚姻的附著(指結婚)愈弱，下年度從事擄人勒贖犯罪之機率愈低。</w:t>
      </w:r>
    </w:p>
    <w:p w:rsidR="0049577B" w:rsidRPr="00B40DC1" w:rsidRDefault="00817A92" w:rsidP="003409A9">
      <w:pPr>
        <w:spacing w:line="240" w:lineRule="auto"/>
        <w:ind w:leftChars="0" w:left="0" w:rightChars="0" w:right="0"/>
      </w:pPr>
      <w:r>
        <w:t xml:space="preserve">　　</w:t>
      </w:r>
      <w:r w:rsidR="0049577B" w:rsidRPr="00B40DC1">
        <w:t>每提升GNI(平均每人國民所得毛額，以美元為單位)1個單位之標準差(1個標準單位)，則可降低0.708個單位之標準差(標準化迴歸係數值，Beta=-0.708)之下年度擄人勒贖犯罪。</w:t>
      </w:r>
    </w:p>
    <w:p w:rsidR="0049577B" w:rsidRPr="00B40DC1" w:rsidRDefault="003409A9" w:rsidP="003409A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另外，就本書特別加以關注之死刑是否能有效地嚇阻(減少)犯罪之發生而論，根據本表之資料可得知，執行死刑無法有效地嚇阻(減少)下年度擄人勒贖犯罪。復次，無期徒刑亦無法有效地嚇阻(減少</w:t>
      </w:r>
      <w:r w:rsidR="00587200">
        <w:t>)</w:t>
      </w:r>
      <w:r w:rsidR="0049577B" w:rsidRPr="00B40DC1">
        <w:t>下年度擄人勒贖犯罪。</w:t>
      </w:r>
    </w:p>
    <w:p w:rsidR="0049577B" w:rsidRPr="00B40DC1" w:rsidRDefault="00A662A2" w:rsidP="00A662A2">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7175B7" w:rsidRDefault="0049577B" w:rsidP="00E736D6">
      <w:pPr>
        <w:pStyle w:val="4"/>
        <w:rPr>
          <w:lang w:eastAsia="zh-TW"/>
        </w:rPr>
      </w:pPr>
      <w:r w:rsidRPr="007175B7">
        <w:rPr>
          <w:lang w:eastAsia="zh-TW"/>
        </w:rPr>
        <w:t>表25、影響下年度擄人勒贖犯罪(1993年至2015年)相關因子(原因變項)之多元迴歸分析統計數據結果一覽表(本表係使用強迫進入法之迴歸分析方式)</w:t>
      </w:r>
      <w:r w:rsidRPr="007175B7">
        <w:rPr>
          <w:rStyle w:val="af7"/>
          <w:rFonts w:eastAsia="新細明體"/>
          <w:b w:val="0"/>
          <w:sz w:val="20"/>
        </w:rPr>
        <w:footnoteReference w:id="143"/>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EFFDFF"/>
            <w:vAlign w:val="center"/>
          </w:tcPr>
          <w:p w:rsidR="009214BE" w:rsidRPr="00A662A2" w:rsidRDefault="009214BE" w:rsidP="009214BE">
            <w:pPr>
              <w:ind w:leftChars="11" w:left="29"/>
              <w:jc w:val="center"/>
              <w:rPr>
                <w:sz w:val="24"/>
              </w:rPr>
            </w:pPr>
            <w:r w:rsidRPr="00A662A2">
              <w:rPr>
                <w:sz w:val="24"/>
              </w:rPr>
              <w:t>多元迴歸分析統計數據</w:t>
            </w:r>
          </w:p>
          <w:p w:rsidR="0049577B" w:rsidRPr="00A662A2" w:rsidRDefault="009214BE" w:rsidP="009214BE">
            <w:pPr>
              <w:ind w:leftChars="11" w:left="29"/>
              <w:rPr>
                <w:sz w:val="24"/>
              </w:rPr>
            </w:pPr>
            <w:r w:rsidRPr="00A662A2">
              <w:rPr>
                <w:sz w:val="24"/>
              </w:rPr>
              <w:t>自變項(解釋因子，independent variable)之名稱</w:t>
            </w:r>
          </w:p>
        </w:tc>
        <w:tc>
          <w:tcPr>
            <w:tcW w:w="1946" w:type="dxa"/>
            <w:shd w:val="clear" w:color="auto" w:fill="EFFDFF"/>
            <w:vAlign w:val="center"/>
          </w:tcPr>
          <w:p w:rsidR="0049577B" w:rsidRPr="00A662A2" w:rsidRDefault="0049577B" w:rsidP="007175B7">
            <w:pPr>
              <w:ind w:leftChars="-32" w:left="-83" w:rightChars="0" w:right="0"/>
              <w:rPr>
                <w:sz w:val="24"/>
              </w:rPr>
            </w:pPr>
            <w:r w:rsidRPr="00A662A2">
              <w:rPr>
                <w:sz w:val="24"/>
              </w:rPr>
              <w:t>標準化迴歸係數值(Beta)</w:t>
            </w:r>
          </w:p>
        </w:tc>
        <w:tc>
          <w:tcPr>
            <w:tcW w:w="1947" w:type="dxa"/>
            <w:shd w:val="clear" w:color="auto" w:fill="EFFDFF"/>
            <w:vAlign w:val="center"/>
          </w:tcPr>
          <w:p w:rsidR="0049577B" w:rsidRPr="00A662A2" w:rsidRDefault="0049577B" w:rsidP="007175B7">
            <w:pPr>
              <w:ind w:leftChars="-32" w:left="-83" w:rightChars="0" w:right="0"/>
              <w:rPr>
                <w:sz w:val="24"/>
              </w:rPr>
            </w:pPr>
            <w:r w:rsidRPr="00A662A2">
              <w:rPr>
                <w:sz w:val="24"/>
              </w:rPr>
              <w:t>標準化迴歸係數值(Beta)之顯著度(水準)</w:t>
            </w:r>
          </w:p>
        </w:tc>
        <w:tc>
          <w:tcPr>
            <w:tcW w:w="1947" w:type="dxa"/>
            <w:shd w:val="clear" w:color="auto" w:fill="EFFDFF"/>
            <w:vAlign w:val="center"/>
          </w:tcPr>
          <w:p w:rsidR="0049577B" w:rsidRPr="00A662A2" w:rsidRDefault="0049577B" w:rsidP="007175B7">
            <w:pPr>
              <w:ind w:leftChars="11" w:left="29"/>
              <w:rPr>
                <w:sz w:val="24"/>
              </w:rPr>
            </w:pPr>
            <w:r w:rsidRPr="00A662A2">
              <w:rPr>
                <w:sz w:val="24"/>
              </w:rPr>
              <w:t>條件指標(CI)</w:t>
            </w:r>
            <w:r w:rsidR="003C1792" w:rsidRPr="00A662A2">
              <w:rPr>
                <w:sz w:val="24"/>
              </w:rPr>
              <w:t>(</w:t>
            </w:r>
            <w:r w:rsidRPr="00A662A2">
              <w:rPr>
                <w:sz w:val="24"/>
              </w:rPr>
              <w:t>檢視自變項是否有嚴重之共線問題)</w:t>
            </w: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X1：失業率(1992-2016年)</w:t>
            </w:r>
          </w:p>
        </w:tc>
        <w:tc>
          <w:tcPr>
            <w:tcW w:w="1946" w:type="dxa"/>
            <w:shd w:val="clear" w:color="auto" w:fill="auto"/>
          </w:tcPr>
          <w:p w:rsidR="0049577B" w:rsidRPr="00A662A2" w:rsidRDefault="0049577B" w:rsidP="00817A92">
            <w:pPr>
              <w:jc w:val="center"/>
              <w:rPr>
                <w:sz w:val="24"/>
              </w:rPr>
            </w:pPr>
            <w:r w:rsidRPr="00A662A2">
              <w:rPr>
                <w:sz w:val="24"/>
              </w:rPr>
              <w:t>-0.189</w:t>
            </w:r>
          </w:p>
        </w:tc>
        <w:tc>
          <w:tcPr>
            <w:tcW w:w="1947" w:type="dxa"/>
            <w:shd w:val="clear" w:color="auto" w:fill="auto"/>
          </w:tcPr>
          <w:p w:rsidR="0049577B" w:rsidRPr="00A662A2" w:rsidRDefault="0049577B" w:rsidP="00817A92">
            <w:pPr>
              <w:jc w:val="center"/>
              <w:rPr>
                <w:sz w:val="24"/>
              </w:rPr>
            </w:pPr>
            <w:r w:rsidRPr="00A662A2">
              <w:rPr>
                <w:sz w:val="24"/>
              </w:rPr>
              <w:t>0.132</w:t>
            </w:r>
          </w:p>
        </w:tc>
        <w:tc>
          <w:tcPr>
            <w:tcW w:w="1947" w:type="dxa"/>
            <w:shd w:val="clear" w:color="auto" w:fill="auto"/>
          </w:tcPr>
          <w:p w:rsidR="0049577B" w:rsidRPr="00A662A2" w:rsidRDefault="0049577B" w:rsidP="00817A92">
            <w:pPr>
              <w:jc w:val="center"/>
              <w:rPr>
                <w:sz w:val="24"/>
              </w:rPr>
            </w:pPr>
            <w:r w:rsidRPr="00A662A2">
              <w:rPr>
                <w:sz w:val="24"/>
              </w:rPr>
              <w:t>6.956</w:t>
            </w: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X2：結婚對數(1998-2013年)</w:t>
            </w:r>
          </w:p>
        </w:tc>
        <w:tc>
          <w:tcPr>
            <w:tcW w:w="1946" w:type="dxa"/>
            <w:shd w:val="clear" w:color="auto" w:fill="auto"/>
            <w:vAlign w:val="center"/>
          </w:tcPr>
          <w:p w:rsidR="0049577B" w:rsidRPr="00A662A2" w:rsidRDefault="0049577B" w:rsidP="007175B7">
            <w:pPr>
              <w:rPr>
                <w:sz w:val="24"/>
              </w:rPr>
            </w:pPr>
            <w:r w:rsidRPr="00A662A2">
              <w:rPr>
                <w:sz w:val="24"/>
              </w:rPr>
              <w:t>0.235</w:t>
            </w:r>
          </w:p>
        </w:tc>
        <w:tc>
          <w:tcPr>
            <w:tcW w:w="1947" w:type="dxa"/>
            <w:shd w:val="clear" w:color="auto" w:fill="auto"/>
            <w:vAlign w:val="center"/>
          </w:tcPr>
          <w:p w:rsidR="0049577B" w:rsidRPr="00A662A2" w:rsidRDefault="0049577B" w:rsidP="007175B7">
            <w:pPr>
              <w:rPr>
                <w:sz w:val="24"/>
              </w:rPr>
            </w:pPr>
            <w:r w:rsidRPr="00A662A2">
              <w:rPr>
                <w:sz w:val="24"/>
              </w:rPr>
              <w:t>0.045</w:t>
            </w:r>
          </w:p>
        </w:tc>
        <w:tc>
          <w:tcPr>
            <w:tcW w:w="1947" w:type="dxa"/>
            <w:shd w:val="clear" w:color="auto" w:fill="auto"/>
            <w:vAlign w:val="center"/>
          </w:tcPr>
          <w:p w:rsidR="0049577B" w:rsidRPr="00A662A2" w:rsidRDefault="0049577B" w:rsidP="007175B7">
            <w:pPr>
              <w:rPr>
                <w:sz w:val="24"/>
              </w:rPr>
            </w:pPr>
            <w:r w:rsidRPr="00A662A2">
              <w:rPr>
                <w:sz w:val="24"/>
              </w:rPr>
              <w:t>11.558</w:t>
            </w: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X3： 35歲以上人口之中，男性未婚之比例</w:t>
            </w:r>
            <w:r w:rsidR="003C1792" w:rsidRPr="00A662A2">
              <w:rPr>
                <w:sz w:val="24"/>
              </w:rPr>
              <w:t>(</w:t>
            </w:r>
            <w:r w:rsidRPr="00A662A2">
              <w:rPr>
                <w:sz w:val="24"/>
              </w:rPr>
              <w:t>1998-2013年)</w:t>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X4：離婚率(1998-2013年)</w:t>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X5：GNI(平均每人國民所得毛額，以美元為單位)</w:t>
            </w:r>
            <w:r w:rsidR="003C1792" w:rsidRPr="00A662A2">
              <w:rPr>
                <w:sz w:val="24"/>
              </w:rPr>
              <w:t>(</w:t>
            </w:r>
            <w:r w:rsidRPr="00A662A2">
              <w:rPr>
                <w:sz w:val="24"/>
              </w:rPr>
              <w:t>1992-2016年)</w:t>
            </w:r>
          </w:p>
        </w:tc>
        <w:tc>
          <w:tcPr>
            <w:tcW w:w="1946" w:type="dxa"/>
            <w:shd w:val="clear" w:color="auto" w:fill="auto"/>
            <w:vAlign w:val="center"/>
          </w:tcPr>
          <w:p w:rsidR="0049577B" w:rsidRPr="00A662A2" w:rsidRDefault="0049577B" w:rsidP="007175B7">
            <w:pPr>
              <w:rPr>
                <w:sz w:val="24"/>
              </w:rPr>
            </w:pPr>
            <w:r w:rsidRPr="00A662A2">
              <w:rPr>
                <w:sz w:val="24"/>
              </w:rPr>
              <w:t>-0.708</w:t>
            </w:r>
          </w:p>
        </w:tc>
        <w:tc>
          <w:tcPr>
            <w:tcW w:w="1947" w:type="dxa"/>
            <w:shd w:val="clear" w:color="auto" w:fill="auto"/>
            <w:vAlign w:val="center"/>
          </w:tcPr>
          <w:p w:rsidR="0049577B" w:rsidRPr="00A662A2" w:rsidRDefault="0049577B" w:rsidP="007175B7">
            <w:pPr>
              <w:rPr>
                <w:sz w:val="24"/>
              </w:rPr>
            </w:pPr>
            <w:r w:rsidRPr="00A662A2">
              <w:rPr>
                <w:sz w:val="24"/>
              </w:rPr>
              <w:t>0.000</w:t>
            </w:r>
          </w:p>
        </w:tc>
        <w:tc>
          <w:tcPr>
            <w:tcW w:w="1947" w:type="dxa"/>
            <w:shd w:val="clear" w:color="auto" w:fill="auto"/>
            <w:vAlign w:val="center"/>
          </w:tcPr>
          <w:p w:rsidR="0049577B" w:rsidRPr="00A662A2" w:rsidRDefault="0049577B" w:rsidP="007175B7">
            <w:pPr>
              <w:rPr>
                <w:sz w:val="24"/>
              </w:rPr>
            </w:pPr>
            <w:r w:rsidRPr="00A662A2">
              <w:rPr>
                <w:sz w:val="24"/>
              </w:rPr>
              <w:t>28.124</w:t>
            </w: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X6：低收入戶之家庭及就學生活補助金額(1998-2013年)</w:t>
            </w:r>
            <w:r w:rsidRPr="00A662A2">
              <w:rPr>
                <w:rStyle w:val="af7"/>
                <w:rFonts w:eastAsia="新細明體"/>
                <w:sz w:val="20"/>
              </w:rPr>
              <w:footnoteReference w:id="144"/>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X7：緩刑比率(1998-2013年)</w:t>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X8：無期徒刑之人數(1998-2013年)</w:t>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X9：被執行死刑之人數(1992-2016年)</w:t>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2031B1">
        <w:tc>
          <w:tcPr>
            <w:tcW w:w="3936" w:type="dxa"/>
            <w:shd w:val="clear" w:color="auto" w:fill="auto"/>
          </w:tcPr>
          <w:p w:rsidR="0049577B" w:rsidRPr="00A662A2" w:rsidRDefault="0049577B" w:rsidP="00817A92">
            <w:pPr>
              <w:ind w:leftChars="11" w:left="29"/>
              <w:rPr>
                <w:sz w:val="24"/>
              </w:rPr>
            </w:pPr>
            <w:r w:rsidRPr="00A662A2">
              <w:rPr>
                <w:sz w:val="24"/>
              </w:rPr>
              <w:t>X10：當年度之全般刑案破獲率(1992-2016年)</w:t>
            </w:r>
          </w:p>
        </w:tc>
        <w:tc>
          <w:tcPr>
            <w:tcW w:w="1946"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c>
          <w:tcPr>
            <w:tcW w:w="1947" w:type="dxa"/>
            <w:shd w:val="clear" w:color="auto" w:fill="auto"/>
            <w:vAlign w:val="center"/>
          </w:tcPr>
          <w:p w:rsidR="0049577B" w:rsidRPr="00A662A2" w:rsidRDefault="0049577B" w:rsidP="007175B7">
            <w:pPr>
              <w:rPr>
                <w:sz w:val="24"/>
              </w:rPr>
            </w:pPr>
          </w:p>
        </w:tc>
      </w:tr>
      <w:tr w:rsidR="0049577B" w:rsidRPr="00B40DC1" w:rsidTr="00817A92">
        <w:tc>
          <w:tcPr>
            <w:tcW w:w="9776" w:type="dxa"/>
            <w:gridSpan w:val="4"/>
            <w:shd w:val="clear" w:color="auto" w:fill="auto"/>
          </w:tcPr>
          <w:p w:rsidR="0049577B" w:rsidRPr="00A662A2" w:rsidRDefault="0049577B" w:rsidP="000D26BB">
            <w:pPr>
              <w:rPr>
                <w:sz w:val="24"/>
              </w:rPr>
            </w:pPr>
            <w:r w:rsidRPr="00A662A2">
              <w:rPr>
                <w:sz w:val="24"/>
              </w:rPr>
              <w:t>多元迴歸分析模型整體之R平方解釋量：0.858</w:t>
            </w:r>
          </w:p>
        </w:tc>
      </w:tr>
    </w:tbl>
    <w:p w:rsidR="0049577B" w:rsidRPr="00B40DC1" w:rsidRDefault="00817A92" w:rsidP="007175B7">
      <w:pPr>
        <w:ind w:leftChars="54" w:left="14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7175B7">
      <w:pPr>
        <w:ind w:leftChars="54" w:left="140"/>
      </w:pPr>
    </w:p>
    <w:p w:rsidR="0049577B" w:rsidRPr="00B40DC1" w:rsidRDefault="00817A92" w:rsidP="007175B7">
      <w:pPr>
        <w:ind w:leftChars="54" w:left="140"/>
      </w:pPr>
      <w:r>
        <w:t xml:space="preserve">　　</w:t>
      </w:r>
      <w:r w:rsidR="0049577B" w:rsidRPr="00B40DC1">
        <w:t>由下表---影響當年度重大恐嚇取財犯罪(1992年至2016年)相關因子(原因變項)之多元迴歸分析統計數據結果一覽表(本表係使用強迫進入法之迴歸分析方式)之統計資料可得知，依變項為當年度重大恐嚇取財犯罪，每提升失業率1個單位之標準差(1個標準單位)，則可降低0.601個單位之標準差(標準化迴歸係數值，Beta=-0.601)之當年度重大恐嚇取財犯罪。有可能之成因，係失業者可請領失業補助金，「暫時地」解決其經濟困境，促使失業者未從事犯罪。</w:t>
      </w:r>
    </w:p>
    <w:p w:rsidR="0049577B" w:rsidRPr="00B40DC1" w:rsidRDefault="00817A92" w:rsidP="007175B7">
      <w:pPr>
        <w:ind w:leftChars="54" w:left="140"/>
      </w:pPr>
      <w:r>
        <w:t xml:space="preserve">　　</w:t>
      </w:r>
      <w:r w:rsidR="0049577B" w:rsidRPr="00B40DC1">
        <w:t>每提升GNI(平均每人國民所得毛額，以美元為單位)1個單位之標準差(1個標準單位)，則可降低0.325個單位之標準差(標準化迴歸係數值，Beta=-0.325)之當年度重大恐嚇取財犯罪。</w:t>
      </w:r>
    </w:p>
    <w:p w:rsidR="0049577B" w:rsidRPr="00B40DC1" w:rsidRDefault="00817A92" w:rsidP="007175B7">
      <w:pPr>
        <w:ind w:leftChars="54" w:left="14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當年度重大恐嚇取財犯罪。復次，無期徒刑亦無法有效地嚇阻(減少</w:t>
      </w:r>
      <w:r w:rsidR="00587200">
        <w:t>)</w:t>
      </w:r>
      <w:r w:rsidR="0049577B" w:rsidRPr="00B40DC1">
        <w:t>當年度重大恐嚇取財犯罪。</w:t>
      </w:r>
    </w:p>
    <w:p w:rsidR="0049577B" w:rsidRPr="00B40DC1" w:rsidRDefault="00A662A2" w:rsidP="00A662A2">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7175B7" w:rsidRDefault="0049577B" w:rsidP="00E736D6">
      <w:pPr>
        <w:pStyle w:val="4"/>
        <w:rPr>
          <w:lang w:eastAsia="zh-TW"/>
        </w:rPr>
      </w:pPr>
      <w:r w:rsidRPr="007175B7">
        <w:rPr>
          <w:lang w:eastAsia="zh-TW"/>
        </w:rPr>
        <w:t>表26、影響當年度重大恐嚇取財犯罪(1992年至2016年)相關因子(原因變項)之多元迴歸分析統計數據結果一覽表(本表係使用強迫進入法之迴歸分析方式)</w:t>
      </w:r>
      <w:r w:rsidRPr="007175B7">
        <w:rPr>
          <w:rStyle w:val="af7"/>
          <w:rFonts w:eastAsia="新細明體"/>
          <w:b w:val="0"/>
          <w:sz w:val="20"/>
        </w:rPr>
        <w:footnoteReference w:id="145"/>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2031B1">
        <w:trPr>
          <w:tblHeader/>
        </w:trPr>
        <w:tc>
          <w:tcPr>
            <w:tcW w:w="3936" w:type="dxa"/>
            <w:shd w:val="clear" w:color="auto" w:fill="FAF0FA"/>
            <w:vAlign w:val="center"/>
          </w:tcPr>
          <w:p w:rsidR="009214BE" w:rsidRPr="00A662A2" w:rsidRDefault="009214BE" w:rsidP="002031B1">
            <w:pPr>
              <w:ind w:leftChars="11" w:left="29"/>
              <w:jc w:val="center"/>
              <w:rPr>
                <w:sz w:val="24"/>
              </w:rPr>
            </w:pPr>
            <w:r w:rsidRPr="00A662A2">
              <w:rPr>
                <w:sz w:val="24"/>
              </w:rPr>
              <w:t>多元迴歸分析統計數據</w:t>
            </w:r>
          </w:p>
          <w:p w:rsidR="0049577B" w:rsidRPr="00A662A2" w:rsidRDefault="009214BE" w:rsidP="002031B1">
            <w:pPr>
              <w:ind w:leftChars="11" w:left="29"/>
              <w:jc w:val="center"/>
              <w:rPr>
                <w:sz w:val="24"/>
              </w:rPr>
            </w:pPr>
            <w:r w:rsidRPr="00A662A2">
              <w:rPr>
                <w:sz w:val="24"/>
              </w:rPr>
              <w:t>自變項(解釋因子，independent variable)之名稱</w:t>
            </w:r>
          </w:p>
        </w:tc>
        <w:tc>
          <w:tcPr>
            <w:tcW w:w="1994" w:type="dxa"/>
            <w:shd w:val="clear" w:color="auto" w:fill="FAF0FA"/>
            <w:vAlign w:val="center"/>
          </w:tcPr>
          <w:p w:rsidR="0049577B" w:rsidRPr="00A662A2" w:rsidRDefault="0049577B" w:rsidP="002031B1">
            <w:pPr>
              <w:ind w:leftChars="11" w:left="29" w:rightChars="1" w:right="3"/>
              <w:jc w:val="center"/>
              <w:rPr>
                <w:sz w:val="24"/>
              </w:rPr>
            </w:pPr>
            <w:r w:rsidRPr="00A662A2">
              <w:rPr>
                <w:sz w:val="24"/>
              </w:rPr>
              <w:t>標準化迴歸係數值(Beta)</w:t>
            </w:r>
          </w:p>
        </w:tc>
        <w:tc>
          <w:tcPr>
            <w:tcW w:w="1994" w:type="dxa"/>
            <w:shd w:val="clear" w:color="auto" w:fill="FAF0FA"/>
            <w:vAlign w:val="center"/>
          </w:tcPr>
          <w:p w:rsidR="0049577B" w:rsidRPr="00A662A2" w:rsidRDefault="0049577B" w:rsidP="002031B1">
            <w:pPr>
              <w:ind w:leftChars="11" w:left="29" w:rightChars="1" w:right="3"/>
              <w:jc w:val="center"/>
              <w:rPr>
                <w:sz w:val="24"/>
              </w:rPr>
            </w:pPr>
            <w:r w:rsidRPr="00A662A2">
              <w:rPr>
                <w:sz w:val="24"/>
              </w:rPr>
              <w:t>標準化迴歸係數值(Beta)之顯著度(水準)</w:t>
            </w:r>
          </w:p>
        </w:tc>
        <w:tc>
          <w:tcPr>
            <w:tcW w:w="1994" w:type="dxa"/>
            <w:shd w:val="clear" w:color="auto" w:fill="FAF0FA"/>
            <w:vAlign w:val="center"/>
          </w:tcPr>
          <w:p w:rsidR="0049577B" w:rsidRPr="00A662A2" w:rsidRDefault="0049577B" w:rsidP="002031B1">
            <w:pPr>
              <w:ind w:leftChars="11" w:left="29"/>
              <w:jc w:val="center"/>
              <w:rPr>
                <w:sz w:val="24"/>
              </w:rPr>
            </w:pPr>
            <w:r w:rsidRPr="00A662A2">
              <w:rPr>
                <w:sz w:val="24"/>
              </w:rPr>
              <w:t>條件指標(CI)</w:t>
            </w:r>
            <w:r w:rsidR="003C1792" w:rsidRPr="00A662A2">
              <w:rPr>
                <w:sz w:val="24"/>
              </w:rPr>
              <w:t>(</w:t>
            </w:r>
            <w:r w:rsidRPr="00A662A2">
              <w:rPr>
                <w:sz w:val="24"/>
              </w:rPr>
              <w:t>檢視自變項是否有嚴重之共線問題)</w:t>
            </w: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X1：失業率(1992-2016年)</w:t>
            </w:r>
          </w:p>
        </w:tc>
        <w:tc>
          <w:tcPr>
            <w:tcW w:w="1994" w:type="dxa"/>
            <w:shd w:val="clear" w:color="auto" w:fill="auto"/>
          </w:tcPr>
          <w:p w:rsidR="0049577B" w:rsidRPr="00A662A2" w:rsidRDefault="0049577B" w:rsidP="003409A9">
            <w:pPr>
              <w:jc w:val="center"/>
              <w:rPr>
                <w:sz w:val="24"/>
              </w:rPr>
            </w:pPr>
            <w:r w:rsidRPr="00A662A2">
              <w:rPr>
                <w:sz w:val="24"/>
              </w:rPr>
              <w:t>-0.601</w:t>
            </w:r>
          </w:p>
        </w:tc>
        <w:tc>
          <w:tcPr>
            <w:tcW w:w="1994" w:type="dxa"/>
            <w:shd w:val="clear" w:color="auto" w:fill="auto"/>
          </w:tcPr>
          <w:p w:rsidR="0049577B" w:rsidRPr="00A662A2" w:rsidRDefault="0049577B" w:rsidP="003409A9">
            <w:pPr>
              <w:jc w:val="center"/>
              <w:rPr>
                <w:sz w:val="24"/>
              </w:rPr>
            </w:pPr>
            <w:r w:rsidRPr="00A662A2">
              <w:rPr>
                <w:sz w:val="24"/>
              </w:rPr>
              <w:t>0.001</w:t>
            </w:r>
          </w:p>
        </w:tc>
        <w:tc>
          <w:tcPr>
            <w:tcW w:w="1994" w:type="dxa"/>
            <w:shd w:val="clear" w:color="auto" w:fill="auto"/>
          </w:tcPr>
          <w:p w:rsidR="0049577B" w:rsidRPr="00A662A2" w:rsidRDefault="0049577B" w:rsidP="003409A9">
            <w:pPr>
              <w:jc w:val="center"/>
              <w:rPr>
                <w:sz w:val="24"/>
              </w:rPr>
            </w:pPr>
            <w:r w:rsidRPr="00A662A2">
              <w:rPr>
                <w:sz w:val="24"/>
              </w:rPr>
              <w:t>7.557</w:t>
            </w: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X2：結婚對數(1998-2013年)</w:t>
            </w: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X3： 35歲以上人口之中，男性未婚之比例</w:t>
            </w:r>
            <w:r w:rsidR="003C1792" w:rsidRPr="00A662A2">
              <w:rPr>
                <w:sz w:val="24"/>
              </w:rPr>
              <w:t>(</w:t>
            </w:r>
            <w:r w:rsidRPr="00A662A2">
              <w:rPr>
                <w:sz w:val="24"/>
              </w:rPr>
              <w:t>1998-2013年)</w:t>
            </w: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X4：離婚率(1998-2013年)</w:t>
            </w: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X5：GNI(平均每人國民所得毛額，以美元為單位)</w:t>
            </w:r>
            <w:r w:rsidR="003C1792" w:rsidRPr="00A662A2">
              <w:rPr>
                <w:sz w:val="24"/>
              </w:rPr>
              <w:t>(</w:t>
            </w:r>
            <w:r w:rsidRPr="00A662A2">
              <w:rPr>
                <w:sz w:val="24"/>
              </w:rPr>
              <w:t>1992-2016年)</w:t>
            </w:r>
          </w:p>
        </w:tc>
        <w:tc>
          <w:tcPr>
            <w:tcW w:w="1994" w:type="dxa"/>
            <w:shd w:val="clear" w:color="auto" w:fill="auto"/>
            <w:vAlign w:val="center"/>
          </w:tcPr>
          <w:p w:rsidR="0049577B" w:rsidRPr="00A662A2" w:rsidRDefault="0049577B" w:rsidP="003409A9">
            <w:pPr>
              <w:jc w:val="center"/>
              <w:rPr>
                <w:sz w:val="24"/>
              </w:rPr>
            </w:pPr>
            <w:r w:rsidRPr="00A662A2">
              <w:rPr>
                <w:sz w:val="24"/>
              </w:rPr>
              <w:t>-0.325</w:t>
            </w:r>
          </w:p>
        </w:tc>
        <w:tc>
          <w:tcPr>
            <w:tcW w:w="1994" w:type="dxa"/>
            <w:shd w:val="clear" w:color="auto" w:fill="auto"/>
            <w:vAlign w:val="center"/>
          </w:tcPr>
          <w:p w:rsidR="0049577B" w:rsidRPr="00A662A2" w:rsidRDefault="0049577B" w:rsidP="003409A9">
            <w:pPr>
              <w:jc w:val="center"/>
              <w:rPr>
                <w:sz w:val="24"/>
              </w:rPr>
            </w:pPr>
            <w:r w:rsidRPr="00A662A2">
              <w:rPr>
                <w:sz w:val="24"/>
              </w:rPr>
              <w:t>0.049</w:t>
            </w:r>
          </w:p>
        </w:tc>
        <w:tc>
          <w:tcPr>
            <w:tcW w:w="1994" w:type="dxa"/>
            <w:shd w:val="clear" w:color="auto" w:fill="auto"/>
            <w:vAlign w:val="center"/>
          </w:tcPr>
          <w:p w:rsidR="0049577B" w:rsidRPr="00A662A2" w:rsidRDefault="0049577B" w:rsidP="003409A9">
            <w:pPr>
              <w:jc w:val="center"/>
              <w:rPr>
                <w:sz w:val="24"/>
              </w:rPr>
            </w:pPr>
            <w:r w:rsidRPr="00A662A2">
              <w:rPr>
                <w:sz w:val="24"/>
              </w:rPr>
              <w:t>11.246</w:t>
            </w: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X6：低收入戶之家庭及就學生活補助金額(1998-2013年)</w:t>
            </w:r>
            <w:r w:rsidRPr="00A662A2">
              <w:rPr>
                <w:rStyle w:val="af7"/>
                <w:rFonts w:eastAsia="新細明體"/>
                <w:sz w:val="20"/>
              </w:rPr>
              <w:footnoteReference w:id="146"/>
            </w: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X7：緩刑比率(1998-2013年)</w:t>
            </w: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X8：無期徒刑之人數(1998-2013年)</w:t>
            </w: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X9：被執行死刑之人數(1992-2016年)</w:t>
            </w: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X10：當年度之全般刑案破獲率(1992-2016年)</w:t>
            </w: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c>
          <w:tcPr>
            <w:tcW w:w="1994" w:type="dxa"/>
            <w:shd w:val="clear" w:color="auto" w:fill="auto"/>
            <w:vAlign w:val="center"/>
          </w:tcPr>
          <w:p w:rsidR="0049577B" w:rsidRPr="00A662A2" w:rsidRDefault="0049577B" w:rsidP="003409A9">
            <w:pPr>
              <w:jc w:val="center"/>
              <w:rPr>
                <w:sz w:val="24"/>
              </w:rPr>
            </w:pPr>
          </w:p>
        </w:tc>
      </w:tr>
      <w:tr w:rsidR="0049577B" w:rsidRPr="00B40DC1" w:rsidTr="003409A9">
        <w:tc>
          <w:tcPr>
            <w:tcW w:w="9918" w:type="dxa"/>
            <w:gridSpan w:val="4"/>
            <w:shd w:val="clear" w:color="auto" w:fill="auto"/>
            <w:vAlign w:val="center"/>
          </w:tcPr>
          <w:p w:rsidR="0049577B" w:rsidRPr="00A662A2" w:rsidRDefault="0049577B" w:rsidP="003409A9">
            <w:pPr>
              <w:jc w:val="center"/>
              <w:rPr>
                <w:sz w:val="24"/>
              </w:rPr>
            </w:pPr>
            <w:r w:rsidRPr="00A662A2">
              <w:rPr>
                <w:sz w:val="24"/>
              </w:rPr>
              <w:t>多元迴歸分析模型整體之R平方解釋量：0.646</w:t>
            </w:r>
          </w:p>
        </w:tc>
      </w:tr>
    </w:tbl>
    <w:p w:rsidR="0049577B" w:rsidRPr="00B40DC1" w:rsidRDefault="00817A92" w:rsidP="007175B7">
      <w:pPr>
        <w:ind w:leftChars="0" w:lef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7175B7">
      <w:pPr>
        <w:ind w:leftChars="0" w:left="0"/>
      </w:pPr>
    </w:p>
    <w:p w:rsidR="0049577B" w:rsidRPr="00B40DC1" w:rsidRDefault="00817A92" w:rsidP="007175B7">
      <w:pPr>
        <w:ind w:leftChars="0" w:left="0"/>
      </w:pPr>
      <w:r>
        <w:t xml:space="preserve">　　</w:t>
      </w:r>
      <w:r w:rsidR="0049577B" w:rsidRPr="00B40DC1">
        <w:t>由下表---影響下年度重大恐嚇取財犯罪(1993年至2015年)相關因子(原因變項)之多元迴歸分析統計數據結果一覽表(本表係使用逐步迴歸分析法之迴歸分析方式)之統計資料可得知，依變項為下年度重大恐嚇取財犯罪，每提升失業率1個單位之標準差(1個標準單位)，則可降低0.763個單位之標準差(標準化迴歸係數值，Beta=-0.763)之下年度重大恐嚇取財犯罪。</w:t>
      </w:r>
    </w:p>
    <w:p w:rsidR="0049577B" w:rsidRPr="00B40DC1" w:rsidRDefault="00817A92" w:rsidP="007175B7">
      <w:pPr>
        <w:ind w:leftChars="0" w:lef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下年度重大恐嚇取財犯罪。復次，無期徒刑亦無法有效地嚇阻(減少</w:t>
      </w:r>
      <w:r w:rsidR="00587200">
        <w:t>)</w:t>
      </w:r>
      <w:r w:rsidR="0049577B" w:rsidRPr="00B40DC1">
        <w:t>下年度重大恐嚇取財犯罪。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表27、影響下年度重大恐嚇取財犯罪(1993年至2015年)相關因子(原因變項)之多元迴歸分析統計數據結果一覽表(本表係使用逐步迴歸分析法之迴歸分析方式)</w:t>
      </w:r>
      <w:r w:rsidRPr="007175B7">
        <w:rPr>
          <w:rStyle w:val="af7"/>
          <w:rFonts w:eastAsia="新細明體"/>
          <w:sz w:val="20"/>
        </w:rPr>
        <w:footnoteReference w:id="147"/>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419"/>
        <w:gridCol w:w="1419"/>
        <w:gridCol w:w="3286"/>
      </w:tblGrid>
      <w:tr w:rsidR="0049577B" w:rsidRPr="00B40DC1" w:rsidTr="002031B1">
        <w:trPr>
          <w:tblHeader/>
        </w:trPr>
        <w:tc>
          <w:tcPr>
            <w:tcW w:w="3936" w:type="dxa"/>
            <w:shd w:val="clear" w:color="auto" w:fill="EFFDFF"/>
            <w:vAlign w:val="center"/>
          </w:tcPr>
          <w:p w:rsidR="009214BE" w:rsidRPr="00A662A2" w:rsidRDefault="009214BE" w:rsidP="009214BE">
            <w:pPr>
              <w:ind w:leftChars="11" w:left="29"/>
              <w:jc w:val="center"/>
              <w:rPr>
                <w:sz w:val="24"/>
              </w:rPr>
            </w:pPr>
            <w:r w:rsidRPr="00A662A2">
              <w:rPr>
                <w:sz w:val="24"/>
              </w:rPr>
              <w:t>多元迴歸分析統計數據</w:t>
            </w:r>
          </w:p>
          <w:p w:rsidR="0049577B" w:rsidRPr="00A662A2" w:rsidRDefault="009214BE" w:rsidP="009214BE">
            <w:pPr>
              <w:ind w:leftChars="11" w:left="29"/>
              <w:jc w:val="center"/>
              <w:rPr>
                <w:sz w:val="24"/>
              </w:rPr>
            </w:pPr>
            <w:r w:rsidRPr="00A662A2">
              <w:rPr>
                <w:sz w:val="24"/>
              </w:rPr>
              <w:t>自變項(解釋因子，independent variable)之名稱</w:t>
            </w:r>
          </w:p>
        </w:tc>
        <w:tc>
          <w:tcPr>
            <w:tcW w:w="1419" w:type="dxa"/>
            <w:shd w:val="clear" w:color="auto" w:fill="EFFDFF"/>
            <w:vAlign w:val="center"/>
          </w:tcPr>
          <w:p w:rsidR="0049577B" w:rsidRPr="00A662A2" w:rsidRDefault="0049577B" w:rsidP="009214BE">
            <w:pPr>
              <w:ind w:leftChars="11" w:left="29"/>
              <w:jc w:val="center"/>
              <w:rPr>
                <w:sz w:val="24"/>
              </w:rPr>
            </w:pPr>
            <w:r w:rsidRPr="00A662A2">
              <w:rPr>
                <w:sz w:val="24"/>
              </w:rPr>
              <w:t>標準化迴歸係數值(Beta)</w:t>
            </w:r>
          </w:p>
        </w:tc>
        <w:tc>
          <w:tcPr>
            <w:tcW w:w="1419" w:type="dxa"/>
            <w:shd w:val="clear" w:color="auto" w:fill="EFFDFF"/>
            <w:vAlign w:val="center"/>
          </w:tcPr>
          <w:p w:rsidR="0049577B" w:rsidRPr="00A662A2" w:rsidRDefault="0049577B" w:rsidP="009214BE">
            <w:pPr>
              <w:ind w:leftChars="-31" w:left="-81"/>
              <w:jc w:val="center"/>
              <w:rPr>
                <w:sz w:val="24"/>
              </w:rPr>
            </w:pPr>
            <w:r w:rsidRPr="00A662A2">
              <w:rPr>
                <w:sz w:val="24"/>
              </w:rPr>
              <w:t>標準化迴歸係數值(Beta)之顯著度(水準)</w:t>
            </w:r>
          </w:p>
        </w:tc>
        <w:tc>
          <w:tcPr>
            <w:tcW w:w="3286" w:type="dxa"/>
            <w:shd w:val="clear" w:color="auto" w:fill="EFFDFF"/>
            <w:vAlign w:val="center"/>
          </w:tcPr>
          <w:p w:rsidR="0049577B" w:rsidRPr="00A662A2" w:rsidRDefault="0049577B" w:rsidP="009214BE">
            <w:pPr>
              <w:ind w:leftChars="11" w:left="29"/>
              <w:jc w:val="center"/>
              <w:rPr>
                <w:sz w:val="24"/>
              </w:rPr>
            </w:pPr>
            <w:r w:rsidRPr="00A662A2">
              <w:rPr>
                <w:sz w:val="24"/>
              </w:rPr>
              <w:t>條件指標(CI)</w:t>
            </w:r>
            <w:r w:rsidR="003C1792" w:rsidRPr="00A662A2">
              <w:rPr>
                <w:sz w:val="24"/>
              </w:rPr>
              <w:t>(</w:t>
            </w:r>
            <w:r w:rsidRPr="00A662A2">
              <w:rPr>
                <w:sz w:val="24"/>
              </w:rPr>
              <w:t>檢視自變項是否有嚴重之共線問題)</w:t>
            </w: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X1：失業率(1992-2016年)</w:t>
            </w:r>
          </w:p>
        </w:tc>
        <w:tc>
          <w:tcPr>
            <w:tcW w:w="1419" w:type="dxa"/>
            <w:shd w:val="clear" w:color="auto" w:fill="auto"/>
            <w:vAlign w:val="center"/>
          </w:tcPr>
          <w:p w:rsidR="0049577B" w:rsidRPr="00A662A2" w:rsidRDefault="0049577B" w:rsidP="003409A9">
            <w:pPr>
              <w:jc w:val="center"/>
              <w:rPr>
                <w:sz w:val="24"/>
              </w:rPr>
            </w:pPr>
            <w:r w:rsidRPr="00A662A2">
              <w:rPr>
                <w:sz w:val="24"/>
              </w:rPr>
              <w:t>-0.763</w:t>
            </w:r>
          </w:p>
        </w:tc>
        <w:tc>
          <w:tcPr>
            <w:tcW w:w="1419" w:type="dxa"/>
            <w:shd w:val="clear" w:color="auto" w:fill="auto"/>
            <w:vAlign w:val="center"/>
          </w:tcPr>
          <w:p w:rsidR="0049577B" w:rsidRPr="00A662A2" w:rsidRDefault="0049577B" w:rsidP="003409A9">
            <w:pPr>
              <w:jc w:val="center"/>
              <w:rPr>
                <w:sz w:val="24"/>
              </w:rPr>
            </w:pPr>
            <w:r w:rsidRPr="00A662A2">
              <w:rPr>
                <w:sz w:val="24"/>
              </w:rPr>
              <w:t>0.001</w:t>
            </w:r>
          </w:p>
        </w:tc>
        <w:tc>
          <w:tcPr>
            <w:tcW w:w="3286" w:type="dxa"/>
            <w:shd w:val="clear" w:color="auto" w:fill="auto"/>
            <w:vAlign w:val="center"/>
          </w:tcPr>
          <w:p w:rsidR="0049577B" w:rsidRPr="00A662A2" w:rsidRDefault="0049577B" w:rsidP="003409A9">
            <w:pPr>
              <w:jc w:val="center"/>
              <w:rPr>
                <w:sz w:val="24"/>
              </w:rPr>
            </w:pPr>
            <w:r w:rsidRPr="00A662A2">
              <w:rPr>
                <w:sz w:val="24"/>
              </w:rPr>
              <w:t>6.334</w:t>
            </w: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X2：結婚對數(1998-2013年)</w:t>
            </w:r>
          </w:p>
        </w:tc>
        <w:tc>
          <w:tcPr>
            <w:tcW w:w="1419" w:type="dxa"/>
            <w:shd w:val="clear" w:color="auto" w:fill="auto"/>
            <w:vAlign w:val="center"/>
          </w:tcPr>
          <w:p w:rsidR="0049577B" w:rsidRPr="00A662A2" w:rsidRDefault="0049577B" w:rsidP="003409A9">
            <w:pPr>
              <w:rPr>
                <w:sz w:val="24"/>
              </w:rPr>
            </w:pPr>
          </w:p>
        </w:tc>
        <w:tc>
          <w:tcPr>
            <w:tcW w:w="1419" w:type="dxa"/>
            <w:shd w:val="clear" w:color="auto" w:fill="auto"/>
            <w:vAlign w:val="center"/>
          </w:tcPr>
          <w:p w:rsidR="0049577B" w:rsidRPr="00A662A2" w:rsidRDefault="0049577B" w:rsidP="003409A9">
            <w:pPr>
              <w:rPr>
                <w:sz w:val="24"/>
              </w:rPr>
            </w:pPr>
          </w:p>
        </w:tc>
        <w:tc>
          <w:tcPr>
            <w:tcW w:w="3286" w:type="dxa"/>
            <w:shd w:val="clear" w:color="auto" w:fill="auto"/>
            <w:vAlign w:val="center"/>
          </w:tcPr>
          <w:p w:rsidR="0049577B" w:rsidRPr="00A662A2" w:rsidRDefault="0049577B" w:rsidP="003409A9">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X3： 35歲以上人口之中，男性未婚之比例</w:t>
            </w:r>
            <w:r w:rsidR="003C1792" w:rsidRPr="00A662A2">
              <w:rPr>
                <w:sz w:val="24"/>
              </w:rPr>
              <w:t>(</w:t>
            </w:r>
            <w:r w:rsidRPr="00A662A2">
              <w:rPr>
                <w:sz w:val="24"/>
              </w:rPr>
              <w:t>1998-2013年)</w:t>
            </w:r>
          </w:p>
        </w:tc>
        <w:tc>
          <w:tcPr>
            <w:tcW w:w="1419" w:type="dxa"/>
            <w:shd w:val="clear" w:color="auto" w:fill="auto"/>
            <w:vAlign w:val="center"/>
          </w:tcPr>
          <w:p w:rsidR="0049577B" w:rsidRPr="00A662A2" w:rsidRDefault="0049577B" w:rsidP="003409A9">
            <w:pPr>
              <w:rPr>
                <w:sz w:val="24"/>
              </w:rPr>
            </w:pPr>
          </w:p>
        </w:tc>
        <w:tc>
          <w:tcPr>
            <w:tcW w:w="1419" w:type="dxa"/>
            <w:shd w:val="clear" w:color="auto" w:fill="auto"/>
            <w:vAlign w:val="center"/>
          </w:tcPr>
          <w:p w:rsidR="0049577B" w:rsidRPr="00A662A2" w:rsidRDefault="0049577B" w:rsidP="003409A9">
            <w:pPr>
              <w:rPr>
                <w:sz w:val="24"/>
              </w:rPr>
            </w:pPr>
          </w:p>
        </w:tc>
        <w:tc>
          <w:tcPr>
            <w:tcW w:w="3286" w:type="dxa"/>
            <w:shd w:val="clear" w:color="auto" w:fill="auto"/>
            <w:vAlign w:val="center"/>
          </w:tcPr>
          <w:p w:rsidR="0049577B" w:rsidRPr="00A662A2" w:rsidRDefault="0049577B" w:rsidP="003409A9">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X4：離婚率(1998-2013年)</w:t>
            </w:r>
          </w:p>
        </w:tc>
        <w:tc>
          <w:tcPr>
            <w:tcW w:w="1419" w:type="dxa"/>
            <w:shd w:val="clear" w:color="auto" w:fill="auto"/>
            <w:vAlign w:val="center"/>
          </w:tcPr>
          <w:p w:rsidR="0049577B" w:rsidRPr="00A662A2" w:rsidRDefault="0049577B" w:rsidP="003409A9">
            <w:pPr>
              <w:rPr>
                <w:sz w:val="24"/>
              </w:rPr>
            </w:pPr>
          </w:p>
        </w:tc>
        <w:tc>
          <w:tcPr>
            <w:tcW w:w="1419" w:type="dxa"/>
            <w:shd w:val="clear" w:color="auto" w:fill="auto"/>
            <w:vAlign w:val="center"/>
          </w:tcPr>
          <w:p w:rsidR="0049577B" w:rsidRPr="00A662A2" w:rsidRDefault="0049577B" w:rsidP="003409A9">
            <w:pPr>
              <w:rPr>
                <w:sz w:val="24"/>
              </w:rPr>
            </w:pPr>
          </w:p>
        </w:tc>
        <w:tc>
          <w:tcPr>
            <w:tcW w:w="3286" w:type="dxa"/>
            <w:shd w:val="clear" w:color="auto" w:fill="auto"/>
            <w:vAlign w:val="center"/>
          </w:tcPr>
          <w:p w:rsidR="0049577B" w:rsidRPr="00A662A2" w:rsidRDefault="0049577B" w:rsidP="003409A9">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X5：GNI(平均每人國民所得毛額，以美元為單位)</w:t>
            </w:r>
            <w:r w:rsidR="003C1792" w:rsidRPr="00A662A2">
              <w:rPr>
                <w:sz w:val="24"/>
              </w:rPr>
              <w:t>(</w:t>
            </w:r>
            <w:r w:rsidRPr="00A662A2">
              <w:rPr>
                <w:sz w:val="24"/>
              </w:rPr>
              <w:t>1992-2016年)</w:t>
            </w:r>
          </w:p>
        </w:tc>
        <w:tc>
          <w:tcPr>
            <w:tcW w:w="1419" w:type="dxa"/>
            <w:shd w:val="clear" w:color="auto" w:fill="auto"/>
            <w:vAlign w:val="center"/>
          </w:tcPr>
          <w:p w:rsidR="0049577B" w:rsidRPr="00A662A2" w:rsidRDefault="0049577B" w:rsidP="003409A9">
            <w:pPr>
              <w:rPr>
                <w:sz w:val="24"/>
              </w:rPr>
            </w:pPr>
          </w:p>
        </w:tc>
        <w:tc>
          <w:tcPr>
            <w:tcW w:w="1419" w:type="dxa"/>
            <w:shd w:val="clear" w:color="auto" w:fill="auto"/>
            <w:vAlign w:val="center"/>
          </w:tcPr>
          <w:p w:rsidR="0049577B" w:rsidRPr="00A662A2" w:rsidRDefault="0049577B" w:rsidP="003409A9">
            <w:pPr>
              <w:rPr>
                <w:sz w:val="24"/>
              </w:rPr>
            </w:pPr>
          </w:p>
        </w:tc>
        <w:tc>
          <w:tcPr>
            <w:tcW w:w="3286" w:type="dxa"/>
            <w:shd w:val="clear" w:color="auto" w:fill="auto"/>
            <w:vAlign w:val="center"/>
          </w:tcPr>
          <w:p w:rsidR="0049577B" w:rsidRPr="00A662A2" w:rsidRDefault="0049577B" w:rsidP="003409A9">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X6：低收入戶之家庭及就學生活補助金額(1998-2013年)</w:t>
            </w:r>
            <w:r w:rsidRPr="00A662A2">
              <w:rPr>
                <w:rStyle w:val="af7"/>
                <w:rFonts w:eastAsia="新細明體"/>
                <w:sz w:val="20"/>
              </w:rPr>
              <w:footnoteReference w:id="148"/>
            </w:r>
          </w:p>
        </w:tc>
        <w:tc>
          <w:tcPr>
            <w:tcW w:w="1419" w:type="dxa"/>
            <w:shd w:val="clear" w:color="auto" w:fill="auto"/>
            <w:vAlign w:val="center"/>
          </w:tcPr>
          <w:p w:rsidR="0049577B" w:rsidRPr="00A662A2" w:rsidRDefault="0049577B" w:rsidP="003409A9">
            <w:pPr>
              <w:rPr>
                <w:sz w:val="24"/>
              </w:rPr>
            </w:pPr>
          </w:p>
        </w:tc>
        <w:tc>
          <w:tcPr>
            <w:tcW w:w="1419" w:type="dxa"/>
            <w:shd w:val="clear" w:color="auto" w:fill="auto"/>
            <w:vAlign w:val="center"/>
          </w:tcPr>
          <w:p w:rsidR="0049577B" w:rsidRPr="00A662A2" w:rsidRDefault="0049577B" w:rsidP="003409A9">
            <w:pPr>
              <w:rPr>
                <w:sz w:val="24"/>
              </w:rPr>
            </w:pPr>
          </w:p>
        </w:tc>
        <w:tc>
          <w:tcPr>
            <w:tcW w:w="3286" w:type="dxa"/>
            <w:shd w:val="clear" w:color="auto" w:fill="auto"/>
            <w:vAlign w:val="center"/>
          </w:tcPr>
          <w:p w:rsidR="0049577B" w:rsidRPr="00A662A2" w:rsidRDefault="0049577B" w:rsidP="003409A9">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X7：緩刑比率(1998-2013年)</w:t>
            </w:r>
          </w:p>
        </w:tc>
        <w:tc>
          <w:tcPr>
            <w:tcW w:w="1419" w:type="dxa"/>
            <w:shd w:val="clear" w:color="auto" w:fill="auto"/>
            <w:vAlign w:val="center"/>
          </w:tcPr>
          <w:p w:rsidR="0049577B" w:rsidRPr="00A662A2" w:rsidRDefault="0049577B" w:rsidP="003409A9">
            <w:pPr>
              <w:rPr>
                <w:sz w:val="24"/>
              </w:rPr>
            </w:pPr>
          </w:p>
        </w:tc>
        <w:tc>
          <w:tcPr>
            <w:tcW w:w="1419" w:type="dxa"/>
            <w:shd w:val="clear" w:color="auto" w:fill="auto"/>
            <w:vAlign w:val="center"/>
          </w:tcPr>
          <w:p w:rsidR="0049577B" w:rsidRPr="00A662A2" w:rsidRDefault="0049577B" w:rsidP="003409A9">
            <w:pPr>
              <w:rPr>
                <w:sz w:val="24"/>
              </w:rPr>
            </w:pPr>
          </w:p>
        </w:tc>
        <w:tc>
          <w:tcPr>
            <w:tcW w:w="3286" w:type="dxa"/>
            <w:shd w:val="clear" w:color="auto" w:fill="auto"/>
            <w:vAlign w:val="center"/>
          </w:tcPr>
          <w:p w:rsidR="0049577B" w:rsidRPr="00A662A2" w:rsidRDefault="0049577B" w:rsidP="003409A9">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X8：無期徒刑之人數(1998-2013年)</w:t>
            </w:r>
          </w:p>
        </w:tc>
        <w:tc>
          <w:tcPr>
            <w:tcW w:w="1419" w:type="dxa"/>
            <w:shd w:val="clear" w:color="auto" w:fill="auto"/>
            <w:vAlign w:val="center"/>
          </w:tcPr>
          <w:p w:rsidR="0049577B" w:rsidRPr="00A662A2" w:rsidRDefault="0049577B" w:rsidP="003409A9">
            <w:pPr>
              <w:rPr>
                <w:sz w:val="24"/>
              </w:rPr>
            </w:pPr>
          </w:p>
        </w:tc>
        <w:tc>
          <w:tcPr>
            <w:tcW w:w="1419" w:type="dxa"/>
            <w:shd w:val="clear" w:color="auto" w:fill="auto"/>
            <w:vAlign w:val="center"/>
          </w:tcPr>
          <w:p w:rsidR="0049577B" w:rsidRPr="00A662A2" w:rsidRDefault="0049577B" w:rsidP="003409A9">
            <w:pPr>
              <w:rPr>
                <w:sz w:val="24"/>
              </w:rPr>
            </w:pPr>
          </w:p>
        </w:tc>
        <w:tc>
          <w:tcPr>
            <w:tcW w:w="3286" w:type="dxa"/>
            <w:shd w:val="clear" w:color="auto" w:fill="auto"/>
            <w:vAlign w:val="center"/>
          </w:tcPr>
          <w:p w:rsidR="0049577B" w:rsidRPr="00A662A2" w:rsidRDefault="0049577B" w:rsidP="003409A9">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X9：被執行死刑之人數(1992-2016年)</w:t>
            </w:r>
          </w:p>
        </w:tc>
        <w:tc>
          <w:tcPr>
            <w:tcW w:w="1419" w:type="dxa"/>
            <w:shd w:val="clear" w:color="auto" w:fill="auto"/>
            <w:vAlign w:val="center"/>
          </w:tcPr>
          <w:p w:rsidR="0049577B" w:rsidRPr="00A662A2" w:rsidRDefault="0049577B" w:rsidP="003409A9">
            <w:pPr>
              <w:rPr>
                <w:sz w:val="24"/>
              </w:rPr>
            </w:pPr>
          </w:p>
        </w:tc>
        <w:tc>
          <w:tcPr>
            <w:tcW w:w="1419" w:type="dxa"/>
            <w:shd w:val="clear" w:color="auto" w:fill="auto"/>
            <w:vAlign w:val="center"/>
          </w:tcPr>
          <w:p w:rsidR="0049577B" w:rsidRPr="00A662A2" w:rsidRDefault="0049577B" w:rsidP="003409A9">
            <w:pPr>
              <w:rPr>
                <w:sz w:val="24"/>
              </w:rPr>
            </w:pPr>
          </w:p>
        </w:tc>
        <w:tc>
          <w:tcPr>
            <w:tcW w:w="3286" w:type="dxa"/>
            <w:shd w:val="clear" w:color="auto" w:fill="auto"/>
            <w:vAlign w:val="center"/>
          </w:tcPr>
          <w:p w:rsidR="0049577B" w:rsidRPr="00A662A2" w:rsidRDefault="0049577B" w:rsidP="003409A9">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X10：當年度之全般刑案破獲率(1992-2016年)</w:t>
            </w:r>
          </w:p>
        </w:tc>
        <w:tc>
          <w:tcPr>
            <w:tcW w:w="1419" w:type="dxa"/>
            <w:shd w:val="clear" w:color="auto" w:fill="auto"/>
          </w:tcPr>
          <w:p w:rsidR="0049577B" w:rsidRPr="00A662A2" w:rsidRDefault="0049577B" w:rsidP="000D26BB">
            <w:pPr>
              <w:rPr>
                <w:sz w:val="24"/>
              </w:rPr>
            </w:pPr>
          </w:p>
        </w:tc>
        <w:tc>
          <w:tcPr>
            <w:tcW w:w="1419" w:type="dxa"/>
            <w:shd w:val="clear" w:color="auto" w:fill="auto"/>
          </w:tcPr>
          <w:p w:rsidR="0049577B" w:rsidRPr="00A662A2" w:rsidRDefault="0049577B" w:rsidP="000D26BB">
            <w:pPr>
              <w:rPr>
                <w:sz w:val="24"/>
              </w:rPr>
            </w:pPr>
          </w:p>
        </w:tc>
        <w:tc>
          <w:tcPr>
            <w:tcW w:w="3286" w:type="dxa"/>
            <w:shd w:val="clear" w:color="auto" w:fill="auto"/>
          </w:tcPr>
          <w:p w:rsidR="0049577B" w:rsidRPr="00A662A2" w:rsidRDefault="0049577B" w:rsidP="000D26BB">
            <w:pPr>
              <w:rPr>
                <w:sz w:val="24"/>
              </w:rPr>
            </w:pPr>
          </w:p>
        </w:tc>
      </w:tr>
      <w:tr w:rsidR="0049577B" w:rsidRPr="00B40DC1" w:rsidTr="002031B1">
        <w:tc>
          <w:tcPr>
            <w:tcW w:w="10060" w:type="dxa"/>
            <w:gridSpan w:val="4"/>
            <w:shd w:val="clear" w:color="auto" w:fill="auto"/>
          </w:tcPr>
          <w:p w:rsidR="0049577B" w:rsidRPr="00A662A2" w:rsidRDefault="0049577B" w:rsidP="000D26BB">
            <w:pPr>
              <w:rPr>
                <w:sz w:val="24"/>
              </w:rPr>
            </w:pPr>
            <w:r w:rsidRPr="00A662A2">
              <w:rPr>
                <w:sz w:val="24"/>
              </w:rPr>
              <w:t>多元迴歸分析模型整體之R平方解釋量：0.548</w:t>
            </w:r>
          </w:p>
        </w:tc>
      </w:tr>
    </w:tbl>
    <w:p w:rsidR="0049577B" w:rsidRPr="00B40DC1" w:rsidRDefault="00817A92" w:rsidP="003409A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3409A9">
      <w:pPr>
        <w:spacing w:line="240" w:lineRule="auto"/>
        <w:ind w:leftChars="0" w:left="0" w:rightChars="0" w:right="0"/>
      </w:pPr>
    </w:p>
    <w:p w:rsidR="0049577B" w:rsidRPr="00B40DC1" w:rsidRDefault="00817A92" w:rsidP="003409A9">
      <w:pPr>
        <w:spacing w:line="240" w:lineRule="auto"/>
        <w:ind w:leftChars="0" w:left="0" w:rightChars="0" w:right="0"/>
      </w:pPr>
      <w:r>
        <w:t xml:space="preserve">　　</w:t>
      </w:r>
      <w:r w:rsidR="0049577B" w:rsidRPr="00B40DC1">
        <w:t>由下表---影響下年度重大恐嚇取財犯罪(1993年至2015年)相關因子(原因變項)之多元迴歸分析統計數據結果一覽表(本表係使用強迫進入法之迴歸分析方式)之統計資料可得知，依變項為下年度重大恐嚇取財犯罪，每提升失業率1個單位之標準差(1個標準單位)，則可降低0.612個單位之標準差(標準化迴歸係數值，Beta=-0.612)之下年度重大恐嚇取財犯罪。</w:t>
      </w:r>
    </w:p>
    <w:p w:rsidR="0049577B" w:rsidRPr="00B40DC1" w:rsidRDefault="003409A9" w:rsidP="003409A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下年度重大恐嚇取財犯罪。復次，無期徒刑亦無法有效地嚇阻(減少</w:t>
      </w:r>
      <w:r w:rsidR="00587200">
        <w:t>)</w:t>
      </w:r>
      <w:r w:rsidR="0049577B" w:rsidRPr="00B40DC1">
        <w:t>下年度重大恐嚇取財犯罪。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7175B7" w:rsidRDefault="0049577B" w:rsidP="00E736D6">
      <w:pPr>
        <w:pStyle w:val="4"/>
        <w:rPr>
          <w:lang w:eastAsia="zh-TW"/>
        </w:rPr>
      </w:pPr>
      <w:r w:rsidRPr="007175B7">
        <w:rPr>
          <w:lang w:eastAsia="zh-TW"/>
        </w:rPr>
        <w:t>表28、影響下年度重大恐嚇取財犯罪(1993年至2015年)相關因子(原因變項)之多元迴歸分析統計數據結果一覽表(本表係使用強迫進入法之迴歸分析方式)</w:t>
      </w:r>
      <w:r w:rsidRPr="007175B7">
        <w:rPr>
          <w:rStyle w:val="af7"/>
          <w:rFonts w:eastAsia="新細明體"/>
          <w:b w:val="0"/>
          <w:sz w:val="20"/>
        </w:rPr>
        <w:footnoteReference w:id="149"/>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FAF0FA"/>
            <w:vAlign w:val="center"/>
          </w:tcPr>
          <w:p w:rsidR="009214BE" w:rsidRPr="00A662A2" w:rsidRDefault="009214BE" w:rsidP="009214BE">
            <w:pPr>
              <w:ind w:leftChars="11" w:left="29"/>
              <w:jc w:val="center"/>
              <w:rPr>
                <w:sz w:val="24"/>
                <w:szCs w:val="24"/>
              </w:rPr>
            </w:pPr>
            <w:r w:rsidRPr="00A662A2">
              <w:rPr>
                <w:sz w:val="24"/>
                <w:szCs w:val="24"/>
              </w:rPr>
              <w:t>多元迴歸分析統計數據</w:t>
            </w:r>
          </w:p>
          <w:p w:rsidR="0049577B" w:rsidRPr="00A662A2" w:rsidRDefault="009214BE" w:rsidP="009214BE">
            <w:pPr>
              <w:ind w:leftChars="11" w:left="29"/>
              <w:jc w:val="center"/>
              <w:rPr>
                <w:sz w:val="24"/>
                <w:szCs w:val="24"/>
              </w:rPr>
            </w:pPr>
            <w:r w:rsidRPr="00A662A2">
              <w:rPr>
                <w:sz w:val="24"/>
                <w:szCs w:val="24"/>
              </w:rPr>
              <w:t>自變項(解釋因子，independent variable)之名稱</w:t>
            </w:r>
          </w:p>
        </w:tc>
        <w:tc>
          <w:tcPr>
            <w:tcW w:w="1946" w:type="dxa"/>
            <w:shd w:val="clear" w:color="auto" w:fill="FAF0FA"/>
            <w:vAlign w:val="center"/>
          </w:tcPr>
          <w:p w:rsidR="0049577B" w:rsidRPr="00A662A2" w:rsidRDefault="0049577B" w:rsidP="009214BE">
            <w:pPr>
              <w:ind w:leftChars="11" w:left="29"/>
              <w:jc w:val="center"/>
              <w:rPr>
                <w:sz w:val="24"/>
                <w:szCs w:val="24"/>
              </w:rPr>
            </w:pPr>
            <w:r w:rsidRPr="00A662A2">
              <w:rPr>
                <w:sz w:val="24"/>
                <w:szCs w:val="24"/>
              </w:rPr>
              <w:t>標準化迴歸係數值(Beta)</w:t>
            </w:r>
          </w:p>
        </w:tc>
        <w:tc>
          <w:tcPr>
            <w:tcW w:w="1947" w:type="dxa"/>
            <w:shd w:val="clear" w:color="auto" w:fill="FAF0FA"/>
            <w:vAlign w:val="center"/>
          </w:tcPr>
          <w:p w:rsidR="0049577B" w:rsidRPr="00A662A2" w:rsidRDefault="0049577B" w:rsidP="009214BE">
            <w:pPr>
              <w:ind w:leftChars="11" w:left="29"/>
              <w:jc w:val="center"/>
              <w:rPr>
                <w:sz w:val="24"/>
                <w:szCs w:val="24"/>
              </w:rPr>
            </w:pPr>
            <w:r w:rsidRPr="00A662A2">
              <w:rPr>
                <w:sz w:val="24"/>
                <w:szCs w:val="24"/>
              </w:rPr>
              <w:t>標準化迴歸係數值(Beta)之顯著度(水準)</w:t>
            </w:r>
          </w:p>
        </w:tc>
        <w:tc>
          <w:tcPr>
            <w:tcW w:w="1947" w:type="dxa"/>
            <w:shd w:val="clear" w:color="auto" w:fill="FAF0FA"/>
            <w:vAlign w:val="center"/>
          </w:tcPr>
          <w:p w:rsidR="0049577B" w:rsidRPr="00A662A2" w:rsidRDefault="0049577B" w:rsidP="009214BE">
            <w:pPr>
              <w:ind w:leftChars="11" w:left="29"/>
              <w:jc w:val="center"/>
              <w:rPr>
                <w:sz w:val="24"/>
                <w:szCs w:val="24"/>
              </w:rPr>
            </w:pPr>
            <w:r w:rsidRPr="00A662A2">
              <w:rPr>
                <w:sz w:val="24"/>
                <w:szCs w:val="24"/>
              </w:rPr>
              <w:t>條件指標(CI)</w:t>
            </w:r>
            <w:r w:rsidR="003C1792" w:rsidRPr="00A662A2">
              <w:rPr>
                <w:sz w:val="24"/>
                <w:szCs w:val="24"/>
              </w:rPr>
              <w:t>(</w:t>
            </w:r>
            <w:r w:rsidRPr="00A662A2">
              <w:rPr>
                <w:sz w:val="24"/>
                <w:szCs w:val="24"/>
              </w:rPr>
              <w:t>檢視自變項是否有嚴重之共線問題)</w:t>
            </w:r>
          </w:p>
        </w:tc>
      </w:tr>
      <w:tr w:rsidR="0049577B" w:rsidRPr="00B40DC1" w:rsidTr="002031B1">
        <w:tc>
          <w:tcPr>
            <w:tcW w:w="3936" w:type="dxa"/>
            <w:shd w:val="clear" w:color="auto" w:fill="auto"/>
          </w:tcPr>
          <w:p w:rsidR="0049577B" w:rsidRPr="00A662A2" w:rsidRDefault="0049577B" w:rsidP="00814432">
            <w:pPr>
              <w:ind w:leftChars="11" w:left="29"/>
              <w:rPr>
                <w:sz w:val="24"/>
                <w:szCs w:val="24"/>
              </w:rPr>
            </w:pPr>
            <w:r w:rsidRPr="00A662A2">
              <w:rPr>
                <w:sz w:val="24"/>
                <w:szCs w:val="24"/>
              </w:rPr>
              <w:t>X1：失業率(1992-2016年)</w:t>
            </w:r>
          </w:p>
        </w:tc>
        <w:tc>
          <w:tcPr>
            <w:tcW w:w="1946" w:type="dxa"/>
            <w:shd w:val="clear" w:color="auto" w:fill="auto"/>
            <w:vAlign w:val="center"/>
          </w:tcPr>
          <w:p w:rsidR="0049577B" w:rsidRPr="00A662A2" w:rsidRDefault="0049577B" w:rsidP="003409A9">
            <w:pPr>
              <w:jc w:val="center"/>
              <w:rPr>
                <w:sz w:val="24"/>
                <w:szCs w:val="24"/>
              </w:rPr>
            </w:pPr>
            <w:r w:rsidRPr="00A662A2">
              <w:rPr>
                <w:sz w:val="24"/>
                <w:szCs w:val="24"/>
              </w:rPr>
              <w:t>-0.612</w:t>
            </w:r>
          </w:p>
        </w:tc>
        <w:tc>
          <w:tcPr>
            <w:tcW w:w="1947" w:type="dxa"/>
            <w:shd w:val="clear" w:color="auto" w:fill="auto"/>
            <w:vAlign w:val="center"/>
          </w:tcPr>
          <w:p w:rsidR="0049577B" w:rsidRPr="00A662A2" w:rsidRDefault="0049577B" w:rsidP="003409A9">
            <w:pPr>
              <w:jc w:val="center"/>
              <w:rPr>
                <w:sz w:val="24"/>
                <w:szCs w:val="24"/>
              </w:rPr>
            </w:pPr>
            <w:r w:rsidRPr="00A662A2">
              <w:rPr>
                <w:sz w:val="24"/>
                <w:szCs w:val="24"/>
              </w:rPr>
              <w:t>0.018</w:t>
            </w:r>
          </w:p>
        </w:tc>
        <w:tc>
          <w:tcPr>
            <w:tcW w:w="1947" w:type="dxa"/>
            <w:shd w:val="clear" w:color="auto" w:fill="auto"/>
            <w:vAlign w:val="center"/>
          </w:tcPr>
          <w:p w:rsidR="0049577B" w:rsidRPr="00A662A2" w:rsidRDefault="0049577B" w:rsidP="003409A9">
            <w:pPr>
              <w:jc w:val="center"/>
              <w:rPr>
                <w:sz w:val="24"/>
                <w:szCs w:val="24"/>
              </w:rPr>
            </w:pPr>
            <w:r w:rsidRPr="00A662A2">
              <w:rPr>
                <w:sz w:val="24"/>
                <w:szCs w:val="24"/>
              </w:rPr>
              <w:t>7.223</w:t>
            </w:r>
          </w:p>
        </w:tc>
      </w:tr>
      <w:tr w:rsidR="0049577B" w:rsidRPr="00B40DC1" w:rsidTr="002031B1">
        <w:tc>
          <w:tcPr>
            <w:tcW w:w="3936" w:type="dxa"/>
            <w:shd w:val="clear" w:color="auto" w:fill="auto"/>
          </w:tcPr>
          <w:p w:rsidR="0049577B" w:rsidRPr="00A662A2" w:rsidRDefault="0049577B" w:rsidP="00814432">
            <w:pPr>
              <w:ind w:leftChars="11" w:left="29"/>
              <w:rPr>
                <w:sz w:val="24"/>
                <w:szCs w:val="24"/>
              </w:rPr>
            </w:pPr>
            <w:r w:rsidRPr="00A662A2">
              <w:rPr>
                <w:sz w:val="24"/>
                <w:szCs w:val="24"/>
              </w:rPr>
              <w:t>X2：結婚對數(1998-2013年)</w:t>
            </w:r>
          </w:p>
        </w:tc>
        <w:tc>
          <w:tcPr>
            <w:tcW w:w="1946" w:type="dxa"/>
            <w:shd w:val="clear" w:color="auto" w:fill="auto"/>
            <w:vAlign w:val="center"/>
          </w:tcPr>
          <w:p w:rsidR="0049577B" w:rsidRPr="00A662A2" w:rsidRDefault="0049577B" w:rsidP="00814432">
            <w:pPr>
              <w:rPr>
                <w:sz w:val="24"/>
                <w:szCs w:val="24"/>
              </w:rPr>
            </w:pPr>
          </w:p>
        </w:tc>
        <w:tc>
          <w:tcPr>
            <w:tcW w:w="1947" w:type="dxa"/>
            <w:shd w:val="clear" w:color="auto" w:fill="auto"/>
            <w:vAlign w:val="center"/>
          </w:tcPr>
          <w:p w:rsidR="0049577B" w:rsidRPr="00A662A2" w:rsidRDefault="0049577B" w:rsidP="00814432">
            <w:pPr>
              <w:rPr>
                <w:sz w:val="24"/>
                <w:szCs w:val="24"/>
              </w:rPr>
            </w:pPr>
          </w:p>
        </w:tc>
        <w:tc>
          <w:tcPr>
            <w:tcW w:w="1947" w:type="dxa"/>
            <w:shd w:val="clear" w:color="auto" w:fill="auto"/>
            <w:vAlign w:val="center"/>
          </w:tcPr>
          <w:p w:rsidR="0049577B" w:rsidRPr="00A662A2" w:rsidRDefault="0049577B" w:rsidP="00814432">
            <w:pPr>
              <w:rPr>
                <w:sz w:val="24"/>
                <w:szCs w:val="24"/>
              </w:rPr>
            </w:pPr>
          </w:p>
        </w:tc>
      </w:tr>
      <w:tr w:rsidR="0049577B" w:rsidRPr="00B40DC1" w:rsidTr="002031B1">
        <w:tc>
          <w:tcPr>
            <w:tcW w:w="3936" w:type="dxa"/>
            <w:shd w:val="clear" w:color="auto" w:fill="auto"/>
          </w:tcPr>
          <w:p w:rsidR="0049577B" w:rsidRPr="00A662A2" w:rsidRDefault="0049577B" w:rsidP="00814432">
            <w:pPr>
              <w:ind w:leftChars="11" w:left="29"/>
              <w:rPr>
                <w:sz w:val="24"/>
                <w:szCs w:val="24"/>
              </w:rPr>
            </w:pPr>
            <w:r w:rsidRPr="00A662A2">
              <w:rPr>
                <w:sz w:val="24"/>
                <w:szCs w:val="24"/>
              </w:rPr>
              <w:t>X3： 35歲以上人口之中，男性未婚之比例</w:t>
            </w:r>
            <w:r w:rsidR="003C1792" w:rsidRPr="00A662A2">
              <w:rPr>
                <w:sz w:val="24"/>
                <w:szCs w:val="24"/>
              </w:rPr>
              <w:t>(</w:t>
            </w:r>
            <w:r w:rsidRPr="00A662A2">
              <w:rPr>
                <w:sz w:val="24"/>
                <w:szCs w:val="24"/>
              </w:rPr>
              <w:t>1998-2013年)</w:t>
            </w:r>
          </w:p>
        </w:tc>
        <w:tc>
          <w:tcPr>
            <w:tcW w:w="1946" w:type="dxa"/>
            <w:shd w:val="clear" w:color="auto" w:fill="auto"/>
            <w:vAlign w:val="center"/>
          </w:tcPr>
          <w:p w:rsidR="0049577B" w:rsidRPr="00A662A2" w:rsidRDefault="0049577B" w:rsidP="00814432">
            <w:pPr>
              <w:rPr>
                <w:sz w:val="24"/>
                <w:szCs w:val="24"/>
              </w:rPr>
            </w:pPr>
          </w:p>
        </w:tc>
        <w:tc>
          <w:tcPr>
            <w:tcW w:w="1947" w:type="dxa"/>
            <w:shd w:val="clear" w:color="auto" w:fill="auto"/>
            <w:vAlign w:val="center"/>
          </w:tcPr>
          <w:p w:rsidR="0049577B" w:rsidRPr="00A662A2" w:rsidRDefault="0049577B" w:rsidP="00814432">
            <w:pPr>
              <w:rPr>
                <w:sz w:val="24"/>
                <w:szCs w:val="24"/>
              </w:rPr>
            </w:pPr>
          </w:p>
        </w:tc>
        <w:tc>
          <w:tcPr>
            <w:tcW w:w="1947" w:type="dxa"/>
            <w:shd w:val="clear" w:color="auto" w:fill="auto"/>
            <w:vAlign w:val="center"/>
          </w:tcPr>
          <w:p w:rsidR="0049577B" w:rsidRPr="00A662A2" w:rsidRDefault="0049577B" w:rsidP="00814432">
            <w:pPr>
              <w:rPr>
                <w:sz w:val="24"/>
                <w:szCs w:val="24"/>
              </w:rPr>
            </w:pPr>
          </w:p>
        </w:tc>
      </w:tr>
      <w:tr w:rsidR="0049577B" w:rsidRPr="00B40DC1" w:rsidTr="002031B1">
        <w:tc>
          <w:tcPr>
            <w:tcW w:w="3936" w:type="dxa"/>
            <w:shd w:val="clear" w:color="auto" w:fill="auto"/>
          </w:tcPr>
          <w:p w:rsidR="0049577B" w:rsidRPr="00A662A2" w:rsidRDefault="0049577B" w:rsidP="00814432">
            <w:pPr>
              <w:ind w:leftChars="11" w:left="29"/>
              <w:rPr>
                <w:sz w:val="24"/>
                <w:szCs w:val="24"/>
              </w:rPr>
            </w:pPr>
            <w:r w:rsidRPr="00A662A2">
              <w:rPr>
                <w:sz w:val="24"/>
                <w:szCs w:val="24"/>
              </w:rPr>
              <w:t>X4：離婚率(1998-2013年)</w:t>
            </w:r>
          </w:p>
        </w:tc>
        <w:tc>
          <w:tcPr>
            <w:tcW w:w="1946" w:type="dxa"/>
            <w:shd w:val="clear" w:color="auto" w:fill="auto"/>
            <w:vAlign w:val="center"/>
          </w:tcPr>
          <w:p w:rsidR="0049577B" w:rsidRPr="00A662A2" w:rsidRDefault="0049577B" w:rsidP="003409A9">
            <w:pPr>
              <w:jc w:val="center"/>
              <w:rPr>
                <w:sz w:val="24"/>
                <w:szCs w:val="24"/>
              </w:rPr>
            </w:pPr>
            <w:r w:rsidRPr="00A662A2">
              <w:rPr>
                <w:sz w:val="24"/>
                <w:szCs w:val="24"/>
              </w:rPr>
              <w:t>-0.271</w:t>
            </w:r>
          </w:p>
        </w:tc>
        <w:tc>
          <w:tcPr>
            <w:tcW w:w="1947" w:type="dxa"/>
            <w:shd w:val="clear" w:color="auto" w:fill="auto"/>
            <w:vAlign w:val="center"/>
          </w:tcPr>
          <w:p w:rsidR="0049577B" w:rsidRPr="00A662A2" w:rsidRDefault="0049577B" w:rsidP="003409A9">
            <w:pPr>
              <w:jc w:val="center"/>
              <w:rPr>
                <w:sz w:val="24"/>
                <w:szCs w:val="24"/>
              </w:rPr>
            </w:pPr>
            <w:r w:rsidRPr="00A662A2">
              <w:rPr>
                <w:sz w:val="24"/>
                <w:szCs w:val="24"/>
              </w:rPr>
              <w:t>0.242</w:t>
            </w:r>
          </w:p>
        </w:tc>
        <w:tc>
          <w:tcPr>
            <w:tcW w:w="1947" w:type="dxa"/>
            <w:shd w:val="clear" w:color="auto" w:fill="auto"/>
            <w:vAlign w:val="center"/>
          </w:tcPr>
          <w:p w:rsidR="0049577B" w:rsidRPr="00A662A2" w:rsidRDefault="0049577B" w:rsidP="003409A9">
            <w:pPr>
              <w:jc w:val="center"/>
              <w:rPr>
                <w:sz w:val="24"/>
                <w:szCs w:val="24"/>
              </w:rPr>
            </w:pPr>
            <w:r w:rsidRPr="00A662A2">
              <w:rPr>
                <w:sz w:val="24"/>
                <w:szCs w:val="24"/>
              </w:rPr>
              <w:t>29.511</w:t>
            </w:r>
          </w:p>
        </w:tc>
      </w:tr>
      <w:tr w:rsidR="0049577B" w:rsidRPr="00B40DC1" w:rsidTr="002031B1">
        <w:tc>
          <w:tcPr>
            <w:tcW w:w="3936" w:type="dxa"/>
            <w:shd w:val="clear" w:color="auto" w:fill="auto"/>
          </w:tcPr>
          <w:p w:rsidR="0049577B" w:rsidRPr="00A662A2" w:rsidRDefault="0049577B" w:rsidP="00814432">
            <w:pPr>
              <w:ind w:leftChars="11" w:left="29"/>
              <w:rPr>
                <w:sz w:val="24"/>
                <w:szCs w:val="24"/>
              </w:rPr>
            </w:pPr>
            <w:r w:rsidRPr="00A662A2">
              <w:rPr>
                <w:sz w:val="24"/>
                <w:szCs w:val="24"/>
              </w:rPr>
              <w:t>X5：GNI(平均每人國民所得毛額，以美元為單位)</w:t>
            </w:r>
            <w:r w:rsidR="003C1792" w:rsidRPr="00A662A2">
              <w:rPr>
                <w:sz w:val="24"/>
                <w:szCs w:val="24"/>
              </w:rPr>
              <w:t>(</w:t>
            </w:r>
            <w:r w:rsidRPr="00A662A2">
              <w:rPr>
                <w:sz w:val="24"/>
                <w:szCs w:val="24"/>
              </w:rPr>
              <w:t>1992-2016年)</w:t>
            </w:r>
          </w:p>
        </w:tc>
        <w:tc>
          <w:tcPr>
            <w:tcW w:w="1946"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r>
      <w:tr w:rsidR="0049577B" w:rsidRPr="00B40DC1" w:rsidTr="002031B1">
        <w:tc>
          <w:tcPr>
            <w:tcW w:w="3936" w:type="dxa"/>
            <w:shd w:val="clear" w:color="auto" w:fill="auto"/>
          </w:tcPr>
          <w:p w:rsidR="0049577B" w:rsidRPr="00A662A2" w:rsidRDefault="0049577B" w:rsidP="00814432">
            <w:pPr>
              <w:ind w:leftChars="11" w:left="29"/>
              <w:rPr>
                <w:sz w:val="24"/>
                <w:szCs w:val="24"/>
              </w:rPr>
            </w:pPr>
            <w:r w:rsidRPr="00A662A2">
              <w:rPr>
                <w:sz w:val="24"/>
                <w:szCs w:val="24"/>
              </w:rPr>
              <w:t>X6：低收入戶之家庭及就學生活補助金額(1998-2013年)</w:t>
            </w:r>
            <w:r w:rsidRPr="00A662A2">
              <w:rPr>
                <w:rStyle w:val="af7"/>
                <w:rFonts w:eastAsia="新細明體"/>
                <w:sz w:val="20"/>
                <w:szCs w:val="24"/>
              </w:rPr>
              <w:footnoteReference w:id="150"/>
            </w:r>
          </w:p>
        </w:tc>
        <w:tc>
          <w:tcPr>
            <w:tcW w:w="1946"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r>
      <w:tr w:rsidR="0049577B" w:rsidRPr="00B40DC1" w:rsidTr="002031B1">
        <w:tc>
          <w:tcPr>
            <w:tcW w:w="3936" w:type="dxa"/>
            <w:shd w:val="clear" w:color="auto" w:fill="auto"/>
          </w:tcPr>
          <w:p w:rsidR="0049577B" w:rsidRPr="00A662A2" w:rsidRDefault="0049577B" w:rsidP="00814432">
            <w:pPr>
              <w:ind w:leftChars="11" w:left="29"/>
              <w:rPr>
                <w:sz w:val="24"/>
                <w:szCs w:val="24"/>
              </w:rPr>
            </w:pPr>
            <w:r w:rsidRPr="00A662A2">
              <w:rPr>
                <w:sz w:val="24"/>
                <w:szCs w:val="24"/>
              </w:rPr>
              <w:t>X7：緩刑比率(1998-2013年)</w:t>
            </w:r>
          </w:p>
        </w:tc>
        <w:tc>
          <w:tcPr>
            <w:tcW w:w="1946"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r>
      <w:tr w:rsidR="0049577B" w:rsidRPr="00B40DC1" w:rsidTr="002031B1">
        <w:tc>
          <w:tcPr>
            <w:tcW w:w="3936" w:type="dxa"/>
            <w:shd w:val="clear" w:color="auto" w:fill="auto"/>
          </w:tcPr>
          <w:p w:rsidR="0049577B" w:rsidRPr="00A662A2" w:rsidRDefault="0049577B" w:rsidP="00814432">
            <w:pPr>
              <w:ind w:leftChars="11" w:left="29"/>
              <w:rPr>
                <w:sz w:val="24"/>
                <w:szCs w:val="24"/>
              </w:rPr>
            </w:pPr>
            <w:r w:rsidRPr="00A662A2">
              <w:rPr>
                <w:sz w:val="24"/>
                <w:szCs w:val="24"/>
              </w:rPr>
              <w:t>X8：無期徒刑之人數(1998-2013年)</w:t>
            </w:r>
          </w:p>
        </w:tc>
        <w:tc>
          <w:tcPr>
            <w:tcW w:w="1946"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r>
      <w:tr w:rsidR="0049577B" w:rsidRPr="00B40DC1" w:rsidTr="002031B1">
        <w:tc>
          <w:tcPr>
            <w:tcW w:w="3936" w:type="dxa"/>
            <w:shd w:val="clear" w:color="auto" w:fill="auto"/>
          </w:tcPr>
          <w:p w:rsidR="0049577B" w:rsidRPr="00A662A2" w:rsidRDefault="0049577B" w:rsidP="00814432">
            <w:pPr>
              <w:ind w:leftChars="11" w:left="29"/>
              <w:rPr>
                <w:sz w:val="24"/>
                <w:szCs w:val="24"/>
              </w:rPr>
            </w:pPr>
            <w:r w:rsidRPr="00A662A2">
              <w:rPr>
                <w:sz w:val="24"/>
                <w:szCs w:val="24"/>
              </w:rPr>
              <w:t>X9：被執行死刑之人數(1992-2016年)</w:t>
            </w:r>
          </w:p>
        </w:tc>
        <w:tc>
          <w:tcPr>
            <w:tcW w:w="1946"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r>
      <w:tr w:rsidR="0049577B" w:rsidRPr="00B40DC1" w:rsidTr="002031B1">
        <w:tc>
          <w:tcPr>
            <w:tcW w:w="3936" w:type="dxa"/>
            <w:shd w:val="clear" w:color="auto" w:fill="auto"/>
          </w:tcPr>
          <w:p w:rsidR="0049577B" w:rsidRPr="00A662A2" w:rsidRDefault="0049577B" w:rsidP="00814432">
            <w:pPr>
              <w:ind w:leftChars="11" w:left="29"/>
              <w:rPr>
                <w:sz w:val="24"/>
                <w:szCs w:val="24"/>
              </w:rPr>
            </w:pPr>
            <w:r w:rsidRPr="00A662A2">
              <w:rPr>
                <w:sz w:val="24"/>
                <w:szCs w:val="24"/>
              </w:rPr>
              <w:t>X10：當年度之全般刑案破獲率(1992-2016年)</w:t>
            </w:r>
          </w:p>
        </w:tc>
        <w:tc>
          <w:tcPr>
            <w:tcW w:w="1946"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c>
          <w:tcPr>
            <w:tcW w:w="1947" w:type="dxa"/>
            <w:shd w:val="clear" w:color="auto" w:fill="auto"/>
            <w:vAlign w:val="center"/>
          </w:tcPr>
          <w:p w:rsidR="0049577B" w:rsidRPr="00A662A2" w:rsidRDefault="0049577B" w:rsidP="003409A9">
            <w:pPr>
              <w:jc w:val="center"/>
              <w:rPr>
                <w:sz w:val="24"/>
                <w:szCs w:val="24"/>
              </w:rPr>
            </w:pPr>
          </w:p>
        </w:tc>
      </w:tr>
      <w:tr w:rsidR="0049577B" w:rsidRPr="00B40DC1" w:rsidTr="00814432">
        <w:tc>
          <w:tcPr>
            <w:tcW w:w="9776" w:type="dxa"/>
            <w:gridSpan w:val="4"/>
            <w:shd w:val="clear" w:color="auto" w:fill="auto"/>
          </w:tcPr>
          <w:p w:rsidR="0049577B" w:rsidRPr="00A662A2" w:rsidRDefault="0049577B" w:rsidP="000D26BB">
            <w:pPr>
              <w:rPr>
                <w:sz w:val="24"/>
                <w:szCs w:val="24"/>
              </w:rPr>
            </w:pPr>
            <w:r w:rsidRPr="00A662A2">
              <w:rPr>
                <w:sz w:val="24"/>
                <w:szCs w:val="24"/>
              </w:rPr>
              <w:t>多元迴歸分析模型整體之R平方解釋量：0.567</w:t>
            </w:r>
          </w:p>
        </w:tc>
      </w:tr>
    </w:tbl>
    <w:p w:rsidR="0049577B" w:rsidRPr="00B40DC1" w:rsidRDefault="00817A92" w:rsidP="003409A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817A92" w:rsidP="003409A9">
      <w:pPr>
        <w:spacing w:line="240" w:lineRule="auto"/>
        <w:ind w:leftChars="0" w:left="0" w:rightChars="0" w:right="0"/>
      </w:pPr>
      <w:r>
        <w:t xml:space="preserve">　　</w:t>
      </w:r>
      <w:r w:rsidR="0049577B" w:rsidRPr="00B40DC1">
        <w:t>由下表---影響當年度強盜搶奪犯罪(1992年至2016年)相關因子(原因變項)之多元迴歸分析統計數據結果一覽表(本表係使用逐步迴歸分析法之迴歸分析方式)之統計資料可得知，依變項為當年度強盜搶奪犯罪，每提升當年度之全般刑案破獲率1個單位之標準差(1個標準單位)，則可降低0.887個單位之標準差(標準化迴歸係數值，Beta=-0.887)之當年度強盜搶奪犯罪。</w:t>
      </w:r>
    </w:p>
    <w:p w:rsidR="0049577B" w:rsidRPr="00B40DC1" w:rsidRDefault="003409A9" w:rsidP="003409A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當年度強盜搶奪犯罪。復次，無期徒刑亦無法有效地嚇阻(減少</w:t>
      </w:r>
      <w:r w:rsidR="00587200">
        <w:t>)</w:t>
      </w:r>
      <w:r w:rsidR="0049577B" w:rsidRPr="00B40DC1">
        <w:t>當年度強盜搶奪犯罪。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3409A9" w:rsidRDefault="0049577B" w:rsidP="00E736D6">
      <w:pPr>
        <w:pStyle w:val="4"/>
        <w:rPr>
          <w:rFonts w:ascii="Arial Unicode MS" w:eastAsia="新細明體" w:hAnsi="Arial Unicode MS"/>
          <w:color w:val="FF6600"/>
          <w:sz w:val="20"/>
          <w:lang w:eastAsia="zh-TW"/>
        </w:rPr>
      </w:pPr>
      <w:r w:rsidRPr="00814432">
        <w:rPr>
          <w:lang w:eastAsia="zh-TW"/>
        </w:rPr>
        <w:t>表29、影響當年度強盜搶奪犯罪(1992年至2016年)相關因子(原因變項)之多元迴歸分析統計數據結果一覽表(本表係使用逐步迴歸分析法之迴歸分析方式)</w:t>
      </w:r>
      <w:r w:rsidRPr="003409A9">
        <w:rPr>
          <w:rStyle w:val="af7"/>
          <w:rFonts w:eastAsia="新細明體"/>
          <w:b w:val="0"/>
          <w:sz w:val="20"/>
        </w:rPr>
        <w:footnoteReference w:id="151"/>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EFFDFF"/>
            <w:vAlign w:val="center"/>
          </w:tcPr>
          <w:p w:rsidR="009214BE" w:rsidRPr="00A662A2" w:rsidRDefault="009214BE" w:rsidP="009214BE">
            <w:pPr>
              <w:ind w:leftChars="11" w:left="29"/>
              <w:jc w:val="center"/>
              <w:rPr>
                <w:sz w:val="24"/>
              </w:rPr>
            </w:pPr>
            <w:r w:rsidRPr="00A662A2">
              <w:rPr>
                <w:sz w:val="24"/>
              </w:rPr>
              <w:t>多元迴歸分析統計數據</w:t>
            </w:r>
          </w:p>
          <w:p w:rsidR="0049577B" w:rsidRPr="00A662A2" w:rsidRDefault="009214BE" w:rsidP="009214BE">
            <w:pPr>
              <w:ind w:leftChars="0" w:left="0"/>
              <w:jc w:val="center"/>
              <w:rPr>
                <w:sz w:val="24"/>
              </w:rPr>
            </w:pPr>
            <w:r w:rsidRPr="00A662A2">
              <w:rPr>
                <w:sz w:val="24"/>
              </w:rPr>
              <w:t>自變項(解釋因子，independent variable)之名稱</w:t>
            </w:r>
          </w:p>
        </w:tc>
        <w:tc>
          <w:tcPr>
            <w:tcW w:w="1946" w:type="dxa"/>
            <w:shd w:val="clear" w:color="auto" w:fill="EFFDFF"/>
            <w:vAlign w:val="center"/>
          </w:tcPr>
          <w:p w:rsidR="0049577B" w:rsidRPr="00A662A2" w:rsidRDefault="0049577B" w:rsidP="009214BE">
            <w:pPr>
              <w:ind w:leftChars="0" w:left="0"/>
              <w:jc w:val="center"/>
              <w:rPr>
                <w:sz w:val="24"/>
              </w:rPr>
            </w:pPr>
            <w:r w:rsidRPr="00A662A2">
              <w:rPr>
                <w:sz w:val="24"/>
              </w:rPr>
              <w:t>標準化迴歸係數值(Beta)</w:t>
            </w:r>
          </w:p>
        </w:tc>
        <w:tc>
          <w:tcPr>
            <w:tcW w:w="1947" w:type="dxa"/>
            <w:shd w:val="clear" w:color="auto" w:fill="EFFDFF"/>
            <w:vAlign w:val="center"/>
          </w:tcPr>
          <w:p w:rsidR="0049577B" w:rsidRPr="00A662A2" w:rsidRDefault="0049577B" w:rsidP="009214BE">
            <w:pPr>
              <w:ind w:leftChars="0" w:left="0"/>
              <w:jc w:val="center"/>
              <w:rPr>
                <w:sz w:val="24"/>
              </w:rPr>
            </w:pPr>
            <w:r w:rsidRPr="00A662A2">
              <w:rPr>
                <w:sz w:val="24"/>
              </w:rPr>
              <w:t>標準化迴歸係數值(Beta)之顯著度(水準)</w:t>
            </w:r>
          </w:p>
        </w:tc>
        <w:tc>
          <w:tcPr>
            <w:tcW w:w="1947" w:type="dxa"/>
            <w:shd w:val="clear" w:color="auto" w:fill="EFFDFF"/>
            <w:vAlign w:val="center"/>
          </w:tcPr>
          <w:p w:rsidR="0049577B" w:rsidRPr="00A662A2" w:rsidRDefault="0049577B" w:rsidP="009214BE">
            <w:pPr>
              <w:ind w:leftChars="0" w:left="0"/>
              <w:jc w:val="center"/>
              <w:rPr>
                <w:sz w:val="24"/>
              </w:rPr>
            </w:pPr>
            <w:r w:rsidRPr="00A662A2">
              <w:rPr>
                <w:sz w:val="24"/>
              </w:rPr>
              <w:t>條件指標(CI)</w:t>
            </w:r>
            <w:r w:rsidR="003C1792" w:rsidRPr="00A662A2">
              <w:rPr>
                <w:sz w:val="24"/>
              </w:rPr>
              <w:t>(</w:t>
            </w:r>
            <w:r w:rsidRPr="00A662A2">
              <w:rPr>
                <w:sz w:val="24"/>
              </w:rPr>
              <w:t>檢視自變項是否有嚴重之共線問題)</w:t>
            </w:r>
          </w:p>
        </w:tc>
      </w:tr>
      <w:tr w:rsidR="0049577B" w:rsidRPr="00B40DC1" w:rsidTr="002031B1">
        <w:tc>
          <w:tcPr>
            <w:tcW w:w="3936" w:type="dxa"/>
            <w:shd w:val="clear" w:color="auto" w:fill="auto"/>
          </w:tcPr>
          <w:p w:rsidR="0049577B" w:rsidRPr="00A662A2" w:rsidRDefault="0049577B" w:rsidP="00814432">
            <w:pPr>
              <w:ind w:leftChars="0" w:left="0"/>
              <w:rPr>
                <w:sz w:val="24"/>
              </w:rPr>
            </w:pPr>
            <w:r w:rsidRPr="00A662A2">
              <w:rPr>
                <w:sz w:val="24"/>
              </w:rPr>
              <w:t>X1：失業率(1992-2016年)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0" w:left="0"/>
              <w:rPr>
                <w:sz w:val="24"/>
              </w:rPr>
            </w:pPr>
            <w:r w:rsidRPr="00A662A2">
              <w:rPr>
                <w:sz w:val="24"/>
              </w:rPr>
              <w:t>X2：結婚對數(1998-2013年)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0" w:left="0"/>
              <w:rPr>
                <w:sz w:val="24"/>
              </w:rPr>
            </w:pPr>
            <w:r w:rsidRPr="00A662A2">
              <w:rPr>
                <w:sz w:val="24"/>
              </w:rPr>
              <w:t>X3： 35歲以上人口之中，男性未婚之比例</w:t>
            </w:r>
            <w:r w:rsidR="003C1792" w:rsidRPr="00A662A2">
              <w:rPr>
                <w:sz w:val="24"/>
              </w:rPr>
              <w:t>(</w:t>
            </w:r>
            <w:r w:rsidRPr="00A662A2">
              <w:rPr>
                <w:sz w:val="24"/>
              </w:rPr>
              <w:t>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0" w:left="0"/>
              <w:rPr>
                <w:sz w:val="24"/>
              </w:rPr>
            </w:pPr>
            <w:r w:rsidRPr="00A662A2">
              <w:rPr>
                <w:sz w:val="24"/>
              </w:rPr>
              <w:t>X4：離婚率(1998-2013年)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0" w:left="0"/>
              <w:rPr>
                <w:sz w:val="24"/>
              </w:rPr>
            </w:pPr>
            <w:r w:rsidRPr="00A662A2">
              <w:rPr>
                <w:sz w:val="24"/>
              </w:rPr>
              <w:t>X5：GNI(平均每人國民所得毛額，以美元為單位)</w:t>
            </w:r>
            <w:r w:rsidR="003C1792" w:rsidRPr="00A662A2">
              <w:rPr>
                <w:sz w:val="24"/>
              </w:rPr>
              <w:t>(</w:t>
            </w:r>
            <w:r w:rsidRPr="00A662A2">
              <w:rPr>
                <w:sz w:val="24"/>
              </w:rPr>
              <w:t>1992-2016年)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0" w:left="0"/>
              <w:rPr>
                <w:sz w:val="24"/>
              </w:rPr>
            </w:pPr>
            <w:r w:rsidRPr="00A662A2">
              <w:rPr>
                <w:sz w:val="24"/>
              </w:rPr>
              <w:t>X6：低收入戶之家庭及就學生活補助金額(1998-2013年)</w:t>
            </w:r>
            <w:r w:rsidRPr="00A662A2">
              <w:rPr>
                <w:rStyle w:val="af7"/>
                <w:rFonts w:eastAsia="新細明體"/>
                <w:sz w:val="20"/>
              </w:rPr>
              <w:footnoteReference w:id="152"/>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0" w:left="0"/>
              <w:rPr>
                <w:sz w:val="24"/>
              </w:rPr>
            </w:pPr>
            <w:r w:rsidRPr="00A662A2">
              <w:rPr>
                <w:sz w:val="24"/>
              </w:rPr>
              <w:t>X7：緩刑比率(1998-2013年)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0" w:left="0"/>
              <w:rPr>
                <w:sz w:val="24"/>
              </w:rPr>
            </w:pPr>
            <w:r w:rsidRPr="00A662A2">
              <w:rPr>
                <w:sz w:val="24"/>
              </w:rPr>
              <w:t>X8：無期徒刑之人數(1998-2013年)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0" w:left="0"/>
              <w:rPr>
                <w:sz w:val="24"/>
              </w:rPr>
            </w:pPr>
            <w:r w:rsidRPr="00A662A2">
              <w:rPr>
                <w:sz w:val="24"/>
              </w:rPr>
              <w:t>X9：被執行死刑之人數(1992-2016年)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0" w:left="0"/>
              <w:rPr>
                <w:sz w:val="24"/>
              </w:rPr>
            </w:pPr>
            <w:r w:rsidRPr="00A662A2">
              <w:rPr>
                <w:sz w:val="24"/>
              </w:rPr>
              <w:t>X10：當年度之全般刑案破獲率(1992-2016年)</w:t>
            </w:r>
          </w:p>
        </w:tc>
        <w:tc>
          <w:tcPr>
            <w:tcW w:w="1946" w:type="dxa"/>
            <w:shd w:val="clear" w:color="auto" w:fill="auto"/>
          </w:tcPr>
          <w:p w:rsidR="0049577B" w:rsidRPr="00A662A2" w:rsidRDefault="0049577B" w:rsidP="000D26BB">
            <w:pPr>
              <w:rPr>
                <w:sz w:val="24"/>
              </w:rPr>
            </w:pPr>
            <w:r w:rsidRPr="00A662A2">
              <w:rPr>
                <w:sz w:val="24"/>
              </w:rPr>
              <w:t>-0.887</w:t>
            </w:r>
          </w:p>
        </w:tc>
        <w:tc>
          <w:tcPr>
            <w:tcW w:w="1947" w:type="dxa"/>
            <w:shd w:val="clear" w:color="auto" w:fill="auto"/>
          </w:tcPr>
          <w:p w:rsidR="0049577B" w:rsidRPr="00A662A2" w:rsidRDefault="0049577B" w:rsidP="000D26BB">
            <w:pPr>
              <w:rPr>
                <w:sz w:val="24"/>
              </w:rPr>
            </w:pPr>
            <w:r w:rsidRPr="00A662A2">
              <w:rPr>
                <w:sz w:val="24"/>
              </w:rPr>
              <w:t>0.000</w:t>
            </w:r>
          </w:p>
        </w:tc>
        <w:tc>
          <w:tcPr>
            <w:tcW w:w="1947" w:type="dxa"/>
            <w:shd w:val="clear" w:color="auto" w:fill="auto"/>
          </w:tcPr>
          <w:p w:rsidR="0049577B" w:rsidRPr="00A662A2" w:rsidRDefault="0049577B" w:rsidP="000D26BB">
            <w:pPr>
              <w:rPr>
                <w:sz w:val="24"/>
              </w:rPr>
            </w:pPr>
            <w:r w:rsidRPr="00A662A2">
              <w:rPr>
                <w:sz w:val="24"/>
              </w:rPr>
              <w:t>11.844</w:t>
            </w:r>
          </w:p>
        </w:tc>
      </w:tr>
      <w:tr w:rsidR="0049577B" w:rsidRPr="00B40DC1" w:rsidTr="00814432">
        <w:tc>
          <w:tcPr>
            <w:tcW w:w="9776" w:type="dxa"/>
            <w:gridSpan w:val="4"/>
            <w:shd w:val="clear" w:color="auto" w:fill="auto"/>
          </w:tcPr>
          <w:p w:rsidR="0049577B" w:rsidRPr="00A662A2" w:rsidRDefault="0049577B" w:rsidP="000D26BB">
            <w:pPr>
              <w:rPr>
                <w:sz w:val="24"/>
              </w:rPr>
            </w:pPr>
            <w:r w:rsidRPr="00A662A2">
              <w:rPr>
                <w:sz w:val="24"/>
              </w:rPr>
              <w:t>多元迴歸分析模型整體之R平方解釋量：0.772</w:t>
            </w:r>
          </w:p>
        </w:tc>
      </w:tr>
    </w:tbl>
    <w:p w:rsidR="0049577B" w:rsidRPr="00B40DC1" w:rsidRDefault="00817A92" w:rsidP="003409A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817A92" w:rsidP="003409A9">
      <w:pPr>
        <w:spacing w:line="240" w:lineRule="auto"/>
        <w:ind w:leftChars="0" w:left="0" w:rightChars="0" w:right="0"/>
      </w:pPr>
      <w:r>
        <w:t xml:space="preserve">　　</w:t>
      </w:r>
      <w:r w:rsidR="0049577B" w:rsidRPr="00B40DC1">
        <w:t>由下表---影響當年度強盜搶奪犯罪(1992年至2016年)相關因子(原因變項)之多元迴歸分析統計數據結果一覽表(本表係使用強迫進入法之迴歸分析方式)之統計資料可得知，依變項為當年度強盜搶奪犯罪，每提升GNI(平均每人國民所得毛額，以美元為單位</w:t>
      </w:r>
      <w:r w:rsidR="00587200">
        <w:t>)</w:t>
      </w:r>
      <w:r w:rsidR="0049577B" w:rsidRPr="00B40DC1">
        <w:t>1個單位之標準差(1個標準單位)，則可降低0.618個單位之標準差(標準化迴歸係數值，Beta=-0.618)之當年度強盜搶奪犯罪。</w:t>
      </w:r>
    </w:p>
    <w:p w:rsidR="0049577B" w:rsidRPr="00B40DC1" w:rsidRDefault="0049577B" w:rsidP="003409A9">
      <w:pPr>
        <w:spacing w:line="240" w:lineRule="auto"/>
        <w:ind w:leftChars="0" w:left="0" w:rightChars="0" w:right="0"/>
      </w:pPr>
      <w:r w:rsidRPr="00B40DC1">
        <w:t>另外，就本書特別加以關注之死刑是否能有效地嚇阻(減少)犯罪之發生而論，根據本表之資料可得知，執行死刑無法有效地嚇阻(減少</w:t>
      </w:r>
      <w:r w:rsidR="00587200">
        <w:t>)</w:t>
      </w:r>
      <w:r w:rsidRPr="00B40DC1">
        <w:t>當年度強盜搶奪犯罪。復次，無期徒刑亦無法有效地嚇阻(減少</w:t>
      </w:r>
      <w:r w:rsidR="00587200">
        <w:t>)</w:t>
      </w:r>
      <w:r w:rsidRPr="00B40DC1">
        <w:t>當年度強盜搶奪犯罪。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4432" w:rsidRDefault="0049577B" w:rsidP="00E736D6">
      <w:pPr>
        <w:pStyle w:val="4"/>
        <w:rPr>
          <w:lang w:eastAsia="zh-TW"/>
        </w:rPr>
      </w:pPr>
      <w:r w:rsidRPr="00814432">
        <w:rPr>
          <w:lang w:eastAsia="zh-TW"/>
        </w:rPr>
        <w:t>表30、影響當年度強盜搶奪犯罪(1992年至2016年)相關因子(原因變項)之多元迴歸分析統計數據結果一覽表(本表係使用強迫進入法之迴歸分析方式)</w:t>
      </w:r>
      <w:r w:rsidRPr="00814432">
        <w:rPr>
          <w:rStyle w:val="af7"/>
          <w:rFonts w:eastAsia="新細明體"/>
          <w:b w:val="0"/>
          <w:sz w:val="20"/>
        </w:rPr>
        <w:footnoteReference w:id="15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99"/>
        <w:gridCol w:w="1899"/>
        <w:gridCol w:w="1900"/>
      </w:tblGrid>
      <w:tr w:rsidR="0049577B" w:rsidRPr="00B40DC1" w:rsidTr="002031B1">
        <w:trPr>
          <w:tblHeader/>
        </w:trPr>
        <w:tc>
          <w:tcPr>
            <w:tcW w:w="3936" w:type="dxa"/>
            <w:shd w:val="clear" w:color="auto" w:fill="FAF0FA"/>
            <w:vAlign w:val="center"/>
          </w:tcPr>
          <w:p w:rsidR="009214BE" w:rsidRPr="00A662A2" w:rsidRDefault="009214BE" w:rsidP="009214BE">
            <w:pPr>
              <w:ind w:leftChars="11" w:left="29"/>
              <w:jc w:val="center"/>
              <w:rPr>
                <w:sz w:val="24"/>
              </w:rPr>
            </w:pPr>
            <w:r w:rsidRPr="00A662A2">
              <w:rPr>
                <w:sz w:val="24"/>
              </w:rPr>
              <w:t>多元迴歸分析統計數據</w:t>
            </w:r>
          </w:p>
          <w:p w:rsidR="0049577B" w:rsidRPr="00A662A2" w:rsidRDefault="009214BE" w:rsidP="009214BE">
            <w:pPr>
              <w:spacing w:line="240" w:lineRule="auto"/>
              <w:ind w:leftChars="0" w:left="0" w:rightChars="0" w:right="0"/>
              <w:jc w:val="center"/>
              <w:rPr>
                <w:sz w:val="24"/>
              </w:rPr>
            </w:pPr>
            <w:r w:rsidRPr="00A662A2">
              <w:rPr>
                <w:sz w:val="24"/>
              </w:rPr>
              <w:t>自變項(解釋因子，independent variable)之名稱</w:t>
            </w:r>
          </w:p>
        </w:tc>
        <w:tc>
          <w:tcPr>
            <w:tcW w:w="1899" w:type="dxa"/>
            <w:shd w:val="clear" w:color="auto" w:fill="FAF0FA"/>
            <w:vAlign w:val="center"/>
          </w:tcPr>
          <w:p w:rsidR="0049577B" w:rsidRPr="00A662A2" w:rsidRDefault="0049577B" w:rsidP="009214BE">
            <w:pPr>
              <w:spacing w:line="240" w:lineRule="auto"/>
              <w:ind w:leftChars="0" w:left="0" w:rightChars="0" w:right="0"/>
              <w:jc w:val="center"/>
              <w:rPr>
                <w:sz w:val="24"/>
              </w:rPr>
            </w:pPr>
            <w:r w:rsidRPr="00A662A2">
              <w:rPr>
                <w:sz w:val="24"/>
              </w:rPr>
              <w:t>標準化迴歸係數值(Beta)</w:t>
            </w:r>
          </w:p>
        </w:tc>
        <w:tc>
          <w:tcPr>
            <w:tcW w:w="1899" w:type="dxa"/>
            <w:shd w:val="clear" w:color="auto" w:fill="FAF0FA"/>
            <w:vAlign w:val="center"/>
          </w:tcPr>
          <w:p w:rsidR="0049577B" w:rsidRPr="00A662A2" w:rsidRDefault="0049577B" w:rsidP="009214BE">
            <w:pPr>
              <w:spacing w:line="240" w:lineRule="auto"/>
              <w:ind w:leftChars="0" w:left="0" w:rightChars="0" w:right="0"/>
              <w:jc w:val="center"/>
              <w:rPr>
                <w:sz w:val="24"/>
              </w:rPr>
            </w:pPr>
            <w:r w:rsidRPr="00A662A2">
              <w:rPr>
                <w:sz w:val="24"/>
              </w:rPr>
              <w:t>標準化迴歸係數值(Beta)之顯著度(水準)</w:t>
            </w:r>
          </w:p>
        </w:tc>
        <w:tc>
          <w:tcPr>
            <w:tcW w:w="1900" w:type="dxa"/>
            <w:shd w:val="clear" w:color="auto" w:fill="FAF0FA"/>
            <w:vAlign w:val="center"/>
          </w:tcPr>
          <w:p w:rsidR="0049577B" w:rsidRPr="00A662A2" w:rsidRDefault="0049577B" w:rsidP="009214BE">
            <w:pPr>
              <w:spacing w:line="240" w:lineRule="auto"/>
              <w:ind w:leftChars="0" w:left="0" w:rightChars="0" w:right="0"/>
              <w:jc w:val="center"/>
              <w:rPr>
                <w:sz w:val="24"/>
              </w:rPr>
            </w:pPr>
            <w:r w:rsidRPr="00A662A2">
              <w:rPr>
                <w:sz w:val="24"/>
              </w:rPr>
              <w:t>條件指標(CI)</w:t>
            </w:r>
            <w:r w:rsidR="003C1792" w:rsidRPr="00A662A2">
              <w:rPr>
                <w:sz w:val="24"/>
              </w:rPr>
              <w:t>(</w:t>
            </w:r>
            <w:r w:rsidRPr="00A662A2">
              <w:rPr>
                <w:sz w:val="24"/>
              </w:rPr>
              <w:t>檢視自變項是否有嚴重之共線問題)</w:t>
            </w: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X1：失業率(1992-2016年)</w:t>
            </w:r>
          </w:p>
        </w:tc>
        <w:tc>
          <w:tcPr>
            <w:tcW w:w="1899" w:type="dxa"/>
            <w:shd w:val="clear" w:color="auto" w:fill="auto"/>
          </w:tcPr>
          <w:p w:rsidR="0049577B" w:rsidRPr="00A662A2" w:rsidRDefault="0049577B" w:rsidP="000D26BB">
            <w:pPr>
              <w:rPr>
                <w:sz w:val="24"/>
              </w:rPr>
            </w:pPr>
          </w:p>
        </w:tc>
        <w:tc>
          <w:tcPr>
            <w:tcW w:w="1899" w:type="dxa"/>
            <w:shd w:val="clear" w:color="auto" w:fill="auto"/>
          </w:tcPr>
          <w:p w:rsidR="0049577B" w:rsidRPr="00A662A2" w:rsidRDefault="0049577B" w:rsidP="000D26BB">
            <w:pPr>
              <w:rPr>
                <w:sz w:val="24"/>
              </w:rPr>
            </w:pPr>
          </w:p>
        </w:tc>
        <w:tc>
          <w:tcPr>
            <w:tcW w:w="1900"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X2：結婚對數(1998-2013年)</w:t>
            </w:r>
          </w:p>
        </w:tc>
        <w:tc>
          <w:tcPr>
            <w:tcW w:w="1899" w:type="dxa"/>
            <w:shd w:val="clear" w:color="auto" w:fill="auto"/>
          </w:tcPr>
          <w:p w:rsidR="0049577B" w:rsidRPr="00A662A2" w:rsidRDefault="0049577B" w:rsidP="000D26BB">
            <w:pPr>
              <w:rPr>
                <w:sz w:val="24"/>
              </w:rPr>
            </w:pPr>
          </w:p>
        </w:tc>
        <w:tc>
          <w:tcPr>
            <w:tcW w:w="1899" w:type="dxa"/>
            <w:shd w:val="clear" w:color="auto" w:fill="auto"/>
          </w:tcPr>
          <w:p w:rsidR="0049577B" w:rsidRPr="00A662A2" w:rsidRDefault="0049577B" w:rsidP="000D26BB">
            <w:pPr>
              <w:rPr>
                <w:sz w:val="24"/>
              </w:rPr>
            </w:pPr>
          </w:p>
        </w:tc>
        <w:tc>
          <w:tcPr>
            <w:tcW w:w="1900"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X3： 35歲以上人口之中，男性未婚之比例</w:t>
            </w:r>
            <w:r w:rsidR="003C1792" w:rsidRPr="00A662A2">
              <w:rPr>
                <w:sz w:val="24"/>
              </w:rPr>
              <w:t>(</w:t>
            </w:r>
            <w:r w:rsidRPr="00A662A2">
              <w:rPr>
                <w:sz w:val="24"/>
              </w:rPr>
              <w:t>1998-2013年)</w:t>
            </w:r>
          </w:p>
        </w:tc>
        <w:tc>
          <w:tcPr>
            <w:tcW w:w="1899" w:type="dxa"/>
            <w:shd w:val="clear" w:color="auto" w:fill="auto"/>
          </w:tcPr>
          <w:p w:rsidR="0049577B" w:rsidRPr="00A662A2" w:rsidRDefault="0049577B" w:rsidP="000D26BB">
            <w:pPr>
              <w:rPr>
                <w:sz w:val="24"/>
              </w:rPr>
            </w:pPr>
          </w:p>
        </w:tc>
        <w:tc>
          <w:tcPr>
            <w:tcW w:w="1899" w:type="dxa"/>
            <w:shd w:val="clear" w:color="auto" w:fill="auto"/>
          </w:tcPr>
          <w:p w:rsidR="0049577B" w:rsidRPr="00A662A2" w:rsidRDefault="0049577B" w:rsidP="000D26BB">
            <w:pPr>
              <w:rPr>
                <w:sz w:val="24"/>
              </w:rPr>
            </w:pPr>
          </w:p>
        </w:tc>
        <w:tc>
          <w:tcPr>
            <w:tcW w:w="1900"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X4：離婚率(1998-2013年)</w:t>
            </w:r>
          </w:p>
        </w:tc>
        <w:tc>
          <w:tcPr>
            <w:tcW w:w="1899" w:type="dxa"/>
            <w:shd w:val="clear" w:color="auto" w:fill="auto"/>
          </w:tcPr>
          <w:p w:rsidR="0049577B" w:rsidRPr="00A662A2" w:rsidRDefault="0049577B" w:rsidP="000D26BB">
            <w:pPr>
              <w:rPr>
                <w:sz w:val="24"/>
              </w:rPr>
            </w:pPr>
          </w:p>
        </w:tc>
        <w:tc>
          <w:tcPr>
            <w:tcW w:w="1899" w:type="dxa"/>
            <w:shd w:val="clear" w:color="auto" w:fill="auto"/>
          </w:tcPr>
          <w:p w:rsidR="0049577B" w:rsidRPr="00A662A2" w:rsidRDefault="0049577B" w:rsidP="000D26BB">
            <w:pPr>
              <w:rPr>
                <w:sz w:val="24"/>
              </w:rPr>
            </w:pPr>
          </w:p>
        </w:tc>
        <w:tc>
          <w:tcPr>
            <w:tcW w:w="1900"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X5：GNI(平均每人國民所得毛額，以美元為單位)</w:t>
            </w:r>
            <w:r w:rsidR="003C1792" w:rsidRPr="00A662A2">
              <w:rPr>
                <w:sz w:val="24"/>
              </w:rPr>
              <w:t>(</w:t>
            </w:r>
            <w:r w:rsidRPr="00A662A2">
              <w:rPr>
                <w:sz w:val="24"/>
              </w:rPr>
              <w:t>1992-2016年)</w:t>
            </w:r>
          </w:p>
        </w:tc>
        <w:tc>
          <w:tcPr>
            <w:tcW w:w="1899" w:type="dxa"/>
            <w:shd w:val="clear" w:color="auto" w:fill="auto"/>
            <w:vAlign w:val="center"/>
          </w:tcPr>
          <w:p w:rsidR="0049577B" w:rsidRPr="00A662A2" w:rsidRDefault="0049577B" w:rsidP="003409A9">
            <w:pPr>
              <w:jc w:val="center"/>
              <w:rPr>
                <w:sz w:val="24"/>
              </w:rPr>
            </w:pPr>
            <w:r w:rsidRPr="00A662A2">
              <w:rPr>
                <w:sz w:val="24"/>
              </w:rPr>
              <w:t>-0.618</w:t>
            </w:r>
          </w:p>
        </w:tc>
        <w:tc>
          <w:tcPr>
            <w:tcW w:w="1899" w:type="dxa"/>
            <w:shd w:val="clear" w:color="auto" w:fill="auto"/>
            <w:vAlign w:val="center"/>
          </w:tcPr>
          <w:p w:rsidR="0049577B" w:rsidRPr="00A662A2" w:rsidRDefault="0049577B" w:rsidP="003409A9">
            <w:pPr>
              <w:jc w:val="center"/>
              <w:rPr>
                <w:sz w:val="24"/>
              </w:rPr>
            </w:pPr>
            <w:r w:rsidRPr="00A662A2">
              <w:rPr>
                <w:sz w:val="24"/>
              </w:rPr>
              <w:t>0.001</w:t>
            </w:r>
          </w:p>
        </w:tc>
        <w:tc>
          <w:tcPr>
            <w:tcW w:w="1900" w:type="dxa"/>
            <w:shd w:val="clear" w:color="auto" w:fill="auto"/>
            <w:vAlign w:val="center"/>
          </w:tcPr>
          <w:p w:rsidR="0049577B" w:rsidRPr="00A662A2" w:rsidRDefault="0049577B" w:rsidP="003409A9">
            <w:pPr>
              <w:jc w:val="center"/>
              <w:rPr>
                <w:sz w:val="24"/>
              </w:rPr>
            </w:pPr>
            <w:r w:rsidRPr="00A662A2">
              <w:rPr>
                <w:sz w:val="24"/>
              </w:rPr>
              <w:t>8.749</w:t>
            </w: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X6：低收入戶之家庭及就學生活補助金額(1998-2013年)</w:t>
            </w:r>
            <w:r w:rsidRPr="00A662A2">
              <w:rPr>
                <w:rStyle w:val="af7"/>
                <w:rFonts w:eastAsia="新細明體"/>
                <w:sz w:val="20"/>
              </w:rPr>
              <w:footnoteReference w:id="154"/>
            </w:r>
          </w:p>
        </w:tc>
        <w:tc>
          <w:tcPr>
            <w:tcW w:w="1899" w:type="dxa"/>
            <w:shd w:val="clear" w:color="auto" w:fill="auto"/>
          </w:tcPr>
          <w:p w:rsidR="0049577B" w:rsidRPr="00A662A2" w:rsidRDefault="0049577B" w:rsidP="000D26BB">
            <w:pPr>
              <w:rPr>
                <w:sz w:val="24"/>
              </w:rPr>
            </w:pPr>
          </w:p>
        </w:tc>
        <w:tc>
          <w:tcPr>
            <w:tcW w:w="1899" w:type="dxa"/>
            <w:shd w:val="clear" w:color="auto" w:fill="auto"/>
          </w:tcPr>
          <w:p w:rsidR="0049577B" w:rsidRPr="00A662A2" w:rsidRDefault="0049577B" w:rsidP="000D26BB">
            <w:pPr>
              <w:rPr>
                <w:sz w:val="24"/>
              </w:rPr>
            </w:pPr>
          </w:p>
        </w:tc>
        <w:tc>
          <w:tcPr>
            <w:tcW w:w="1900"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X7：緩刑比率(1998-2013年)</w:t>
            </w:r>
          </w:p>
        </w:tc>
        <w:tc>
          <w:tcPr>
            <w:tcW w:w="1899" w:type="dxa"/>
            <w:shd w:val="clear" w:color="auto" w:fill="auto"/>
          </w:tcPr>
          <w:p w:rsidR="0049577B" w:rsidRPr="00A662A2" w:rsidRDefault="0049577B" w:rsidP="000D26BB">
            <w:pPr>
              <w:rPr>
                <w:sz w:val="24"/>
              </w:rPr>
            </w:pPr>
          </w:p>
        </w:tc>
        <w:tc>
          <w:tcPr>
            <w:tcW w:w="1899" w:type="dxa"/>
            <w:shd w:val="clear" w:color="auto" w:fill="auto"/>
          </w:tcPr>
          <w:p w:rsidR="0049577B" w:rsidRPr="00A662A2" w:rsidRDefault="0049577B" w:rsidP="000D26BB">
            <w:pPr>
              <w:rPr>
                <w:sz w:val="24"/>
              </w:rPr>
            </w:pPr>
          </w:p>
        </w:tc>
        <w:tc>
          <w:tcPr>
            <w:tcW w:w="1900"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X8：無期徒刑之人數(1998-2013年)</w:t>
            </w:r>
          </w:p>
        </w:tc>
        <w:tc>
          <w:tcPr>
            <w:tcW w:w="1899" w:type="dxa"/>
            <w:shd w:val="clear" w:color="auto" w:fill="auto"/>
          </w:tcPr>
          <w:p w:rsidR="0049577B" w:rsidRPr="00A662A2" w:rsidRDefault="0049577B" w:rsidP="000D26BB">
            <w:pPr>
              <w:rPr>
                <w:sz w:val="24"/>
              </w:rPr>
            </w:pPr>
          </w:p>
        </w:tc>
        <w:tc>
          <w:tcPr>
            <w:tcW w:w="1899" w:type="dxa"/>
            <w:shd w:val="clear" w:color="auto" w:fill="auto"/>
          </w:tcPr>
          <w:p w:rsidR="0049577B" w:rsidRPr="00A662A2" w:rsidRDefault="0049577B" w:rsidP="000D26BB">
            <w:pPr>
              <w:rPr>
                <w:sz w:val="24"/>
              </w:rPr>
            </w:pPr>
          </w:p>
        </w:tc>
        <w:tc>
          <w:tcPr>
            <w:tcW w:w="1900"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X9：被執行死刑之人數(1992-2016年)</w:t>
            </w:r>
          </w:p>
        </w:tc>
        <w:tc>
          <w:tcPr>
            <w:tcW w:w="1899" w:type="dxa"/>
            <w:shd w:val="clear" w:color="auto" w:fill="auto"/>
          </w:tcPr>
          <w:p w:rsidR="0049577B" w:rsidRPr="00A662A2" w:rsidRDefault="0049577B" w:rsidP="000D26BB">
            <w:pPr>
              <w:rPr>
                <w:sz w:val="24"/>
              </w:rPr>
            </w:pPr>
          </w:p>
        </w:tc>
        <w:tc>
          <w:tcPr>
            <w:tcW w:w="1899" w:type="dxa"/>
            <w:shd w:val="clear" w:color="auto" w:fill="auto"/>
          </w:tcPr>
          <w:p w:rsidR="0049577B" w:rsidRPr="00A662A2" w:rsidRDefault="0049577B" w:rsidP="000D26BB">
            <w:pPr>
              <w:rPr>
                <w:sz w:val="24"/>
              </w:rPr>
            </w:pPr>
          </w:p>
        </w:tc>
        <w:tc>
          <w:tcPr>
            <w:tcW w:w="1900"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3409A9">
            <w:pPr>
              <w:spacing w:line="240" w:lineRule="auto"/>
              <w:ind w:leftChars="0" w:left="0" w:rightChars="0" w:right="0"/>
              <w:rPr>
                <w:sz w:val="24"/>
              </w:rPr>
            </w:pPr>
            <w:r w:rsidRPr="00A662A2">
              <w:rPr>
                <w:sz w:val="24"/>
              </w:rPr>
              <w:t>X10：當年度之全般刑案破獲率(1992-2016年)</w:t>
            </w:r>
          </w:p>
        </w:tc>
        <w:tc>
          <w:tcPr>
            <w:tcW w:w="1899" w:type="dxa"/>
            <w:shd w:val="clear" w:color="auto" w:fill="auto"/>
          </w:tcPr>
          <w:p w:rsidR="0049577B" w:rsidRPr="00A662A2" w:rsidRDefault="0049577B" w:rsidP="000D26BB">
            <w:pPr>
              <w:rPr>
                <w:sz w:val="24"/>
              </w:rPr>
            </w:pPr>
          </w:p>
        </w:tc>
        <w:tc>
          <w:tcPr>
            <w:tcW w:w="1899" w:type="dxa"/>
            <w:shd w:val="clear" w:color="auto" w:fill="auto"/>
          </w:tcPr>
          <w:p w:rsidR="0049577B" w:rsidRPr="00A662A2" w:rsidRDefault="0049577B" w:rsidP="000D26BB">
            <w:pPr>
              <w:rPr>
                <w:sz w:val="24"/>
              </w:rPr>
            </w:pPr>
          </w:p>
        </w:tc>
        <w:tc>
          <w:tcPr>
            <w:tcW w:w="1900" w:type="dxa"/>
            <w:shd w:val="clear" w:color="auto" w:fill="auto"/>
          </w:tcPr>
          <w:p w:rsidR="0049577B" w:rsidRPr="00A662A2" w:rsidRDefault="0049577B" w:rsidP="000D26BB">
            <w:pPr>
              <w:rPr>
                <w:sz w:val="24"/>
              </w:rPr>
            </w:pPr>
          </w:p>
        </w:tc>
      </w:tr>
      <w:tr w:rsidR="0049577B" w:rsidRPr="00B40DC1" w:rsidTr="00814432">
        <w:tc>
          <w:tcPr>
            <w:tcW w:w="9634" w:type="dxa"/>
            <w:gridSpan w:val="4"/>
            <w:shd w:val="clear" w:color="auto" w:fill="auto"/>
          </w:tcPr>
          <w:p w:rsidR="0049577B" w:rsidRPr="00A662A2" w:rsidRDefault="0049577B" w:rsidP="003409A9">
            <w:pPr>
              <w:spacing w:line="240" w:lineRule="auto"/>
              <w:ind w:leftChars="0" w:left="0" w:rightChars="0" w:right="0"/>
              <w:rPr>
                <w:sz w:val="24"/>
              </w:rPr>
            </w:pPr>
            <w:r w:rsidRPr="00A662A2">
              <w:rPr>
                <w:sz w:val="24"/>
              </w:rPr>
              <w:t>多元迴歸分析模型整體之R平方解釋量：0.355</w:t>
            </w:r>
          </w:p>
        </w:tc>
      </w:tr>
    </w:tbl>
    <w:p w:rsidR="0049577B" w:rsidRPr="00B40DC1" w:rsidRDefault="00817A92" w:rsidP="003409A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A662A2" w:rsidRDefault="00A662A2" w:rsidP="003409A9">
      <w:pPr>
        <w:spacing w:line="240" w:lineRule="auto"/>
        <w:ind w:leftChars="0" w:left="0" w:rightChars="0" w:right="0"/>
      </w:pPr>
    </w:p>
    <w:p w:rsidR="0049577B" w:rsidRPr="00B40DC1" w:rsidRDefault="00817A92" w:rsidP="003409A9">
      <w:pPr>
        <w:spacing w:line="240" w:lineRule="auto"/>
        <w:ind w:leftChars="0" w:left="0" w:rightChars="0" w:right="0"/>
      </w:pPr>
      <w:r>
        <w:t xml:space="preserve">　　</w:t>
      </w:r>
      <w:r w:rsidR="0049577B" w:rsidRPr="00B40DC1">
        <w:t>由下表---影響下年度強盜搶奪犯罪(1993年至2015年)相關因子(原因變項)之多元迴歸分析統計數據結果一覽表(本表係使用逐步迴歸分析法之迴歸分析方式)之統計資料可得知，依變項為下年度強盜搶奪犯罪，每提升當年度之全般刑案破獲率1個單位之標準差(1個標準單位)，則可降低0.905個單位之標準差(標準化迴歸係數值，Beta=-0.905)之下年度強盜搶奪犯罪。</w:t>
      </w:r>
    </w:p>
    <w:p w:rsidR="0049577B" w:rsidRPr="00B40DC1" w:rsidRDefault="003409A9" w:rsidP="003409A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另外，就本書特別加以關注之死刑是否能有效地嚇阻(減少)犯罪之發生而論，根據本表之資料可得知，執行死刑無法有效地嚇阻(減少)下年度強盜搶奪犯罪。復次，無期徒刑亦無法有效地嚇阻(減少</w:t>
      </w:r>
      <w:r w:rsidR="00587200">
        <w:t>)</w:t>
      </w:r>
      <w:r w:rsidR="0049577B" w:rsidRPr="00B40DC1">
        <w:t>下年度強盜搶奪犯罪。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4432" w:rsidRDefault="0049577B" w:rsidP="00E736D6">
      <w:pPr>
        <w:pStyle w:val="4"/>
        <w:rPr>
          <w:lang w:eastAsia="zh-TW"/>
        </w:rPr>
      </w:pPr>
      <w:r w:rsidRPr="00814432">
        <w:rPr>
          <w:lang w:eastAsia="zh-TW"/>
        </w:rPr>
        <w:t>表31、影響下年度強盜搶奪犯罪(1993年至2015年)相關因子(原因變項)之多元迴歸分析統計數據結果一覽表(本表係使用逐步迴歸分析法之迴歸分析方式)</w:t>
      </w:r>
      <w:r w:rsidRPr="00814432">
        <w:rPr>
          <w:rStyle w:val="af7"/>
          <w:rFonts w:eastAsia="新細明體"/>
          <w:b w:val="0"/>
          <w:sz w:val="20"/>
        </w:rPr>
        <w:footnoteReference w:id="155"/>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EFFDFF"/>
            <w:vAlign w:val="center"/>
          </w:tcPr>
          <w:p w:rsidR="009214BE" w:rsidRPr="00A662A2" w:rsidRDefault="009214BE" w:rsidP="009214BE">
            <w:pPr>
              <w:ind w:leftChars="11" w:left="29"/>
              <w:jc w:val="center"/>
              <w:rPr>
                <w:sz w:val="24"/>
              </w:rPr>
            </w:pPr>
            <w:r w:rsidRPr="00A662A2">
              <w:rPr>
                <w:sz w:val="24"/>
              </w:rPr>
              <w:t>多元迴歸分析統計數據</w:t>
            </w:r>
          </w:p>
          <w:p w:rsidR="0049577B" w:rsidRPr="00A662A2" w:rsidRDefault="009214BE" w:rsidP="009214BE">
            <w:pPr>
              <w:ind w:leftChars="0" w:left="0"/>
              <w:jc w:val="center"/>
              <w:rPr>
                <w:sz w:val="24"/>
              </w:rPr>
            </w:pPr>
            <w:r w:rsidRPr="00A662A2">
              <w:rPr>
                <w:sz w:val="24"/>
              </w:rPr>
              <w:t>自變項(解釋因子，independent variable)之名稱</w:t>
            </w:r>
          </w:p>
        </w:tc>
        <w:tc>
          <w:tcPr>
            <w:tcW w:w="1946" w:type="dxa"/>
            <w:shd w:val="clear" w:color="auto" w:fill="EFFDFF"/>
            <w:vAlign w:val="center"/>
          </w:tcPr>
          <w:p w:rsidR="0049577B" w:rsidRPr="00A662A2" w:rsidRDefault="0049577B" w:rsidP="009214BE">
            <w:pPr>
              <w:ind w:leftChars="0" w:left="0"/>
              <w:jc w:val="center"/>
              <w:rPr>
                <w:sz w:val="24"/>
              </w:rPr>
            </w:pPr>
            <w:r w:rsidRPr="00A662A2">
              <w:rPr>
                <w:sz w:val="24"/>
              </w:rPr>
              <w:t>標準化迴歸係數值(Beta)</w:t>
            </w:r>
          </w:p>
        </w:tc>
        <w:tc>
          <w:tcPr>
            <w:tcW w:w="1947" w:type="dxa"/>
            <w:shd w:val="clear" w:color="auto" w:fill="EFFDFF"/>
            <w:vAlign w:val="center"/>
          </w:tcPr>
          <w:p w:rsidR="0049577B" w:rsidRPr="00A662A2" w:rsidRDefault="0049577B" w:rsidP="009214BE">
            <w:pPr>
              <w:ind w:leftChars="0" w:left="0"/>
              <w:jc w:val="center"/>
              <w:rPr>
                <w:sz w:val="24"/>
              </w:rPr>
            </w:pPr>
            <w:r w:rsidRPr="00A662A2">
              <w:rPr>
                <w:sz w:val="24"/>
              </w:rPr>
              <w:t>標準化迴歸係數值(Beta)之顯著度(水準)</w:t>
            </w:r>
          </w:p>
        </w:tc>
        <w:tc>
          <w:tcPr>
            <w:tcW w:w="1947" w:type="dxa"/>
            <w:shd w:val="clear" w:color="auto" w:fill="EFFDFF"/>
            <w:vAlign w:val="center"/>
          </w:tcPr>
          <w:p w:rsidR="0049577B" w:rsidRPr="00A662A2" w:rsidRDefault="0049577B" w:rsidP="009214BE">
            <w:pPr>
              <w:ind w:leftChars="0" w:left="0"/>
              <w:jc w:val="center"/>
              <w:rPr>
                <w:sz w:val="24"/>
              </w:rPr>
            </w:pPr>
            <w:r w:rsidRPr="00A662A2">
              <w:rPr>
                <w:sz w:val="24"/>
              </w:rPr>
              <w:t>條件指標(CI)</w:t>
            </w:r>
            <w:r w:rsidR="003C1792" w:rsidRPr="00A662A2">
              <w:rPr>
                <w:sz w:val="24"/>
              </w:rPr>
              <w:t>(</w:t>
            </w:r>
            <w:r w:rsidRPr="00A662A2">
              <w:rPr>
                <w:sz w:val="24"/>
              </w:rPr>
              <w:t>檢視自變項是否有嚴重之共線問題)</w:t>
            </w:r>
          </w:p>
        </w:tc>
      </w:tr>
      <w:tr w:rsidR="0049577B" w:rsidRPr="00B40DC1" w:rsidTr="002031B1">
        <w:tc>
          <w:tcPr>
            <w:tcW w:w="3936" w:type="dxa"/>
            <w:shd w:val="clear" w:color="auto" w:fill="auto"/>
          </w:tcPr>
          <w:p w:rsidR="0049577B" w:rsidRPr="00A662A2" w:rsidRDefault="0049577B" w:rsidP="00814432">
            <w:pPr>
              <w:ind w:leftChars="11" w:left="29"/>
              <w:rPr>
                <w:sz w:val="24"/>
              </w:rPr>
            </w:pPr>
            <w:r w:rsidRPr="00A662A2">
              <w:rPr>
                <w:sz w:val="24"/>
              </w:rPr>
              <w:t>X1：失業率(1992-2016年)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11" w:left="29"/>
              <w:rPr>
                <w:sz w:val="24"/>
              </w:rPr>
            </w:pPr>
            <w:r w:rsidRPr="00A662A2">
              <w:rPr>
                <w:sz w:val="24"/>
              </w:rPr>
              <w:t>X2：結婚對數(1998-2013年)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11" w:left="29"/>
              <w:rPr>
                <w:sz w:val="24"/>
              </w:rPr>
            </w:pPr>
            <w:r w:rsidRPr="00A662A2">
              <w:rPr>
                <w:sz w:val="24"/>
              </w:rPr>
              <w:t>X3： 35歲以上人口之中，男性未婚之比例</w:t>
            </w:r>
            <w:r w:rsidR="003C1792" w:rsidRPr="00A662A2">
              <w:rPr>
                <w:sz w:val="24"/>
              </w:rPr>
              <w:t>(</w:t>
            </w:r>
            <w:r w:rsidRPr="00A662A2">
              <w:rPr>
                <w:sz w:val="24"/>
              </w:rPr>
              <w:t>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11" w:left="29"/>
              <w:rPr>
                <w:sz w:val="24"/>
              </w:rPr>
            </w:pPr>
            <w:r w:rsidRPr="00A662A2">
              <w:rPr>
                <w:sz w:val="24"/>
              </w:rPr>
              <w:t>X4：離婚率(1998-2013年)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11" w:left="29"/>
              <w:rPr>
                <w:sz w:val="24"/>
              </w:rPr>
            </w:pPr>
            <w:r w:rsidRPr="00A662A2">
              <w:rPr>
                <w:sz w:val="24"/>
              </w:rPr>
              <w:t>X5：GNI(平均每人國民所得毛額，以美元為單位)</w:t>
            </w:r>
            <w:r w:rsidR="003C1792" w:rsidRPr="00A662A2">
              <w:rPr>
                <w:sz w:val="24"/>
              </w:rPr>
              <w:t>(</w:t>
            </w:r>
            <w:r w:rsidRPr="00A662A2">
              <w:rPr>
                <w:sz w:val="24"/>
              </w:rPr>
              <w:t>1992-2016年)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11" w:left="29"/>
              <w:rPr>
                <w:sz w:val="24"/>
              </w:rPr>
            </w:pPr>
            <w:r w:rsidRPr="00A662A2">
              <w:rPr>
                <w:sz w:val="24"/>
              </w:rPr>
              <w:t>X6：低收入戶之家庭及就學生活補助金額(1998-2013年)</w:t>
            </w:r>
            <w:r w:rsidRPr="00A662A2">
              <w:rPr>
                <w:rStyle w:val="af7"/>
                <w:rFonts w:eastAsia="新細明體"/>
                <w:sz w:val="20"/>
              </w:rPr>
              <w:footnoteReference w:id="156"/>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11" w:left="29"/>
              <w:rPr>
                <w:sz w:val="24"/>
              </w:rPr>
            </w:pPr>
            <w:r w:rsidRPr="00A662A2">
              <w:rPr>
                <w:sz w:val="24"/>
              </w:rPr>
              <w:t>X7：緩刑比率(1998-2013年)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11" w:left="29"/>
              <w:rPr>
                <w:sz w:val="24"/>
              </w:rPr>
            </w:pPr>
            <w:r w:rsidRPr="00A662A2">
              <w:rPr>
                <w:sz w:val="24"/>
              </w:rPr>
              <w:t>X8：無期徒刑之人數(1998-2013年)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11" w:left="29"/>
              <w:rPr>
                <w:sz w:val="24"/>
              </w:rPr>
            </w:pPr>
            <w:r w:rsidRPr="00A662A2">
              <w:rPr>
                <w:sz w:val="24"/>
              </w:rPr>
              <w:t>X9：被執行死刑之人數(1992-2016年)</w:t>
            </w:r>
          </w:p>
        </w:tc>
        <w:tc>
          <w:tcPr>
            <w:tcW w:w="1946"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c>
          <w:tcPr>
            <w:tcW w:w="1947" w:type="dxa"/>
            <w:shd w:val="clear" w:color="auto" w:fill="auto"/>
          </w:tcPr>
          <w:p w:rsidR="0049577B" w:rsidRPr="00A662A2" w:rsidRDefault="0049577B" w:rsidP="000D26BB">
            <w:pPr>
              <w:rPr>
                <w:sz w:val="24"/>
              </w:rPr>
            </w:pPr>
          </w:p>
        </w:tc>
      </w:tr>
      <w:tr w:rsidR="0049577B" w:rsidRPr="00B40DC1" w:rsidTr="002031B1">
        <w:tc>
          <w:tcPr>
            <w:tcW w:w="3936" w:type="dxa"/>
            <w:shd w:val="clear" w:color="auto" w:fill="auto"/>
          </w:tcPr>
          <w:p w:rsidR="0049577B" w:rsidRPr="00A662A2" w:rsidRDefault="0049577B" w:rsidP="00814432">
            <w:pPr>
              <w:ind w:leftChars="11" w:left="29"/>
              <w:rPr>
                <w:sz w:val="24"/>
              </w:rPr>
            </w:pPr>
            <w:r w:rsidRPr="00A662A2">
              <w:rPr>
                <w:sz w:val="24"/>
              </w:rPr>
              <w:t>X10：當年度之全般刑案破獲率(1992-2016年)</w:t>
            </w:r>
          </w:p>
        </w:tc>
        <w:tc>
          <w:tcPr>
            <w:tcW w:w="1946" w:type="dxa"/>
            <w:shd w:val="clear" w:color="auto" w:fill="auto"/>
            <w:vAlign w:val="center"/>
          </w:tcPr>
          <w:p w:rsidR="0049577B" w:rsidRPr="00A662A2" w:rsidRDefault="0049577B" w:rsidP="003409A9">
            <w:pPr>
              <w:jc w:val="center"/>
              <w:rPr>
                <w:sz w:val="24"/>
              </w:rPr>
            </w:pPr>
            <w:r w:rsidRPr="00A662A2">
              <w:rPr>
                <w:sz w:val="24"/>
              </w:rPr>
              <w:t>-0.905</w:t>
            </w:r>
          </w:p>
        </w:tc>
        <w:tc>
          <w:tcPr>
            <w:tcW w:w="1947" w:type="dxa"/>
            <w:shd w:val="clear" w:color="auto" w:fill="auto"/>
            <w:vAlign w:val="center"/>
          </w:tcPr>
          <w:p w:rsidR="0049577B" w:rsidRPr="00A662A2" w:rsidRDefault="0049577B" w:rsidP="003409A9">
            <w:pPr>
              <w:jc w:val="center"/>
              <w:rPr>
                <w:sz w:val="24"/>
              </w:rPr>
            </w:pPr>
            <w:r w:rsidRPr="00A662A2">
              <w:rPr>
                <w:sz w:val="24"/>
              </w:rPr>
              <w:t>0.000</w:t>
            </w:r>
          </w:p>
        </w:tc>
        <w:tc>
          <w:tcPr>
            <w:tcW w:w="1947" w:type="dxa"/>
            <w:shd w:val="clear" w:color="auto" w:fill="auto"/>
            <w:vAlign w:val="center"/>
          </w:tcPr>
          <w:p w:rsidR="0049577B" w:rsidRPr="00A662A2" w:rsidRDefault="0049577B" w:rsidP="003409A9">
            <w:pPr>
              <w:jc w:val="center"/>
              <w:rPr>
                <w:sz w:val="24"/>
              </w:rPr>
            </w:pPr>
            <w:r w:rsidRPr="00A662A2">
              <w:rPr>
                <w:sz w:val="24"/>
              </w:rPr>
              <w:t>11.844</w:t>
            </w:r>
          </w:p>
        </w:tc>
      </w:tr>
      <w:tr w:rsidR="0049577B" w:rsidRPr="00B40DC1" w:rsidTr="00814432">
        <w:tc>
          <w:tcPr>
            <w:tcW w:w="9776" w:type="dxa"/>
            <w:gridSpan w:val="4"/>
            <w:shd w:val="clear" w:color="auto" w:fill="auto"/>
          </w:tcPr>
          <w:p w:rsidR="0049577B" w:rsidRPr="00A662A2" w:rsidRDefault="0049577B" w:rsidP="000D26BB">
            <w:pPr>
              <w:rPr>
                <w:sz w:val="24"/>
              </w:rPr>
            </w:pPr>
            <w:r w:rsidRPr="00A662A2">
              <w:rPr>
                <w:sz w:val="24"/>
              </w:rPr>
              <w:t>多元迴歸分析模型整體之R平方解釋量：0.806</w:t>
            </w:r>
          </w:p>
        </w:tc>
      </w:tr>
    </w:tbl>
    <w:p w:rsidR="0049577B" w:rsidRPr="00B40DC1" w:rsidRDefault="00817A92" w:rsidP="003409A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3409A9">
      <w:pPr>
        <w:spacing w:line="240" w:lineRule="auto"/>
        <w:ind w:leftChars="0" w:left="0" w:rightChars="0" w:right="0"/>
      </w:pPr>
    </w:p>
    <w:p w:rsidR="0049577B" w:rsidRPr="00B40DC1" w:rsidRDefault="00814432" w:rsidP="003409A9">
      <w:pPr>
        <w:spacing w:line="240" w:lineRule="auto"/>
        <w:ind w:leftChars="0" w:left="0" w:rightChars="0" w:right="0"/>
      </w:pPr>
      <w:r>
        <w:t xml:space="preserve">　　</w:t>
      </w:r>
      <w:r w:rsidR="0049577B" w:rsidRPr="00B40DC1">
        <w:t>由下表---影響當年度強制性交犯罪(1992年至2016年)相關因子(原因變項)之多元迴歸分析統計數據結果一覽表(本表係使用強迫進入法之迴歸分析方式)之統計資料可得知，依變項為當年度強制性交犯罪，每提升失業率1個單位之標準差(1個標準單位)，則可增加0.839個單位之標準差(標準化迴歸係數值，Beta=0.839)之當年度強制性交犯罪。</w:t>
      </w:r>
    </w:p>
    <w:p w:rsidR="0049577B" w:rsidRPr="00B40DC1" w:rsidRDefault="00814432" w:rsidP="003409A9">
      <w:pPr>
        <w:spacing w:line="240" w:lineRule="auto"/>
        <w:ind w:leftChars="0" w:left="0" w:rightChars="0" w:right="0"/>
      </w:pPr>
      <w:r>
        <w:t xml:space="preserve">　　</w:t>
      </w:r>
      <w:r w:rsidR="0049577B" w:rsidRPr="00B40DC1">
        <w:t>每提升35歲以上人口之中，男性未婚之比例 1個單位之標準差(1個標準單位)，則可降低0.820個單位之標準差(標準化迴歸係數值，Beta=-0.820)之當年度強制性交犯罪。</w:t>
      </w:r>
    </w:p>
    <w:p w:rsidR="0049577B" w:rsidRPr="00B40DC1" w:rsidRDefault="00814432" w:rsidP="003409A9">
      <w:pPr>
        <w:spacing w:line="240" w:lineRule="auto"/>
        <w:ind w:leftChars="0" w:left="0" w:rightChars="0" w:right="0"/>
      </w:pPr>
      <w:r>
        <w:t xml:space="preserve">　　</w:t>
      </w:r>
      <w:r w:rsidR="0049577B" w:rsidRPr="00B40DC1">
        <w:t>或許，有可能之機率，係為35歲以上人口之中，未婚男性之身心狀態，有可能會比較穩定。因其為單身，故有可能較無家庭之經濟上重大負擔，無須教養小孩；35歲以上之單身男性，其工作之所得，可全部歸為自己所有，可購買不動產、動產、或進行其他投資，由於經濟上有所依靠，再加上心智有可能更加成熟、穩定，有可能具有較強的自控能力，作一名守法之民眾，而未從事重大犯罪(故意殺人犯罪+重傷犯罪+重大恐嚇取財犯罪+擄人勒贖犯罪+強盜搶奪犯罪+強制性交犯罪)。亦即，其從事重大指標犯罪(重大暴力犯罪)(故意殺人犯罪+重傷犯罪+重大恐嚇取財犯罪+擄人勒贖犯罪+強盜搶奪犯罪+強制性交犯罪)之機率，相對而論，或許，有可能相對較低一些。</w:t>
      </w:r>
    </w:p>
    <w:p w:rsidR="0049577B" w:rsidRPr="00B40DC1" w:rsidRDefault="00814432" w:rsidP="003409A9">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當年度強制性交犯罪。復次，無期徒刑亦無法有效地嚇阻(減少)當年度強制性交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4432" w:rsidRDefault="0049577B" w:rsidP="00E736D6">
      <w:pPr>
        <w:pStyle w:val="4"/>
        <w:rPr>
          <w:lang w:eastAsia="zh-TW"/>
        </w:rPr>
      </w:pPr>
      <w:r w:rsidRPr="00814432">
        <w:rPr>
          <w:lang w:eastAsia="zh-TW"/>
        </w:rPr>
        <w:t>表32、影響當年度強制性交犯罪(1992年至2016年)相關因子(原因變項)之多元迴歸分析統計數據結果一覽表(本表係使用強迫進入法之迴歸分析方式)</w:t>
      </w:r>
      <w:r w:rsidRPr="003409A9">
        <w:rPr>
          <w:rStyle w:val="af7"/>
          <w:rFonts w:eastAsia="新細明體"/>
          <w:b w:val="0"/>
          <w:sz w:val="20"/>
        </w:rPr>
        <w:footnoteReference w:id="157"/>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937"/>
        <w:gridCol w:w="1937"/>
        <w:gridCol w:w="1938"/>
      </w:tblGrid>
      <w:tr w:rsidR="0049577B" w:rsidRPr="00B40DC1" w:rsidTr="002031B1">
        <w:trPr>
          <w:tblHeader/>
        </w:trPr>
        <w:tc>
          <w:tcPr>
            <w:tcW w:w="3964" w:type="dxa"/>
            <w:shd w:val="clear" w:color="auto" w:fill="FAF0FA"/>
            <w:vAlign w:val="center"/>
          </w:tcPr>
          <w:p w:rsidR="009214BE" w:rsidRPr="00A662A2" w:rsidRDefault="009214BE" w:rsidP="009214BE">
            <w:pPr>
              <w:ind w:leftChars="11" w:left="29"/>
              <w:jc w:val="center"/>
              <w:rPr>
                <w:sz w:val="24"/>
              </w:rPr>
            </w:pPr>
            <w:r w:rsidRPr="00A662A2">
              <w:rPr>
                <w:sz w:val="24"/>
              </w:rPr>
              <w:t>多元迴歸分析統計數據</w:t>
            </w:r>
          </w:p>
          <w:p w:rsidR="0049577B" w:rsidRPr="00A662A2" w:rsidRDefault="009214BE" w:rsidP="009214BE">
            <w:pPr>
              <w:ind w:leftChars="11" w:left="29"/>
              <w:jc w:val="center"/>
              <w:rPr>
                <w:sz w:val="24"/>
              </w:rPr>
            </w:pPr>
            <w:r w:rsidRPr="00A662A2">
              <w:rPr>
                <w:sz w:val="24"/>
              </w:rPr>
              <w:t>自變項(解釋因子，independent variable)之名稱</w:t>
            </w:r>
          </w:p>
        </w:tc>
        <w:tc>
          <w:tcPr>
            <w:tcW w:w="1937" w:type="dxa"/>
            <w:shd w:val="clear" w:color="auto" w:fill="FAF0FA"/>
            <w:vAlign w:val="center"/>
          </w:tcPr>
          <w:p w:rsidR="0049577B" w:rsidRPr="00A662A2" w:rsidRDefault="0049577B" w:rsidP="002031B1">
            <w:pPr>
              <w:spacing w:line="240" w:lineRule="auto"/>
              <w:ind w:leftChars="0" w:left="0" w:rightChars="0" w:right="0"/>
              <w:rPr>
                <w:sz w:val="24"/>
              </w:rPr>
            </w:pPr>
            <w:r w:rsidRPr="00A662A2">
              <w:rPr>
                <w:sz w:val="24"/>
              </w:rPr>
              <w:t>標準化迴歸係數值(Beta)</w:t>
            </w:r>
          </w:p>
        </w:tc>
        <w:tc>
          <w:tcPr>
            <w:tcW w:w="1937" w:type="dxa"/>
            <w:shd w:val="clear" w:color="auto" w:fill="FAF0FA"/>
            <w:vAlign w:val="center"/>
          </w:tcPr>
          <w:p w:rsidR="0049577B" w:rsidRPr="00A662A2" w:rsidRDefault="0049577B" w:rsidP="002031B1">
            <w:pPr>
              <w:spacing w:line="240" w:lineRule="auto"/>
              <w:ind w:leftChars="0" w:left="0" w:rightChars="0" w:right="0"/>
              <w:rPr>
                <w:sz w:val="24"/>
              </w:rPr>
            </w:pPr>
            <w:r w:rsidRPr="00A662A2">
              <w:rPr>
                <w:sz w:val="24"/>
              </w:rPr>
              <w:t>標準化迴歸係數值(Beta)之顯著度(水準)</w:t>
            </w:r>
          </w:p>
        </w:tc>
        <w:tc>
          <w:tcPr>
            <w:tcW w:w="1938" w:type="dxa"/>
            <w:shd w:val="clear" w:color="auto" w:fill="FAF0FA"/>
            <w:vAlign w:val="center"/>
          </w:tcPr>
          <w:p w:rsidR="0049577B" w:rsidRPr="00A662A2" w:rsidRDefault="0049577B" w:rsidP="002031B1">
            <w:pPr>
              <w:spacing w:line="240" w:lineRule="auto"/>
              <w:ind w:leftChars="0" w:left="0" w:rightChars="0" w:right="0"/>
              <w:rPr>
                <w:sz w:val="24"/>
              </w:rPr>
            </w:pPr>
            <w:r w:rsidRPr="00A662A2">
              <w:rPr>
                <w:sz w:val="24"/>
              </w:rPr>
              <w:t>條件指標(CI)</w:t>
            </w:r>
            <w:r w:rsidR="003C1792" w:rsidRPr="00A662A2">
              <w:rPr>
                <w:sz w:val="24"/>
              </w:rPr>
              <w:t>(</w:t>
            </w:r>
            <w:r w:rsidRPr="00A662A2">
              <w:rPr>
                <w:sz w:val="24"/>
              </w:rPr>
              <w:t>檢視自變項是否有嚴重之共線問題)</w:t>
            </w:r>
          </w:p>
        </w:tc>
      </w:tr>
      <w:tr w:rsidR="0049577B" w:rsidRPr="00B40DC1" w:rsidTr="002031B1">
        <w:tc>
          <w:tcPr>
            <w:tcW w:w="3964" w:type="dxa"/>
            <w:shd w:val="clear" w:color="auto" w:fill="auto"/>
          </w:tcPr>
          <w:p w:rsidR="0049577B" w:rsidRPr="00A662A2" w:rsidRDefault="0049577B" w:rsidP="003409A9">
            <w:pPr>
              <w:spacing w:line="240" w:lineRule="auto"/>
              <w:ind w:leftChars="0" w:left="0" w:rightChars="0" w:right="0"/>
              <w:rPr>
                <w:sz w:val="24"/>
              </w:rPr>
            </w:pPr>
            <w:r w:rsidRPr="00A662A2">
              <w:rPr>
                <w:sz w:val="24"/>
              </w:rPr>
              <w:t>X1：失業率(1992-2016年)</w:t>
            </w:r>
          </w:p>
        </w:tc>
        <w:tc>
          <w:tcPr>
            <w:tcW w:w="1937" w:type="dxa"/>
            <w:shd w:val="clear" w:color="auto" w:fill="auto"/>
            <w:vAlign w:val="center"/>
          </w:tcPr>
          <w:p w:rsidR="0049577B" w:rsidRPr="00A662A2" w:rsidRDefault="0049577B" w:rsidP="002031B1">
            <w:pPr>
              <w:spacing w:line="240" w:lineRule="auto"/>
              <w:ind w:leftChars="0" w:left="0" w:rightChars="0" w:right="0"/>
              <w:rPr>
                <w:sz w:val="24"/>
              </w:rPr>
            </w:pPr>
            <w:r w:rsidRPr="00A662A2">
              <w:rPr>
                <w:sz w:val="24"/>
              </w:rPr>
              <w:t>0.839</w:t>
            </w:r>
          </w:p>
        </w:tc>
        <w:tc>
          <w:tcPr>
            <w:tcW w:w="1937" w:type="dxa"/>
            <w:shd w:val="clear" w:color="auto" w:fill="auto"/>
            <w:vAlign w:val="center"/>
          </w:tcPr>
          <w:p w:rsidR="0049577B" w:rsidRPr="00A662A2" w:rsidRDefault="0049577B" w:rsidP="002031B1">
            <w:pPr>
              <w:spacing w:line="240" w:lineRule="auto"/>
              <w:ind w:leftChars="0" w:left="0" w:rightChars="0" w:right="0"/>
              <w:rPr>
                <w:sz w:val="24"/>
              </w:rPr>
            </w:pPr>
            <w:r w:rsidRPr="00A662A2">
              <w:rPr>
                <w:sz w:val="24"/>
              </w:rPr>
              <w:t>0.000</w:t>
            </w:r>
          </w:p>
        </w:tc>
        <w:tc>
          <w:tcPr>
            <w:tcW w:w="1938" w:type="dxa"/>
            <w:shd w:val="clear" w:color="auto" w:fill="auto"/>
            <w:vAlign w:val="center"/>
          </w:tcPr>
          <w:p w:rsidR="0049577B" w:rsidRPr="00A662A2" w:rsidRDefault="0049577B" w:rsidP="002031B1">
            <w:pPr>
              <w:spacing w:line="240" w:lineRule="auto"/>
              <w:ind w:leftChars="0" w:left="0" w:rightChars="0" w:right="0"/>
              <w:rPr>
                <w:sz w:val="24"/>
              </w:rPr>
            </w:pPr>
            <w:r w:rsidRPr="00A662A2">
              <w:rPr>
                <w:sz w:val="24"/>
              </w:rPr>
              <w:t>6.981</w:t>
            </w:r>
          </w:p>
        </w:tc>
      </w:tr>
      <w:tr w:rsidR="0049577B" w:rsidRPr="00B40DC1" w:rsidTr="002031B1">
        <w:tc>
          <w:tcPr>
            <w:tcW w:w="3964" w:type="dxa"/>
            <w:shd w:val="clear" w:color="auto" w:fill="auto"/>
          </w:tcPr>
          <w:p w:rsidR="0049577B" w:rsidRPr="00A662A2" w:rsidRDefault="0049577B" w:rsidP="003409A9">
            <w:pPr>
              <w:spacing w:line="240" w:lineRule="auto"/>
              <w:ind w:leftChars="0" w:left="0" w:rightChars="0" w:right="0"/>
              <w:rPr>
                <w:sz w:val="24"/>
              </w:rPr>
            </w:pPr>
            <w:r w:rsidRPr="00A662A2">
              <w:rPr>
                <w:sz w:val="24"/>
              </w:rPr>
              <w:t>X2：結婚對數(1998-2013年)</w:t>
            </w:r>
          </w:p>
        </w:tc>
        <w:tc>
          <w:tcPr>
            <w:tcW w:w="1937" w:type="dxa"/>
            <w:shd w:val="clear" w:color="auto" w:fill="auto"/>
            <w:vAlign w:val="center"/>
          </w:tcPr>
          <w:p w:rsidR="0049577B" w:rsidRPr="00A662A2" w:rsidRDefault="0049577B" w:rsidP="002031B1">
            <w:pPr>
              <w:spacing w:line="240" w:lineRule="auto"/>
              <w:ind w:leftChars="0" w:left="0" w:rightChars="0" w:right="0"/>
              <w:rPr>
                <w:sz w:val="24"/>
              </w:rPr>
            </w:pPr>
          </w:p>
        </w:tc>
        <w:tc>
          <w:tcPr>
            <w:tcW w:w="1937" w:type="dxa"/>
            <w:shd w:val="clear" w:color="auto" w:fill="auto"/>
            <w:vAlign w:val="center"/>
          </w:tcPr>
          <w:p w:rsidR="0049577B" w:rsidRPr="00A662A2" w:rsidRDefault="0049577B" w:rsidP="002031B1">
            <w:pPr>
              <w:spacing w:line="240" w:lineRule="auto"/>
              <w:ind w:leftChars="0" w:left="0" w:rightChars="0" w:right="0"/>
              <w:rPr>
                <w:sz w:val="24"/>
              </w:rPr>
            </w:pPr>
          </w:p>
        </w:tc>
        <w:tc>
          <w:tcPr>
            <w:tcW w:w="1938" w:type="dxa"/>
            <w:shd w:val="clear" w:color="auto" w:fill="auto"/>
            <w:vAlign w:val="center"/>
          </w:tcPr>
          <w:p w:rsidR="0049577B" w:rsidRPr="00A662A2" w:rsidRDefault="0049577B" w:rsidP="002031B1">
            <w:pPr>
              <w:spacing w:line="240" w:lineRule="auto"/>
              <w:ind w:leftChars="0" w:left="0" w:rightChars="0" w:right="0"/>
              <w:rPr>
                <w:sz w:val="24"/>
              </w:rPr>
            </w:pPr>
          </w:p>
        </w:tc>
      </w:tr>
      <w:tr w:rsidR="0049577B" w:rsidRPr="00B40DC1" w:rsidTr="002031B1">
        <w:tc>
          <w:tcPr>
            <w:tcW w:w="3964" w:type="dxa"/>
            <w:shd w:val="clear" w:color="auto" w:fill="auto"/>
          </w:tcPr>
          <w:p w:rsidR="0049577B" w:rsidRPr="00A662A2" w:rsidRDefault="0049577B" w:rsidP="003409A9">
            <w:pPr>
              <w:spacing w:line="240" w:lineRule="auto"/>
              <w:ind w:leftChars="0" w:left="0" w:rightChars="0" w:right="0"/>
              <w:rPr>
                <w:sz w:val="24"/>
              </w:rPr>
            </w:pPr>
            <w:r w:rsidRPr="00A662A2">
              <w:rPr>
                <w:sz w:val="24"/>
              </w:rPr>
              <w:t>X3： 35歲以上人口之中，男性未婚之比例</w:t>
            </w:r>
            <w:r w:rsidR="003C1792" w:rsidRPr="00A662A2">
              <w:rPr>
                <w:sz w:val="24"/>
              </w:rPr>
              <w:t>(</w:t>
            </w:r>
            <w:r w:rsidRPr="00A662A2">
              <w:rPr>
                <w:sz w:val="24"/>
              </w:rPr>
              <w:t>1998-2013年)</w:t>
            </w:r>
          </w:p>
        </w:tc>
        <w:tc>
          <w:tcPr>
            <w:tcW w:w="1937" w:type="dxa"/>
            <w:shd w:val="clear" w:color="auto" w:fill="auto"/>
            <w:vAlign w:val="center"/>
          </w:tcPr>
          <w:p w:rsidR="0049577B" w:rsidRPr="00A662A2" w:rsidRDefault="0049577B" w:rsidP="002031B1">
            <w:pPr>
              <w:spacing w:line="240" w:lineRule="auto"/>
              <w:ind w:leftChars="0" w:left="0" w:rightChars="0" w:right="0"/>
              <w:rPr>
                <w:sz w:val="24"/>
              </w:rPr>
            </w:pPr>
            <w:r w:rsidRPr="00A662A2">
              <w:rPr>
                <w:sz w:val="24"/>
              </w:rPr>
              <w:t>-0.820</w:t>
            </w:r>
          </w:p>
        </w:tc>
        <w:tc>
          <w:tcPr>
            <w:tcW w:w="1937" w:type="dxa"/>
            <w:shd w:val="clear" w:color="auto" w:fill="auto"/>
            <w:vAlign w:val="center"/>
          </w:tcPr>
          <w:p w:rsidR="0049577B" w:rsidRPr="00A662A2" w:rsidRDefault="0049577B" w:rsidP="002031B1">
            <w:pPr>
              <w:spacing w:line="240" w:lineRule="auto"/>
              <w:ind w:leftChars="0" w:left="0" w:rightChars="0" w:right="0"/>
              <w:rPr>
                <w:sz w:val="24"/>
              </w:rPr>
            </w:pPr>
            <w:r w:rsidRPr="00A662A2">
              <w:rPr>
                <w:sz w:val="24"/>
              </w:rPr>
              <w:t>0.000</w:t>
            </w:r>
          </w:p>
        </w:tc>
        <w:tc>
          <w:tcPr>
            <w:tcW w:w="1938" w:type="dxa"/>
            <w:shd w:val="clear" w:color="auto" w:fill="auto"/>
            <w:vAlign w:val="center"/>
          </w:tcPr>
          <w:p w:rsidR="0049577B" w:rsidRPr="00A662A2" w:rsidRDefault="0049577B" w:rsidP="002031B1">
            <w:pPr>
              <w:spacing w:line="240" w:lineRule="auto"/>
              <w:ind w:leftChars="0" w:left="0" w:rightChars="0" w:right="0"/>
              <w:rPr>
                <w:sz w:val="24"/>
              </w:rPr>
            </w:pPr>
            <w:r w:rsidRPr="00A662A2">
              <w:rPr>
                <w:sz w:val="24"/>
              </w:rPr>
              <w:t>19.950</w:t>
            </w:r>
          </w:p>
        </w:tc>
      </w:tr>
      <w:tr w:rsidR="0049577B" w:rsidRPr="00B40DC1" w:rsidTr="002031B1">
        <w:tc>
          <w:tcPr>
            <w:tcW w:w="3964" w:type="dxa"/>
            <w:shd w:val="clear" w:color="auto" w:fill="auto"/>
          </w:tcPr>
          <w:p w:rsidR="0049577B" w:rsidRPr="00A662A2" w:rsidRDefault="0049577B" w:rsidP="003409A9">
            <w:pPr>
              <w:spacing w:line="240" w:lineRule="auto"/>
              <w:ind w:leftChars="0" w:left="0" w:rightChars="0" w:right="0"/>
              <w:rPr>
                <w:sz w:val="24"/>
              </w:rPr>
            </w:pPr>
            <w:r w:rsidRPr="00A662A2">
              <w:rPr>
                <w:sz w:val="24"/>
              </w:rPr>
              <w:t>X4：離婚率(1998-2013年)</w:t>
            </w: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8" w:type="dxa"/>
            <w:shd w:val="clear" w:color="auto" w:fill="auto"/>
          </w:tcPr>
          <w:p w:rsidR="0049577B" w:rsidRPr="00A662A2" w:rsidRDefault="0049577B" w:rsidP="002031B1">
            <w:pPr>
              <w:spacing w:line="240" w:lineRule="auto"/>
              <w:ind w:leftChars="0" w:left="0" w:rightChars="0" w:right="0"/>
              <w:rPr>
                <w:sz w:val="24"/>
              </w:rPr>
            </w:pPr>
          </w:p>
        </w:tc>
      </w:tr>
      <w:tr w:rsidR="0049577B" w:rsidRPr="00B40DC1" w:rsidTr="002031B1">
        <w:tc>
          <w:tcPr>
            <w:tcW w:w="3964" w:type="dxa"/>
            <w:shd w:val="clear" w:color="auto" w:fill="auto"/>
          </w:tcPr>
          <w:p w:rsidR="0049577B" w:rsidRPr="00A662A2" w:rsidRDefault="0049577B" w:rsidP="003409A9">
            <w:pPr>
              <w:spacing w:line="240" w:lineRule="auto"/>
              <w:ind w:leftChars="0" w:left="0" w:rightChars="0" w:right="0"/>
              <w:rPr>
                <w:sz w:val="24"/>
              </w:rPr>
            </w:pPr>
            <w:r w:rsidRPr="00A662A2">
              <w:rPr>
                <w:sz w:val="24"/>
              </w:rPr>
              <w:t>X5：GNI(平均每人國民所得毛額，以美元為單位)</w:t>
            </w:r>
            <w:r w:rsidR="003C1792" w:rsidRPr="00A662A2">
              <w:rPr>
                <w:sz w:val="24"/>
              </w:rPr>
              <w:t>(</w:t>
            </w:r>
            <w:r w:rsidRPr="00A662A2">
              <w:rPr>
                <w:sz w:val="24"/>
              </w:rPr>
              <w:t>1992-2016年)</w:t>
            </w: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8" w:type="dxa"/>
            <w:shd w:val="clear" w:color="auto" w:fill="auto"/>
          </w:tcPr>
          <w:p w:rsidR="0049577B" w:rsidRPr="00A662A2" w:rsidRDefault="0049577B" w:rsidP="002031B1">
            <w:pPr>
              <w:spacing w:line="240" w:lineRule="auto"/>
              <w:ind w:leftChars="0" w:left="0" w:rightChars="0" w:right="0"/>
              <w:rPr>
                <w:sz w:val="24"/>
              </w:rPr>
            </w:pPr>
          </w:p>
        </w:tc>
      </w:tr>
      <w:tr w:rsidR="0049577B" w:rsidRPr="00B40DC1" w:rsidTr="002031B1">
        <w:tc>
          <w:tcPr>
            <w:tcW w:w="3964" w:type="dxa"/>
            <w:shd w:val="clear" w:color="auto" w:fill="auto"/>
          </w:tcPr>
          <w:p w:rsidR="0049577B" w:rsidRPr="00A662A2" w:rsidRDefault="0049577B" w:rsidP="003409A9">
            <w:pPr>
              <w:spacing w:line="240" w:lineRule="auto"/>
              <w:ind w:leftChars="0" w:left="0" w:rightChars="0" w:right="0"/>
              <w:rPr>
                <w:sz w:val="24"/>
              </w:rPr>
            </w:pPr>
            <w:r w:rsidRPr="00A662A2">
              <w:rPr>
                <w:sz w:val="24"/>
              </w:rPr>
              <w:t>X6：低收入戶之家庭及就學生活補助金額(1998-2013年)</w:t>
            </w:r>
            <w:r w:rsidRPr="00A662A2">
              <w:rPr>
                <w:rStyle w:val="af7"/>
                <w:rFonts w:eastAsia="新細明體"/>
                <w:sz w:val="20"/>
              </w:rPr>
              <w:footnoteReference w:id="158"/>
            </w: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8" w:type="dxa"/>
            <w:shd w:val="clear" w:color="auto" w:fill="auto"/>
          </w:tcPr>
          <w:p w:rsidR="0049577B" w:rsidRPr="00A662A2" w:rsidRDefault="0049577B" w:rsidP="002031B1">
            <w:pPr>
              <w:spacing w:line="240" w:lineRule="auto"/>
              <w:ind w:leftChars="0" w:left="0" w:rightChars="0" w:right="0"/>
              <w:rPr>
                <w:sz w:val="24"/>
              </w:rPr>
            </w:pPr>
          </w:p>
        </w:tc>
      </w:tr>
      <w:tr w:rsidR="0049577B" w:rsidRPr="00B40DC1" w:rsidTr="002031B1">
        <w:tc>
          <w:tcPr>
            <w:tcW w:w="3964" w:type="dxa"/>
            <w:shd w:val="clear" w:color="auto" w:fill="auto"/>
          </w:tcPr>
          <w:p w:rsidR="0049577B" w:rsidRPr="00A662A2" w:rsidRDefault="0049577B" w:rsidP="003409A9">
            <w:pPr>
              <w:spacing w:line="240" w:lineRule="auto"/>
              <w:ind w:leftChars="0" w:left="0" w:rightChars="0" w:right="0"/>
              <w:rPr>
                <w:sz w:val="24"/>
              </w:rPr>
            </w:pPr>
            <w:r w:rsidRPr="00A662A2">
              <w:rPr>
                <w:sz w:val="24"/>
              </w:rPr>
              <w:t>X7：緩刑比率(1998-2013年)</w:t>
            </w: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8" w:type="dxa"/>
            <w:shd w:val="clear" w:color="auto" w:fill="auto"/>
          </w:tcPr>
          <w:p w:rsidR="0049577B" w:rsidRPr="00A662A2" w:rsidRDefault="0049577B" w:rsidP="002031B1">
            <w:pPr>
              <w:spacing w:line="240" w:lineRule="auto"/>
              <w:ind w:leftChars="0" w:left="0" w:rightChars="0" w:right="0"/>
              <w:rPr>
                <w:sz w:val="24"/>
              </w:rPr>
            </w:pPr>
          </w:p>
        </w:tc>
      </w:tr>
      <w:tr w:rsidR="0049577B" w:rsidRPr="00B40DC1" w:rsidTr="002031B1">
        <w:tc>
          <w:tcPr>
            <w:tcW w:w="3964" w:type="dxa"/>
            <w:shd w:val="clear" w:color="auto" w:fill="auto"/>
          </w:tcPr>
          <w:p w:rsidR="0049577B" w:rsidRPr="00A662A2" w:rsidRDefault="0049577B" w:rsidP="003409A9">
            <w:pPr>
              <w:spacing w:line="240" w:lineRule="auto"/>
              <w:ind w:leftChars="0" w:left="0" w:rightChars="0" w:right="0"/>
              <w:rPr>
                <w:sz w:val="24"/>
              </w:rPr>
            </w:pPr>
            <w:r w:rsidRPr="00A662A2">
              <w:rPr>
                <w:sz w:val="24"/>
              </w:rPr>
              <w:t>X8：無期徒刑之人數(1998-2013年)</w:t>
            </w: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8" w:type="dxa"/>
            <w:shd w:val="clear" w:color="auto" w:fill="auto"/>
          </w:tcPr>
          <w:p w:rsidR="0049577B" w:rsidRPr="00A662A2" w:rsidRDefault="0049577B" w:rsidP="002031B1">
            <w:pPr>
              <w:spacing w:line="240" w:lineRule="auto"/>
              <w:ind w:leftChars="0" w:left="0" w:rightChars="0" w:right="0"/>
              <w:rPr>
                <w:sz w:val="24"/>
              </w:rPr>
            </w:pPr>
          </w:p>
        </w:tc>
      </w:tr>
      <w:tr w:rsidR="0049577B" w:rsidRPr="00B40DC1" w:rsidTr="002031B1">
        <w:tc>
          <w:tcPr>
            <w:tcW w:w="3964" w:type="dxa"/>
            <w:shd w:val="clear" w:color="auto" w:fill="auto"/>
          </w:tcPr>
          <w:p w:rsidR="0049577B" w:rsidRPr="00A662A2" w:rsidRDefault="0049577B" w:rsidP="003409A9">
            <w:pPr>
              <w:spacing w:line="240" w:lineRule="auto"/>
              <w:ind w:leftChars="0" w:left="0" w:rightChars="0" w:right="0"/>
              <w:rPr>
                <w:sz w:val="24"/>
              </w:rPr>
            </w:pPr>
            <w:r w:rsidRPr="00A662A2">
              <w:rPr>
                <w:sz w:val="24"/>
              </w:rPr>
              <w:t>X9：被執行死刑之人數(1992-2016年)</w:t>
            </w: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8" w:type="dxa"/>
            <w:shd w:val="clear" w:color="auto" w:fill="auto"/>
          </w:tcPr>
          <w:p w:rsidR="0049577B" w:rsidRPr="00A662A2" w:rsidRDefault="0049577B" w:rsidP="002031B1">
            <w:pPr>
              <w:spacing w:line="240" w:lineRule="auto"/>
              <w:ind w:leftChars="0" w:left="0" w:rightChars="0" w:right="0"/>
              <w:rPr>
                <w:sz w:val="24"/>
              </w:rPr>
            </w:pPr>
          </w:p>
        </w:tc>
      </w:tr>
      <w:tr w:rsidR="0049577B" w:rsidRPr="00B40DC1" w:rsidTr="002031B1">
        <w:tc>
          <w:tcPr>
            <w:tcW w:w="3964" w:type="dxa"/>
            <w:shd w:val="clear" w:color="auto" w:fill="auto"/>
          </w:tcPr>
          <w:p w:rsidR="0049577B" w:rsidRPr="00A662A2" w:rsidRDefault="0049577B" w:rsidP="003409A9">
            <w:pPr>
              <w:spacing w:line="240" w:lineRule="auto"/>
              <w:ind w:leftChars="0" w:left="0" w:rightChars="0" w:right="0"/>
              <w:rPr>
                <w:sz w:val="24"/>
              </w:rPr>
            </w:pPr>
            <w:r w:rsidRPr="00A662A2">
              <w:rPr>
                <w:sz w:val="24"/>
              </w:rPr>
              <w:t>X10：當年度之全般刑案破獲率(1992-2016年)</w:t>
            </w: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7" w:type="dxa"/>
            <w:shd w:val="clear" w:color="auto" w:fill="auto"/>
          </w:tcPr>
          <w:p w:rsidR="0049577B" w:rsidRPr="00A662A2" w:rsidRDefault="0049577B" w:rsidP="002031B1">
            <w:pPr>
              <w:spacing w:line="240" w:lineRule="auto"/>
              <w:ind w:leftChars="0" w:left="0" w:rightChars="0" w:right="0"/>
              <w:rPr>
                <w:sz w:val="24"/>
              </w:rPr>
            </w:pPr>
          </w:p>
        </w:tc>
        <w:tc>
          <w:tcPr>
            <w:tcW w:w="1938" w:type="dxa"/>
            <w:shd w:val="clear" w:color="auto" w:fill="auto"/>
          </w:tcPr>
          <w:p w:rsidR="0049577B" w:rsidRPr="00A662A2" w:rsidRDefault="0049577B" w:rsidP="002031B1">
            <w:pPr>
              <w:spacing w:line="240" w:lineRule="auto"/>
              <w:ind w:leftChars="0" w:left="0" w:rightChars="0" w:right="0"/>
              <w:rPr>
                <w:sz w:val="24"/>
              </w:rPr>
            </w:pPr>
          </w:p>
        </w:tc>
      </w:tr>
      <w:tr w:rsidR="0049577B" w:rsidRPr="00B40DC1" w:rsidTr="00817A92">
        <w:tc>
          <w:tcPr>
            <w:tcW w:w="9776" w:type="dxa"/>
            <w:gridSpan w:val="4"/>
            <w:shd w:val="clear" w:color="auto" w:fill="auto"/>
          </w:tcPr>
          <w:p w:rsidR="0049577B" w:rsidRPr="00A662A2" w:rsidRDefault="0049577B" w:rsidP="000D26BB">
            <w:pPr>
              <w:rPr>
                <w:sz w:val="24"/>
              </w:rPr>
            </w:pPr>
            <w:r w:rsidRPr="00A662A2">
              <w:rPr>
                <w:sz w:val="24"/>
              </w:rPr>
              <w:t>多元迴歸分析模型整體之R平方解釋量：0.962</w:t>
            </w:r>
          </w:p>
        </w:tc>
      </w:tr>
    </w:tbl>
    <w:p w:rsidR="0049577B" w:rsidRPr="00B40DC1" w:rsidRDefault="00817A92" w:rsidP="003409A9">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3409A9" w:rsidRDefault="003409A9" w:rsidP="003409A9">
      <w:pPr>
        <w:spacing w:line="240" w:lineRule="auto"/>
        <w:ind w:leftChars="0" w:left="0" w:rightChars="0" w:right="0"/>
      </w:pPr>
    </w:p>
    <w:p w:rsidR="0049577B" w:rsidRPr="00B40DC1" w:rsidRDefault="00817A92" w:rsidP="003409A9">
      <w:pPr>
        <w:spacing w:line="240" w:lineRule="auto"/>
        <w:ind w:leftChars="0" w:left="0" w:rightChars="0" w:right="0"/>
      </w:pPr>
      <w:r>
        <w:t xml:space="preserve">　　</w:t>
      </w:r>
      <w:r w:rsidR="0049577B" w:rsidRPr="00B40DC1">
        <w:t>有關於強制性交犯罪之成因理論，根據Larry Baron &amp; Murray A</w:t>
      </w:r>
      <w:r w:rsidR="003C1792">
        <w:t>.</w:t>
      </w:r>
      <w:r w:rsidR="0049577B" w:rsidRPr="00B40DC1">
        <w:t>Straus(1989)所著「解釋美國社會強制性交犯罪之四種理論：從州的角度加以分析」(Four Theories of Rape in American Society: A State-Level Analysis)一書之研究成果顯示，計有4種解釋強制性交犯罪成因之理論，第一種為「性別不平等理論」（gender inequality）；第二種為「色情理論」（pornography）；第三種為「社會解組理論」（social disorganization）</w:t>
      </w:r>
      <w:r w:rsidR="0049577B" w:rsidRPr="003409A9">
        <w:rPr>
          <w:rStyle w:val="af7"/>
          <w:rFonts w:eastAsia="新細明體"/>
          <w:sz w:val="20"/>
        </w:rPr>
        <w:footnoteReference w:id="159"/>
      </w:r>
      <w:r w:rsidR="0049577B" w:rsidRPr="00B40DC1">
        <w:t>；第四種為「文化正當化暴力理論」（culturally legitimate violence）(Larry Baron &amp; Murray A</w:t>
      </w:r>
      <w:r w:rsidR="003C1792">
        <w:t>.</w:t>
      </w:r>
      <w:r w:rsidR="0049577B" w:rsidRPr="00B40DC1">
        <w:t>Straus，1989)。Larry Baron &amp; Murray A</w:t>
      </w:r>
      <w:r w:rsidR="003C1792">
        <w:t>.</w:t>
      </w:r>
      <w:r w:rsidR="0049577B" w:rsidRPr="00B40DC1">
        <w:t>Straus(1989)曾從整合之觀點，將上述四種理論加以合併，建立研究架構，並用路徑分析方法，考驗何種變項對強制性交犯罪具有解釋力(Larry Baron &amp; Murray A</w:t>
      </w:r>
      <w:r w:rsidR="003C1792">
        <w:t>.</w:t>
      </w:r>
      <w:r w:rsidR="0049577B" w:rsidRPr="00B40DC1">
        <w:t>Straus，1989)？</w:t>
      </w:r>
    </w:p>
    <w:p w:rsidR="0049577B" w:rsidRPr="00B40DC1" w:rsidRDefault="00817A92" w:rsidP="003409A9">
      <w:pPr>
        <w:spacing w:line="240" w:lineRule="auto"/>
        <w:ind w:leftChars="0" w:left="0" w:rightChars="0" w:right="0"/>
      </w:pPr>
      <w:r>
        <w:t xml:space="preserve">　　</w:t>
      </w:r>
      <w:r w:rsidR="0049577B" w:rsidRPr="00B40DC1">
        <w:t>Larry Baron &amp; Murray A</w:t>
      </w:r>
      <w:r w:rsidR="003C1792">
        <w:t>.</w:t>
      </w:r>
      <w:r w:rsidR="0049577B" w:rsidRPr="00B40DC1">
        <w:t>Straus(1989)首先採用未標準化迴歸係數（unstandardized regression coefficients）</w:t>
      </w:r>
      <w:r w:rsidR="0049577B" w:rsidRPr="003409A9">
        <w:rPr>
          <w:rStyle w:val="af7"/>
          <w:rFonts w:eastAsia="新細明體"/>
          <w:sz w:val="20"/>
        </w:rPr>
        <w:footnoteReference w:id="160"/>
      </w:r>
      <w:r w:rsidR="0049577B" w:rsidRPr="00B40DC1">
        <w:t>與標準誤（standard errors）進行分析。在未標準化迴歸係數（unstandardized reqression coefficients）之結果方面詳如下述</w:t>
      </w:r>
      <w:r w:rsidR="0049577B" w:rsidRPr="00814432">
        <w:rPr>
          <w:rStyle w:val="af7"/>
          <w:rFonts w:eastAsia="新細明體"/>
          <w:sz w:val="20"/>
        </w:rPr>
        <w:footnoteReference w:id="161"/>
      </w:r>
      <w:r w:rsidR="0049577B" w:rsidRPr="00B40DC1">
        <w:t>。</w:t>
      </w:r>
    </w:p>
    <w:p w:rsidR="0049577B" w:rsidRPr="00B40DC1" w:rsidRDefault="00814432" w:rsidP="003409A9">
      <w:pPr>
        <w:spacing w:line="240" w:lineRule="auto"/>
        <w:ind w:leftChars="0" w:left="0" w:rightChars="0" w:right="0"/>
      </w:pPr>
      <w:r>
        <w:t xml:space="preserve">　　</w:t>
      </w:r>
      <w:r w:rsidRPr="00B40DC1">
        <w:t>(</w:t>
      </w:r>
      <w:r>
        <w:t>1</w:t>
      </w:r>
      <w:r w:rsidRPr="00B40DC1">
        <w:t>)</w:t>
      </w:r>
      <w:r w:rsidR="0049577B" w:rsidRPr="00B40DC1">
        <w:t>依變項為強制性交犯罪發生率（以10萬人為單位）</w:t>
      </w:r>
      <w:r w:rsidR="0049577B" w:rsidRPr="00814432">
        <w:rPr>
          <w:rStyle w:val="af7"/>
          <w:rFonts w:eastAsia="新細明體"/>
          <w:sz w:val="20"/>
        </w:rPr>
        <w:footnoteReference w:id="162"/>
      </w:r>
      <w:r w:rsidR="0049577B" w:rsidRPr="00B40DC1">
        <w:t>：</w:t>
      </w:r>
      <w:r w:rsidR="0049577B" w:rsidRPr="00B40DC1">
        <w:cr/>
        <w:t xml:space="preserve">　　未標準化迴歸係數之意義，係代表自變項每改變一個單位（each change of one unit in the independent variables），則依變項（此為強制性交犯罪發生之機率）的平均變化（average change in the rape rate）為何﹖如表中之「基尼指數」（Gini Index）為2.834，則其意義為「經濟不平等」（由基尼指數加以測量）之層次，每改變「基尼指數」一個測量單位（每變化一點，each change of one point）</w:t>
      </w:r>
      <w:r w:rsidR="0049577B" w:rsidRPr="00814432">
        <w:rPr>
          <w:rStyle w:val="af7"/>
          <w:rFonts w:eastAsia="新細明體"/>
          <w:sz w:val="20"/>
        </w:rPr>
        <w:footnoteReference w:id="163"/>
      </w:r>
      <w:r w:rsidR="0049577B" w:rsidRPr="00B40DC1">
        <w:t>，則在每10萬人口之中，會增加2.8%之強制性交犯罪，此種結果，是在控制迴歸方程式中其他變項後，所得之結論</w:t>
      </w:r>
      <w:r w:rsidR="0049577B" w:rsidRPr="00814432">
        <w:rPr>
          <w:rStyle w:val="af7"/>
          <w:rFonts w:eastAsia="新細明體"/>
          <w:sz w:val="20"/>
        </w:rPr>
        <w:footnoteReference w:id="164"/>
      </w:r>
      <w:r w:rsidR="0049577B" w:rsidRPr="00B40DC1">
        <w:t>。</w:t>
      </w:r>
    </w:p>
    <w:p w:rsidR="0049577B" w:rsidRPr="00B40DC1" w:rsidRDefault="00817A92" w:rsidP="003409A9">
      <w:pPr>
        <w:spacing w:line="240" w:lineRule="auto"/>
        <w:ind w:leftChars="0" w:left="0" w:rightChars="0" w:right="0"/>
      </w:pPr>
      <w:r>
        <w:t xml:space="preserve">　　</w:t>
      </w:r>
      <w:r w:rsidR="0049577B" w:rsidRPr="00B40DC1">
        <w:t>同樣地，失業人口之百分比例變項，其迴歸係數為＋1.422，其意義為假若控制迴歸方程式中的其他變項，則在失業人口之百分比例部分，每提升失業人口1%之百分比，則在每100,000人口之中，會增加1.4%之強制性交犯罪</w:t>
      </w:r>
      <w:r w:rsidR="0049577B" w:rsidRPr="00814432">
        <w:rPr>
          <w:rStyle w:val="af7"/>
          <w:rFonts w:eastAsia="新細明體"/>
          <w:sz w:val="20"/>
        </w:rPr>
        <w:footnoteReference w:id="165"/>
      </w:r>
      <w:r w:rsidR="0049577B" w:rsidRPr="00B40DC1">
        <w:t>。</w:t>
      </w:r>
    </w:p>
    <w:p w:rsidR="0049577B" w:rsidRPr="00B40DC1" w:rsidRDefault="00BF5F93" w:rsidP="003409A9">
      <w:pPr>
        <w:spacing w:line="240" w:lineRule="auto"/>
        <w:ind w:leftChars="0" w:left="0" w:rightChars="0" w:right="0"/>
      </w:pPr>
      <w:r>
        <w:t xml:space="preserve">　　</w:t>
      </w:r>
      <w:r w:rsidR="0049577B" w:rsidRPr="00B40DC1">
        <w:t>就「性別平等」指數而言，其迴歸係數為- 0.166，其意義為假如控制迴歸方程式中其他之變項，在性別平等變項上，如果增加其一個測量單位（或每增加一個測量指數，a one-point increase）</w:t>
      </w:r>
      <w:r w:rsidR="0049577B" w:rsidRPr="00814432">
        <w:rPr>
          <w:rStyle w:val="af7"/>
          <w:rFonts w:eastAsia="新細明體"/>
          <w:sz w:val="20"/>
        </w:rPr>
        <w:footnoteReference w:id="166"/>
      </w:r>
      <w:r w:rsidR="0049577B" w:rsidRPr="00B40DC1">
        <w:t>，則在每10萬人口之中，平均會降低0.17%之強制性交犯罪</w:t>
      </w:r>
      <w:r w:rsidR="0049577B" w:rsidRPr="00814432">
        <w:rPr>
          <w:rStyle w:val="af7"/>
          <w:rFonts w:eastAsia="新細明體"/>
          <w:sz w:val="20"/>
        </w:rPr>
        <w:footnoteReference w:id="167"/>
      </w:r>
      <w:r w:rsidR="0049577B" w:rsidRPr="00B40DC1">
        <w:t>。</w:t>
      </w:r>
      <w:r w:rsidR="0049577B" w:rsidRPr="00B40DC1">
        <w:cr/>
        <w:t xml:space="preserve">　　在色情雜誌流通方面</w:t>
      </w:r>
      <w:r w:rsidR="0049577B" w:rsidRPr="00814432">
        <w:rPr>
          <w:rStyle w:val="af7"/>
          <w:rFonts w:eastAsia="新細明體"/>
          <w:sz w:val="20"/>
        </w:rPr>
        <w:footnoteReference w:id="168"/>
      </w:r>
      <w:r w:rsidR="0049577B" w:rsidRPr="00B40DC1">
        <w:t>，其迴歸係數為＋1.050，其意義為假若控制迴歸方程式中之其他變項，在色情雜誌流通部分，每提升1%之流通率（每增加一個測量指標），則在每10萬人口中，會增加1.05%之強制性交犯罪</w:t>
      </w:r>
      <w:r w:rsidR="0049577B" w:rsidRPr="00814432">
        <w:rPr>
          <w:rStyle w:val="af7"/>
          <w:rFonts w:eastAsia="新細明體"/>
          <w:sz w:val="20"/>
        </w:rPr>
        <w:footnoteReference w:id="169"/>
      </w:r>
      <w:r w:rsidR="0049577B" w:rsidRPr="00B40DC1">
        <w:t>。在社會解組方面，其迴歸係數為＋0.299，其代表假若控制迴歸方程式中之其他變項，則在社會解組方面，每提升「社會解組」一個測量單位</w:t>
      </w:r>
      <w:r w:rsidR="0049577B" w:rsidRPr="00814432">
        <w:rPr>
          <w:rStyle w:val="af7"/>
          <w:rFonts w:eastAsia="新細明體"/>
          <w:sz w:val="20"/>
        </w:rPr>
        <w:footnoteReference w:id="170"/>
      </w:r>
      <w:r w:rsidR="0049577B" w:rsidRPr="00B40DC1">
        <w:t>，則在每10萬人口中，會增加0.299%之強制性交犯罪</w:t>
      </w:r>
      <w:r w:rsidR="0049577B" w:rsidRPr="00814432">
        <w:rPr>
          <w:rStyle w:val="af7"/>
          <w:rFonts w:eastAsia="新細明體"/>
          <w:sz w:val="20"/>
        </w:rPr>
        <w:footnoteReference w:id="171"/>
      </w:r>
      <w:r w:rsidR="0049577B" w:rsidRPr="00B40DC1">
        <w:t>。</w:t>
      </w:r>
    </w:p>
    <w:p w:rsidR="0049577B" w:rsidRPr="00B40DC1" w:rsidRDefault="00817A92" w:rsidP="003409A9">
      <w:pPr>
        <w:spacing w:line="240" w:lineRule="auto"/>
        <w:ind w:leftChars="0" w:left="0" w:rightChars="0" w:right="0"/>
      </w:pPr>
      <w:r>
        <w:t xml:space="preserve">　　</w:t>
      </w:r>
      <w:r w:rsidR="0049577B" w:rsidRPr="00B40DC1">
        <w:t>在各州人口都會化之百分比例變項方面，其迴歸係數為＋0.366，其意義為假若控制迴歸方程式中之其他變項，每提升居住在大都會地區人口1%之百分比</w:t>
      </w:r>
      <w:r w:rsidR="0049577B" w:rsidRPr="00814432">
        <w:rPr>
          <w:rStyle w:val="af7"/>
          <w:rFonts w:eastAsia="新細明體"/>
          <w:sz w:val="20"/>
        </w:rPr>
        <w:footnoteReference w:id="172"/>
      </w:r>
      <w:r w:rsidR="0049577B" w:rsidRPr="00B40DC1">
        <w:t>，則在每100,000人口中，會增加0.366%之強制性交案件</w:t>
      </w:r>
      <w:r w:rsidR="0049577B" w:rsidRPr="003409A9">
        <w:rPr>
          <w:rStyle w:val="af7"/>
          <w:rFonts w:eastAsia="新細明體"/>
          <w:sz w:val="20"/>
        </w:rPr>
        <w:footnoteReference w:id="173"/>
      </w:r>
      <w:r w:rsidR="0049577B" w:rsidRPr="00B40DC1">
        <w:t>。</w:t>
      </w:r>
      <w:r w:rsidR="0049577B" w:rsidRPr="00B40DC1">
        <w:cr/>
        <w:t xml:space="preserve">　　以上所述之變項，其未標準化迴歸係數均達統計上之顯著水準，其P值均小於0.02；另外，其他之變項，則均未達顯著水準，計有：正當化暴力</w:t>
      </w:r>
      <w:r w:rsidR="0049577B" w:rsidRPr="00814432">
        <w:rPr>
          <w:rStyle w:val="af7"/>
          <w:rFonts w:eastAsia="新細明體"/>
          <w:sz w:val="20"/>
        </w:rPr>
        <w:footnoteReference w:id="174"/>
      </w:r>
      <w:r w:rsidR="0049577B" w:rsidRPr="00B40DC1">
        <w:t>、各州黑人之比例、各州15歲以上人口單身男性所佔之比例（percent single Male Age 15+）、各州18至24歲人口所占之百分比例、各州15至24歲男性人口所占之百分比例。從以上之實證資料，可得知在解釋強制性交犯罪之4種理論中，正當化暴力對於強制性交犯罪之作用力，並未顯著，未符合文獻中探討之預期目標。另外，不論是單身男性，或是男性之人口比例，均未對強制性交犯罪產生作用力</w:t>
      </w:r>
      <w:r w:rsidR="0049577B" w:rsidRPr="00814432">
        <w:rPr>
          <w:rStyle w:val="af7"/>
          <w:rFonts w:eastAsia="新細明體"/>
          <w:sz w:val="20"/>
        </w:rPr>
        <w:footnoteReference w:id="175"/>
      </w:r>
      <w:r w:rsidR="0049577B" w:rsidRPr="00B40DC1">
        <w:t>。</w:t>
      </w:r>
      <w:r w:rsidR="0049577B" w:rsidRPr="00B40DC1">
        <w:cr/>
      </w:r>
      <w:r>
        <w:t xml:space="preserve">　　</w:t>
      </w:r>
      <w:r w:rsidR="0049577B" w:rsidRPr="00B40DC1">
        <w:t>(2)依變項為「正當化暴力」</w:t>
      </w:r>
      <w:r w:rsidR="0049577B" w:rsidRPr="00814432">
        <w:rPr>
          <w:rStyle w:val="af7"/>
          <w:rFonts w:eastAsia="新細明體"/>
          <w:sz w:val="20"/>
        </w:rPr>
        <w:footnoteReference w:id="176"/>
      </w:r>
      <w:r w:rsidR="0049577B" w:rsidRPr="00B40DC1">
        <w:t>：</w:t>
      </w:r>
      <w:r w:rsidR="0049577B" w:rsidRPr="00B40DC1">
        <w:cr/>
        <w:t xml:space="preserve">　　當依變項為「正當化暴力」時，有三個變項具有正向作用力，分別為美國各州18至24歲人口百分比例、各州黑人百分比例及社會解組；另有二個變項具有負向作用力，分別為各州居住在都會區人口百分比例及各州15歲以上之單身男性</w:t>
      </w:r>
      <w:r w:rsidR="0049577B" w:rsidRPr="00814432">
        <w:rPr>
          <w:rStyle w:val="af7"/>
          <w:rFonts w:eastAsia="新細明體"/>
          <w:sz w:val="20"/>
        </w:rPr>
        <w:footnoteReference w:id="177"/>
      </w:r>
      <w:r w:rsidR="0049577B" w:rsidRPr="00B40DC1">
        <w:t>。</w:t>
      </w:r>
    </w:p>
    <w:p w:rsidR="002031B1" w:rsidRDefault="003409A9" w:rsidP="003409A9">
      <w:pPr>
        <w:spacing w:line="240" w:lineRule="auto"/>
        <w:ind w:leftChars="0" w:left="0" w:rightChars="0" w:right="0"/>
      </w:pPr>
      <w:r>
        <w:t xml:space="preserve">　　</w:t>
      </w:r>
      <w:r w:rsidR="0049577B" w:rsidRPr="00B40DC1">
        <w:t>首先，就各州18至24歲人口數佔該州之百分比例而論，迴歸係數為＋6.746，其意義為假若控制迴歸方程式中的其他變項，每提升各州18至24歲人口1%之百分比，則在「正當化暴力」方面，會提升6.746單位之「正當化暴力」（即提升6.746個測量單位）。就各州黑人人口數之百分比而論，其迴歸係數為＋0.734，亦即假若吾人控制迴歸方程式中的其他變項，每提升各州黑人人口數一個百分比（1%），則會增加0.734單位之「正當化暴力」（即增加0.734個正當化暴力之測量單位）。在各州社會解組之變項方面，其未標準化迴歸係數為＋0.484，亦即假若控制迴歸方程式中之其他變項，每提升「社會解組」一個測量單位（each change of one unit in the social disorganization），則會增加0.484個「正當化暴力」之測量單位</w:t>
      </w:r>
      <w:r w:rsidR="0049577B" w:rsidRPr="00814432">
        <w:rPr>
          <w:rStyle w:val="af7"/>
          <w:rFonts w:eastAsia="新細明體"/>
          <w:sz w:val="20"/>
        </w:rPr>
        <w:footnoteReference w:id="178"/>
      </w:r>
      <w:r w:rsidR="0049577B" w:rsidRPr="00B40DC1">
        <w:t>。</w:t>
      </w:r>
      <w:r w:rsidR="0049577B" w:rsidRPr="00B40DC1">
        <w:cr/>
        <w:t xml:space="preserve">　　在各州居住於都會地區人口數之百分比而言，其迴歸係數為-3.45，亦即假若控制迴歸方程式中之其他變項，每提升「都會人口」一個百分比例，則會降低3.45個「正當化暴力」之測量單位。另外，就各州15歲以上之單身男性百分比而論，其迴歸係數為-2.232，亦即假若控制迴歸方程式中之其他變項，每提升「15歲以上單身男性」一個百分點，則會降低2.232個「正當化暴力」之測量單位</w:t>
      </w:r>
      <w:r w:rsidR="0049577B" w:rsidRPr="00814432">
        <w:rPr>
          <w:rStyle w:val="af7"/>
          <w:rFonts w:eastAsia="新細明體"/>
          <w:sz w:val="20"/>
        </w:rPr>
        <w:footnoteReference w:id="179"/>
      </w:r>
      <w:r w:rsidR="0049577B" w:rsidRPr="00B40DC1">
        <w:t>。</w:t>
      </w:r>
      <w:r w:rsidR="0049577B" w:rsidRPr="00B40DC1">
        <w:cr/>
      </w:r>
      <w:r w:rsidR="00814432">
        <w:t xml:space="preserve">　　</w:t>
      </w:r>
      <w:r w:rsidR="0049577B" w:rsidRPr="00B40DC1">
        <w:t>(3)依變項為「色情雜誌流通率」</w:t>
      </w:r>
      <w:r w:rsidR="0049577B" w:rsidRPr="00814432">
        <w:rPr>
          <w:rStyle w:val="af7"/>
          <w:rFonts w:eastAsia="新細明體"/>
          <w:sz w:val="20"/>
        </w:rPr>
        <w:footnoteReference w:id="180"/>
      </w:r>
      <w:r w:rsidR="0049577B" w:rsidRPr="00B40DC1">
        <w:t>：</w:t>
      </w:r>
      <w:r w:rsidR="0049577B" w:rsidRPr="00B40DC1">
        <w:cr/>
        <w:t xml:space="preserve">　　當依變項為「色情雜誌流通率」時，對其產生作用力之三大變項，依序為：美國各州15歲到24歲男性人口百分比、「基尼指數」及「社會解組」之程度，首先，就各州15至24歲之男性人口百分比而論，其迴歸係數為＋1.942，亦即假若控制迴歸方程式中之其他變項，每提升「各州15至24歲之男性人口」一個百分比，則會增加1.942個「色情雜誌流通率」之測量單位。另外，就「社會解組」而論，其迴歸係數為＋0.279，亦即假若控制迴歸方程式中之其他變項，每增強「社會解組」一個測量單位，則會增加0.279個「色情雜誌流通率」之測量單位。就第三個具有作用力之變項而言，則為衡量經濟收入不平等之指標，名為「基尼指數」，其迴歸係數為-1.224，亦即假若控制迴歸方程式中之其他變項，每提升「基尼指數」一個測量單位，則會降低（減少）1.224個「色情雜誌流通率」之測量單位。綜上，15至24歲之男性人口，對於色情雜誌之流通，具有正向之作用力，社會解組亦然，經濟上收入之不平等則反之</w:t>
      </w:r>
      <w:r w:rsidR="0049577B" w:rsidRPr="00AE32E3">
        <w:rPr>
          <w:rStyle w:val="af7"/>
          <w:rFonts w:eastAsia="新細明體"/>
          <w:sz w:val="20"/>
        </w:rPr>
        <w:footnoteReference w:id="181"/>
      </w:r>
      <w:r w:rsidR="0049577B" w:rsidRPr="00B40DC1">
        <w:t>。</w:t>
      </w:r>
      <w:r w:rsidR="0049577B" w:rsidRPr="00B40DC1">
        <w:cr/>
      </w:r>
      <w:r w:rsidR="00814432">
        <w:t xml:space="preserve">　　</w:t>
      </w:r>
      <w:r w:rsidR="0049577B" w:rsidRPr="00B40DC1">
        <w:t>(4)依變項為「性別平等」（Gender Equality）</w:t>
      </w:r>
      <w:r w:rsidR="0049577B" w:rsidRPr="00AE32E3">
        <w:rPr>
          <w:rStyle w:val="af7"/>
          <w:rFonts w:eastAsia="新細明體"/>
          <w:sz w:val="20"/>
        </w:rPr>
        <w:footnoteReference w:id="182"/>
      </w:r>
      <w:r w:rsidR="0049577B" w:rsidRPr="00B40DC1">
        <w:t>：</w:t>
      </w:r>
      <w:r w:rsidR="0049577B" w:rsidRPr="00B40DC1">
        <w:cr/>
        <w:t xml:space="preserve">　　就「社會解組」而言，其對於「性別平等」之作用力，未標準化迴歸係數為＋0.727，亦即假若控制迴歸方程式中之其他變項，每增強「社會解組」一個測量單位，則會增加0.727個「性別平等」之測量單位。另就「基尼指數」而論，其迴歸係數為-3.013，亦即假若控制迴歸方程式中之其他變項，每提升「基尼指數」一個測量單位，則會降低3.013個「性別平等」之測量單位，亦即，「基尼指數」對於「性別平等」而言，具有負向之影響力。另外，就「正當化暴力」而論，其未標準化迴歸係數值為-0.522，亦即假若控制迴歸方程式中之其他變項，每提升「正當化暴力」一個測量單位，則會降低0.522個「性別平等」之測量單位。根據個人之推測，假若某一個社會之文化氣候，係接受及支持「正當化暴力」，因其心中充斥著暴戾之氣，在其內心中，恐已有性別歧視之想法。是以，當一個社會充斥著「合法暴力」，則亦會產生性別歧視之現象。值得注意的，為何在美國某些州之中，為何社會愈加解組，反而會提升「性別平等」呢﹖據個人之推理，可能是若干州之價值規範，較為保守，當傳統之基督教及風俗規範愈來愈無力，同時，弱勢之團體不斷挑戰傳統規範，如女性主義者力爭男女平等，遂導致出現一種現象，即舊傳統與規範，逐漸崩潰，取而代之的，是自由主義及男女平等主義。故，社會解組對於男女平等而言，具有正向作用力。不過，上述之「社會解組」，係指舊有規範之解組，在此同時，有新的規範加以承接。假若未有新社會規範加以承接，則結果可能會與上述之實證發現不一致</w:t>
      </w:r>
      <w:r w:rsidR="0049577B" w:rsidRPr="00AE32E3">
        <w:rPr>
          <w:rStyle w:val="af7"/>
          <w:rFonts w:eastAsia="新細明體"/>
          <w:sz w:val="20"/>
        </w:rPr>
        <w:footnoteReference w:id="183"/>
      </w:r>
      <w:r w:rsidR="0049577B" w:rsidRPr="00B40DC1">
        <w:t>。</w:t>
      </w:r>
      <w:r w:rsidR="0049577B" w:rsidRPr="00B40DC1">
        <w:cr/>
      </w:r>
    </w:p>
    <w:p w:rsidR="002031B1" w:rsidRDefault="002031B1" w:rsidP="002031B1">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4432" w:rsidRDefault="0049577B" w:rsidP="00E736D6">
      <w:pPr>
        <w:pStyle w:val="4"/>
        <w:rPr>
          <w:lang w:eastAsia="zh-TW"/>
        </w:rPr>
      </w:pPr>
      <w:r w:rsidRPr="00814432">
        <w:rPr>
          <w:lang w:eastAsia="zh-TW"/>
        </w:rPr>
        <w:t>表33、解釋強制性交犯罪發生率之未標準化迴歸係數及標準誤一覽表</w:t>
      </w:r>
      <w:r w:rsidRPr="00814432">
        <w:rPr>
          <w:rStyle w:val="af7"/>
          <w:rFonts w:eastAsia="新細明體"/>
          <w:b w:val="0"/>
          <w:sz w:val="20"/>
        </w:rPr>
        <w:footnoteReference w:id="18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2"/>
        <w:gridCol w:w="1059"/>
        <w:gridCol w:w="1059"/>
        <w:gridCol w:w="1059"/>
        <w:gridCol w:w="1058"/>
        <w:gridCol w:w="1058"/>
        <w:gridCol w:w="913"/>
        <w:gridCol w:w="1203"/>
        <w:gridCol w:w="1058"/>
      </w:tblGrid>
      <w:tr w:rsidR="0049577B" w:rsidRPr="00B40DC1" w:rsidTr="00814432">
        <w:trPr>
          <w:cantSplit/>
          <w:tblHeader/>
        </w:trPr>
        <w:tc>
          <w:tcPr>
            <w:tcW w:w="1302" w:type="dxa"/>
            <w:tcBorders>
              <w:bottom w:val="single" w:sz="4" w:space="0" w:color="auto"/>
            </w:tcBorders>
            <w:shd w:val="clear" w:color="auto" w:fill="EFFDFF"/>
          </w:tcPr>
          <w:p w:rsidR="0049577B" w:rsidRPr="00AE32E3" w:rsidRDefault="0049577B" w:rsidP="00AE32E3">
            <w:pPr>
              <w:spacing w:line="240" w:lineRule="auto"/>
              <w:ind w:leftChars="0" w:left="0" w:rightChars="0" w:right="0"/>
              <w:rPr>
                <w:sz w:val="24"/>
                <w:szCs w:val="24"/>
              </w:rPr>
            </w:pPr>
          </w:p>
        </w:tc>
        <w:tc>
          <w:tcPr>
            <w:tcW w:w="2118" w:type="dxa"/>
            <w:gridSpan w:val="2"/>
            <w:tcBorders>
              <w:bottom w:val="single" w:sz="4" w:space="0" w:color="auto"/>
            </w:tcBorders>
            <w:shd w:val="clear" w:color="auto" w:fill="EFFDFF"/>
          </w:tcPr>
          <w:p w:rsidR="0049577B" w:rsidRPr="002031B1" w:rsidRDefault="0049577B" w:rsidP="009214BE">
            <w:pPr>
              <w:spacing w:line="240" w:lineRule="auto"/>
              <w:ind w:leftChars="0" w:left="0" w:rightChars="0" w:right="0"/>
              <w:jc w:val="center"/>
              <w:rPr>
                <w:b/>
                <w:sz w:val="24"/>
                <w:szCs w:val="24"/>
              </w:rPr>
            </w:pPr>
            <w:r w:rsidRPr="002031B1">
              <w:rPr>
                <w:b/>
                <w:sz w:val="24"/>
                <w:szCs w:val="24"/>
              </w:rPr>
              <w:t>正當化暴力</w:t>
            </w:r>
          </w:p>
        </w:tc>
        <w:tc>
          <w:tcPr>
            <w:tcW w:w="2117" w:type="dxa"/>
            <w:gridSpan w:val="2"/>
            <w:tcBorders>
              <w:bottom w:val="single" w:sz="4" w:space="0" w:color="auto"/>
            </w:tcBorders>
            <w:shd w:val="clear" w:color="auto" w:fill="EFFDFF"/>
          </w:tcPr>
          <w:p w:rsidR="0049577B" w:rsidRPr="002031B1" w:rsidRDefault="0049577B" w:rsidP="009214BE">
            <w:pPr>
              <w:spacing w:line="240" w:lineRule="auto"/>
              <w:ind w:leftChars="0" w:left="0" w:rightChars="0" w:right="0"/>
              <w:jc w:val="center"/>
              <w:rPr>
                <w:b/>
                <w:sz w:val="24"/>
                <w:szCs w:val="24"/>
              </w:rPr>
            </w:pPr>
            <w:r w:rsidRPr="002031B1">
              <w:rPr>
                <w:b/>
                <w:sz w:val="24"/>
                <w:szCs w:val="24"/>
              </w:rPr>
              <w:t>性雜誌流通率</w:t>
            </w:r>
          </w:p>
        </w:tc>
        <w:tc>
          <w:tcPr>
            <w:tcW w:w="1971" w:type="dxa"/>
            <w:gridSpan w:val="2"/>
            <w:tcBorders>
              <w:bottom w:val="single" w:sz="4" w:space="0" w:color="auto"/>
            </w:tcBorders>
            <w:shd w:val="clear" w:color="auto" w:fill="EFFDFF"/>
          </w:tcPr>
          <w:p w:rsidR="0049577B" w:rsidRPr="002031B1" w:rsidRDefault="0049577B" w:rsidP="009214BE">
            <w:pPr>
              <w:spacing w:line="240" w:lineRule="auto"/>
              <w:ind w:leftChars="0" w:left="0" w:rightChars="0" w:right="0"/>
              <w:jc w:val="center"/>
              <w:rPr>
                <w:b/>
                <w:sz w:val="24"/>
                <w:szCs w:val="24"/>
              </w:rPr>
            </w:pPr>
            <w:r w:rsidRPr="002031B1">
              <w:rPr>
                <w:b/>
                <w:sz w:val="24"/>
                <w:szCs w:val="24"/>
              </w:rPr>
              <w:t>性別平等</w:t>
            </w:r>
          </w:p>
        </w:tc>
        <w:tc>
          <w:tcPr>
            <w:tcW w:w="2261" w:type="dxa"/>
            <w:gridSpan w:val="2"/>
            <w:tcBorders>
              <w:bottom w:val="single" w:sz="4" w:space="0" w:color="auto"/>
            </w:tcBorders>
            <w:shd w:val="clear" w:color="auto" w:fill="EFFDFF"/>
          </w:tcPr>
          <w:p w:rsidR="0049577B" w:rsidRPr="002031B1" w:rsidRDefault="0049577B" w:rsidP="009214BE">
            <w:pPr>
              <w:spacing w:line="240" w:lineRule="auto"/>
              <w:ind w:leftChars="0" w:left="0" w:rightChars="0" w:right="0"/>
              <w:jc w:val="center"/>
              <w:rPr>
                <w:b/>
                <w:sz w:val="24"/>
                <w:szCs w:val="24"/>
              </w:rPr>
            </w:pPr>
            <w:r w:rsidRPr="002031B1">
              <w:rPr>
                <w:b/>
                <w:sz w:val="24"/>
                <w:szCs w:val="24"/>
              </w:rPr>
              <w:t>強制性交犯罪發生率</w:t>
            </w:r>
          </w:p>
        </w:tc>
      </w:tr>
      <w:tr w:rsidR="0049577B" w:rsidRPr="00B40DC1" w:rsidTr="009214BE">
        <w:tc>
          <w:tcPr>
            <w:tcW w:w="1302" w:type="dxa"/>
            <w:shd w:val="clear" w:color="auto" w:fill="F3F3F3"/>
            <w:vAlign w:val="center"/>
          </w:tcPr>
          <w:p w:rsidR="0049577B" w:rsidRPr="00AE32E3" w:rsidRDefault="0049577B" w:rsidP="009214BE">
            <w:pPr>
              <w:spacing w:line="240" w:lineRule="auto"/>
              <w:ind w:leftChars="0" w:left="0" w:rightChars="0" w:right="0"/>
              <w:jc w:val="center"/>
              <w:rPr>
                <w:sz w:val="24"/>
                <w:szCs w:val="24"/>
              </w:rPr>
            </w:pPr>
            <w:r w:rsidRPr="00AE32E3">
              <w:rPr>
                <w:sz w:val="24"/>
                <w:szCs w:val="24"/>
              </w:rPr>
              <w:t>自變項</w:t>
            </w:r>
          </w:p>
        </w:tc>
        <w:tc>
          <w:tcPr>
            <w:tcW w:w="1059" w:type="dxa"/>
            <w:shd w:val="clear" w:color="auto" w:fill="F3F3F3"/>
            <w:vAlign w:val="center"/>
          </w:tcPr>
          <w:p w:rsidR="0049577B" w:rsidRPr="00AE32E3" w:rsidRDefault="0049577B" w:rsidP="009214BE">
            <w:pPr>
              <w:spacing w:line="240" w:lineRule="auto"/>
              <w:ind w:leftChars="0" w:left="0" w:rightChars="0" w:right="0"/>
              <w:jc w:val="center"/>
              <w:rPr>
                <w:sz w:val="24"/>
                <w:szCs w:val="24"/>
              </w:rPr>
            </w:pPr>
            <w:r w:rsidRPr="00AE32E3">
              <w:rPr>
                <w:sz w:val="24"/>
                <w:szCs w:val="24"/>
              </w:rPr>
              <w:t>未標準化迴歸係數</w:t>
            </w:r>
          </w:p>
        </w:tc>
        <w:tc>
          <w:tcPr>
            <w:tcW w:w="1059" w:type="dxa"/>
            <w:shd w:val="clear" w:color="auto" w:fill="F3F3F3"/>
            <w:vAlign w:val="center"/>
          </w:tcPr>
          <w:p w:rsidR="0049577B" w:rsidRPr="00AE32E3" w:rsidRDefault="0049577B" w:rsidP="009214BE">
            <w:pPr>
              <w:spacing w:line="240" w:lineRule="auto"/>
              <w:ind w:leftChars="0" w:left="0" w:rightChars="0" w:right="0"/>
              <w:jc w:val="center"/>
              <w:rPr>
                <w:sz w:val="24"/>
                <w:szCs w:val="24"/>
              </w:rPr>
            </w:pPr>
            <w:r w:rsidRPr="00AE32E3">
              <w:rPr>
                <w:sz w:val="24"/>
                <w:szCs w:val="24"/>
              </w:rPr>
              <w:t>標準誤</w:t>
            </w:r>
          </w:p>
        </w:tc>
        <w:tc>
          <w:tcPr>
            <w:tcW w:w="1059" w:type="dxa"/>
            <w:shd w:val="clear" w:color="auto" w:fill="F3F3F3"/>
            <w:vAlign w:val="center"/>
          </w:tcPr>
          <w:p w:rsidR="0049577B" w:rsidRPr="00AE32E3" w:rsidRDefault="0049577B" w:rsidP="009214BE">
            <w:pPr>
              <w:spacing w:line="240" w:lineRule="auto"/>
              <w:ind w:leftChars="0" w:left="0" w:rightChars="0" w:right="0"/>
              <w:jc w:val="center"/>
              <w:rPr>
                <w:sz w:val="24"/>
                <w:szCs w:val="24"/>
              </w:rPr>
            </w:pPr>
            <w:r w:rsidRPr="00AE32E3">
              <w:rPr>
                <w:sz w:val="24"/>
                <w:szCs w:val="24"/>
              </w:rPr>
              <w:t>未標準化迴歸係數</w:t>
            </w:r>
          </w:p>
        </w:tc>
        <w:tc>
          <w:tcPr>
            <w:tcW w:w="1058" w:type="dxa"/>
            <w:shd w:val="clear" w:color="auto" w:fill="F3F3F3"/>
            <w:vAlign w:val="center"/>
          </w:tcPr>
          <w:p w:rsidR="0049577B" w:rsidRPr="00AE32E3" w:rsidRDefault="0049577B" w:rsidP="009214BE">
            <w:pPr>
              <w:spacing w:line="240" w:lineRule="auto"/>
              <w:ind w:leftChars="0" w:left="0" w:rightChars="0" w:right="0"/>
              <w:jc w:val="center"/>
              <w:rPr>
                <w:sz w:val="24"/>
                <w:szCs w:val="24"/>
              </w:rPr>
            </w:pPr>
            <w:r w:rsidRPr="00AE32E3">
              <w:rPr>
                <w:sz w:val="24"/>
                <w:szCs w:val="24"/>
              </w:rPr>
              <w:t>標準誤</w:t>
            </w:r>
          </w:p>
        </w:tc>
        <w:tc>
          <w:tcPr>
            <w:tcW w:w="1058" w:type="dxa"/>
            <w:shd w:val="clear" w:color="auto" w:fill="F3F3F3"/>
            <w:vAlign w:val="center"/>
          </w:tcPr>
          <w:p w:rsidR="0049577B" w:rsidRPr="00AE32E3" w:rsidRDefault="0049577B" w:rsidP="009214BE">
            <w:pPr>
              <w:spacing w:line="240" w:lineRule="auto"/>
              <w:ind w:leftChars="0" w:left="0" w:rightChars="0" w:right="0"/>
              <w:jc w:val="center"/>
              <w:rPr>
                <w:sz w:val="24"/>
                <w:szCs w:val="24"/>
              </w:rPr>
            </w:pPr>
            <w:r w:rsidRPr="00AE32E3">
              <w:rPr>
                <w:sz w:val="24"/>
                <w:szCs w:val="24"/>
              </w:rPr>
              <w:t>未標準化迴歸係數</w:t>
            </w:r>
          </w:p>
        </w:tc>
        <w:tc>
          <w:tcPr>
            <w:tcW w:w="913" w:type="dxa"/>
            <w:shd w:val="clear" w:color="auto" w:fill="F3F3F3"/>
            <w:vAlign w:val="center"/>
          </w:tcPr>
          <w:p w:rsidR="0049577B" w:rsidRPr="00AE32E3" w:rsidRDefault="0049577B" w:rsidP="009214BE">
            <w:pPr>
              <w:spacing w:line="240" w:lineRule="auto"/>
              <w:ind w:leftChars="0" w:left="0" w:rightChars="0" w:right="0"/>
              <w:jc w:val="center"/>
              <w:rPr>
                <w:sz w:val="24"/>
                <w:szCs w:val="24"/>
              </w:rPr>
            </w:pPr>
            <w:r w:rsidRPr="00AE32E3">
              <w:rPr>
                <w:sz w:val="24"/>
                <w:szCs w:val="24"/>
              </w:rPr>
              <w:t>標準誤</w:t>
            </w:r>
          </w:p>
        </w:tc>
        <w:tc>
          <w:tcPr>
            <w:tcW w:w="1203" w:type="dxa"/>
            <w:shd w:val="clear" w:color="auto" w:fill="F3F3F3"/>
            <w:vAlign w:val="center"/>
          </w:tcPr>
          <w:p w:rsidR="0049577B" w:rsidRPr="00AE32E3" w:rsidRDefault="0049577B" w:rsidP="009214BE">
            <w:pPr>
              <w:spacing w:line="240" w:lineRule="auto"/>
              <w:ind w:leftChars="0" w:left="0" w:rightChars="0" w:right="0"/>
              <w:jc w:val="center"/>
              <w:rPr>
                <w:sz w:val="24"/>
                <w:szCs w:val="24"/>
              </w:rPr>
            </w:pPr>
            <w:r w:rsidRPr="00AE32E3">
              <w:rPr>
                <w:sz w:val="24"/>
                <w:szCs w:val="24"/>
              </w:rPr>
              <w:t>未標準化迴歸係數</w:t>
            </w:r>
          </w:p>
        </w:tc>
        <w:tc>
          <w:tcPr>
            <w:tcW w:w="1058" w:type="dxa"/>
            <w:shd w:val="clear" w:color="auto" w:fill="F3F3F3"/>
            <w:vAlign w:val="center"/>
          </w:tcPr>
          <w:p w:rsidR="0049577B" w:rsidRPr="00AE32E3" w:rsidRDefault="0049577B" w:rsidP="009214BE">
            <w:pPr>
              <w:spacing w:line="240" w:lineRule="auto"/>
              <w:ind w:leftChars="0" w:left="0" w:rightChars="0" w:right="0"/>
              <w:jc w:val="center"/>
              <w:rPr>
                <w:sz w:val="24"/>
                <w:szCs w:val="24"/>
              </w:rPr>
            </w:pPr>
            <w:r w:rsidRPr="00AE32E3">
              <w:rPr>
                <w:sz w:val="24"/>
                <w:szCs w:val="24"/>
              </w:rPr>
              <w:t>標準誤</w:t>
            </w: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基尼指數,1979</w:t>
            </w: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-1.224</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0.303</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-3.013</w:t>
            </w:r>
          </w:p>
        </w:tc>
        <w:tc>
          <w:tcPr>
            <w:tcW w:w="913"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1.095</w:t>
            </w:r>
          </w:p>
        </w:tc>
        <w:tc>
          <w:tcPr>
            <w:tcW w:w="1203"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2.834</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0.622</w:t>
            </w: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正當化暴力</w:t>
            </w: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-0.522</w:t>
            </w:r>
          </w:p>
        </w:tc>
        <w:tc>
          <w:tcPr>
            <w:tcW w:w="913"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0.110</w:t>
            </w:r>
          </w:p>
        </w:tc>
        <w:tc>
          <w:tcPr>
            <w:tcW w:w="1203"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社會解組</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0.484</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0.097</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0.279</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0.032</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0.727</w:t>
            </w:r>
          </w:p>
        </w:tc>
        <w:tc>
          <w:tcPr>
            <w:tcW w:w="913"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0.110</w:t>
            </w:r>
          </w:p>
        </w:tc>
        <w:tc>
          <w:tcPr>
            <w:tcW w:w="1203"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0.299</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0.085</w:t>
            </w: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黑人比例,1980</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0.734</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0.203</w:t>
            </w: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913" w:type="dxa"/>
            <w:vAlign w:val="center"/>
          </w:tcPr>
          <w:p w:rsidR="0049577B" w:rsidRPr="00AE32E3" w:rsidRDefault="0049577B" w:rsidP="003409A9">
            <w:pPr>
              <w:spacing w:line="240" w:lineRule="auto"/>
              <w:ind w:leftChars="0" w:left="0" w:rightChars="0" w:right="0"/>
              <w:jc w:val="center"/>
              <w:rPr>
                <w:sz w:val="24"/>
                <w:szCs w:val="24"/>
              </w:rPr>
            </w:pPr>
          </w:p>
        </w:tc>
        <w:tc>
          <w:tcPr>
            <w:tcW w:w="1203"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15歲以上單身男性人口比例</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-2.232</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0.835</w:t>
            </w: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913" w:type="dxa"/>
            <w:vAlign w:val="center"/>
          </w:tcPr>
          <w:p w:rsidR="0049577B" w:rsidRPr="00AE32E3" w:rsidRDefault="0049577B" w:rsidP="003409A9">
            <w:pPr>
              <w:spacing w:line="240" w:lineRule="auto"/>
              <w:ind w:leftChars="0" w:left="0" w:rightChars="0" w:right="0"/>
              <w:jc w:val="center"/>
              <w:rPr>
                <w:sz w:val="24"/>
                <w:szCs w:val="24"/>
              </w:rPr>
            </w:pPr>
          </w:p>
        </w:tc>
        <w:tc>
          <w:tcPr>
            <w:tcW w:w="1203"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18至24歲人口比例</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6.746</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2.732</w:t>
            </w: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913" w:type="dxa"/>
            <w:vAlign w:val="center"/>
          </w:tcPr>
          <w:p w:rsidR="0049577B" w:rsidRPr="00AE32E3" w:rsidRDefault="0049577B" w:rsidP="003409A9">
            <w:pPr>
              <w:spacing w:line="240" w:lineRule="auto"/>
              <w:ind w:leftChars="0" w:left="0" w:rightChars="0" w:right="0"/>
              <w:jc w:val="center"/>
              <w:rPr>
                <w:sz w:val="24"/>
                <w:szCs w:val="24"/>
              </w:rPr>
            </w:pPr>
          </w:p>
        </w:tc>
        <w:tc>
          <w:tcPr>
            <w:tcW w:w="1203"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居住於大都會人口比例</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-3.45</w:t>
            </w: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0.090</w:t>
            </w: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913" w:type="dxa"/>
            <w:vAlign w:val="center"/>
          </w:tcPr>
          <w:p w:rsidR="0049577B" w:rsidRPr="00AE32E3" w:rsidRDefault="0049577B" w:rsidP="003409A9">
            <w:pPr>
              <w:spacing w:line="240" w:lineRule="auto"/>
              <w:ind w:leftChars="0" w:left="0" w:rightChars="0" w:right="0"/>
              <w:jc w:val="center"/>
              <w:rPr>
                <w:sz w:val="24"/>
                <w:szCs w:val="24"/>
              </w:rPr>
            </w:pPr>
          </w:p>
        </w:tc>
        <w:tc>
          <w:tcPr>
            <w:tcW w:w="1203"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0.366</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0.039</w:t>
            </w: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15至24歲男性比例</w:t>
            </w: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1.942</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0.564</w:t>
            </w: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913" w:type="dxa"/>
            <w:vAlign w:val="center"/>
          </w:tcPr>
          <w:p w:rsidR="0049577B" w:rsidRPr="00AE32E3" w:rsidRDefault="0049577B" w:rsidP="003409A9">
            <w:pPr>
              <w:spacing w:line="240" w:lineRule="auto"/>
              <w:ind w:leftChars="0" w:left="0" w:rightChars="0" w:right="0"/>
              <w:jc w:val="center"/>
              <w:rPr>
                <w:sz w:val="24"/>
                <w:szCs w:val="24"/>
              </w:rPr>
            </w:pPr>
          </w:p>
        </w:tc>
        <w:tc>
          <w:tcPr>
            <w:tcW w:w="1203"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失業人口比例</w:t>
            </w: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913" w:type="dxa"/>
            <w:vAlign w:val="center"/>
          </w:tcPr>
          <w:p w:rsidR="0049577B" w:rsidRPr="00AE32E3" w:rsidRDefault="0049577B" w:rsidP="003409A9">
            <w:pPr>
              <w:spacing w:line="240" w:lineRule="auto"/>
              <w:ind w:leftChars="0" w:left="0" w:rightChars="0" w:right="0"/>
              <w:jc w:val="center"/>
              <w:rPr>
                <w:sz w:val="24"/>
                <w:szCs w:val="24"/>
              </w:rPr>
            </w:pPr>
          </w:p>
        </w:tc>
        <w:tc>
          <w:tcPr>
            <w:tcW w:w="1203"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1.422</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0.562</w:t>
            </w: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性別平等</w:t>
            </w: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913" w:type="dxa"/>
            <w:vAlign w:val="center"/>
          </w:tcPr>
          <w:p w:rsidR="0049577B" w:rsidRPr="00AE32E3" w:rsidRDefault="0049577B" w:rsidP="003409A9">
            <w:pPr>
              <w:spacing w:line="240" w:lineRule="auto"/>
              <w:ind w:leftChars="0" w:left="0" w:rightChars="0" w:right="0"/>
              <w:jc w:val="center"/>
              <w:rPr>
                <w:sz w:val="24"/>
                <w:szCs w:val="24"/>
              </w:rPr>
            </w:pPr>
          </w:p>
        </w:tc>
        <w:tc>
          <w:tcPr>
            <w:tcW w:w="1203"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-0.166</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0.060</w:t>
            </w:r>
          </w:p>
        </w:tc>
      </w:tr>
      <w:tr w:rsidR="0049577B" w:rsidRPr="00B40DC1" w:rsidTr="003409A9">
        <w:tc>
          <w:tcPr>
            <w:tcW w:w="1302" w:type="dxa"/>
          </w:tcPr>
          <w:p w:rsidR="0049577B" w:rsidRPr="00AE32E3" w:rsidRDefault="0049577B" w:rsidP="00AE32E3">
            <w:pPr>
              <w:spacing w:line="240" w:lineRule="auto"/>
              <w:ind w:leftChars="0" w:left="0" w:rightChars="0" w:right="0"/>
              <w:rPr>
                <w:sz w:val="24"/>
                <w:szCs w:val="24"/>
              </w:rPr>
            </w:pPr>
            <w:r w:rsidRPr="00AE32E3">
              <w:rPr>
                <w:sz w:val="24"/>
                <w:szCs w:val="24"/>
              </w:rPr>
              <w:t>性雜誌流通率</w:t>
            </w: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9"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1058" w:type="dxa"/>
            <w:vAlign w:val="center"/>
          </w:tcPr>
          <w:p w:rsidR="0049577B" w:rsidRPr="00AE32E3" w:rsidRDefault="0049577B" w:rsidP="003409A9">
            <w:pPr>
              <w:spacing w:line="240" w:lineRule="auto"/>
              <w:ind w:leftChars="0" w:left="0" w:rightChars="0" w:right="0"/>
              <w:jc w:val="center"/>
              <w:rPr>
                <w:sz w:val="24"/>
                <w:szCs w:val="24"/>
              </w:rPr>
            </w:pPr>
          </w:p>
        </w:tc>
        <w:tc>
          <w:tcPr>
            <w:tcW w:w="913" w:type="dxa"/>
            <w:vAlign w:val="center"/>
          </w:tcPr>
          <w:p w:rsidR="0049577B" w:rsidRPr="00AE32E3" w:rsidRDefault="0049577B" w:rsidP="003409A9">
            <w:pPr>
              <w:spacing w:line="240" w:lineRule="auto"/>
              <w:ind w:leftChars="0" w:left="0" w:rightChars="0" w:right="0"/>
              <w:jc w:val="center"/>
              <w:rPr>
                <w:sz w:val="24"/>
                <w:szCs w:val="24"/>
              </w:rPr>
            </w:pPr>
          </w:p>
        </w:tc>
        <w:tc>
          <w:tcPr>
            <w:tcW w:w="1203"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1.050</w:t>
            </w:r>
          </w:p>
        </w:tc>
        <w:tc>
          <w:tcPr>
            <w:tcW w:w="1058" w:type="dxa"/>
            <w:vAlign w:val="center"/>
          </w:tcPr>
          <w:p w:rsidR="0049577B" w:rsidRPr="00AE32E3" w:rsidRDefault="0049577B" w:rsidP="003409A9">
            <w:pPr>
              <w:spacing w:line="240" w:lineRule="auto"/>
              <w:ind w:leftChars="0" w:left="0" w:rightChars="0" w:right="0"/>
              <w:jc w:val="center"/>
              <w:rPr>
                <w:sz w:val="24"/>
                <w:szCs w:val="24"/>
              </w:rPr>
            </w:pPr>
            <w:r w:rsidRPr="00AE32E3">
              <w:rPr>
                <w:sz w:val="24"/>
                <w:szCs w:val="24"/>
              </w:rPr>
              <w:t>0.209</w:t>
            </w:r>
          </w:p>
        </w:tc>
      </w:tr>
    </w:tbl>
    <w:p w:rsidR="0049577B" w:rsidRPr="00B40DC1" w:rsidRDefault="00E736D6" w:rsidP="003409A9">
      <w:pPr>
        <w:spacing w:line="240" w:lineRule="auto"/>
        <w:ind w:leftChars="0" w:left="0" w:rightChars="0" w:right="0"/>
      </w:pPr>
      <w:r>
        <w:t>【註】</w:t>
      </w:r>
      <w:r w:rsidR="0049577B" w:rsidRPr="00B40DC1">
        <w:t>所有之未標準化迴歸係數均已達統計上之顯著水準，p值小於0.02。</w:t>
      </w:r>
    </w:p>
    <w:p w:rsidR="0049577B" w:rsidRPr="00B40DC1" w:rsidRDefault="00817A92" w:rsidP="003409A9">
      <w:pPr>
        <w:spacing w:line="240" w:lineRule="auto"/>
        <w:ind w:leftChars="0" w:left="0" w:rightChars="0" w:right="0"/>
      </w:pPr>
      <w:r>
        <w:t>【資料來源】</w:t>
      </w:r>
      <w:r w:rsidR="0049577B" w:rsidRPr="00B40DC1">
        <w:t>Larry Baron &amp; Murray A</w:t>
      </w:r>
      <w:r w:rsidR="003C1792">
        <w:t>.</w:t>
      </w:r>
      <w:r w:rsidR="0049577B" w:rsidRPr="00B40DC1">
        <w:t>Straus(1989)</w:t>
      </w:r>
      <w:r w:rsidR="003C1792">
        <w:t>.</w:t>
      </w:r>
      <w:r w:rsidR="0049577B" w:rsidRPr="00B40DC1">
        <w:t>Four Theories of Rape in American Society: A State-Level Analysis, Yale University Press.</w:t>
      </w:r>
    </w:p>
    <w:p w:rsidR="0049577B" w:rsidRPr="00B40DC1" w:rsidRDefault="0049577B" w:rsidP="003409A9">
      <w:pPr>
        <w:spacing w:line="240" w:lineRule="auto"/>
        <w:ind w:leftChars="0" w:left="0" w:rightChars="0" w:right="0"/>
      </w:pPr>
    </w:p>
    <w:p w:rsidR="0049577B" w:rsidRPr="00B40DC1" w:rsidRDefault="00814432" w:rsidP="003409A9">
      <w:pPr>
        <w:spacing w:line="240" w:lineRule="auto"/>
        <w:ind w:leftChars="0" w:left="0" w:rightChars="0" w:right="0"/>
      </w:pPr>
      <w:r>
        <w:t xml:space="preserve">　　</w:t>
      </w:r>
      <w:r w:rsidR="0049577B" w:rsidRPr="00B40DC1">
        <w:t>復次，Larry Baron &amp; Murray A</w:t>
      </w:r>
      <w:r w:rsidR="003C1792">
        <w:t>.</w:t>
      </w:r>
      <w:r w:rsidR="0049577B" w:rsidRPr="00B40DC1">
        <w:t>Straus(1989)並採用路徑分析之方法，進行探討，路徑分析之方法，其架構為「減少模式」（降低模式，reduced model），亦即，僅描繪出有達顯著水準之路徑係數，未達顯著之路徑，則未加以顯示，故稱之為「減少模式」。Larry Baron &amp; Murray A</w:t>
      </w:r>
      <w:r w:rsidR="003C1792">
        <w:t>.</w:t>
      </w:r>
      <w:r w:rsidR="0049577B" w:rsidRPr="00B40DC1">
        <w:t>Straus(1989)並指出路徑係數（path coefficients）之解釋方式，是以標準差（standard deviation）為單位</w:t>
      </w:r>
      <w:r w:rsidR="0049577B" w:rsidRPr="00814432">
        <w:rPr>
          <w:rStyle w:val="af7"/>
          <w:rFonts w:eastAsia="新細明體"/>
          <w:sz w:val="20"/>
        </w:rPr>
        <w:footnoteReference w:id="185"/>
      </w:r>
      <w:r w:rsidR="0049577B" w:rsidRPr="00B40DC1">
        <w:t>。反之，若是「未標準化迴歸係數」（unstandardized regression coefficients），其表示方式則是以測量的原始實際單位為準（real units of measurement）。就路徑分析而論，上述路徑係數之解釋方式，所涉及之「標準差」概念，係代表在任何變項中的每一州分數，其與全美所有州的平均分數，究竟距離有多遠（deviates from the average or mean score for all the states）﹖路徑分析中所使用之「標準差單位」（standard deviation units），其具有一個關鍵性之優點（a key advantage），亦即「標準差」它容許評估每一個變項的相對重要性（evaluate the relative importance of each variable）。在未標準化之迴歸係數中，因為每一個變項之未標準化迴歸係數之測量單位不同（in different units of measurement），故每一個變項之相對重要性就無法被吾人加以評估（cannot be evaluated using the unstandardized coefficients）</w:t>
      </w:r>
      <w:r w:rsidR="0049577B" w:rsidRPr="00814432">
        <w:rPr>
          <w:rStyle w:val="af7"/>
          <w:rFonts w:eastAsia="新細明體"/>
          <w:sz w:val="20"/>
        </w:rPr>
        <w:footnoteReference w:id="186"/>
      </w:r>
      <w:r w:rsidR="0049577B" w:rsidRPr="00B40DC1">
        <w:t>。</w:t>
      </w:r>
    </w:p>
    <w:p w:rsidR="0049577B" w:rsidRPr="00B40DC1" w:rsidRDefault="00814432" w:rsidP="003409A9">
      <w:pPr>
        <w:spacing w:line="240" w:lineRule="auto"/>
        <w:ind w:leftChars="0" w:left="0" w:rightChars="0" w:right="0"/>
      </w:pPr>
      <w:r>
        <w:t xml:space="preserve">　　</w:t>
      </w:r>
      <w:r w:rsidR="0049577B" w:rsidRPr="00B40DC1">
        <w:t>就居住在「標準大都會之統計地區」（Standard Metropolitan Statistical Areas，簡稱為SMSAs）人口所佔之比例而論，其改變強制性交率之路徑係數為＋0.531個標準差，亦即，假如控制迴歸方程式中之其他變項，每增加「居住在大都會」人口率一個標準差（each increase of standard deviation），則會造成強制性交犯罪發生率＋0.531個標準差之改變（with a 0.531 standard deviation change in the rape rate），亦即增加＋0.531個標準差之強制性交發生率。就「性別平等」而言，每增加「性別平等」一個標準差（each in crease of one standard deviation in the level of gender equality），則會造成強制性交犯罪發生率-0.230個標準差之變化（a   -0.230 change in the rape rate）。亦即，在控制迴歸方程式中其他變項後，會降低0.23個標準差之強制性交發生率（強制性交發生率會下降0.23個標準差）</w:t>
      </w:r>
      <w:r w:rsidR="0049577B" w:rsidRPr="00814432">
        <w:rPr>
          <w:rStyle w:val="af7"/>
          <w:rFonts w:eastAsia="新細明體"/>
          <w:sz w:val="20"/>
        </w:rPr>
        <w:footnoteReference w:id="187"/>
      </w:r>
      <w:r w:rsidR="0049577B" w:rsidRPr="00B40DC1">
        <w:t>。</w:t>
      </w:r>
    </w:p>
    <w:p w:rsidR="0049577B" w:rsidRPr="00B40DC1" w:rsidRDefault="00814432" w:rsidP="003409A9">
      <w:pPr>
        <w:spacing w:line="240" w:lineRule="auto"/>
        <w:ind w:leftChars="0" w:left="0" w:rightChars="0" w:right="0"/>
      </w:pPr>
      <w:r>
        <w:t xml:space="preserve">　　</w:t>
      </w:r>
      <w:r w:rsidR="0049577B" w:rsidRPr="00B40DC1">
        <w:t>在影響強制性交犯罪發生率之直接效果（直接作用力，direct effects on rape）部分，於解釋強制性交犯罪的四種理論之中，確實有三種理論對於強制性交犯罪具有作用力。在直接作用力方面，首先，就「色情雜誌流通率」這一個變項而論</w:t>
      </w:r>
      <w:r w:rsidR="0049577B" w:rsidRPr="00814432">
        <w:rPr>
          <w:rStyle w:val="af7"/>
          <w:rFonts w:eastAsia="新細明體"/>
          <w:sz w:val="20"/>
        </w:rPr>
        <w:footnoteReference w:id="188"/>
      </w:r>
      <w:r w:rsidR="0049577B" w:rsidRPr="00B40DC1">
        <w:t>，其路徑係數為＋0.599，其意涵為在控制迴歸方程式中其他變項之後，每增加「色情雜誌流通率」一個標準差</w:t>
      </w:r>
      <w:r w:rsidR="0049577B" w:rsidRPr="00814432">
        <w:rPr>
          <w:rStyle w:val="af7"/>
          <w:rFonts w:eastAsia="新細明體"/>
          <w:sz w:val="20"/>
        </w:rPr>
        <w:footnoteReference w:id="189"/>
      </w:r>
      <w:r w:rsidR="0049577B" w:rsidRPr="00B40DC1">
        <w:t>，則會造成（導致）強制性交犯罪發生率提升0.599個標準差之變動。再就「性別平等」而言，誠如上所述，每增加「性別平等」一個標準差，則會導致強制性交犯罪發生率下降0.23個標準差</w:t>
      </w:r>
      <w:r w:rsidR="0049577B" w:rsidRPr="00814432">
        <w:rPr>
          <w:rStyle w:val="af7"/>
          <w:rFonts w:eastAsia="新細明體"/>
          <w:sz w:val="20"/>
        </w:rPr>
        <w:footnoteReference w:id="190"/>
      </w:r>
      <w:r w:rsidR="0049577B" w:rsidRPr="00B40DC1">
        <w:t>。亦即，「性別平等」（gender equality）對於強制性交犯罪具有負向之作用力，有抑制之效果，並已達統計上之顯著水準</w:t>
      </w:r>
      <w:r w:rsidR="0049577B" w:rsidRPr="00814432">
        <w:rPr>
          <w:rStyle w:val="af7"/>
          <w:rFonts w:eastAsia="新細明體"/>
          <w:sz w:val="20"/>
        </w:rPr>
        <w:footnoteReference w:id="191"/>
      </w:r>
      <w:r w:rsidR="0049577B" w:rsidRPr="00B40DC1">
        <w:t>。</w:t>
      </w:r>
      <w:r w:rsidR="0049577B" w:rsidRPr="00B40DC1">
        <w:cr/>
        <w:t xml:space="preserve">　　另外，就「社會解組」而言</w:t>
      </w:r>
      <w:r w:rsidR="0049577B" w:rsidRPr="00814432">
        <w:rPr>
          <w:rStyle w:val="af7"/>
          <w:rFonts w:eastAsia="新細明體"/>
          <w:sz w:val="20"/>
        </w:rPr>
        <w:footnoteReference w:id="192"/>
      </w:r>
      <w:r w:rsidR="0049577B" w:rsidRPr="00B40DC1">
        <w:t>，其對於強制性交犯罪之路徑係數為＋0.402，其表示當控制迴歸方程式中之其他變項後，每增加「社會解組」一個標準差，則其會導致強制性交犯罪發生率上揚（提升）0.402個標準差，表示「社會解組」對於強制性交犯罪具有正向且直接之作用力，並已達統計上之顯著水準</w:t>
      </w:r>
      <w:r w:rsidR="0049577B" w:rsidRPr="00814432">
        <w:rPr>
          <w:rStyle w:val="af7"/>
          <w:rFonts w:eastAsia="新細明體"/>
          <w:sz w:val="20"/>
        </w:rPr>
        <w:footnoteReference w:id="193"/>
      </w:r>
      <w:r w:rsidR="0049577B" w:rsidRPr="00B40DC1">
        <w:t>。</w:t>
      </w:r>
      <w:r w:rsidR="0049577B" w:rsidRPr="00B40DC1">
        <w:cr/>
        <w:t xml:space="preserve">　　就「正當化暴力」而言</w:t>
      </w:r>
      <w:r w:rsidR="0049577B" w:rsidRPr="00814432">
        <w:rPr>
          <w:rStyle w:val="af7"/>
          <w:rFonts w:eastAsia="新細明體"/>
          <w:sz w:val="20"/>
        </w:rPr>
        <w:footnoteReference w:id="194"/>
      </w:r>
      <w:r w:rsidR="0049577B" w:rsidRPr="00B40DC1">
        <w:t>，其對於強制性交犯罪之作用力，未達統計上之顯著水準，即接受虛無假設（P值大於0.05），表示「正當化暴力」對於強制性交犯罪不具有作用力（對立假設為具有作用力）</w:t>
      </w:r>
      <w:r w:rsidR="0049577B" w:rsidRPr="00814432">
        <w:rPr>
          <w:rStyle w:val="af7"/>
          <w:rFonts w:eastAsia="新細明體"/>
          <w:sz w:val="20"/>
        </w:rPr>
        <w:footnoteReference w:id="195"/>
      </w:r>
      <w:r w:rsidR="0049577B" w:rsidRPr="00B40DC1">
        <w:t>，故未顯示出其路徑係數，此種結論，似乎與先前文獻部分之內涵，有所矛盾。最有可能之解釋方向，係因為先前之學者，諸如Baron, Straus &amp; Jaffee</w:t>
      </w:r>
      <w:r w:rsidR="003C1792">
        <w:t>(</w:t>
      </w:r>
      <w:r w:rsidR="0049577B" w:rsidRPr="00B40DC1">
        <w:t>1988)等，其研究架構之中，並未將「色情雜誌流通」指標（Sex Magazine Circulation Index，簡稱為SMCX2）及「社會解組指標」（Social Disorganization Index，簡稱為SDX）兩者包括在研究架構中，在Baron及Straus之研究模式，除了上述兩個變項外，再將「合理化暴力」同時投入路徑分析模式中，此時，因「色情雜誌流通率」及「社會解組」這二個重要變項一併投入之故，就降低了「合理化暴力」對強制性交犯罪之重要性，是以，「正當化暴化」（legitimate violence）就並非預測強制性交犯罪之一個重要變項(Larry Baron &amp; Murray A</w:t>
      </w:r>
      <w:r w:rsidR="003C1792">
        <w:t>.</w:t>
      </w:r>
      <w:r w:rsidR="0049577B" w:rsidRPr="00B40DC1">
        <w:t>Straus，1989)。事實上，若就相關分析而論（在未進行迴歸及路徑分析之前，宜先進行相關分析），「色情雜誌流通指標」（SMCX2）及「社會解組指標」兩者與強制性交率存在著強而有力之關連性（both the SMCX2 and SDX are strongly correlated with the rape rate），相較之下，「正當化暴力指標」（Legitimate Violence Index，簡稱為LVX）其與強制性交犯罪率之相關性，則僅為中度相關而已</w:t>
      </w:r>
      <w:r w:rsidR="0049577B" w:rsidRPr="00814432">
        <w:rPr>
          <w:rStyle w:val="af7"/>
          <w:rFonts w:eastAsia="新細明體"/>
          <w:sz w:val="20"/>
        </w:rPr>
        <w:footnoteReference w:id="196"/>
      </w:r>
      <w:r w:rsidR="0049577B" w:rsidRPr="00B40DC1">
        <w:t>。</w:t>
      </w:r>
      <w:r w:rsidR="0049577B" w:rsidRPr="00B40DC1">
        <w:cr/>
      </w:r>
      <w:r>
        <w:t xml:space="preserve">　　</w:t>
      </w:r>
      <w:r w:rsidR="0049577B" w:rsidRPr="00B40DC1">
        <w:t>在Larry &amp; Straus研究中，關於「性別平等」這一個變項之測量，係使用「性別平等指標」（Gender Equality Index，簡稱為GEX），由24個題目組成，並且涵蓋三個面向，此三個面向係用來度量男女之平等情形：經濟、政治及法律</w:t>
      </w:r>
      <w:r w:rsidR="0049577B" w:rsidRPr="00814432">
        <w:rPr>
          <w:rStyle w:val="af7"/>
          <w:rFonts w:eastAsia="新細明體"/>
          <w:sz w:val="20"/>
        </w:rPr>
        <w:footnoteReference w:id="197"/>
      </w:r>
      <w:r w:rsidR="0049577B" w:rsidRPr="00B40DC1">
        <w:t>。除此之外，「女性地位指標」（SWX）與「性別平等指標」（GEX）兩者亦不盡相同，其間存有差異性，GEX之題目，有些並未出現在SWX之中，諸如：(1).家中收入在低收入戶水準之上，以女性為主要經濟收入者（female house holds with incomes above the poverty level）之百分比例；(2).借貸給女性之小額商業借貸之比例；(3).在家庭暴力中，州法律是否有規範可基於「可能之原因」（probable cause），對於施暴者進行無令狀之逮捕（warrantless arrest）；(4).對於家庭暴力事件之庇護，州法律是否有提供經費援助之規範﹖或者，州法律對家暴事件之庇護程序，是否有建立一套標準（established standards for shelter operations）﹖以利保護家庭暴力中受虐婦女之身心安全</w:t>
      </w:r>
      <w:r w:rsidR="0049577B" w:rsidRPr="00814432">
        <w:rPr>
          <w:rStyle w:val="af7"/>
          <w:rFonts w:eastAsia="新細明體"/>
          <w:sz w:val="20"/>
        </w:rPr>
        <w:footnoteReference w:id="198"/>
      </w:r>
      <w:r w:rsidR="0049577B" w:rsidRPr="00B40DC1">
        <w:t>。</w:t>
      </w:r>
    </w:p>
    <w:p w:rsidR="0049577B" w:rsidRPr="00B40DC1" w:rsidRDefault="00814432" w:rsidP="003409A9">
      <w:pPr>
        <w:spacing w:line="240" w:lineRule="auto"/>
        <w:ind w:leftChars="0" w:left="0" w:rightChars="0" w:right="0"/>
      </w:pPr>
      <w:r>
        <w:t xml:space="preserve">　　</w:t>
      </w:r>
      <w:r w:rsidR="0049577B" w:rsidRPr="00B40DC1">
        <w:t>其他之研究方法問題，諸如在先前之研究中，樣本數共計為51州，哥倫比亞特區（The District of Columbia）被視為一州，故，共計有51筆樣本（51州），而在Larry &amp; Straus之研究中，則並未包括哥倫比亞特區。在依變項方面，兩個研究之測量單位亦有所差異，在Larry &amp; Straus之研究中，係使用1980, 1981及1982等三年之平均強制性交犯罪發生率（three-year average rape rate）作為依變項，故，恐會導致兩者之結論出現矛盾之處</w:t>
      </w:r>
      <w:r w:rsidR="0049577B" w:rsidRPr="00814432">
        <w:rPr>
          <w:rStyle w:val="af7"/>
          <w:rFonts w:eastAsia="新細明體"/>
          <w:sz w:val="20"/>
        </w:rPr>
        <w:footnoteReference w:id="199"/>
      </w:r>
      <w:r w:rsidR="0049577B" w:rsidRPr="00B40DC1">
        <w:t>。</w:t>
      </w:r>
      <w:r w:rsidR="0049577B" w:rsidRPr="00B40DC1">
        <w:cr/>
        <w:t xml:space="preserve">　　另外一種可能之解釋模式，之所以兩個研究中，會出現「性別平等」對於強制性交率作用力方向不一致之現象，係在研究調查之年代，其真正地反應當時美國整體社會「性別平等」與「強制性交」之關係。在先行之研究，即Baron &amp; Straus</w:t>
      </w:r>
      <w:r w:rsidR="003C1792">
        <w:t>(</w:t>
      </w:r>
      <w:r w:rsidR="0049577B" w:rsidRPr="00B40DC1">
        <w:t>1984)之調查中，其所使用之「女性地位指標」（Status of  Women Index，簡稱SWX），年代係為1970至1979年間之資料，強制性交率則為1979年之數據。相對地，Larry &amp; Straus所使用之「性別平等指標」（Gender Equality Index，簡稱GEX），其資料之年代係為1979至1983年，強制性交率則為1980至1982年間之平均值。在1970至1979年間，SWX指標對強制性交率之所以會產生正向作用力，亦即「女性平等」對於強制性交率具有正向且直接之作用力，並且，已達統計上之顯著水準，其可能之原因，根據Baron &amp; Straus</w:t>
      </w:r>
      <w:r w:rsidR="003C1792">
        <w:t>(</w:t>
      </w:r>
      <w:r w:rsidR="0049577B" w:rsidRPr="00B40DC1">
        <w:t>1984)之研究結論指出，係因男性對於女性運動（women's movement）及女性之一種反作用力（backlash against women）所導致的</w:t>
      </w:r>
      <w:r w:rsidR="0049577B" w:rsidRPr="00814432">
        <w:rPr>
          <w:rStyle w:val="af7"/>
          <w:rFonts w:eastAsia="新細明體"/>
          <w:sz w:val="20"/>
        </w:rPr>
        <w:footnoteReference w:id="200"/>
      </w:r>
      <w:r w:rsidR="0049577B" w:rsidRPr="00B40DC1">
        <w:t>，亦即，在1970至1979年間，女性大聲疾呼「女性運動」、「男女平等運動」，當時之男性，為了表示反抗與抵制，遂以強制性交女性之手段，作為一種對抗之方式</w:t>
      </w:r>
      <w:r w:rsidR="0049577B" w:rsidRPr="00814432">
        <w:rPr>
          <w:rStyle w:val="af7"/>
          <w:rFonts w:eastAsia="新細明體"/>
          <w:sz w:val="20"/>
        </w:rPr>
        <w:footnoteReference w:id="201"/>
      </w:r>
      <w:r w:rsidR="0049577B" w:rsidRPr="00B40DC1">
        <w:t>。</w:t>
      </w:r>
    </w:p>
    <w:p w:rsidR="0049577B" w:rsidRPr="00B40DC1" w:rsidRDefault="00814432" w:rsidP="003409A9">
      <w:pPr>
        <w:spacing w:line="240" w:lineRule="auto"/>
        <w:ind w:leftChars="0" w:left="0" w:rightChars="0" w:right="0"/>
      </w:pPr>
      <w:r>
        <w:t xml:space="preserve">　　</w:t>
      </w:r>
      <w:r w:rsidR="0049577B" w:rsidRPr="00B40DC1">
        <w:t>在控制變項方面，有三個控制變項與強制性交有統計上顯著之關連性。美國各州居住在大都會人口之百分比、經濟收入不平等之基尼指數及失業人口百分比三者，全部對於強制性交率有正向及直接之作用力，其路徑係數分別為＋0.531、＋0.353及＋0.152(Larry Baron &amp; Murray A</w:t>
      </w:r>
      <w:r w:rsidR="003C1792">
        <w:t>.</w:t>
      </w:r>
      <w:r w:rsidR="0049577B" w:rsidRPr="00B40DC1">
        <w:t>Straus，1989)。首先，就各州大都會人口之百分比而言，其對於強制性交率之路徑係數為＋0.531，其表示當控制迴歸方程式中之其他變項後，每增加「大都會人口百分比」一個標準差，則其會導致強制性交率上揚0.531個標準差，意味著「大都會人口比例」對於強制性交率具有正向且直接之作用力，並已達統計上之顯著水準</w:t>
      </w:r>
      <w:r w:rsidR="0049577B" w:rsidRPr="00814432">
        <w:rPr>
          <w:rStyle w:val="af7"/>
          <w:rFonts w:eastAsia="新細明體"/>
          <w:sz w:val="20"/>
        </w:rPr>
        <w:footnoteReference w:id="202"/>
      </w:r>
      <w:r w:rsidR="0049577B" w:rsidRPr="00B40DC1">
        <w:t>。</w:t>
      </w:r>
    </w:p>
    <w:p w:rsidR="0049577B" w:rsidRPr="00B40DC1" w:rsidRDefault="00814432" w:rsidP="003409A9">
      <w:pPr>
        <w:spacing w:line="240" w:lineRule="auto"/>
        <w:ind w:leftChars="0" w:left="0" w:rightChars="0" w:right="0"/>
      </w:pPr>
      <w:r>
        <w:t xml:space="preserve">　　</w:t>
      </w:r>
      <w:r w:rsidR="0049577B" w:rsidRPr="00B40DC1">
        <w:t>次就「基尼指數」（Gini Index）而論，其對於強制性交率之標準化路徑係數為＋0.353，其表示當控制迴歸方程式中之其他變項後，每增加「基尼指數」（各州經濟收入之不平等）一個標準差</w:t>
      </w:r>
      <w:r w:rsidR="0049577B" w:rsidRPr="00814432">
        <w:rPr>
          <w:rStyle w:val="af7"/>
          <w:rFonts w:eastAsia="新細明體"/>
          <w:sz w:val="20"/>
        </w:rPr>
        <w:footnoteReference w:id="203"/>
      </w:r>
      <w:r w:rsidR="0049577B" w:rsidRPr="00B40DC1">
        <w:t>，則會導致強制性交率上揚0.353個標準差，意味著「基尼指數」（各州經濟收入之不平等）對於強制性交率具有正向且直接之用力，並已達統計上之顯著水準</w:t>
      </w:r>
      <w:r w:rsidR="0049577B" w:rsidRPr="00814432">
        <w:rPr>
          <w:rStyle w:val="af7"/>
          <w:rFonts w:eastAsia="新細明體"/>
          <w:sz w:val="20"/>
        </w:rPr>
        <w:footnoteReference w:id="204"/>
      </w:r>
      <w:r w:rsidR="0049577B" w:rsidRPr="00B40DC1">
        <w:t>。</w:t>
      </w:r>
    </w:p>
    <w:p w:rsidR="0049577B" w:rsidRPr="00B40DC1" w:rsidRDefault="00814432" w:rsidP="003409A9">
      <w:pPr>
        <w:spacing w:line="240" w:lineRule="auto"/>
        <w:ind w:leftChars="0" w:left="0" w:rightChars="0" w:right="0"/>
      </w:pPr>
      <w:r>
        <w:t xml:space="preserve">　　</w:t>
      </w:r>
      <w:r w:rsidR="0049577B" w:rsidRPr="00B40DC1">
        <w:t>另外，就各州「失業人口百分比例」（Percent of population unemployed）而言，其對於強制性交率之標準化路徑係數為＋0.152，其表示當控制迴歸方程式中之其他變項後，每增加「失業人口百分比例」一個標準差，則會導致強制性交率上揚0.152個標準差，意味著「失業人口百分比例」對於強制性交率具有正向且直接之作用力，並已達統計上之顯著水準</w:t>
      </w:r>
      <w:r w:rsidR="0049577B" w:rsidRPr="003409A9">
        <w:rPr>
          <w:rStyle w:val="af7"/>
          <w:rFonts w:eastAsia="新細明體"/>
          <w:sz w:val="20"/>
        </w:rPr>
        <w:footnoteReference w:id="205"/>
      </w:r>
      <w:r w:rsidR="0049577B" w:rsidRPr="00B40DC1">
        <w:t>。</w:t>
      </w:r>
      <w:r w:rsidR="0049577B" w:rsidRPr="00B40DC1">
        <w:cr/>
        <w:t xml:space="preserve">　　由上述之分析，吾人可得出此種變項間之關連性，其顯示出假若某一個社會其結合都會化、經濟不平等及失業等因素，則其所建構之社會，具有增加強制性交率發生之特性。因為路徑係數是已經過標準化（standardized），故對於強制性交率的各個預測變項，可藉由已標準化之路徑係數值大小，作為評估相對重要性（evaluate the relative importance of individual predictor variables）之判斷準則。經比較路徑係數值之結果，最強之前三名預測變項，其分別為：色情雜誌的流通率（＋0.599），次之為「大都會化之程度」（＋0.531），再次之為「社會解組」（＋0.402）。另外，尚有三個變項對於強制性交率亦具有作用力，依序為：「基尼指數」（經濟收入之不平等）（＋0.353），次之為「各州失業人口百分比例」（＋0.152），再次之為「性別平等」（-0.230，對強制性交率具有負向作用力）。上述六個變項對於強制性交率之發生，具有直接之作用力，且均已達統計上之顯著水準，共計可解釋83%美國各州之間強制性交率之變異情況(Larry Baron &amp; Murray A</w:t>
      </w:r>
      <w:r w:rsidR="003C1792">
        <w:t>.</w:t>
      </w:r>
      <w:r w:rsidR="0049577B" w:rsidRPr="00B40DC1">
        <w:t>Straus，1989)，亦即，可解釋83%強制性交率之變異量（F=40.93, p&lt;0.001），上述83%之數值，是根據決定係數（coefficient of determination）作為標準</w:t>
      </w:r>
      <w:r w:rsidR="0049577B" w:rsidRPr="00814432">
        <w:rPr>
          <w:rStyle w:val="af7"/>
          <w:rFonts w:eastAsia="新細明體"/>
          <w:sz w:val="20"/>
        </w:rPr>
        <w:footnoteReference w:id="206"/>
      </w:r>
      <w:r w:rsidR="0049577B" w:rsidRPr="00B40DC1">
        <w:t>。</w:t>
      </w:r>
    </w:p>
    <w:p w:rsidR="0049577B" w:rsidRPr="00B40DC1" w:rsidRDefault="00814432" w:rsidP="003409A9">
      <w:pPr>
        <w:spacing w:line="240" w:lineRule="auto"/>
        <w:ind w:leftChars="0" w:left="0" w:rightChars="0" w:right="0"/>
      </w:pPr>
      <w:r>
        <w:t xml:space="preserve">　　</w:t>
      </w:r>
      <w:r w:rsidR="0049577B" w:rsidRPr="00B40DC1">
        <w:t>所謂可解釋83%各州間強制性交率之變異量，係指由上述6個變項所構成之線性組合（linear combination），可解釋83%強制性交率之變異量。因為有如此高之解釋量，故Larry &amp; Straus兩人宣稱，他們所建構之理論架構圖，幾乎可以解釋美國各州之間強制性交率發生之變異情形</w:t>
      </w:r>
      <w:r w:rsidR="0049577B" w:rsidRPr="003409A9">
        <w:rPr>
          <w:rStyle w:val="af7"/>
          <w:rFonts w:eastAsia="新細明體"/>
          <w:sz w:val="20"/>
        </w:rPr>
        <w:footnoteReference w:id="207"/>
      </w:r>
      <w:r w:rsidR="0049577B" w:rsidRPr="00B40DC1">
        <w:t>。</w:t>
      </w:r>
      <w:r w:rsidR="0049577B" w:rsidRPr="00B40DC1">
        <w:cr/>
      </w:r>
      <w:r w:rsidR="003409A9">
        <w:t xml:space="preserve">　　</w:t>
      </w:r>
      <w:r w:rsidR="0049577B" w:rsidRPr="00B40DC1">
        <w:t>以上，係為Larry Baron &amp; Murray A</w:t>
      </w:r>
      <w:r w:rsidR="003C1792">
        <w:t>.</w:t>
      </w:r>
      <w:r w:rsidR="0049577B" w:rsidRPr="00B40DC1">
        <w:t>Straus(1989)之研究成果，綜合而言，可解釋強制性交犯罪之自變項(對於強制性交率具有作用力)，計有：1、色情雜誌的流通率（＋0.599）；2、「大都會化之程度」（＋0.531）；3、「社會解組」（＋0.402）；4、「基尼指數」（經濟收入之不平等）（＋0.353）；5、「各州失業人口百分比例」（＋0.152）；6、「性別平等」（-0.230，對強制性交率具有負向作用力）。上述六個變項對於強制性交率之發生，具有直接之作用力，共計可解釋83%美國各州之間強制性交率之變異情況</w:t>
      </w:r>
      <w:r w:rsidR="0049577B" w:rsidRPr="003409A9">
        <w:rPr>
          <w:rStyle w:val="af7"/>
          <w:rFonts w:eastAsia="新細明體"/>
          <w:sz w:val="20"/>
        </w:rPr>
        <w:footnoteReference w:id="208"/>
      </w:r>
      <w:r w:rsidR="0049577B" w:rsidRPr="00B40DC1">
        <w:t>。</w:t>
      </w:r>
    </w:p>
    <w:p w:rsidR="0049577B" w:rsidRPr="00B40DC1" w:rsidRDefault="003409A9" w:rsidP="003409A9">
      <w:pPr>
        <w:spacing w:line="240" w:lineRule="auto"/>
        <w:ind w:leftChars="0" w:left="0" w:rightChars="0" w:right="0"/>
      </w:pPr>
      <w:r>
        <w:t xml:space="preserve">　　</w:t>
      </w:r>
      <w:r w:rsidR="0049577B" w:rsidRPr="00B40DC1">
        <w:t>相較於本書之研究成果，本書所建構之多元迴歸分析模型整體之R平方解釋量，係為0.962</w:t>
      </w:r>
      <w:r w:rsidR="003C1792">
        <w:t>(</w:t>
      </w:r>
      <w:r w:rsidR="0049577B" w:rsidRPr="00B40DC1">
        <w:t>以影響當年度強制性交犯罪(1992年至2016年)相關因子(原因變項)之多元迴歸分析統計數據結果一覽表(本表係使用強迫進入法之迴歸分析方式)為例)，共計可解釋96.2%台灣地區當年度強制性交犯罪之變異情況，並不亞於Larry Baron &amp; Murray A</w:t>
      </w:r>
      <w:r w:rsidR="003C1792">
        <w:t>.</w:t>
      </w:r>
      <w:r w:rsidR="0049577B" w:rsidRPr="00B40DC1">
        <w:t>Straus(1989)之研究模式。</w:t>
      </w:r>
    </w:p>
    <w:p w:rsidR="0049577B" w:rsidRPr="00B40DC1" w:rsidRDefault="003409A9" w:rsidP="003409A9">
      <w:pPr>
        <w:spacing w:line="240" w:lineRule="auto"/>
        <w:ind w:leftChars="0" w:left="0" w:rightChars="0" w:right="0"/>
      </w:pPr>
      <w:r>
        <w:t xml:space="preserve">　　</w:t>
      </w:r>
      <w:r w:rsidR="0049577B" w:rsidRPr="00B40DC1">
        <w:t>在台美兩國自變項之比較方面，台美兩國之失業率，均對當年度強制性交犯罪產生正向之作用力。以我國為例，每提升失業率1個單位之標準差(1個標準單位)，則可增加0.839個單位之標準差(標準化迴歸係數值，Beta=0.839)之當年度強制性交犯罪。</w:t>
      </w:r>
    </w:p>
    <w:p w:rsidR="0049577B" w:rsidRPr="00B40DC1" w:rsidRDefault="003409A9" w:rsidP="003409A9">
      <w:pPr>
        <w:spacing w:line="240" w:lineRule="auto"/>
        <w:ind w:leftChars="0" w:left="0" w:rightChars="0" w:right="0"/>
      </w:pPr>
      <w:r>
        <w:t xml:space="preserve">　　</w:t>
      </w:r>
      <w:r w:rsidR="0049577B" w:rsidRPr="00B40DC1">
        <w:t>在「基尼指數」方面，我國之「基尼指數」，本書因未測量之，故無法得知「基尼指數」對當年度強制性交犯罪產生之作用力為何？但在美國，「基尼指數」，會對當年度強制性交犯罪產生正向之作用力(Larry Baron &amp; Murray A</w:t>
      </w:r>
      <w:r w:rsidR="003C1792">
        <w:t>.</w:t>
      </w:r>
      <w:r w:rsidR="0049577B" w:rsidRPr="00B40DC1">
        <w:t>Straus，1989)。在美國，不論是單身男性，或是男性之人口比例，均未對強制性交犯罪產生作用力。在台灣，情況略有不同，每提升35歲以上人口之中，男性未婚之比例 1個單位之標準差(1個標準單位)，則可降低0.820個單位之標準差(標準化迴歸係數值，Beta=-0.820)之當年度強制性交犯罪。</w:t>
      </w:r>
    </w:p>
    <w:p w:rsidR="0049577B" w:rsidRPr="00B40DC1" w:rsidRDefault="003409A9" w:rsidP="003409A9">
      <w:pPr>
        <w:spacing w:line="240" w:lineRule="auto"/>
        <w:ind w:leftChars="0" w:left="0" w:rightChars="0" w:right="0"/>
      </w:pPr>
      <w:r>
        <w:t xml:space="preserve">　　</w:t>
      </w:r>
      <w:r w:rsidR="0049577B" w:rsidRPr="00B40DC1">
        <w:t>在傳統觀念中，可能會認為35歲以上人口之中，男性如未婚，在性需求無法獲得滿足之下，有很高之機率，可能會從事強制性交犯罪，藉此，以滿足性需求。此種之推論，僅是心理上、主觀上之推測，經本書之探討，不論是台灣或美國，單身男性，均未對強制性交犯罪產生「正向」作用力。在台灣，35歲以上人口之中，男性未婚之比例之自變項(因子)，反而是預防強制性交犯罪之一大利器與因子。此種之結果，出人意料之外。</w:t>
      </w:r>
    </w:p>
    <w:p w:rsidR="003C1792" w:rsidRDefault="0049577B" w:rsidP="003409A9">
      <w:pPr>
        <w:spacing w:line="240" w:lineRule="auto"/>
        <w:ind w:leftChars="0" w:left="0" w:rightChars="0" w:right="0"/>
      </w:pPr>
      <w:r w:rsidRPr="00B40DC1">
        <w:t>在死刑嚇阻力方面，台美兩國之死刑，均未對當年度強制性交犯罪產生負向之嚇阻作用力。在Larry Baron &amp; Murray A</w:t>
      </w:r>
      <w:r w:rsidR="003C1792">
        <w:t>.</w:t>
      </w:r>
      <w:r w:rsidRPr="00B40DC1">
        <w:t>Straus(1989)之研究中，死刑之測量，被融入於「正當化暴力」之測量之中，Larry Baron &amp; Murray A</w:t>
      </w:r>
      <w:r w:rsidR="003C1792">
        <w:t>.</w:t>
      </w:r>
      <w:r w:rsidRPr="00B40DC1">
        <w:t>Straus(1989)係使用「正當化暴力指標」（Legitimate Violence Index，簡稱為LVX），由下列題目組成</w:t>
      </w:r>
      <w:r w:rsidRPr="003409A9">
        <w:rPr>
          <w:rStyle w:val="af7"/>
          <w:rFonts w:eastAsia="新細明體"/>
          <w:sz w:val="20"/>
        </w:rPr>
        <w:footnoteReference w:id="209"/>
      </w:r>
      <w:r w:rsidRPr="00B40DC1">
        <w:t>：</w:t>
      </w:r>
    </w:p>
    <w:p w:rsidR="003C1792" w:rsidRDefault="003409A9" w:rsidP="003409A9">
      <w:pPr>
        <w:spacing w:line="240" w:lineRule="auto"/>
        <w:ind w:leftChars="0" w:left="0" w:rightChars="0" w:right="0"/>
      </w:pPr>
      <w:r>
        <w:t xml:space="preserve">　　</w:t>
      </w:r>
      <w:r w:rsidR="0049577B" w:rsidRPr="00B40DC1">
        <w:t>(1).觀看暴力型電視節目指標（每州觀看六種最具有暴力色彩節目之人口數目）。</w:t>
      </w:r>
    </w:p>
    <w:p w:rsidR="003C1792" w:rsidRDefault="003409A9" w:rsidP="003409A9">
      <w:pPr>
        <w:spacing w:line="240" w:lineRule="auto"/>
        <w:ind w:leftChars="0" w:left="0" w:rightChars="0" w:right="0"/>
      </w:pPr>
      <w:r>
        <w:t xml:space="preserve">　　</w:t>
      </w:r>
      <w:r w:rsidR="0049577B" w:rsidRPr="00B40DC1">
        <w:t>(2).暴力型雜誌流通指標（每州之中，五種最具有暴力色彩之雜誌，其銷售之數量）。</w:t>
      </w:r>
    </w:p>
    <w:p w:rsidR="0049577B" w:rsidRPr="00B40DC1" w:rsidRDefault="003409A9" w:rsidP="003409A9">
      <w:pPr>
        <w:spacing w:line="240" w:lineRule="auto"/>
        <w:ind w:leftChars="0" w:left="0" w:rightChars="0" w:right="0"/>
      </w:pPr>
      <w:r>
        <w:t xml:space="preserve">　　</w:t>
      </w:r>
      <w:r w:rsidR="0049577B" w:rsidRPr="00B40DC1">
        <w:t>(3).每1000人中，擔任「國家警衛」（National Guard）之人口比例。</w:t>
      </w:r>
    </w:p>
    <w:p w:rsidR="003C1792" w:rsidRDefault="003409A9" w:rsidP="003409A9">
      <w:pPr>
        <w:spacing w:line="240" w:lineRule="auto"/>
        <w:ind w:leftChars="0" w:left="0" w:rightChars="0" w:right="0"/>
      </w:pPr>
      <w:r>
        <w:t xml:space="preserve">　　</w:t>
      </w:r>
      <w:r w:rsidR="0049577B" w:rsidRPr="00B40DC1">
        <w:t>(4).「國家警衛」費用之支出。</w:t>
      </w:r>
    </w:p>
    <w:p w:rsidR="003C1792" w:rsidRDefault="003409A9" w:rsidP="003409A9">
      <w:pPr>
        <w:spacing w:line="240" w:lineRule="auto"/>
        <w:ind w:leftChars="0" w:left="0" w:rightChars="0" w:right="0"/>
      </w:pPr>
      <w:r>
        <w:t xml:space="preserve">　　</w:t>
      </w:r>
      <w:r w:rsidR="0049577B" w:rsidRPr="00B40DC1">
        <w:t>(5).在每州之中，成為全國校際運動協會足球成員之人口比例（足球被美國人視為是最具暴力色彩之運動）。</w:t>
      </w:r>
    </w:p>
    <w:p w:rsidR="0049577B" w:rsidRPr="00B40DC1" w:rsidRDefault="003409A9" w:rsidP="003409A9">
      <w:pPr>
        <w:spacing w:line="240" w:lineRule="auto"/>
        <w:ind w:leftChars="0" w:left="0" w:rightChars="0" w:right="0"/>
      </w:pPr>
      <w:r>
        <w:t xml:space="preserve">　　</w:t>
      </w:r>
      <w:r w:rsidR="0049577B" w:rsidRPr="00B40DC1">
        <w:t>(6).每10萬人口之中，擁有獵槍執照之人口比例。</w:t>
      </w:r>
    </w:p>
    <w:p w:rsidR="0049577B" w:rsidRPr="00B40DC1" w:rsidRDefault="003409A9" w:rsidP="003409A9">
      <w:pPr>
        <w:spacing w:line="240" w:lineRule="auto"/>
        <w:ind w:leftChars="0" w:left="0" w:rightChars="0" w:right="0"/>
      </w:pPr>
      <w:r>
        <w:t xml:space="preserve">　　</w:t>
      </w:r>
      <w:r w:rsidR="0049577B" w:rsidRPr="00B40DC1">
        <w:t>(7).法律允許教師體罰之情境與條件（假若允許體罰之條件愈多，則體罰分數愈高）。</w:t>
      </w:r>
    </w:p>
    <w:p w:rsidR="0049577B" w:rsidRPr="00B40DC1" w:rsidRDefault="003409A9" w:rsidP="003409A9">
      <w:pPr>
        <w:spacing w:line="240" w:lineRule="auto"/>
        <w:ind w:leftChars="0" w:left="0" w:rightChars="0" w:right="0"/>
      </w:pPr>
      <w:r>
        <w:t xml:space="preserve">　　</w:t>
      </w:r>
      <w:r w:rsidR="0049577B" w:rsidRPr="00B40DC1">
        <w:t>(8).每100萬人口中，曾遭受私刑之人數（persons lynched）。</w:t>
      </w:r>
    </w:p>
    <w:p w:rsidR="003C1792" w:rsidRDefault="003409A9" w:rsidP="003409A9">
      <w:pPr>
        <w:spacing w:line="240" w:lineRule="auto"/>
        <w:ind w:leftChars="0" w:left="0" w:rightChars="0" w:right="0"/>
      </w:pPr>
      <w:r>
        <w:t xml:space="preserve">　　</w:t>
      </w:r>
      <w:r w:rsidR="0049577B" w:rsidRPr="00B40DC1">
        <w:t>(9).每10萬人口中，白人殺人犯被判處死刑之人數（whites sentenced to Death Per 100,000 white Homicide Arrests, 1980）。</w:t>
      </w:r>
    </w:p>
    <w:p w:rsidR="003C1792" w:rsidRDefault="003409A9" w:rsidP="003409A9">
      <w:pPr>
        <w:spacing w:line="240" w:lineRule="auto"/>
        <w:ind w:leftChars="0" w:left="0" w:rightChars="0" w:right="0"/>
      </w:pPr>
      <w:r>
        <w:t xml:space="preserve">　　</w:t>
      </w:r>
      <w:r w:rsidR="0049577B" w:rsidRPr="00B40DC1">
        <w:t>(10).每10萬人口中，黑人殺人犯被判處死刑之人數。</w:t>
      </w:r>
    </w:p>
    <w:p w:rsidR="0049577B" w:rsidRPr="00B40DC1" w:rsidRDefault="003409A9" w:rsidP="003409A9">
      <w:pPr>
        <w:spacing w:line="240" w:lineRule="auto"/>
        <w:ind w:leftChars="0" w:left="0" w:rightChars="0" w:right="0"/>
      </w:pPr>
      <w:r>
        <w:t xml:space="preserve">　　</w:t>
      </w:r>
      <w:r w:rsidR="0049577B" w:rsidRPr="00B40DC1">
        <w:t>(11).1940至1959年間，因殺人被執行死刑之比率（Ratio of Execution Rate to Homicide Rate）。</w:t>
      </w:r>
    </w:p>
    <w:p w:rsidR="0049577B" w:rsidRPr="00B40DC1" w:rsidRDefault="003409A9" w:rsidP="003409A9">
      <w:pPr>
        <w:spacing w:line="240" w:lineRule="auto"/>
        <w:ind w:leftChars="0" w:left="0" w:rightChars="0" w:right="0"/>
      </w:pPr>
      <w:r>
        <w:t xml:space="preserve">　　</w:t>
      </w:r>
      <w:r w:rsidR="0049577B" w:rsidRPr="00B40DC1">
        <w:t>(12).1960至1978年間，因殺人被執行死刑之比率。</w:t>
      </w:r>
    </w:p>
    <w:p w:rsidR="0049577B" w:rsidRPr="00B40DC1" w:rsidRDefault="0049577B" w:rsidP="003409A9">
      <w:pPr>
        <w:spacing w:line="240" w:lineRule="auto"/>
        <w:ind w:leftChars="0" w:left="0" w:rightChars="0" w:right="0"/>
      </w:pPr>
    </w:p>
    <w:p w:rsidR="0049577B" w:rsidRPr="00B40DC1" w:rsidRDefault="003409A9" w:rsidP="003409A9">
      <w:pPr>
        <w:spacing w:line="240" w:lineRule="auto"/>
        <w:ind w:leftChars="0" w:left="0" w:rightChars="0" w:right="0"/>
      </w:pPr>
      <w:r>
        <w:t xml:space="preserve">　　</w:t>
      </w:r>
      <w:r w:rsidR="0049577B" w:rsidRPr="00B40DC1">
        <w:t>Larry Baron &amp; Murray A</w:t>
      </w:r>
      <w:r w:rsidR="003C1792">
        <w:t>.</w:t>
      </w:r>
      <w:r w:rsidR="0049577B" w:rsidRPr="00B40DC1">
        <w:t>Straus(1989)之研究表示，「正當化暴力」對於強制性交犯罪不具有作用力（對立假設為具有作用力），故未顯示出其路徑係數。亦即，死刑未對當年度強制性交犯罪產生負向之嚇阻作用力。在台灣，死刑亦未對當年度強制性交犯罪產生負向之嚇阻作用力</w:t>
      </w:r>
      <w:r w:rsidR="0049577B" w:rsidRPr="00042127">
        <w:rPr>
          <w:rStyle w:val="af7"/>
          <w:rFonts w:eastAsia="新細明體"/>
          <w:sz w:val="20"/>
        </w:rPr>
        <w:footnoteReference w:id="210"/>
      </w:r>
      <w:r w:rsidR="0049577B" w:rsidRPr="00B40DC1">
        <w:t>。</w:t>
      </w:r>
    </w:p>
    <w:p w:rsidR="0049577B" w:rsidRPr="00B40DC1" w:rsidRDefault="003409A9" w:rsidP="002031B1">
      <w:pPr>
        <w:spacing w:line="240" w:lineRule="auto"/>
        <w:ind w:leftChars="0" w:left="0" w:rightChars="0" w:right="0"/>
      </w:pPr>
      <w:r>
        <w:t xml:space="preserve">　　</w:t>
      </w:r>
      <w:r w:rsidR="0049577B" w:rsidRPr="00B40DC1">
        <w:t>根據Donnerstein, Linz &amp; Penrod</w:t>
      </w:r>
      <w:r w:rsidR="003C1792">
        <w:t>(</w:t>
      </w:r>
      <w:r w:rsidR="0049577B" w:rsidRPr="00B40DC1">
        <w:t>1987)之研究，假若色情之中，其缺乏暴力之色彩，亦即，純粹為性(sex)之展現而已，則此種不具暴力之色情，將不會造成女性遭受暴力攻擊事件之增加。另外在實驗室內進行之實驗研究，以及時間系列研究，均顯示色情與性攻擊兩者不具關連性（no relationship between pornography and sexual aggression）</w:t>
      </w:r>
      <w:r w:rsidR="0049577B" w:rsidRPr="00042127">
        <w:rPr>
          <w:rStyle w:val="af7"/>
          <w:rFonts w:eastAsia="新細明體"/>
          <w:sz w:val="20"/>
        </w:rPr>
        <w:footnoteReference w:id="211"/>
      </w:r>
      <w:r w:rsidR="0049577B" w:rsidRPr="00B40DC1">
        <w:t>。</w:t>
      </w:r>
    </w:p>
    <w:p w:rsidR="0049577B" w:rsidRPr="00B40DC1" w:rsidRDefault="003409A9" w:rsidP="002031B1">
      <w:pPr>
        <w:spacing w:line="240" w:lineRule="auto"/>
        <w:ind w:leftChars="0" w:left="0" w:rightChars="0" w:right="0"/>
      </w:pPr>
      <w:r>
        <w:t xml:space="preserve">　　</w:t>
      </w:r>
      <w:r w:rsidR="0049577B" w:rsidRPr="00B40DC1">
        <w:t>上述之實驗研究，研究人員為Donnerstein, Line &amp; Penrod</w:t>
      </w:r>
      <w:r w:rsidR="003C1792">
        <w:t>(</w:t>
      </w:r>
      <w:r w:rsidR="0049577B" w:rsidRPr="00B40DC1">
        <w:t>1987)，假若實驗樣本暴露於不具暴力之色情圖畫情境中，令其觀看這些生動之色情圖畫，結果為「降低」對女性之攻擊（diminish aggression against women）。另外，在其他之時間系列研究成果方面，研究人員為Kutchinsky</w:t>
      </w:r>
      <w:r w:rsidR="003C1792">
        <w:t>(</w:t>
      </w:r>
      <w:r w:rsidR="0049577B" w:rsidRPr="00B40DC1">
        <w:t>1988)，其檢視美國、丹麥、瑞典及西德若干年之時間，發現當上述國家對色情加以合法化後，其與色情相關之週邊性產品流通量上增，但，經過幾年之時間後，強制性交率並未上升或下降（either no increase or a decrease in the rape rate in the years following the legalization）</w:t>
      </w:r>
      <w:r w:rsidR="0049577B" w:rsidRPr="00042127">
        <w:rPr>
          <w:rStyle w:val="af7"/>
          <w:rFonts w:eastAsia="新細明體"/>
          <w:sz w:val="20"/>
        </w:rPr>
        <w:footnoteReference w:id="212"/>
      </w:r>
      <w:r w:rsidR="0049577B" w:rsidRPr="00B40DC1">
        <w:t>。</w:t>
      </w:r>
      <w:r w:rsidR="0049577B" w:rsidRPr="00B40DC1">
        <w:cr/>
      </w:r>
      <w:r>
        <w:t xml:space="preserve">　　</w:t>
      </w:r>
      <w:r w:rsidR="0049577B" w:rsidRPr="00B40DC1">
        <w:t>再者，根據Dietz, Hany, &amp; Hazelwood</w:t>
      </w:r>
      <w:r w:rsidR="003C1792">
        <w:t>(</w:t>
      </w:r>
      <w:r w:rsidR="0049577B" w:rsidRPr="00B40DC1">
        <w:t>1986), Malamuth &amp; Spinner</w:t>
      </w:r>
      <w:r w:rsidR="003C1792">
        <w:t>(</w:t>
      </w:r>
      <w:r w:rsidR="0049577B" w:rsidRPr="00B40DC1">
        <w:t>1980)及Scott</w:t>
      </w:r>
      <w:r w:rsidR="003C1792">
        <w:t>(</w:t>
      </w:r>
      <w:r w:rsidR="0049577B" w:rsidRPr="00B40DC1">
        <w:t>1985)等人之研究，其比較兩種傳媒之內容，第一種傳媒之內容，是屬於具有明確「性」之色彩；第二種傳媒之內涵，是不具有性色彩（nonsexual media），結果發現具有鮮明「性」色彩之傳媒，其中所包涵之暴力，是遠低於不具性色彩傳媒中暴力之數量（there is much less violence in sexually explicit media than in nonsexual media），為何會如此呢﹖其原因在於色情之雜誌、光碟、錄影帶…等等產品，其完全聚焦於「性」（sex），而非「暴力」，這是為什麼大部份之人們購買色情雜誌之理由。Linz, Donnerstein &amp; Penrod</w:t>
      </w:r>
      <w:r w:rsidR="003C1792">
        <w:t>(</w:t>
      </w:r>
      <w:r w:rsidR="0049577B" w:rsidRPr="00B40DC1">
        <w:t>1984)指出，假若社會大眾對觀看「暴力」感到興趣，則他（她）們可切換電視之頻道，選看具暴力色彩之電視節目，或者，到其家中附近之錄影帶出租店，其可承租相關暴力之影片，諸如殺人…等帶子回家觀看即可，其並不會購買色情雜誌，而期望在其中觀賞暴力之內容，因色情雜誌展現之內容為「性」而非「暴力」</w:t>
      </w:r>
      <w:r w:rsidR="0049577B" w:rsidRPr="00042127">
        <w:rPr>
          <w:rStyle w:val="af7"/>
          <w:rFonts w:eastAsia="新細明體"/>
          <w:sz w:val="20"/>
        </w:rPr>
        <w:footnoteReference w:id="213"/>
      </w:r>
      <w:r w:rsidR="0049577B" w:rsidRPr="00B40DC1">
        <w:t>。</w:t>
      </w:r>
      <w:r w:rsidR="0049577B" w:rsidRPr="00B40DC1">
        <w:cr/>
      </w:r>
      <w:r>
        <w:t xml:space="preserve">　　</w:t>
      </w:r>
      <w:r w:rsidR="0049577B" w:rsidRPr="00B40DC1">
        <w:t>根據Goffman</w:t>
      </w:r>
      <w:r w:rsidR="003C1792">
        <w:t>(</w:t>
      </w:r>
      <w:r w:rsidR="0049577B" w:rsidRPr="00B40DC1">
        <w:t>1979)、Russ</w:t>
      </w:r>
      <w:r w:rsidR="003C1792">
        <w:t>(</w:t>
      </w:r>
      <w:r w:rsidR="0049577B" w:rsidRPr="00B40DC1">
        <w:t>1985)及Steele</w:t>
      </w:r>
      <w:r w:rsidR="003C1792">
        <w:t>(</w:t>
      </w:r>
      <w:r w:rsidR="0049577B" w:rsidRPr="00B40DC1">
        <w:t>1985)研究發現，其比較色情雜誌與其他傳媒，何者之內容較具有性別歧視之色彩？結果發現並沒有證據顯示色情雜誌較其他傳媒更會普遍地歧視女性。Steele</w:t>
      </w:r>
      <w:r w:rsidR="003C1792">
        <w:t>(</w:t>
      </w:r>
      <w:r w:rsidR="0049577B" w:rsidRPr="00B40DC1">
        <w:t>1985)指出，在各式各樣的傳媒中，到處可見歧視女性之內容，並非僅限於色情（not limited to pornography）。Steele</w:t>
      </w:r>
      <w:r w:rsidR="003C1792">
        <w:t>(</w:t>
      </w:r>
      <w:r w:rsidR="0049577B" w:rsidRPr="00B40DC1">
        <w:t>1985)反諷這些「反色情十字軍聖戰士」（antipornography crusaders），其為何「偏愛」色情﹖事實上，在其他之傳媒中，諸如廣告（advertisement）、羅曼史言情小說及女性雜誌等，隱含有更多之性別歧視，不過，上述之「反色情十字軍聖戰士」似乎是忽略了其他之傳媒，而獨獨「偏愛」色情</w:t>
      </w:r>
      <w:r w:rsidR="0049577B" w:rsidRPr="00042127">
        <w:rPr>
          <w:rStyle w:val="af7"/>
          <w:rFonts w:eastAsia="新細明體"/>
          <w:sz w:val="20"/>
        </w:rPr>
        <w:footnoteReference w:id="214"/>
      </w:r>
      <w:r w:rsidR="0049577B" w:rsidRPr="00B40DC1">
        <w:t>。</w:t>
      </w:r>
    </w:p>
    <w:p w:rsidR="0049577B" w:rsidRPr="00B40DC1" w:rsidRDefault="003409A9" w:rsidP="002031B1">
      <w:pPr>
        <w:spacing w:line="240" w:lineRule="auto"/>
        <w:ind w:leftChars="0" w:left="0" w:rightChars="0" w:right="0"/>
      </w:pPr>
      <w:r>
        <w:t xml:space="preserve">　　</w:t>
      </w:r>
      <w:r w:rsidR="0049577B" w:rsidRPr="00B40DC1">
        <w:t>Larry Baron &amp; Murray A</w:t>
      </w:r>
      <w:r w:rsidR="003C1792">
        <w:t>.</w:t>
      </w:r>
      <w:r w:rsidR="0049577B" w:rsidRPr="00B40DC1">
        <w:t>Straus兩位研究人員對於色情施加於強制性交率之正向且直接之作用力，似乎有刻意迴避之嫌，在他們嚴謹的實證研究中，吾人可發現，對於強制性交率具有正向且直接之最大作用力者，係為「色情雜誌之流通率」，其標準化路徑係數為＋0.599。另外，Larry及Straus亦發現，名為「壞女孩」之女性雜誌，其流通量與強制性交率有高度之關連性，其積差相關係數r=0.68，而關於上述雜誌的消費群是以男性為主。從上述之實證研究，吾人可發現，事實上，色情對於強制性交犯罪而言，仍具有正向且直接之作用力，不過，很可惜地，Larry Baron &amp; Murray A</w:t>
      </w:r>
      <w:r w:rsidR="003C1792">
        <w:t>.</w:t>
      </w:r>
      <w:r w:rsidR="0049577B" w:rsidRPr="00B40DC1">
        <w:t>Straus</w:t>
      </w:r>
      <w:r w:rsidR="0049577B" w:rsidRPr="00B40DC1">
        <w:rPr>
          <w:rStyle w:val="af7"/>
          <w:rFonts w:ascii="標楷體" w:hAnsi="標楷體"/>
        </w:rPr>
        <w:footnoteReference w:id="215"/>
      </w:r>
      <w:r w:rsidR="0049577B" w:rsidRPr="00B40DC1">
        <w:t>刻意迴避此一問題</w:t>
      </w:r>
      <w:r w:rsidR="0049577B" w:rsidRPr="00042127">
        <w:rPr>
          <w:rStyle w:val="af7"/>
          <w:rFonts w:eastAsia="新細明體"/>
          <w:sz w:val="20"/>
        </w:rPr>
        <w:footnoteReference w:id="216"/>
      </w:r>
      <w:r w:rsidR="0049577B" w:rsidRPr="00B40DC1">
        <w:t>。</w:t>
      </w:r>
    </w:p>
    <w:p w:rsidR="0049577B" w:rsidRPr="00B40DC1" w:rsidRDefault="003409A9" w:rsidP="002031B1">
      <w:pPr>
        <w:spacing w:line="240" w:lineRule="auto"/>
        <w:ind w:leftChars="0" w:left="0" w:rightChars="0" w:right="0"/>
      </w:pPr>
      <w:r>
        <w:t xml:space="preserve">　　</w:t>
      </w:r>
      <w:r w:rsidR="0049577B" w:rsidRPr="00B40DC1">
        <w:t>此外，許得洋君(2017)則指出，針對台灣地區而言，涉及男同志之間之性侵，具有以下之特色</w:t>
      </w:r>
      <w:r w:rsidR="0049577B" w:rsidRPr="00042127">
        <w:rPr>
          <w:rStyle w:val="af7"/>
          <w:rFonts w:eastAsia="新細明體"/>
          <w:sz w:val="20"/>
        </w:rPr>
        <w:footnoteReference w:id="217"/>
      </w:r>
      <w:r w:rsidR="0049577B" w:rsidRPr="00B40DC1">
        <w:t>：</w:t>
      </w:r>
    </w:p>
    <w:p w:rsidR="0049577B" w:rsidRPr="00B40DC1" w:rsidRDefault="003409A9" w:rsidP="002031B1">
      <w:pPr>
        <w:spacing w:line="240" w:lineRule="auto"/>
        <w:ind w:leftChars="0" w:left="0" w:rightChars="0" w:right="0"/>
      </w:pPr>
      <w:r>
        <w:t xml:space="preserve">　　</w:t>
      </w:r>
      <w:r w:rsidR="0049577B" w:rsidRPr="00B40DC1">
        <w:t>(1)男同志被性侵害經驗有性侵害循環現象，即因果循環之現象；</w:t>
      </w:r>
    </w:p>
    <w:p w:rsidR="0049577B" w:rsidRPr="00B40DC1" w:rsidRDefault="003409A9" w:rsidP="002031B1">
      <w:pPr>
        <w:spacing w:line="240" w:lineRule="auto"/>
        <w:ind w:leftChars="0" w:left="0" w:rightChars="0" w:right="0"/>
      </w:pPr>
      <w:r>
        <w:t xml:space="preserve">　　</w:t>
      </w:r>
      <w:r w:rsidR="0049577B" w:rsidRPr="00B40DC1">
        <w:t>(2)性侵害他人次數與被性侵害經驗次數，兩個變項之間，具有正相關；</w:t>
      </w:r>
    </w:p>
    <w:p w:rsidR="0049577B" w:rsidRPr="00B40DC1" w:rsidRDefault="003409A9" w:rsidP="002031B1">
      <w:pPr>
        <w:spacing w:line="240" w:lineRule="auto"/>
        <w:ind w:leftChars="0" w:left="0" w:rightChars="0" w:right="0"/>
      </w:pPr>
      <w:r>
        <w:t xml:space="preserve">　　</w:t>
      </w:r>
      <w:r w:rsidR="0049577B" w:rsidRPr="00B40DC1">
        <w:t>(3)與首次被性侵害年齡具有負相關；</w:t>
      </w:r>
    </w:p>
    <w:p w:rsidR="0049577B" w:rsidRPr="00B40DC1" w:rsidRDefault="003409A9" w:rsidP="002031B1">
      <w:pPr>
        <w:spacing w:line="240" w:lineRule="auto"/>
        <w:ind w:leftChars="0" w:left="0" w:rightChars="0" w:right="0"/>
      </w:pPr>
      <w:r>
        <w:t xml:space="preserve">　　</w:t>
      </w:r>
      <w:r w:rsidR="0049577B" w:rsidRPr="00B40DC1">
        <w:t>(4)首次性侵害行為年齡與首次被性侵害年齡，兩個變項之間，亦具有正相關。</w:t>
      </w:r>
    </w:p>
    <w:p w:rsidR="0049577B" w:rsidRPr="00B40DC1" w:rsidRDefault="0049577B" w:rsidP="002031B1">
      <w:pPr>
        <w:spacing w:line="240" w:lineRule="auto"/>
        <w:ind w:leftChars="0" w:left="0" w:rightChars="0" w:right="0"/>
      </w:pPr>
    </w:p>
    <w:p w:rsidR="0049577B" w:rsidRPr="00B40DC1" w:rsidRDefault="003409A9" w:rsidP="002031B1">
      <w:pPr>
        <w:spacing w:line="240" w:lineRule="auto"/>
        <w:ind w:leftChars="0" w:left="0" w:rightChars="0" w:right="0"/>
      </w:pPr>
      <w:r>
        <w:t xml:space="preserve">　　</w:t>
      </w:r>
      <w:r w:rsidR="0049577B" w:rsidRPr="00B40DC1">
        <w:t>根據Donnerstein, Linz &amp; Penrod</w:t>
      </w:r>
      <w:r w:rsidR="003C1792">
        <w:t>(</w:t>
      </w:r>
      <w:r w:rsidR="0049577B" w:rsidRPr="00B40DC1">
        <w:t>1987)之研究，「暴力」（violence）本身亦會促進攻擊行為之發生，而上述之暴力，可能具有色情之成份，亦可能不具色情色彩。是以，假若果真欲管制強制性交犯罪之成因，應對「暴力」加以管制。事實上，巿面上之電影，充斥著暴力，諸如名片「藍波」（Rambo），但，社會大眾並未有對於「暴力」電影加以禁止之呼聲</w:t>
      </w:r>
      <w:r w:rsidR="0049577B" w:rsidRPr="00042127">
        <w:rPr>
          <w:rStyle w:val="af7"/>
          <w:rFonts w:eastAsia="新細明體"/>
          <w:sz w:val="20"/>
        </w:rPr>
        <w:footnoteReference w:id="218"/>
      </w:r>
      <w:r w:rsidR="0049577B" w:rsidRPr="00B40DC1">
        <w:t>。</w:t>
      </w:r>
    </w:p>
    <w:p w:rsidR="0049577B" w:rsidRPr="00B40DC1" w:rsidRDefault="003409A9" w:rsidP="002031B1">
      <w:pPr>
        <w:spacing w:line="240" w:lineRule="auto"/>
        <w:ind w:leftChars="0" w:left="0" w:rightChars="0" w:right="0"/>
      </w:pPr>
      <w:r>
        <w:t xml:space="preserve">　　</w:t>
      </w:r>
      <w:r w:rsidR="0049577B" w:rsidRPr="00B40DC1">
        <w:t>根據Larry Baron &amp; Murray A</w:t>
      </w:r>
      <w:r w:rsidR="003C1792">
        <w:t>.</w:t>
      </w:r>
      <w:r w:rsidR="0049577B" w:rsidRPr="00B40DC1">
        <w:t>Straus嚴謹之實證研究，吾人可發現，影響強制性交率之最大因素，係為「色情雜誌之流通量」，其具有正向及直接之作用力，且是最具影響力之自變項，故，筆者認為，色情傳媒仍然是有加以管制及取締之必要。在法律之適用方面，色情傳媒之處罰，係規範於刑法第</w:t>
      </w:r>
      <w:hyperlink r:id="rId257" w:anchor="a230" w:history="1">
        <w:r w:rsidR="0049577B" w:rsidRPr="00BF13FB">
          <w:rPr>
            <w:rStyle w:val="a7"/>
            <w:rFonts w:cs="Times New Roman"/>
            <w:lang w:eastAsia="zh-TW" w:bidi="ar-SA"/>
          </w:rPr>
          <w:t>16章之一</w:t>
        </w:r>
      </w:hyperlink>
      <w:r w:rsidR="0049577B" w:rsidRPr="00B40DC1">
        <w:t>的「妨害風化罪」。</w:t>
      </w:r>
    </w:p>
    <w:p w:rsidR="0049577B" w:rsidRPr="00B40DC1" w:rsidRDefault="00A662A2" w:rsidP="002031B1">
      <w:pPr>
        <w:spacing w:line="240" w:lineRule="auto"/>
        <w:ind w:leftChars="0" w:left="0" w:rightChars="0" w:right="0"/>
      </w:pPr>
      <w:r>
        <w:t xml:space="preserve">　　</w:t>
      </w:r>
      <w:r w:rsidR="0049577B" w:rsidRPr="00B40DC1">
        <w:t>根據刑法</w:t>
      </w:r>
      <w:hyperlink r:id="rId258" w:anchor="a235" w:history="1">
        <w:r w:rsidR="0049577B" w:rsidRPr="00A662A2">
          <w:rPr>
            <w:rStyle w:val="a7"/>
            <w:rFonts w:cs="Times New Roman"/>
            <w:lang w:eastAsia="zh-TW" w:bidi="ar-SA"/>
          </w:rPr>
          <w:t>第235條</w:t>
        </w:r>
      </w:hyperlink>
      <w:r w:rsidR="0049577B" w:rsidRPr="00B40DC1">
        <w:t>第1項之規定：「散布、播送或販賣猥褻之文字、圖畫、聲音、影像或其他物品，或公然陳列，或以他法供人觀覽、聽聞者，處二年以下有期徒刑、拘役或併科三萬元以下罰金。」由刑</w:t>
      </w:r>
      <w:r w:rsidR="00BF13FB" w:rsidRPr="00B40DC1">
        <w:t>法</w:t>
      </w:r>
      <w:hyperlink r:id="rId259" w:anchor="a235" w:history="1">
        <w:r w:rsidR="00BF13FB" w:rsidRPr="00A662A2">
          <w:rPr>
            <w:rStyle w:val="a7"/>
            <w:rFonts w:cs="Times New Roman"/>
            <w:lang w:eastAsia="zh-TW" w:bidi="ar-SA"/>
          </w:rPr>
          <w:t>第235條</w:t>
        </w:r>
      </w:hyperlink>
      <w:r w:rsidR="0049577B" w:rsidRPr="00B40DC1">
        <w:t>之規定，吾人可看出，我國對於色情仍是採取禁制措施，在規範之內涵方面，其計包括：猥褻之文字、圖畫、聲音、影像或其他物品，對於此種刑事立法，個人亦表贊同</w:t>
      </w:r>
      <w:r w:rsidR="0049577B" w:rsidRPr="00042127">
        <w:rPr>
          <w:rStyle w:val="af7"/>
          <w:rFonts w:eastAsia="新細明體"/>
          <w:sz w:val="20"/>
        </w:rPr>
        <w:footnoteReference w:id="219"/>
      </w:r>
      <w:r w:rsidR="0049577B" w:rsidRPr="00B40DC1">
        <w:t>。因為，色情與強制性交犯罪具有高度關連性。</w:t>
      </w:r>
      <w:r w:rsidR="0049577B" w:rsidRPr="00B40DC1">
        <w:cr/>
      </w:r>
      <w:r w:rsidR="003409A9">
        <w:t xml:space="preserve">　　</w:t>
      </w:r>
      <w:r w:rsidR="0049577B" w:rsidRPr="00B40DC1">
        <w:t>有論者主張：「綜觀世界各國之刑事立法例，對於猥褻文字、圖畫、影像或其他物品，均採除罪化之立法趨勢，而改採行政管制，使猥褻物品亦如同自由巿場上之其他商品，只是對於提供兒童或青少年觀覽，或販售予兒童或青少年者，始有秩序罰之處罰。我國此等高標準之嚴苛立法，各級執法機關只好以「立法從嚴、執法從寬」，以配合社會現實。如此之執法，終將損傷</w:t>
      </w:r>
      <w:hyperlink r:id="rId260" w:history="1">
        <w:r w:rsidR="0049577B" w:rsidRPr="004501CB">
          <w:rPr>
            <w:rStyle w:val="a7"/>
            <w:rFonts w:cs="Times New Roman"/>
            <w:lang w:eastAsia="zh-TW" w:bidi="ar-SA"/>
          </w:rPr>
          <w:t>刑法</w:t>
        </w:r>
      </w:hyperlink>
      <w:r w:rsidR="0049577B" w:rsidRPr="00B40DC1">
        <w:t>之威信。解決之道，即是將本條（刑</w:t>
      </w:r>
      <w:r w:rsidR="00BF13FB" w:rsidRPr="00B40DC1">
        <w:t>法</w:t>
      </w:r>
      <w:hyperlink r:id="rId261" w:anchor="a235" w:history="1">
        <w:r w:rsidR="00BF13FB" w:rsidRPr="00A662A2">
          <w:rPr>
            <w:rStyle w:val="a7"/>
            <w:rFonts w:cs="Times New Roman"/>
            <w:lang w:eastAsia="zh-TW" w:bidi="ar-SA"/>
          </w:rPr>
          <w:t>第235條</w:t>
        </w:r>
      </w:hyperlink>
      <w:r w:rsidR="0049577B" w:rsidRPr="00B40DC1">
        <w:t>）刪除，予以除罪化，而提供猥褻物品予兒童或青少年觀賞之營利行為，或販售予兒童或青少年猥褻物品之行為，則改列於保護兒童或青少年之法律或「</w:t>
      </w:r>
      <w:hyperlink r:id="rId262" w:history="1">
        <w:r w:rsidR="0049577B" w:rsidRPr="00BF13FB">
          <w:rPr>
            <w:rStyle w:val="a7"/>
            <w:rFonts w:cs="Times New Roman"/>
            <w:lang w:eastAsia="zh-TW" w:bidi="ar-SA"/>
          </w:rPr>
          <w:t>社會秩序維護法</w:t>
        </w:r>
      </w:hyperlink>
      <w:r w:rsidR="0049577B" w:rsidRPr="00B40DC1">
        <w:t>」中，而賦予秩序罰之法律效果，即為已足</w:t>
      </w:r>
      <w:r w:rsidR="0049577B" w:rsidRPr="00042127">
        <w:rPr>
          <w:rStyle w:val="af7"/>
          <w:rFonts w:eastAsia="新細明體"/>
          <w:sz w:val="20"/>
        </w:rPr>
        <w:footnoteReference w:id="220"/>
      </w:r>
      <w:r w:rsidR="0049577B" w:rsidRPr="00B40DC1">
        <w:t>」。本文對於此種論點，不表贊同。</w:t>
      </w:r>
      <w:r w:rsidR="0049577B" w:rsidRPr="00B40DC1">
        <w:cr/>
        <w:t xml:space="preserve">　　個人認為，在中國之古代，是非常重視及規制男女之性交行為。佛教淨土宗第13代祖師印光大師，其在「印光法師文鈔三編卷二」第347頁之「復真淨居士書」一文中</w:t>
      </w:r>
      <w:r w:rsidR="0049577B" w:rsidRPr="00042127">
        <w:rPr>
          <w:rStyle w:val="af7"/>
          <w:rFonts w:eastAsia="新細明體"/>
          <w:sz w:val="20"/>
        </w:rPr>
        <w:footnoteReference w:id="221"/>
      </w:r>
      <w:r w:rsidR="0049577B" w:rsidRPr="00B40DC1">
        <w:t>，其即提到，中國古代於春天將發大雷雨之節日前三天，政府（官府）會命令官吏，手持木鐸巡於道路，告訴民眾大雷將發聲，勸導男女勿從事性交行為，否則，所生子女肢體不全，或生怪物，夫婦或死，或得惡疾，故曰「必有凶災」，此是國家之政令。印光大師有關於上述之論述，其在「復真淨居士」一文中之原文如下：「古人重民生，禮月令，仲春先雷三日，遒人以木鐸巡於道路曰，雷將發聲，其有不戒其容止者（即房事），生子不備，必有凶災（或肢體不全，或生怪物，其夫婦或死亡，或得惡疾，故曰必有凶災），此國家政令也。今則父母師長，絕不與兒女談及此事，及至得病，醫生亦不令戒房事，蓋不以人命為重…汝之病，無論是因何而起，均以永斷房事，為速愈之策……。」</w:t>
      </w:r>
      <w:r w:rsidR="0049577B" w:rsidRPr="00042127">
        <w:rPr>
          <w:rStyle w:val="af7"/>
          <w:rFonts w:eastAsia="新細明體"/>
          <w:sz w:val="20"/>
        </w:rPr>
        <w:footnoteReference w:id="222"/>
      </w:r>
      <w:r w:rsidR="0049577B" w:rsidRPr="00B40DC1">
        <w:t>從上述之分析中，可得知中國是非常重視禮儀之國度，亦關心民眾之身體健康。不過，現代之台灣，法律規範大多朝國外之立法例作學習之榜樣，但，在移植國外之法規範時，似亦應加以本土化。</w:t>
      </w:r>
    </w:p>
    <w:p w:rsidR="0049577B" w:rsidRPr="00B40DC1" w:rsidRDefault="003409A9" w:rsidP="002031B1">
      <w:pPr>
        <w:spacing w:line="240" w:lineRule="auto"/>
        <w:ind w:leftChars="0" w:left="0" w:rightChars="0" w:right="0"/>
      </w:pPr>
      <w:r>
        <w:t xml:space="preserve">　　</w:t>
      </w:r>
      <w:r w:rsidR="0049577B" w:rsidRPr="00B40DC1">
        <w:t>就禁止色情而言，個人認為目前刑</w:t>
      </w:r>
      <w:r w:rsidR="00BF13FB" w:rsidRPr="00B40DC1">
        <w:t>法</w:t>
      </w:r>
      <w:hyperlink r:id="rId263" w:anchor="a235" w:history="1">
        <w:r w:rsidR="00BF13FB" w:rsidRPr="00A662A2">
          <w:rPr>
            <w:rStyle w:val="a7"/>
            <w:rFonts w:cs="Times New Roman"/>
            <w:lang w:eastAsia="zh-TW" w:bidi="ar-SA"/>
          </w:rPr>
          <w:t>第235條</w:t>
        </w:r>
      </w:hyperlink>
      <w:r w:rsidR="0049577B" w:rsidRPr="00B40DC1">
        <w:t>之規範，頗符合中國傳統之道德規範，不過，與中國古代之政令相較，這應是「超低之道德規範」。假若採取除罪化立法例，則台灣更將到處充斥色情，對「保護兒童」而言，無異是一種諷刺，且就Larry Baron &amp; Murray A</w:t>
      </w:r>
      <w:r w:rsidR="003C1792">
        <w:t>.</w:t>
      </w:r>
      <w:r w:rsidR="0049577B" w:rsidRPr="00B40DC1">
        <w:t>Straus之研究發現，「色情雜誌之流通率」其對於強制性交犯罪之標準化路徑係數為＋0.599，在色情充斥之環境中，根據上述之實證發現，強制性交犯罪率將會上升。另外，就印光法師之主張，人民壽命亦因性交次數過於頻繁，身體非常易於罹病，導致短命或多病，此非國家強盛之道</w:t>
      </w:r>
      <w:r w:rsidR="0049577B" w:rsidRPr="00042127">
        <w:rPr>
          <w:rStyle w:val="af7"/>
          <w:rFonts w:eastAsia="新細明體"/>
          <w:sz w:val="20"/>
        </w:rPr>
        <w:footnoteReference w:id="223"/>
      </w:r>
      <w:r w:rsidR="0049577B" w:rsidRPr="00B40DC1">
        <w:t>。</w:t>
      </w:r>
      <w:r w:rsidR="0049577B" w:rsidRPr="00B40DC1">
        <w:cr/>
        <w:t xml:space="preserve">　　另外，聶雲台氏在其所著「保富法」一書(民國32年)中</w:t>
      </w:r>
      <w:r w:rsidR="0049577B" w:rsidRPr="00042127">
        <w:rPr>
          <w:rStyle w:val="af7"/>
          <w:rFonts w:eastAsia="新細明體"/>
          <w:sz w:val="20"/>
        </w:rPr>
        <w:footnoteReference w:id="224"/>
      </w:r>
      <w:r w:rsidR="0049577B" w:rsidRPr="00B40DC1">
        <w:t>，其亦提及美國之犯罪報告，在1939年1年之間，犯風化罪者，陡增7%；過去六年間，犯強制性交罪陡增50%，聯邦偵緝局（此應為美國聯邦調查局）局長胡佛宣言云：「青年道德墮落，犯罪增加，實由色情刊物充斥所致。」監獄官洛爾士君言：「我所接觸的許多案件，皆是受色情刊物之影響。」美聯邦監獄處主任倍次宣稱：「犯罪案如此激增，皆由報紙多載風化案，及電影與色情刊物之影響。」胡佛氏又言，美國現正努力剷除此類導淫刊物。聶雲台氏(民國32年)指出，人類有思想，因耳目之接觸，感情隨之衝動；惟有嚴定禮法，避免其接觸之機會，始能減少其情慾之衝動。故，老子曰：「不見可欲，使民心不亂。」換言之，見可欲，則心易亂</w:t>
      </w:r>
      <w:r w:rsidR="0049577B" w:rsidRPr="00042127">
        <w:rPr>
          <w:rStyle w:val="af7"/>
          <w:rFonts w:eastAsia="新細明體"/>
          <w:sz w:val="20"/>
        </w:rPr>
        <w:footnoteReference w:id="225"/>
      </w:r>
      <w:r w:rsidR="0049577B" w:rsidRPr="00B40DC1">
        <w:t>。</w:t>
      </w:r>
      <w:r w:rsidR="0049577B" w:rsidRPr="00B40DC1">
        <w:cr/>
      </w:r>
      <w:r>
        <w:t xml:space="preserve">　　</w:t>
      </w:r>
      <w:r w:rsidR="0049577B" w:rsidRPr="00B40DC1">
        <w:t>從Larry Baron &amp; Murray A</w:t>
      </w:r>
      <w:r w:rsidR="003C1792">
        <w:t>.</w:t>
      </w:r>
      <w:r w:rsidR="0049577B" w:rsidRPr="00B40DC1">
        <w:t>Straus之實證結果，以及本文之深入探討，吾人可發現，對於解釋強制性交之四種理論，除了「正當化暴力理論」(內含死刑之測量)未具有直接之作用力外，其餘之三種理論：(1).性別不平等理論；(2).色情；(3).社會解組等理論，均對強制性交犯罪產生直接之作用力。其中，以「色情雜誌之流通率」解釋力最強，雖然，Larry Baron &amp; Murray A</w:t>
      </w:r>
      <w:r w:rsidR="003C1792">
        <w:t>.</w:t>
      </w:r>
      <w:r w:rsidR="0049577B" w:rsidRPr="00B40DC1">
        <w:t>Straus有刻意忽視此種發現與結果之嫌，不過，個人認為，在作政策之推演時，著實應正視「色情」之影響力。國內部分刑法學者，力主刑</w:t>
      </w:r>
      <w:r w:rsidR="005467C0" w:rsidRPr="00B40DC1">
        <w:t>法</w:t>
      </w:r>
      <w:hyperlink r:id="rId264" w:anchor="a235" w:history="1">
        <w:r w:rsidR="005467C0" w:rsidRPr="00A662A2">
          <w:rPr>
            <w:rStyle w:val="a7"/>
            <w:rFonts w:cs="Times New Roman"/>
            <w:lang w:eastAsia="zh-TW" w:bidi="ar-SA"/>
          </w:rPr>
          <w:t>第235條</w:t>
        </w:r>
      </w:hyperlink>
      <w:r w:rsidR="0049577B" w:rsidRPr="00B40DC1">
        <w:t>猥褻物品應除罪化</w:t>
      </w:r>
      <w:r w:rsidR="0049577B" w:rsidRPr="00042127">
        <w:rPr>
          <w:rStyle w:val="af7"/>
          <w:rFonts w:eastAsia="新細明體"/>
          <w:sz w:val="20"/>
        </w:rPr>
        <w:footnoteReference w:id="226"/>
      </w:r>
      <w:r w:rsidR="0049577B" w:rsidRPr="00B40DC1">
        <w:t>。本文從質化與量化之方法，經深入分析後，認為此種之主張，學理上，或可參考之，但並非可行之道，本文擬再次強調美國監獄官洛爾士君之觀察結果：「我所接觸的許多案件，皆是受色情刊物之影響。」我國目前之社會，仍宜對色情採取「犯罪化」之刑事立法例，綜上，本書作者對於現行刑</w:t>
      </w:r>
      <w:r w:rsidR="00BF13FB" w:rsidRPr="00B40DC1">
        <w:t>法</w:t>
      </w:r>
      <w:hyperlink r:id="rId265" w:anchor="a235" w:history="1">
        <w:r w:rsidR="00BF13FB" w:rsidRPr="00A662A2">
          <w:rPr>
            <w:rStyle w:val="a7"/>
            <w:rFonts w:cs="Times New Roman"/>
            <w:lang w:eastAsia="zh-TW" w:bidi="ar-SA"/>
          </w:rPr>
          <w:t>第235條</w:t>
        </w:r>
      </w:hyperlink>
      <w:r w:rsidR="0049577B" w:rsidRPr="00B40DC1">
        <w:t>之規範內涵，表示贊同，並且認為上述之立法體例，即以刑事處罰手段作為罰則之立法，殊值讚揚，是為良善之立法。</w:t>
      </w:r>
    </w:p>
    <w:p w:rsidR="0049577B" w:rsidRPr="00B40DC1" w:rsidRDefault="003409A9" w:rsidP="002031B1">
      <w:pPr>
        <w:spacing w:line="240" w:lineRule="auto"/>
        <w:ind w:leftChars="0" w:left="0" w:rightChars="0" w:right="0"/>
      </w:pPr>
      <w:r>
        <w:t xml:space="preserve">　　</w:t>
      </w:r>
      <w:r w:rsidR="0049577B" w:rsidRPr="00B40DC1">
        <w:t>反面言之，如主張對於猥褻文字、圖畫、影像或其他物品，採除罪化之論點，恐缺乏任何科學實證之論證基石---主因在於無法有效地檢視猥褻文字、圖畫、影像或其他物品之流通，其與強制性交犯罪之間，究竟是否具有正向或負向之影響力？無法提出任何之科學實證，故主張對於猥褻文字、圖畫、影像或其他物品，採除罪化之論點，並非科學上之論述方法，是一種反科學之論點。</w:t>
      </w:r>
    </w:p>
    <w:p w:rsidR="0049577B" w:rsidRPr="00B40DC1" w:rsidRDefault="003409A9" w:rsidP="002031B1">
      <w:pPr>
        <w:spacing w:line="240" w:lineRule="auto"/>
        <w:ind w:leftChars="0" w:left="0" w:rightChars="0" w:right="0"/>
      </w:pPr>
      <w:r>
        <w:t xml:space="preserve">　　</w:t>
      </w:r>
      <w:r w:rsidR="0049577B" w:rsidRPr="00B40DC1">
        <w:t>有可能作此種反科學主張之論者，主因如下：1、較缺乏實證科學之訓練；2、缺少研究方法、統計學、量化研究、統計應用軟體SPSS之操作使用之學術訓練；3、再加上無法充分地、廣泛地、深入地閱讀相關之實證科學之量化研究報告，諸如：未閱讀Larry Baron &amp; Murray A</w:t>
      </w:r>
      <w:r w:rsidR="003C1792">
        <w:t>.</w:t>
      </w:r>
      <w:r w:rsidR="0049577B" w:rsidRPr="00B40DC1">
        <w:t>Straus(1989)所出版之專著---Four Theories of Rape in American Society: A State-Level Analysis；4、亦未能深入了解Larry Baron &amp; Murray A</w:t>
      </w:r>
      <w:r w:rsidR="003C1792">
        <w:t>.</w:t>
      </w:r>
      <w:r w:rsidR="0049577B" w:rsidRPr="00B40DC1">
        <w:t>Straus(1989)所主張之「色情雜誌之流通率」其對於強制性交犯罪之標準化路徑係數為＋0.599之實際意義為何？導致誤解、錯解、認知錯誤所致。「色情雜誌之流通率」其對於強制性交犯罪之標準化路徑係數為＋0.599之實際意義，係為在控制迴歸方程式中其他變項之後，每增加「色情雜誌流通率」一個標準差，則會造成（導致）強制性交犯罪發生率提升0.599個標準差之變動。「色情雜誌流通率」導致強制性交犯罪發生率之發生，既深且廣，是獲得實證科學上之支持。故現行刑</w:t>
      </w:r>
      <w:r w:rsidR="00BF13FB" w:rsidRPr="00B40DC1">
        <w:t>法</w:t>
      </w:r>
      <w:hyperlink r:id="rId266" w:anchor="a235" w:history="1">
        <w:r w:rsidR="00BF13FB" w:rsidRPr="00A662A2">
          <w:rPr>
            <w:rStyle w:val="a7"/>
            <w:rFonts w:cs="Times New Roman"/>
            <w:lang w:eastAsia="zh-TW" w:bidi="ar-SA"/>
          </w:rPr>
          <w:t>第235條</w:t>
        </w:r>
      </w:hyperlink>
      <w:r w:rsidR="0049577B" w:rsidRPr="00B40DC1">
        <w:t>之規範內涵，是一種良性之法制。如主張對於猥褻文字、圖畫、影像或其他物品，採除罪化之論點，恐有再討論、再研議之空間。簡言之，作者反對、不苟同、不認同將猥褻文字、圖畫、影像或其他物品之流通採除罪化之論點。</w:t>
      </w:r>
    </w:p>
    <w:p w:rsidR="0049577B" w:rsidRPr="00B40DC1" w:rsidRDefault="003409A9" w:rsidP="002031B1">
      <w:pPr>
        <w:spacing w:line="240" w:lineRule="auto"/>
        <w:ind w:leftChars="0" w:left="0" w:rightChars="0" w:right="0"/>
      </w:pPr>
      <w:r>
        <w:t xml:space="preserve">　　</w:t>
      </w:r>
      <w:r w:rsidR="0049577B" w:rsidRPr="00B40DC1">
        <w:t>有鑑於「色情雜誌流通率」導致強制性交犯罪發生率之發生，既深且廣，另一種之對策，即為對色情雜誌施加「檢查」（審查，censorship），但其會面臨以下之困境---公民自由權受到威脅（threat to civil liberties）。假若我們承認「檢查制度」在民主社會中，基於道德之考量，是可被社會大眾接受，則此種「檢查制度」，除了對攻擊型及不堪入目之色情雜誌、電影、光碟……等等加以審查外，其易造成執政之政府部門，假藉「檢查」（審查）（censorship）之名，打壓政治上異議分子之言論自由，包括女性主義。Small</w:t>
      </w:r>
      <w:r w:rsidR="003C1792">
        <w:t>(</w:t>
      </w:r>
      <w:r w:rsidR="0049577B" w:rsidRPr="00B40DC1">
        <w:t>1985)就針對檢查色情之論調，提出下列質疑：「假若國家基於色情會引發強制性交之論點而禁止色情，則國家對於會引發社會革命，促使社會治安或風俗變壞之書籍，是否亦應禁止流通呢﹖」在此，實施「檢查制度」（審查）（censorship）之困境，是易令人們擔憂，國家假藉「檢查」（審查）（censorship）之名，行「獨裁管制」之實，尤其是易將「檢查」（審查）（censorship）之內涵與對象，擴大到對於政治上不同聲音之打壓，「檢查」（審查）（censorship）之機制，有可能造就獨裁者</w:t>
      </w:r>
      <w:r w:rsidR="0049577B" w:rsidRPr="00042127">
        <w:rPr>
          <w:rStyle w:val="af7"/>
          <w:rFonts w:eastAsia="新細明體"/>
          <w:sz w:val="20"/>
        </w:rPr>
        <w:footnoteReference w:id="227"/>
      </w:r>
      <w:r w:rsidR="0049577B" w:rsidRPr="00B40DC1">
        <w:t>。</w:t>
      </w:r>
    </w:p>
    <w:p w:rsidR="0049577B" w:rsidRPr="00B40DC1" w:rsidRDefault="003409A9" w:rsidP="002031B1">
      <w:pPr>
        <w:spacing w:line="240" w:lineRule="auto"/>
        <w:ind w:leftChars="0" w:left="0" w:rightChars="0" w:right="0"/>
      </w:pPr>
      <w:r>
        <w:t xml:space="preserve">　　</w:t>
      </w:r>
      <w:r w:rsidR="0049577B" w:rsidRPr="00B40DC1">
        <w:t>事實上，死刑亦是另類暴力，諸如：在Larry Baron &amp; Murray A</w:t>
      </w:r>
      <w:r w:rsidR="003C1792">
        <w:t>.</w:t>
      </w:r>
      <w:r w:rsidR="0049577B" w:rsidRPr="00B40DC1">
        <w:t>Straus(1989)之研究中，死刑之測量，被融入於「正當化暴力」之測量之中(內含死刑之測量)，「正當化暴力理論」(內含死刑之測量)對於強制性交犯罪，未具有直接之作用力。但，社會大眾對於「死刑」加以全面禁止之呼聲，未達成共識。因死刑亦是另類暴力，本書力主加以廢除之。</w:t>
      </w:r>
    </w:p>
    <w:p w:rsidR="0049577B" w:rsidRPr="00B40DC1" w:rsidRDefault="003409A9" w:rsidP="002031B1">
      <w:pPr>
        <w:spacing w:line="240" w:lineRule="auto"/>
        <w:ind w:leftChars="0" w:left="0" w:rightChars="0" w:right="0"/>
      </w:pPr>
      <w:r>
        <w:t xml:space="preserve">　　</w:t>
      </w:r>
      <w:r w:rsidR="0049577B" w:rsidRPr="00B40DC1">
        <w:t>由下表---影響下年度強制性交犯罪(1993年至2015年)相關因子(原因變項)之多元迴歸分析統計數據結果一覽表(本表係使用強迫進入法之迴歸分析方式)之統計資料可得知，依變項為下年度強制性交犯罪，所有自變項對依變項---下年度強制性交犯罪均無作用力(未達統計上之顯著水準)。</w:t>
      </w:r>
    </w:p>
    <w:p w:rsidR="0049577B" w:rsidRPr="00B40DC1" w:rsidRDefault="003409A9" w:rsidP="002031B1">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下年度強制性交犯罪。復次，無期徒刑亦無法有效地嚇阻(減少</w:t>
      </w:r>
      <w:r w:rsidR="00587200">
        <w:t>)</w:t>
      </w:r>
      <w:r w:rsidR="0049577B" w:rsidRPr="00B40DC1">
        <w:t>下年度強制性交犯罪。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3409A9">
      <w:pPr>
        <w:pStyle w:val="4"/>
        <w:rPr>
          <w:lang w:eastAsia="zh-TW"/>
        </w:rPr>
      </w:pPr>
      <w:r w:rsidRPr="00B40DC1">
        <w:rPr>
          <w:lang w:eastAsia="zh-TW"/>
        </w:rPr>
        <w:t>表34、影響下年度強制性交犯罪(1993年至2015年)相關因子(原因變項)之多元迴歸分析統計數據結果一覽表(本表係使用強迫進入法之迴歸分析方式)</w:t>
      </w:r>
      <w:r w:rsidRPr="002031B1">
        <w:rPr>
          <w:rStyle w:val="af7"/>
          <w:rFonts w:eastAsia="新細明體"/>
          <w:sz w:val="20"/>
        </w:rPr>
        <w:footnoteReference w:id="2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99"/>
        <w:gridCol w:w="1899"/>
        <w:gridCol w:w="1900"/>
      </w:tblGrid>
      <w:tr w:rsidR="0049577B" w:rsidRPr="00B40DC1" w:rsidTr="002031B1">
        <w:trPr>
          <w:tblHeader/>
        </w:trPr>
        <w:tc>
          <w:tcPr>
            <w:tcW w:w="3936" w:type="dxa"/>
            <w:shd w:val="clear" w:color="auto" w:fill="FAF0FA"/>
            <w:vAlign w:val="center"/>
          </w:tcPr>
          <w:p w:rsidR="009214BE" w:rsidRPr="00BF13FB" w:rsidRDefault="0049577B" w:rsidP="009214BE">
            <w:pPr>
              <w:spacing w:line="240" w:lineRule="auto"/>
              <w:ind w:leftChars="0" w:left="0" w:rightChars="0" w:right="0"/>
              <w:jc w:val="center"/>
              <w:rPr>
                <w:sz w:val="24"/>
              </w:rPr>
            </w:pPr>
            <w:r w:rsidRPr="00BF13FB">
              <w:rPr>
                <w:sz w:val="24"/>
              </w:rPr>
              <w:t>多元迴歸分析統計數據</w:t>
            </w:r>
          </w:p>
          <w:p w:rsidR="0049577B" w:rsidRPr="00BF13FB" w:rsidRDefault="0049577B" w:rsidP="009214BE">
            <w:pPr>
              <w:spacing w:line="240" w:lineRule="auto"/>
              <w:ind w:leftChars="0" w:left="0" w:rightChars="0" w:right="0"/>
              <w:jc w:val="center"/>
              <w:rPr>
                <w:sz w:val="24"/>
              </w:rPr>
            </w:pPr>
            <w:r w:rsidRPr="00BF13FB">
              <w:rPr>
                <w:sz w:val="24"/>
              </w:rPr>
              <w:t>自變項(解釋因子，independent variable)之名稱</w:t>
            </w:r>
          </w:p>
        </w:tc>
        <w:tc>
          <w:tcPr>
            <w:tcW w:w="1899" w:type="dxa"/>
            <w:shd w:val="clear" w:color="auto" w:fill="FAF0FA"/>
            <w:vAlign w:val="center"/>
          </w:tcPr>
          <w:p w:rsidR="0049577B" w:rsidRPr="00BF13FB" w:rsidRDefault="0049577B" w:rsidP="009214BE">
            <w:pPr>
              <w:spacing w:line="240" w:lineRule="auto"/>
              <w:ind w:leftChars="0" w:left="0" w:rightChars="0" w:right="0"/>
              <w:jc w:val="center"/>
              <w:rPr>
                <w:sz w:val="24"/>
              </w:rPr>
            </w:pPr>
            <w:r w:rsidRPr="00BF13FB">
              <w:rPr>
                <w:sz w:val="24"/>
              </w:rPr>
              <w:t>標準化迴歸係數值(Beta)</w:t>
            </w:r>
          </w:p>
        </w:tc>
        <w:tc>
          <w:tcPr>
            <w:tcW w:w="1899" w:type="dxa"/>
            <w:shd w:val="clear" w:color="auto" w:fill="FAF0FA"/>
            <w:vAlign w:val="center"/>
          </w:tcPr>
          <w:p w:rsidR="0049577B" w:rsidRPr="00BF13FB" w:rsidRDefault="0049577B" w:rsidP="009214BE">
            <w:pPr>
              <w:spacing w:line="240" w:lineRule="auto"/>
              <w:ind w:leftChars="0" w:left="0" w:rightChars="0" w:right="0"/>
              <w:jc w:val="center"/>
              <w:rPr>
                <w:sz w:val="24"/>
              </w:rPr>
            </w:pPr>
            <w:r w:rsidRPr="00BF13FB">
              <w:rPr>
                <w:sz w:val="24"/>
              </w:rPr>
              <w:t>標準化迴歸係數值(Beta)之顯著度(水準)</w:t>
            </w:r>
          </w:p>
        </w:tc>
        <w:tc>
          <w:tcPr>
            <w:tcW w:w="1900" w:type="dxa"/>
            <w:shd w:val="clear" w:color="auto" w:fill="FAF0FA"/>
            <w:vAlign w:val="center"/>
          </w:tcPr>
          <w:p w:rsidR="0049577B" w:rsidRPr="00BF13FB" w:rsidRDefault="0049577B" w:rsidP="009214BE">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9214BE">
            <w:pPr>
              <w:spacing w:line="240" w:lineRule="auto"/>
              <w:ind w:leftChars="0" w:left="0" w:rightChars="0" w:right="0"/>
              <w:rPr>
                <w:sz w:val="24"/>
              </w:rPr>
            </w:pPr>
            <w:r w:rsidRPr="00BF13FB">
              <w:rPr>
                <w:sz w:val="24"/>
              </w:rPr>
              <w:t>X1：失業率(1992-2016年)</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r w:rsidRPr="00BF13FB">
              <w:rPr>
                <w:sz w:val="24"/>
              </w:rPr>
              <w:t>0.207</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r w:rsidRPr="00BF13FB">
              <w:rPr>
                <w:sz w:val="24"/>
              </w:rPr>
              <w:t>0.453</w:t>
            </w:r>
          </w:p>
        </w:tc>
        <w:tc>
          <w:tcPr>
            <w:tcW w:w="1900" w:type="dxa"/>
            <w:shd w:val="clear" w:color="auto" w:fill="auto"/>
            <w:vAlign w:val="center"/>
          </w:tcPr>
          <w:p w:rsidR="0049577B" w:rsidRPr="00BF13FB" w:rsidRDefault="0049577B" w:rsidP="00B3048A">
            <w:pPr>
              <w:spacing w:line="240" w:lineRule="auto"/>
              <w:ind w:leftChars="0" w:left="0" w:rightChars="0" w:right="0"/>
              <w:jc w:val="center"/>
              <w:rPr>
                <w:sz w:val="24"/>
              </w:rPr>
            </w:pPr>
            <w:r w:rsidRPr="00BF13FB">
              <w:rPr>
                <w:sz w:val="24"/>
              </w:rPr>
              <w:t>7.190</w:t>
            </w:r>
          </w:p>
        </w:tc>
      </w:tr>
      <w:tr w:rsidR="0049577B" w:rsidRPr="00B40DC1" w:rsidTr="002031B1">
        <w:tc>
          <w:tcPr>
            <w:tcW w:w="3936" w:type="dxa"/>
            <w:shd w:val="clear" w:color="auto" w:fill="auto"/>
          </w:tcPr>
          <w:p w:rsidR="0049577B" w:rsidRPr="00BF13FB" w:rsidRDefault="0049577B" w:rsidP="009214BE">
            <w:pPr>
              <w:spacing w:line="240" w:lineRule="auto"/>
              <w:ind w:leftChars="0" w:left="0" w:rightChars="0" w:right="0"/>
              <w:rPr>
                <w:sz w:val="24"/>
              </w:rPr>
            </w:pPr>
            <w:r w:rsidRPr="00BF13FB">
              <w:rPr>
                <w:sz w:val="24"/>
              </w:rPr>
              <w:t>X2：結婚對數(1998-2013年)</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900"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9214BE">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900"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9214BE">
            <w:pPr>
              <w:spacing w:line="240" w:lineRule="auto"/>
              <w:ind w:leftChars="0" w:left="0" w:rightChars="0" w:right="0"/>
              <w:rPr>
                <w:sz w:val="24"/>
              </w:rPr>
            </w:pPr>
            <w:r w:rsidRPr="00BF13FB">
              <w:rPr>
                <w:sz w:val="24"/>
              </w:rPr>
              <w:t>X4：離婚率(1998-2013年)</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r w:rsidRPr="00BF13FB">
              <w:rPr>
                <w:sz w:val="24"/>
              </w:rPr>
              <w:t>0.458</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r w:rsidRPr="00BF13FB">
              <w:rPr>
                <w:sz w:val="24"/>
              </w:rPr>
              <w:t>0.110</w:t>
            </w:r>
          </w:p>
        </w:tc>
        <w:tc>
          <w:tcPr>
            <w:tcW w:w="1900" w:type="dxa"/>
            <w:shd w:val="clear" w:color="auto" w:fill="auto"/>
            <w:vAlign w:val="center"/>
          </w:tcPr>
          <w:p w:rsidR="0049577B" w:rsidRPr="00BF13FB" w:rsidRDefault="0049577B" w:rsidP="00B3048A">
            <w:pPr>
              <w:spacing w:line="240" w:lineRule="auto"/>
              <w:ind w:leftChars="0" w:left="0" w:rightChars="0" w:right="0"/>
              <w:jc w:val="center"/>
              <w:rPr>
                <w:sz w:val="24"/>
              </w:rPr>
            </w:pPr>
            <w:r w:rsidRPr="00BF13FB">
              <w:rPr>
                <w:sz w:val="24"/>
              </w:rPr>
              <w:t>29.368</w:t>
            </w:r>
          </w:p>
        </w:tc>
      </w:tr>
      <w:tr w:rsidR="0049577B" w:rsidRPr="00B40DC1" w:rsidTr="002031B1">
        <w:tc>
          <w:tcPr>
            <w:tcW w:w="3936" w:type="dxa"/>
            <w:shd w:val="clear" w:color="auto" w:fill="auto"/>
          </w:tcPr>
          <w:p w:rsidR="0049577B" w:rsidRPr="00BF13FB" w:rsidRDefault="0049577B" w:rsidP="009214BE">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900"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9214BE">
            <w:pPr>
              <w:spacing w:line="240" w:lineRule="auto"/>
              <w:ind w:leftChars="0" w:left="0" w:rightChars="0" w:right="0"/>
              <w:rPr>
                <w:sz w:val="24"/>
              </w:rPr>
            </w:pPr>
            <w:r w:rsidRPr="00BF13FB">
              <w:rPr>
                <w:sz w:val="24"/>
              </w:rPr>
              <w:t>X6：低收入戶之家庭及就學生活補助金額(1998-2013年)</w:t>
            </w:r>
            <w:r w:rsidRPr="00BF13FB">
              <w:rPr>
                <w:rStyle w:val="af7"/>
                <w:rFonts w:eastAsia="新細明體"/>
                <w:sz w:val="20"/>
              </w:rPr>
              <w:footnoteReference w:id="229"/>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900"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9214BE">
            <w:pPr>
              <w:spacing w:line="240" w:lineRule="auto"/>
              <w:ind w:leftChars="0" w:left="0" w:rightChars="0" w:right="0"/>
              <w:rPr>
                <w:sz w:val="24"/>
              </w:rPr>
            </w:pPr>
            <w:r w:rsidRPr="00BF13FB">
              <w:rPr>
                <w:sz w:val="24"/>
              </w:rPr>
              <w:t>X7：緩刑比率(1998-2013年)</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900"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9214BE">
            <w:pPr>
              <w:spacing w:line="240" w:lineRule="auto"/>
              <w:ind w:leftChars="0" w:left="0" w:rightChars="0" w:right="0"/>
              <w:rPr>
                <w:sz w:val="24"/>
              </w:rPr>
            </w:pPr>
            <w:r w:rsidRPr="00BF13FB">
              <w:rPr>
                <w:sz w:val="24"/>
              </w:rPr>
              <w:t>X8：無期徒刑之人數(1998-2013年)</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900"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9214BE">
            <w:pPr>
              <w:spacing w:line="240" w:lineRule="auto"/>
              <w:ind w:leftChars="0" w:left="0" w:rightChars="0" w:right="0"/>
              <w:rPr>
                <w:sz w:val="24"/>
              </w:rPr>
            </w:pPr>
            <w:r w:rsidRPr="00BF13FB">
              <w:rPr>
                <w:sz w:val="24"/>
              </w:rPr>
              <w:t>X9：被執行死刑之人數(1992-2016年)</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900"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9214BE">
            <w:pPr>
              <w:spacing w:line="240" w:lineRule="auto"/>
              <w:ind w:leftChars="0" w:left="0" w:rightChars="0" w:right="0"/>
              <w:rPr>
                <w:sz w:val="24"/>
              </w:rPr>
            </w:pPr>
            <w:r w:rsidRPr="00BF13FB">
              <w:rPr>
                <w:sz w:val="24"/>
              </w:rPr>
              <w:t>X10：當年度之全般刑案破獲率(1992-2016年)</w:t>
            </w: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899"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1900"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9214BE">
        <w:tc>
          <w:tcPr>
            <w:tcW w:w="9634" w:type="dxa"/>
            <w:gridSpan w:val="4"/>
            <w:shd w:val="clear" w:color="auto" w:fill="auto"/>
          </w:tcPr>
          <w:p w:rsidR="0049577B" w:rsidRPr="00BF13FB" w:rsidRDefault="0049577B" w:rsidP="009214BE">
            <w:pPr>
              <w:spacing w:line="240" w:lineRule="auto"/>
              <w:ind w:leftChars="0" w:left="0" w:rightChars="0" w:right="0"/>
              <w:rPr>
                <w:sz w:val="24"/>
              </w:rPr>
            </w:pPr>
            <w:r w:rsidRPr="00BF13FB">
              <w:rPr>
                <w:sz w:val="24"/>
              </w:rPr>
              <w:t>多元迴歸分析模型整體之R平方解釋量：0.260</w:t>
            </w:r>
          </w:p>
        </w:tc>
      </w:tr>
    </w:tbl>
    <w:p w:rsidR="0049577B" w:rsidRPr="00B40DC1" w:rsidRDefault="00817A92" w:rsidP="00B3048A">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2031B1">
      <w:pPr>
        <w:spacing w:line="240" w:lineRule="auto"/>
        <w:ind w:leftChars="0" w:left="0" w:rightChars="0" w:right="0"/>
      </w:pPr>
    </w:p>
    <w:p w:rsidR="0049577B" w:rsidRPr="00B40DC1" w:rsidRDefault="00B3048A" w:rsidP="002031B1">
      <w:pPr>
        <w:spacing w:line="240" w:lineRule="auto"/>
        <w:ind w:leftChars="0" w:left="0" w:rightChars="0" w:right="0"/>
      </w:pPr>
      <w:r>
        <w:t xml:space="preserve">　　</w:t>
      </w:r>
      <w:r w:rsidR="0049577B" w:rsidRPr="00B40DC1">
        <w:t>由下表---影響下年度強制性交犯罪(1993年至2015年)相關因子(原因變項)之多元迴歸分析統計數據結果一覽表(本表係使用逐步迴歸分析法之迴歸分析方式)之統計資料可得知，依變項為下年度強制性交犯罪，每提升低收入戶之家庭及就學生活補助金額1個單位之標準差(1個標準單位)，則可降低0.797個單位之標準差(標準化迴歸係數值，Beta=-0.797)之下年度強制性交犯罪。</w:t>
      </w:r>
    </w:p>
    <w:p w:rsidR="0049577B" w:rsidRPr="00B40DC1" w:rsidRDefault="00B3048A" w:rsidP="002031B1">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下年度強制性交犯罪。復次，無期徒刑亦無法有效地嚇阻(減少</w:t>
      </w:r>
      <w:r w:rsidR="00587200">
        <w:t>)</w:t>
      </w:r>
      <w:r w:rsidR="0049577B" w:rsidRPr="00B40DC1">
        <w:t>下年度強制性交犯罪。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B3048A">
      <w:pPr>
        <w:pStyle w:val="4"/>
        <w:rPr>
          <w:lang w:eastAsia="zh-TW"/>
        </w:rPr>
      </w:pPr>
      <w:r w:rsidRPr="00B40DC1">
        <w:rPr>
          <w:lang w:eastAsia="zh-TW"/>
        </w:rPr>
        <w:t>表35、影響下年度強制性交犯罪(1993年至2015年)相關因子(原因變項)之多元迴歸分析統計數據結果一覽表(本表係使用逐步迴歸分析法之迴歸分析方式)</w:t>
      </w:r>
      <w:r w:rsidRPr="00042127">
        <w:rPr>
          <w:rStyle w:val="af7"/>
          <w:rFonts w:eastAsia="新細明體"/>
          <w:sz w:val="20"/>
        </w:rPr>
        <w:footnoteReference w:id="23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EFFDFF"/>
            <w:vAlign w:val="center"/>
          </w:tcPr>
          <w:p w:rsidR="0049577B" w:rsidRPr="00BF13FB" w:rsidRDefault="0049577B" w:rsidP="002031B1">
            <w:pPr>
              <w:spacing w:line="240" w:lineRule="auto"/>
              <w:ind w:leftChars="0" w:left="0" w:rightChars="0" w:right="0"/>
              <w:jc w:val="center"/>
              <w:rPr>
                <w:sz w:val="24"/>
                <w:szCs w:val="24"/>
              </w:rPr>
            </w:pPr>
            <w:r w:rsidRPr="00BF13FB">
              <w:rPr>
                <w:sz w:val="24"/>
                <w:szCs w:val="24"/>
              </w:rPr>
              <w:t>多元迴歸分析統計數據</w:t>
            </w:r>
          </w:p>
          <w:p w:rsidR="0049577B" w:rsidRPr="00BF13FB" w:rsidRDefault="0049577B" w:rsidP="002031B1">
            <w:pPr>
              <w:spacing w:line="240" w:lineRule="auto"/>
              <w:ind w:leftChars="0" w:left="0" w:rightChars="0" w:right="0"/>
              <w:jc w:val="center"/>
              <w:rPr>
                <w:sz w:val="24"/>
                <w:szCs w:val="24"/>
              </w:rPr>
            </w:pPr>
            <w:r w:rsidRPr="00BF13FB">
              <w:rPr>
                <w:sz w:val="24"/>
                <w:szCs w:val="24"/>
              </w:rPr>
              <w:t>自變項(解釋因子，independent variable)之名稱</w:t>
            </w:r>
          </w:p>
        </w:tc>
        <w:tc>
          <w:tcPr>
            <w:tcW w:w="1946" w:type="dxa"/>
            <w:shd w:val="clear" w:color="auto" w:fill="EFFDFF"/>
            <w:vAlign w:val="center"/>
          </w:tcPr>
          <w:p w:rsidR="0049577B" w:rsidRPr="00BF13FB" w:rsidRDefault="0049577B" w:rsidP="002031B1">
            <w:pPr>
              <w:spacing w:line="240" w:lineRule="auto"/>
              <w:ind w:leftChars="0" w:left="0" w:rightChars="0" w:right="0"/>
              <w:jc w:val="center"/>
              <w:rPr>
                <w:sz w:val="24"/>
                <w:szCs w:val="24"/>
              </w:rPr>
            </w:pPr>
            <w:r w:rsidRPr="00BF13FB">
              <w:rPr>
                <w:sz w:val="24"/>
                <w:szCs w:val="24"/>
              </w:rPr>
              <w:t>標準化迴歸係數值(Beta)</w:t>
            </w:r>
          </w:p>
        </w:tc>
        <w:tc>
          <w:tcPr>
            <w:tcW w:w="1947" w:type="dxa"/>
            <w:shd w:val="clear" w:color="auto" w:fill="EFFDFF"/>
            <w:vAlign w:val="center"/>
          </w:tcPr>
          <w:p w:rsidR="0049577B" w:rsidRPr="00BF13FB" w:rsidRDefault="0049577B" w:rsidP="002031B1">
            <w:pPr>
              <w:spacing w:line="240" w:lineRule="auto"/>
              <w:ind w:leftChars="0" w:left="0" w:rightChars="0" w:right="0"/>
              <w:jc w:val="center"/>
              <w:rPr>
                <w:sz w:val="24"/>
                <w:szCs w:val="24"/>
              </w:rPr>
            </w:pPr>
            <w:r w:rsidRPr="00BF13FB">
              <w:rPr>
                <w:sz w:val="24"/>
                <w:szCs w:val="24"/>
              </w:rPr>
              <w:t>標準化迴歸係數值(Beta)之顯著度(水準)</w:t>
            </w:r>
          </w:p>
        </w:tc>
        <w:tc>
          <w:tcPr>
            <w:tcW w:w="1947" w:type="dxa"/>
            <w:shd w:val="clear" w:color="auto" w:fill="EFFDFF"/>
            <w:vAlign w:val="center"/>
          </w:tcPr>
          <w:p w:rsidR="0049577B" w:rsidRPr="00BF13FB" w:rsidRDefault="0049577B" w:rsidP="002031B1">
            <w:pPr>
              <w:spacing w:line="240" w:lineRule="auto"/>
              <w:ind w:leftChars="0" w:left="0" w:rightChars="0" w:right="0"/>
              <w:jc w:val="center"/>
              <w:rPr>
                <w:sz w:val="24"/>
                <w:szCs w:val="24"/>
              </w:rPr>
            </w:pPr>
            <w:r w:rsidRPr="00BF13FB">
              <w:rPr>
                <w:sz w:val="24"/>
                <w:szCs w:val="24"/>
              </w:rPr>
              <w:t>條件指標(CI)</w:t>
            </w:r>
            <w:r w:rsidR="003C1792" w:rsidRPr="00BF13FB">
              <w:rPr>
                <w:sz w:val="24"/>
                <w:szCs w:val="24"/>
              </w:rPr>
              <w:t>(</w:t>
            </w:r>
            <w:r w:rsidRPr="00BF13FB">
              <w:rPr>
                <w:sz w:val="24"/>
                <w:szCs w:val="24"/>
              </w:rPr>
              <w:t>檢視自變項是否有嚴重之共線問題)</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X1：失業率(1992-2016年)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X2：結婚對數(1998-2013年)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X3： 35歲以上人口之中，男性未婚之比例</w:t>
            </w:r>
            <w:r w:rsidR="003C1792" w:rsidRPr="00BF13FB">
              <w:rPr>
                <w:sz w:val="24"/>
                <w:szCs w:val="24"/>
              </w:rPr>
              <w:t>(</w:t>
            </w:r>
            <w:r w:rsidRPr="00BF13FB">
              <w:rPr>
                <w:sz w:val="24"/>
                <w:szCs w:val="24"/>
              </w:rPr>
              <w:t>1998-2013年)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X4：離婚率(1998-2013年)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X5：GNI(平均每人國民所得毛額，以美元為單位)</w:t>
            </w:r>
            <w:r w:rsidR="003C1792" w:rsidRPr="00BF13FB">
              <w:rPr>
                <w:sz w:val="24"/>
                <w:szCs w:val="24"/>
              </w:rPr>
              <w:t>(</w:t>
            </w:r>
            <w:r w:rsidRPr="00BF13FB">
              <w:rPr>
                <w:sz w:val="24"/>
                <w:szCs w:val="24"/>
              </w:rPr>
              <w:t>1992-2016年)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X6：低收入戶之家庭及就學生活補助金額(1998-2013年)</w:t>
            </w:r>
            <w:r w:rsidRPr="00BF13FB">
              <w:rPr>
                <w:rStyle w:val="af7"/>
                <w:rFonts w:eastAsia="新細明體"/>
                <w:sz w:val="20"/>
                <w:szCs w:val="24"/>
              </w:rPr>
              <w:footnoteReference w:id="231"/>
            </w:r>
          </w:p>
        </w:tc>
        <w:tc>
          <w:tcPr>
            <w:tcW w:w="1946" w:type="dxa"/>
            <w:shd w:val="clear" w:color="auto" w:fill="auto"/>
            <w:vAlign w:val="center"/>
          </w:tcPr>
          <w:p w:rsidR="0049577B" w:rsidRPr="00BF13FB" w:rsidRDefault="0049577B" w:rsidP="002031B1">
            <w:pPr>
              <w:spacing w:line="240" w:lineRule="auto"/>
              <w:ind w:leftChars="0" w:left="0" w:rightChars="0" w:right="0"/>
              <w:jc w:val="center"/>
              <w:rPr>
                <w:sz w:val="24"/>
                <w:szCs w:val="24"/>
              </w:rPr>
            </w:pPr>
            <w:r w:rsidRPr="00BF13FB">
              <w:rPr>
                <w:sz w:val="24"/>
                <w:szCs w:val="24"/>
              </w:rPr>
              <w:t>-0.797</w:t>
            </w:r>
          </w:p>
        </w:tc>
        <w:tc>
          <w:tcPr>
            <w:tcW w:w="1947" w:type="dxa"/>
            <w:shd w:val="clear" w:color="auto" w:fill="auto"/>
            <w:vAlign w:val="center"/>
          </w:tcPr>
          <w:p w:rsidR="0049577B" w:rsidRPr="00BF13FB" w:rsidRDefault="0049577B" w:rsidP="002031B1">
            <w:pPr>
              <w:spacing w:line="240" w:lineRule="auto"/>
              <w:ind w:leftChars="0" w:left="0" w:rightChars="0" w:right="0"/>
              <w:jc w:val="center"/>
              <w:rPr>
                <w:sz w:val="24"/>
                <w:szCs w:val="24"/>
              </w:rPr>
            </w:pPr>
            <w:r w:rsidRPr="00BF13FB">
              <w:rPr>
                <w:sz w:val="24"/>
                <w:szCs w:val="24"/>
              </w:rPr>
              <w:t>0.000</w:t>
            </w:r>
          </w:p>
        </w:tc>
        <w:tc>
          <w:tcPr>
            <w:tcW w:w="1947" w:type="dxa"/>
            <w:shd w:val="clear" w:color="auto" w:fill="auto"/>
            <w:vAlign w:val="center"/>
          </w:tcPr>
          <w:p w:rsidR="0049577B" w:rsidRPr="00BF13FB" w:rsidRDefault="0049577B" w:rsidP="002031B1">
            <w:pPr>
              <w:spacing w:line="240" w:lineRule="auto"/>
              <w:ind w:leftChars="0" w:left="0" w:rightChars="0" w:right="0"/>
              <w:jc w:val="center"/>
              <w:rPr>
                <w:sz w:val="24"/>
                <w:szCs w:val="24"/>
              </w:rPr>
            </w:pPr>
            <w:r w:rsidRPr="00BF13FB">
              <w:rPr>
                <w:sz w:val="24"/>
                <w:szCs w:val="24"/>
              </w:rPr>
              <w:t>4.491</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X7：緩刑比率(1998-2013年)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X8：無期徒刑之人數(1998-2013年)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X9：被執行死刑之人數(1992-2016年)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X10：當年度之全般刑案破獲率(1992-2016年)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B3048A">
        <w:tc>
          <w:tcPr>
            <w:tcW w:w="9776" w:type="dxa"/>
            <w:gridSpan w:val="4"/>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多元迴歸分析模型整體之R平方解釋量：0.609</w:t>
            </w:r>
          </w:p>
        </w:tc>
      </w:tr>
    </w:tbl>
    <w:p w:rsidR="0049577B" w:rsidRPr="00B40DC1" w:rsidRDefault="00817A92" w:rsidP="00B3048A">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B3048A">
      <w:pPr>
        <w:spacing w:line="240" w:lineRule="auto"/>
        <w:ind w:leftChars="0" w:left="0" w:rightChars="0" w:right="0"/>
      </w:pPr>
    </w:p>
    <w:p w:rsidR="0049577B" w:rsidRPr="00B40DC1" w:rsidRDefault="002031B1" w:rsidP="00B3048A">
      <w:pPr>
        <w:spacing w:line="240" w:lineRule="auto"/>
        <w:ind w:leftChars="0" w:left="0" w:rightChars="0" w:right="0"/>
      </w:pPr>
      <w:r>
        <w:t xml:space="preserve">　　</w:t>
      </w:r>
      <w:r w:rsidR="0049577B" w:rsidRPr="00B40DC1">
        <w:t>由下表---影響當年度竊盜犯罪(警察機關受理，1992年至2016年)相關因子(原因變項)之多元迴歸分析統計數據結果一覽表(本表係使用強迫進入法之迴歸分析方式)之統計資料可得知，依變項為當年度竊盜犯罪，每提升GNI(平均每人國民所得毛額，以美元為單位)1個單位之標準差(1個標準單位)，則可降低0.789個單位之標準差(標準化迴歸係數值，Beta=-0.789)之當年度竊盜犯罪。</w:t>
      </w:r>
    </w:p>
    <w:p w:rsidR="0049577B" w:rsidRPr="00B40DC1" w:rsidRDefault="002031B1" w:rsidP="00B3048A">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當年度竊盜犯罪。復次，無期徒刑亦無法有效地嚇阻(減少</w:t>
      </w:r>
      <w:r w:rsidR="00587200">
        <w:t>)</w:t>
      </w:r>
      <w:r w:rsidR="0049577B" w:rsidRPr="00B40DC1">
        <w:t>當年度竊盜犯罪。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B3048A">
      <w:pPr>
        <w:pStyle w:val="4"/>
        <w:rPr>
          <w:lang w:eastAsia="zh-TW"/>
        </w:rPr>
      </w:pPr>
      <w:r w:rsidRPr="00B40DC1">
        <w:rPr>
          <w:lang w:eastAsia="zh-TW"/>
        </w:rPr>
        <w:t>表36、影響當年度竊盜犯罪(警察機關受理，1992年至2016年)相關因子(原因變項)之多元迴歸分析統計數據結果一覽表(本表係使用強迫進入法之迴歸分析方式)</w:t>
      </w:r>
      <w:r w:rsidRPr="00042127">
        <w:rPr>
          <w:rStyle w:val="af7"/>
          <w:rFonts w:eastAsia="新細明體"/>
          <w:sz w:val="20"/>
        </w:rPr>
        <w:footnoteReference w:id="232"/>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2031B1">
        <w:trPr>
          <w:tblHeader/>
        </w:trPr>
        <w:tc>
          <w:tcPr>
            <w:tcW w:w="3936" w:type="dxa"/>
            <w:shd w:val="clear" w:color="auto" w:fill="FAF0FA"/>
            <w:vAlign w:val="center"/>
          </w:tcPr>
          <w:p w:rsidR="0049577B" w:rsidRPr="00BF13FB" w:rsidRDefault="0049577B" w:rsidP="002031B1">
            <w:pPr>
              <w:spacing w:line="240" w:lineRule="auto"/>
              <w:ind w:leftChars="0" w:left="0" w:rightChars="0" w:right="0"/>
              <w:jc w:val="center"/>
              <w:rPr>
                <w:sz w:val="24"/>
              </w:rPr>
            </w:pPr>
            <w:r w:rsidRPr="00BF13FB">
              <w:rPr>
                <w:sz w:val="24"/>
              </w:rPr>
              <w:t>多元迴歸分析統計數據</w:t>
            </w:r>
          </w:p>
          <w:p w:rsidR="0049577B" w:rsidRPr="00BF13FB" w:rsidRDefault="0049577B" w:rsidP="002031B1">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FAF0FA"/>
            <w:vAlign w:val="center"/>
          </w:tcPr>
          <w:p w:rsidR="0049577B" w:rsidRPr="00BF13FB" w:rsidRDefault="0049577B" w:rsidP="002031B1">
            <w:pPr>
              <w:spacing w:line="240" w:lineRule="auto"/>
              <w:ind w:leftChars="0" w:left="0" w:rightChars="0" w:right="0"/>
              <w:jc w:val="center"/>
              <w:rPr>
                <w:sz w:val="24"/>
              </w:rPr>
            </w:pPr>
            <w:r w:rsidRPr="00BF13FB">
              <w:rPr>
                <w:sz w:val="24"/>
              </w:rPr>
              <w:t>標準化迴歸係數值(Beta)</w:t>
            </w:r>
          </w:p>
        </w:tc>
        <w:tc>
          <w:tcPr>
            <w:tcW w:w="1994" w:type="dxa"/>
            <w:shd w:val="clear" w:color="auto" w:fill="FAF0FA"/>
            <w:vAlign w:val="center"/>
          </w:tcPr>
          <w:p w:rsidR="0049577B" w:rsidRPr="00BF13FB" w:rsidRDefault="0049577B" w:rsidP="002031B1">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FAF0FA"/>
            <w:vAlign w:val="center"/>
          </w:tcPr>
          <w:p w:rsidR="0049577B" w:rsidRPr="00BF13FB" w:rsidRDefault="0049577B" w:rsidP="002031B1">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X1：失業率(1992-2016年)</w:t>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X2：結婚對數(1998-2013年)</w:t>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X4：離婚率(1998-2013年)</w:t>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tcPr>
          <w:p w:rsidR="0049577B" w:rsidRPr="00BF13FB" w:rsidRDefault="0049577B" w:rsidP="00B3048A">
            <w:pPr>
              <w:spacing w:line="240" w:lineRule="auto"/>
              <w:ind w:leftChars="0" w:left="0" w:rightChars="0" w:right="0"/>
              <w:rPr>
                <w:sz w:val="24"/>
              </w:rPr>
            </w:pPr>
            <w:r w:rsidRPr="00BF13FB">
              <w:rPr>
                <w:sz w:val="24"/>
              </w:rPr>
              <w:t>-0.789</w:t>
            </w:r>
          </w:p>
        </w:tc>
        <w:tc>
          <w:tcPr>
            <w:tcW w:w="1994" w:type="dxa"/>
            <w:shd w:val="clear" w:color="auto" w:fill="auto"/>
          </w:tcPr>
          <w:p w:rsidR="0049577B" w:rsidRPr="00BF13FB" w:rsidRDefault="0049577B" w:rsidP="00B3048A">
            <w:pPr>
              <w:spacing w:line="240" w:lineRule="auto"/>
              <w:ind w:leftChars="0" w:left="0" w:rightChars="0" w:right="0"/>
              <w:rPr>
                <w:sz w:val="24"/>
              </w:rPr>
            </w:pPr>
            <w:r w:rsidRPr="00BF13FB">
              <w:rPr>
                <w:sz w:val="24"/>
              </w:rPr>
              <w:t>0.000</w:t>
            </w:r>
          </w:p>
        </w:tc>
        <w:tc>
          <w:tcPr>
            <w:tcW w:w="1994" w:type="dxa"/>
            <w:shd w:val="clear" w:color="auto" w:fill="auto"/>
          </w:tcPr>
          <w:p w:rsidR="0049577B" w:rsidRPr="00BF13FB" w:rsidRDefault="0049577B" w:rsidP="00B3048A">
            <w:pPr>
              <w:spacing w:line="240" w:lineRule="auto"/>
              <w:ind w:leftChars="0" w:left="0" w:rightChars="0" w:right="0"/>
              <w:rPr>
                <w:sz w:val="24"/>
              </w:rPr>
            </w:pPr>
            <w:r w:rsidRPr="00BF13FB">
              <w:rPr>
                <w:sz w:val="24"/>
              </w:rPr>
              <w:t>8.749</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X6：低收入戶之家庭及就學生活補助金額(1998-2013年)</w:t>
            </w:r>
            <w:r w:rsidRPr="00BF13FB">
              <w:rPr>
                <w:rStyle w:val="af7"/>
                <w:rFonts w:eastAsia="新細明體"/>
                <w:sz w:val="20"/>
              </w:rPr>
              <w:footnoteReference w:id="233"/>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X7：緩刑比率(1998-2013年)</w:t>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X8：無期徒刑之人數(1998-2013年)</w:t>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X9：被執行死刑之人數(1992-2016年)</w:t>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B3048A">
        <w:tc>
          <w:tcPr>
            <w:tcW w:w="9918" w:type="dxa"/>
            <w:gridSpan w:val="4"/>
            <w:shd w:val="clear" w:color="auto" w:fill="auto"/>
          </w:tcPr>
          <w:p w:rsidR="0049577B" w:rsidRPr="00BF13FB" w:rsidRDefault="0049577B" w:rsidP="00042127">
            <w:pPr>
              <w:spacing w:line="240" w:lineRule="auto"/>
              <w:ind w:leftChars="0" w:left="0" w:rightChars="0" w:right="0"/>
              <w:rPr>
                <w:sz w:val="24"/>
              </w:rPr>
            </w:pPr>
            <w:r w:rsidRPr="00BF13FB">
              <w:rPr>
                <w:sz w:val="24"/>
              </w:rPr>
              <w:t>多元迴歸分析模型整體之R平方解釋量：0.606</w:t>
            </w:r>
          </w:p>
        </w:tc>
      </w:tr>
    </w:tbl>
    <w:p w:rsidR="0049577B" w:rsidRPr="00B40DC1" w:rsidRDefault="00817A92" w:rsidP="00B3048A">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B3048A">
      <w:pPr>
        <w:spacing w:line="240" w:lineRule="auto"/>
        <w:ind w:leftChars="0" w:left="0" w:rightChars="0" w:right="0"/>
      </w:pPr>
    </w:p>
    <w:p w:rsidR="0049577B" w:rsidRPr="00B40DC1" w:rsidRDefault="00B3048A" w:rsidP="00B3048A">
      <w:pPr>
        <w:spacing w:line="240" w:lineRule="auto"/>
        <w:ind w:leftChars="0" w:left="0" w:rightChars="0" w:right="0"/>
      </w:pPr>
      <w:r>
        <w:t xml:space="preserve">　　</w:t>
      </w:r>
      <w:r w:rsidR="0049577B" w:rsidRPr="00B40DC1">
        <w:t>由下表---影響當年度竊盜犯罪(警察機關受理，1992年至2016年)相關因子(原因變項)之多元迴歸分析統計數據結果一覽表(本表係使用逐步迴歸分析法之迴歸分析方式)之統計資料可得知，依變項為當年度竊盜犯罪，每提升低收入戶之家庭及就學生活補助金額1個單位之標準差(1個標準單位)，則可降低0.281個單位之標準差(標準化迴歸係數值，Beta=-0.281)之當年度竊盜犯罪。</w:t>
      </w:r>
    </w:p>
    <w:p w:rsidR="0049577B" w:rsidRPr="00B40DC1" w:rsidRDefault="00B3048A" w:rsidP="00B3048A">
      <w:pPr>
        <w:spacing w:line="240" w:lineRule="auto"/>
        <w:ind w:leftChars="0" w:left="0" w:rightChars="0" w:right="0"/>
      </w:pPr>
      <w:r>
        <w:t xml:space="preserve">　　</w:t>
      </w:r>
      <w:r w:rsidR="0049577B" w:rsidRPr="00B40DC1">
        <w:t>每提升當年度之全般刑案破獲率1個單位之標準差(1個標準單位)，則可降低0.725個單位之標準差(標準化迴歸係數值，Beta=-0.725)之當年度竊盜犯罪。</w:t>
      </w:r>
    </w:p>
    <w:p w:rsidR="0049577B" w:rsidRPr="00B40DC1" w:rsidRDefault="00B3048A" w:rsidP="00B3048A">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當年度竊盜犯罪。復次，無期徒刑亦無法有效地嚇阻(減少</w:t>
      </w:r>
      <w:r w:rsidR="00587200">
        <w:t>)</w:t>
      </w:r>
      <w:r w:rsidR="0049577B" w:rsidRPr="00B40DC1">
        <w:t>當年度竊盜犯罪。</w:t>
      </w:r>
    </w:p>
    <w:p w:rsidR="0049577B" w:rsidRPr="00B40DC1" w:rsidRDefault="002031B1" w:rsidP="002031B1">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B3048A">
      <w:pPr>
        <w:pStyle w:val="4"/>
        <w:rPr>
          <w:lang w:eastAsia="zh-TW"/>
        </w:rPr>
      </w:pPr>
      <w:r w:rsidRPr="00B40DC1">
        <w:rPr>
          <w:lang w:eastAsia="zh-TW"/>
        </w:rPr>
        <w:t>表37、影響當年度竊盜犯罪(警察機關受理，1992年至2016年)相關因子(原因變項)之多元迴歸分析統計數據結果一覽表(本表係使用逐步迴歸分析法之迴歸分析方式)</w:t>
      </w:r>
      <w:r w:rsidRPr="00042127">
        <w:rPr>
          <w:rStyle w:val="af7"/>
          <w:rFonts w:eastAsia="新細明體"/>
          <w:sz w:val="20"/>
        </w:rPr>
        <w:footnoteReference w:id="23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EFFDFF"/>
            <w:vAlign w:val="center"/>
          </w:tcPr>
          <w:p w:rsidR="0049577B" w:rsidRPr="00BF13FB" w:rsidRDefault="0049577B" w:rsidP="002031B1">
            <w:pPr>
              <w:spacing w:line="240" w:lineRule="auto"/>
              <w:ind w:leftChars="0" w:left="0" w:rightChars="0" w:right="0"/>
              <w:jc w:val="center"/>
              <w:rPr>
                <w:sz w:val="24"/>
              </w:rPr>
            </w:pPr>
            <w:r w:rsidRPr="00BF13FB">
              <w:rPr>
                <w:sz w:val="24"/>
              </w:rPr>
              <w:t>多元迴歸分析統計數據</w:t>
            </w:r>
          </w:p>
          <w:p w:rsidR="0049577B" w:rsidRPr="00BF13FB" w:rsidRDefault="0049577B" w:rsidP="002031B1">
            <w:pPr>
              <w:spacing w:line="240" w:lineRule="auto"/>
              <w:ind w:leftChars="0" w:left="0" w:rightChars="0" w:right="0"/>
              <w:jc w:val="center"/>
              <w:rPr>
                <w:sz w:val="24"/>
              </w:rPr>
            </w:pPr>
            <w:r w:rsidRPr="00BF13FB">
              <w:rPr>
                <w:sz w:val="24"/>
              </w:rPr>
              <w:t>自變項(解釋因子，independent variable)之名稱</w:t>
            </w:r>
          </w:p>
        </w:tc>
        <w:tc>
          <w:tcPr>
            <w:tcW w:w="1946" w:type="dxa"/>
            <w:shd w:val="clear" w:color="auto" w:fill="EFFDFF"/>
            <w:vAlign w:val="center"/>
          </w:tcPr>
          <w:p w:rsidR="0049577B" w:rsidRPr="00BF13FB" w:rsidRDefault="0049577B" w:rsidP="002031B1">
            <w:pPr>
              <w:spacing w:line="240" w:lineRule="auto"/>
              <w:ind w:leftChars="0" w:left="0" w:rightChars="0" w:right="0"/>
              <w:jc w:val="center"/>
              <w:rPr>
                <w:sz w:val="24"/>
              </w:rPr>
            </w:pPr>
            <w:r w:rsidRPr="00BF13FB">
              <w:rPr>
                <w:sz w:val="24"/>
              </w:rPr>
              <w:t>標準化迴歸係數值(Beta)</w:t>
            </w:r>
          </w:p>
        </w:tc>
        <w:tc>
          <w:tcPr>
            <w:tcW w:w="1947" w:type="dxa"/>
            <w:shd w:val="clear" w:color="auto" w:fill="EFFDFF"/>
            <w:vAlign w:val="center"/>
          </w:tcPr>
          <w:p w:rsidR="0049577B" w:rsidRPr="00BF13FB" w:rsidRDefault="0049577B" w:rsidP="002031B1">
            <w:pPr>
              <w:spacing w:line="240" w:lineRule="auto"/>
              <w:ind w:leftChars="0" w:left="0" w:rightChars="0" w:right="0"/>
              <w:jc w:val="center"/>
              <w:rPr>
                <w:sz w:val="24"/>
              </w:rPr>
            </w:pPr>
            <w:r w:rsidRPr="00BF13FB">
              <w:rPr>
                <w:sz w:val="24"/>
              </w:rPr>
              <w:t>標準化迴歸係數值(Beta)之顯著度(水準)</w:t>
            </w:r>
          </w:p>
        </w:tc>
        <w:tc>
          <w:tcPr>
            <w:tcW w:w="1947" w:type="dxa"/>
            <w:shd w:val="clear" w:color="auto" w:fill="EFFDFF"/>
            <w:vAlign w:val="center"/>
          </w:tcPr>
          <w:p w:rsidR="0049577B" w:rsidRPr="00BF13FB" w:rsidRDefault="0049577B" w:rsidP="002031B1">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X1：失業率(1992-2016年)</w:t>
            </w:r>
          </w:p>
        </w:tc>
        <w:tc>
          <w:tcPr>
            <w:tcW w:w="1946" w:type="dxa"/>
            <w:shd w:val="clear" w:color="auto" w:fill="auto"/>
          </w:tcPr>
          <w:p w:rsidR="0049577B" w:rsidRPr="00BF13FB" w:rsidRDefault="0049577B" w:rsidP="00B3048A">
            <w:pPr>
              <w:spacing w:line="240" w:lineRule="auto"/>
              <w:ind w:leftChars="0" w:left="0" w:rightChars="0" w:right="0"/>
              <w:rPr>
                <w:sz w:val="24"/>
              </w:rPr>
            </w:pPr>
          </w:p>
        </w:tc>
        <w:tc>
          <w:tcPr>
            <w:tcW w:w="1947" w:type="dxa"/>
            <w:shd w:val="clear" w:color="auto" w:fill="auto"/>
          </w:tcPr>
          <w:p w:rsidR="0049577B" w:rsidRPr="00BF13FB" w:rsidRDefault="0049577B" w:rsidP="00B3048A">
            <w:pPr>
              <w:spacing w:line="240" w:lineRule="auto"/>
              <w:ind w:leftChars="0" w:left="0" w:rightChars="0" w:right="0"/>
              <w:rPr>
                <w:sz w:val="24"/>
              </w:rPr>
            </w:pPr>
          </w:p>
        </w:tc>
        <w:tc>
          <w:tcPr>
            <w:tcW w:w="1947"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BF13FB">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X2：結婚對數(1998-2013年)</w:t>
            </w:r>
          </w:p>
        </w:tc>
        <w:tc>
          <w:tcPr>
            <w:tcW w:w="1946"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r>
      <w:tr w:rsidR="0049577B" w:rsidRPr="00B40DC1" w:rsidTr="00BF13FB">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46"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r>
      <w:tr w:rsidR="0049577B" w:rsidRPr="00B40DC1" w:rsidTr="00BF13FB">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X4：離婚率(1998-2013年)</w:t>
            </w:r>
          </w:p>
        </w:tc>
        <w:tc>
          <w:tcPr>
            <w:tcW w:w="1946"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r>
      <w:tr w:rsidR="0049577B" w:rsidRPr="00B40DC1" w:rsidTr="00BF13FB">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46"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r>
      <w:tr w:rsidR="0049577B" w:rsidRPr="00B40DC1" w:rsidTr="00BF13FB">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X6：低收入戶之家庭及就學生活補助金額(1998-2013年)</w:t>
            </w:r>
            <w:r w:rsidRPr="00BF13FB">
              <w:rPr>
                <w:rStyle w:val="af7"/>
                <w:rFonts w:eastAsia="新細明體"/>
                <w:sz w:val="20"/>
              </w:rPr>
              <w:footnoteReference w:id="235"/>
            </w:r>
          </w:p>
        </w:tc>
        <w:tc>
          <w:tcPr>
            <w:tcW w:w="1946" w:type="dxa"/>
            <w:shd w:val="clear" w:color="auto" w:fill="auto"/>
            <w:vAlign w:val="center"/>
          </w:tcPr>
          <w:p w:rsidR="0049577B" w:rsidRPr="00BF13FB" w:rsidRDefault="0049577B" w:rsidP="00BF13FB">
            <w:pPr>
              <w:spacing w:line="240" w:lineRule="auto"/>
              <w:ind w:leftChars="0" w:left="0" w:rightChars="0" w:right="0"/>
              <w:jc w:val="center"/>
              <w:rPr>
                <w:sz w:val="24"/>
              </w:rPr>
            </w:pPr>
            <w:r w:rsidRPr="00BF13FB">
              <w:rPr>
                <w:sz w:val="24"/>
              </w:rPr>
              <w:t>-0.281</w:t>
            </w: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r w:rsidRPr="00BF13FB">
              <w:rPr>
                <w:sz w:val="24"/>
              </w:rPr>
              <w:t>0.030</w:t>
            </w: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r w:rsidRPr="00BF13FB">
              <w:rPr>
                <w:sz w:val="24"/>
              </w:rPr>
              <w:t>26.117</w:t>
            </w:r>
          </w:p>
        </w:tc>
      </w:tr>
      <w:tr w:rsidR="0049577B" w:rsidRPr="00B40DC1" w:rsidTr="00BF13FB">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X7：緩刑比率(1998-2013年)</w:t>
            </w:r>
          </w:p>
        </w:tc>
        <w:tc>
          <w:tcPr>
            <w:tcW w:w="1946"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r>
      <w:tr w:rsidR="0049577B" w:rsidRPr="00B40DC1" w:rsidTr="00BF13FB">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X8：無期徒刑之人數(1998-2013年)</w:t>
            </w:r>
          </w:p>
        </w:tc>
        <w:tc>
          <w:tcPr>
            <w:tcW w:w="1946"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r>
      <w:tr w:rsidR="0049577B" w:rsidRPr="00B40DC1" w:rsidTr="00BF13FB">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X9：被執行死刑之人數(1992-2016年)</w:t>
            </w:r>
          </w:p>
        </w:tc>
        <w:tc>
          <w:tcPr>
            <w:tcW w:w="1946"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p>
        </w:tc>
      </w:tr>
      <w:tr w:rsidR="0049577B" w:rsidRPr="00B40DC1" w:rsidTr="00BF13FB">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X10：當年度之全般刑案破獲率(1992-2016年)</w:t>
            </w:r>
          </w:p>
        </w:tc>
        <w:tc>
          <w:tcPr>
            <w:tcW w:w="1946" w:type="dxa"/>
            <w:shd w:val="clear" w:color="auto" w:fill="auto"/>
            <w:vAlign w:val="center"/>
          </w:tcPr>
          <w:p w:rsidR="0049577B" w:rsidRPr="00BF13FB" w:rsidRDefault="0049577B" w:rsidP="00BF13FB">
            <w:pPr>
              <w:spacing w:line="240" w:lineRule="auto"/>
              <w:ind w:leftChars="0" w:left="0" w:rightChars="0" w:right="0"/>
              <w:jc w:val="center"/>
              <w:rPr>
                <w:sz w:val="24"/>
              </w:rPr>
            </w:pPr>
            <w:r w:rsidRPr="00BF13FB">
              <w:rPr>
                <w:sz w:val="24"/>
              </w:rPr>
              <w:t>-0.725</w:t>
            </w: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r w:rsidRPr="00BF13FB">
              <w:rPr>
                <w:sz w:val="24"/>
              </w:rPr>
              <w:t>0.000</w:t>
            </w:r>
          </w:p>
        </w:tc>
        <w:tc>
          <w:tcPr>
            <w:tcW w:w="1947" w:type="dxa"/>
            <w:shd w:val="clear" w:color="auto" w:fill="auto"/>
            <w:vAlign w:val="center"/>
          </w:tcPr>
          <w:p w:rsidR="0049577B" w:rsidRPr="00BF13FB" w:rsidRDefault="0049577B" w:rsidP="00BF13FB">
            <w:pPr>
              <w:spacing w:line="240" w:lineRule="auto"/>
              <w:ind w:leftChars="0" w:left="0" w:rightChars="0" w:right="0"/>
              <w:jc w:val="center"/>
              <w:rPr>
                <w:sz w:val="24"/>
              </w:rPr>
            </w:pPr>
            <w:r w:rsidRPr="00BF13FB">
              <w:rPr>
                <w:sz w:val="24"/>
              </w:rPr>
              <w:t>5.440</w:t>
            </w:r>
          </w:p>
        </w:tc>
      </w:tr>
      <w:tr w:rsidR="0049577B" w:rsidRPr="00B40DC1" w:rsidTr="00B3048A">
        <w:tc>
          <w:tcPr>
            <w:tcW w:w="9776" w:type="dxa"/>
            <w:gridSpan w:val="4"/>
            <w:shd w:val="clear" w:color="auto" w:fill="auto"/>
          </w:tcPr>
          <w:p w:rsidR="0049577B" w:rsidRPr="00BF13FB" w:rsidRDefault="0049577B" w:rsidP="00B3048A">
            <w:pPr>
              <w:spacing w:line="240" w:lineRule="auto"/>
              <w:ind w:leftChars="0" w:left="0" w:rightChars="0" w:right="0"/>
              <w:rPr>
                <w:sz w:val="24"/>
              </w:rPr>
            </w:pPr>
            <w:r w:rsidRPr="00BF13FB">
              <w:rPr>
                <w:sz w:val="24"/>
              </w:rPr>
              <w:t>多元迴歸分析模型整體之R平方解釋量：0.953</w:t>
            </w:r>
          </w:p>
        </w:tc>
      </w:tr>
    </w:tbl>
    <w:p w:rsidR="0049577B" w:rsidRPr="00B40DC1" w:rsidRDefault="00817A92" w:rsidP="00B3048A">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B3048A">
      <w:pPr>
        <w:spacing w:line="240" w:lineRule="auto"/>
        <w:ind w:leftChars="0" w:left="0" w:rightChars="0" w:right="0"/>
      </w:pPr>
    </w:p>
    <w:p w:rsidR="0049577B" w:rsidRPr="00B40DC1" w:rsidRDefault="00B3048A" w:rsidP="00B3048A">
      <w:pPr>
        <w:spacing w:line="240" w:lineRule="auto"/>
        <w:ind w:leftChars="0" w:left="0" w:rightChars="0" w:right="0"/>
      </w:pPr>
      <w:r>
        <w:t xml:space="preserve">　　</w:t>
      </w:r>
      <w:r w:rsidR="0049577B" w:rsidRPr="00B40DC1">
        <w:t>由下表---影響下年度竊盜犯罪(1993年至2015年)相關因子(原因變項)之多元迴歸分析統計數據結果一覽表(本表係使用逐步迴歸分析法之迴歸分析方式)之統計資料可得知，依變項為下年度竊盜犯罪，每提升當年度之全般刑案破獲率1個單位之標準差(1個標準單位)，則可降低0.970個單位之標準差(標準化迴歸係數值，Beta=-0.970)之下年度竊盜犯罪。</w:t>
      </w:r>
    </w:p>
    <w:p w:rsidR="0049577B" w:rsidRPr="00B40DC1" w:rsidRDefault="00B3048A" w:rsidP="00B3048A">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下年度竊盜犯罪。復次，無期徒刑亦無法有效地嚇阻(減少</w:t>
      </w:r>
      <w:r w:rsidR="00587200">
        <w:t>)</w:t>
      </w:r>
      <w:r w:rsidR="0049577B" w:rsidRPr="00B40DC1">
        <w:t>下年度竊盜犯罪。</w:t>
      </w:r>
    </w:p>
    <w:p w:rsidR="0049577B" w:rsidRPr="00B40DC1" w:rsidRDefault="002031B1" w:rsidP="002031B1">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B3048A">
      <w:pPr>
        <w:pStyle w:val="4"/>
        <w:ind w:left="142"/>
        <w:jc w:val="both"/>
        <w:rPr>
          <w:lang w:eastAsia="zh-TW"/>
        </w:rPr>
      </w:pPr>
      <w:r w:rsidRPr="00B40DC1">
        <w:rPr>
          <w:lang w:eastAsia="zh-TW"/>
        </w:rPr>
        <w:t>表38、影響下年度竊盜犯罪(1993年至2015年)相關因子(原因變項)之多元迴歸分析統計數據結果一覽表(本表係使用逐步迴歸分析法之迴歸分析方式)</w:t>
      </w:r>
      <w:r w:rsidRPr="00B3048A">
        <w:rPr>
          <w:rStyle w:val="af7"/>
          <w:rFonts w:eastAsia="新細明體"/>
          <w:sz w:val="20"/>
        </w:rPr>
        <w:footnoteReference w:id="236"/>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41"/>
        <w:gridCol w:w="2041"/>
        <w:gridCol w:w="2042"/>
      </w:tblGrid>
      <w:tr w:rsidR="0049577B" w:rsidRPr="00B40DC1" w:rsidTr="002031B1">
        <w:trPr>
          <w:tblHeader/>
        </w:trPr>
        <w:tc>
          <w:tcPr>
            <w:tcW w:w="3936" w:type="dxa"/>
            <w:shd w:val="clear" w:color="auto" w:fill="FAF0FA"/>
            <w:vAlign w:val="center"/>
          </w:tcPr>
          <w:p w:rsidR="0049577B" w:rsidRPr="00BF13FB" w:rsidRDefault="0049577B" w:rsidP="002031B1">
            <w:pPr>
              <w:spacing w:line="240" w:lineRule="auto"/>
              <w:ind w:leftChars="0" w:left="0" w:rightChars="0" w:right="0"/>
              <w:jc w:val="center"/>
              <w:rPr>
                <w:sz w:val="24"/>
              </w:rPr>
            </w:pPr>
            <w:r w:rsidRPr="00BF13FB">
              <w:rPr>
                <w:sz w:val="24"/>
              </w:rPr>
              <w:t>多元迴歸分析統計數據</w:t>
            </w:r>
          </w:p>
          <w:p w:rsidR="0049577B" w:rsidRPr="00BF13FB" w:rsidRDefault="0049577B" w:rsidP="002031B1">
            <w:pPr>
              <w:spacing w:line="240" w:lineRule="auto"/>
              <w:ind w:leftChars="0" w:left="0" w:rightChars="0" w:right="0"/>
              <w:jc w:val="center"/>
              <w:rPr>
                <w:sz w:val="24"/>
              </w:rPr>
            </w:pPr>
            <w:r w:rsidRPr="00BF13FB">
              <w:rPr>
                <w:sz w:val="24"/>
              </w:rPr>
              <w:t>自變項(解釋因子，independent variable)之名稱</w:t>
            </w:r>
          </w:p>
        </w:tc>
        <w:tc>
          <w:tcPr>
            <w:tcW w:w="2041" w:type="dxa"/>
            <w:shd w:val="clear" w:color="auto" w:fill="FAF0FA"/>
            <w:vAlign w:val="center"/>
          </w:tcPr>
          <w:p w:rsidR="0049577B" w:rsidRPr="00BF13FB" w:rsidRDefault="0049577B" w:rsidP="002031B1">
            <w:pPr>
              <w:spacing w:line="240" w:lineRule="auto"/>
              <w:ind w:leftChars="0" w:left="0" w:rightChars="0" w:right="0"/>
              <w:jc w:val="center"/>
              <w:rPr>
                <w:sz w:val="24"/>
              </w:rPr>
            </w:pPr>
            <w:r w:rsidRPr="00BF13FB">
              <w:rPr>
                <w:sz w:val="24"/>
              </w:rPr>
              <w:t>標準化迴歸係數值(Beta)</w:t>
            </w:r>
          </w:p>
        </w:tc>
        <w:tc>
          <w:tcPr>
            <w:tcW w:w="2041" w:type="dxa"/>
            <w:shd w:val="clear" w:color="auto" w:fill="FAF0FA"/>
            <w:vAlign w:val="center"/>
          </w:tcPr>
          <w:p w:rsidR="0049577B" w:rsidRPr="00BF13FB" w:rsidRDefault="0049577B" w:rsidP="002031B1">
            <w:pPr>
              <w:spacing w:line="240" w:lineRule="auto"/>
              <w:ind w:leftChars="0" w:left="0" w:rightChars="0" w:right="0"/>
              <w:jc w:val="center"/>
              <w:rPr>
                <w:sz w:val="24"/>
              </w:rPr>
            </w:pPr>
            <w:r w:rsidRPr="00BF13FB">
              <w:rPr>
                <w:sz w:val="24"/>
              </w:rPr>
              <w:t>標準化迴歸係數值(Beta)之顯著度(水準)</w:t>
            </w:r>
          </w:p>
        </w:tc>
        <w:tc>
          <w:tcPr>
            <w:tcW w:w="2042" w:type="dxa"/>
            <w:shd w:val="clear" w:color="auto" w:fill="FAF0FA"/>
            <w:vAlign w:val="center"/>
          </w:tcPr>
          <w:p w:rsidR="0049577B" w:rsidRPr="00BF13FB" w:rsidRDefault="0049577B" w:rsidP="002031B1">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X1：失業率(1992-2016年)</w:t>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X2：結婚對數(1998-2013年)</w:t>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X4：離婚率(1998-2013年)</w:t>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X6：低收入戶之家庭及就學生活補助金額(1998-2013年)</w:t>
            </w:r>
            <w:r w:rsidRPr="00BF13FB">
              <w:rPr>
                <w:rStyle w:val="af7"/>
                <w:rFonts w:eastAsia="新細明體"/>
                <w:sz w:val="20"/>
              </w:rPr>
              <w:footnoteReference w:id="237"/>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X7：緩刑比率(1998-2013年)</w:t>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X8：無期徒刑之人數(1998-2013年)</w:t>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X9：被執行死刑之人數(1992-2016年)</w:t>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B3048A">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X10：當年度之全般刑案破獲率(1992-2016年)</w:t>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r w:rsidRPr="00BF13FB">
              <w:rPr>
                <w:sz w:val="24"/>
              </w:rPr>
              <w:t>-0.970</w:t>
            </w:r>
          </w:p>
        </w:tc>
        <w:tc>
          <w:tcPr>
            <w:tcW w:w="2041" w:type="dxa"/>
            <w:shd w:val="clear" w:color="auto" w:fill="auto"/>
            <w:vAlign w:val="center"/>
          </w:tcPr>
          <w:p w:rsidR="0049577B" w:rsidRPr="00BF13FB" w:rsidRDefault="0049577B" w:rsidP="00B3048A">
            <w:pPr>
              <w:spacing w:line="240" w:lineRule="auto"/>
              <w:ind w:leftChars="0" w:left="0" w:rightChars="0" w:right="0"/>
              <w:jc w:val="center"/>
              <w:rPr>
                <w:sz w:val="24"/>
              </w:rPr>
            </w:pPr>
            <w:r w:rsidRPr="00BF13FB">
              <w:rPr>
                <w:sz w:val="24"/>
              </w:rPr>
              <w:t>0.000</w:t>
            </w:r>
          </w:p>
        </w:tc>
        <w:tc>
          <w:tcPr>
            <w:tcW w:w="2042" w:type="dxa"/>
            <w:shd w:val="clear" w:color="auto" w:fill="auto"/>
            <w:vAlign w:val="center"/>
          </w:tcPr>
          <w:p w:rsidR="0049577B" w:rsidRPr="00BF13FB" w:rsidRDefault="0049577B" w:rsidP="00B3048A">
            <w:pPr>
              <w:spacing w:line="240" w:lineRule="auto"/>
              <w:ind w:leftChars="0" w:left="0" w:rightChars="0" w:right="0"/>
              <w:jc w:val="center"/>
              <w:rPr>
                <w:sz w:val="24"/>
              </w:rPr>
            </w:pPr>
            <w:r w:rsidRPr="00BF13FB">
              <w:rPr>
                <w:sz w:val="24"/>
              </w:rPr>
              <w:t>11.844</w:t>
            </w:r>
          </w:p>
        </w:tc>
      </w:tr>
      <w:tr w:rsidR="0049577B" w:rsidRPr="00B40DC1" w:rsidTr="00B3048A">
        <w:tc>
          <w:tcPr>
            <w:tcW w:w="10060" w:type="dxa"/>
            <w:gridSpan w:val="4"/>
            <w:shd w:val="clear" w:color="auto" w:fill="auto"/>
          </w:tcPr>
          <w:p w:rsidR="0049577B" w:rsidRPr="00BF13FB" w:rsidRDefault="0049577B" w:rsidP="00B3048A">
            <w:pPr>
              <w:spacing w:line="240" w:lineRule="auto"/>
              <w:ind w:leftChars="0" w:left="0" w:rightChars="0" w:right="0"/>
              <w:rPr>
                <w:sz w:val="24"/>
              </w:rPr>
            </w:pPr>
            <w:r w:rsidRPr="00BF13FB">
              <w:rPr>
                <w:sz w:val="24"/>
              </w:rPr>
              <w:t>多元迴歸分析模型整體之R平方解釋量：0.936</w:t>
            </w:r>
          </w:p>
        </w:tc>
      </w:tr>
    </w:tbl>
    <w:p w:rsidR="0049577B" w:rsidRPr="00B40DC1" w:rsidRDefault="00817A92" w:rsidP="00B3048A">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B3048A">
      <w:pPr>
        <w:spacing w:line="240" w:lineRule="auto"/>
        <w:ind w:leftChars="0" w:left="0" w:rightChars="0" w:right="0"/>
      </w:pPr>
    </w:p>
    <w:p w:rsidR="0049577B" w:rsidRPr="00B40DC1" w:rsidRDefault="002031B1" w:rsidP="00B3048A">
      <w:pPr>
        <w:spacing w:line="240" w:lineRule="auto"/>
        <w:ind w:leftChars="0" w:left="0" w:rightChars="0" w:right="0"/>
      </w:pPr>
      <w:r>
        <w:t xml:space="preserve">　　</w:t>
      </w:r>
      <w:r w:rsidR="0049577B" w:rsidRPr="00B40DC1">
        <w:t>由下表---影響下年度竊盜犯罪(1993年至2015年)相關因子(原因變項)之多元迴歸分析統計數據結果一覽表(本表係使用強迫進入法之迴歸分析方式)之統計資料可得知，依變項為下年度竊盜犯罪，每提升35歲以上人口之中，男性未婚之比例1個單位之標準差(1個標準單位)，則可降低0.959個單位之標準差(標準化迴歸係數值，Beta=-0.959)之下年度竊盜犯罪。</w:t>
      </w:r>
    </w:p>
    <w:p w:rsidR="0049577B" w:rsidRPr="00B40DC1" w:rsidRDefault="00B3048A" w:rsidP="00B3048A">
      <w:pPr>
        <w:spacing w:line="240" w:lineRule="auto"/>
        <w:ind w:leftChars="0" w:left="0" w:rightChars="0" w:right="0"/>
      </w:pPr>
      <w:r>
        <w:t xml:space="preserve">　　</w:t>
      </w:r>
      <w:r w:rsidR="0049577B" w:rsidRPr="00B40DC1">
        <w:t>或許，有可能之機率，係為35歲以上人口之中，未婚男性之身心狀態，有可能會比較穩定。因其為單身，故有可能較無家庭之經濟上重大負擔，無須教養小孩；35歲以上之單身男性，其工作之所得，可全部歸為自己所有，可購買不動產、動產、或進行其他投資，由於經濟上有所依靠，再加上心智有可能更加成熟、穩定，有可能具有較強的自控能力，作一名守法之民眾，而未從事重大犯罪(故意殺人犯罪+重傷犯罪+重大恐嚇取財犯罪+擄人勒贖犯罪+強盜搶奪犯罪+強制性交犯罪)、下年度竊盜犯罪。亦即，其從事重大指標犯罪(重大暴力犯罪)(故意殺人犯罪+重傷犯罪+重大恐嚇取財犯罪+擄人勒贖犯罪+強盜搶奪犯罪+強制性交犯罪)、下年度竊盜犯罪之機率，相對而論，或許，有可能相對較低一些。</w:t>
      </w:r>
    </w:p>
    <w:p w:rsidR="0049577B" w:rsidRPr="00B40DC1" w:rsidRDefault="00B3048A" w:rsidP="00B3048A">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下年度竊盜犯罪。復次，無期徒刑亦無法有效地嚇阻(減少</w:t>
      </w:r>
      <w:r w:rsidR="00587200">
        <w:t>)</w:t>
      </w:r>
      <w:r w:rsidR="0049577B" w:rsidRPr="00B40DC1">
        <w:t>下年度竊盜犯罪。</w:t>
      </w:r>
    </w:p>
    <w:p w:rsidR="0049577B" w:rsidRPr="00B40DC1" w:rsidRDefault="00C00750" w:rsidP="00C00750">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B3048A">
      <w:pPr>
        <w:pStyle w:val="4"/>
        <w:rPr>
          <w:lang w:eastAsia="zh-TW"/>
        </w:rPr>
      </w:pPr>
      <w:r w:rsidRPr="00B40DC1">
        <w:rPr>
          <w:lang w:eastAsia="zh-TW"/>
        </w:rPr>
        <w:t>表39、影響下年度竊盜犯罪(1993年至2015年)相關因子(原因變項)之多元迴歸分析統計數據結果一覽表(本表係使用強迫進入法之迴歸分析方式)</w:t>
      </w:r>
      <w:r w:rsidRPr="00042127">
        <w:rPr>
          <w:rStyle w:val="af7"/>
          <w:rFonts w:eastAsia="新細明體"/>
          <w:sz w:val="20"/>
        </w:rPr>
        <w:footnoteReference w:id="238"/>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2031B1">
        <w:trPr>
          <w:tblHeader/>
        </w:trPr>
        <w:tc>
          <w:tcPr>
            <w:tcW w:w="3936" w:type="dxa"/>
            <w:shd w:val="clear" w:color="auto" w:fill="EFFDFF"/>
            <w:vAlign w:val="center"/>
          </w:tcPr>
          <w:p w:rsidR="0049577B" w:rsidRPr="00BF13FB" w:rsidRDefault="0049577B" w:rsidP="00B3048A">
            <w:pPr>
              <w:spacing w:line="240" w:lineRule="auto"/>
              <w:ind w:leftChars="0" w:left="0" w:rightChars="0" w:right="0"/>
              <w:jc w:val="center"/>
              <w:rPr>
                <w:sz w:val="24"/>
              </w:rPr>
            </w:pPr>
            <w:r w:rsidRPr="00BF13FB">
              <w:rPr>
                <w:sz w:val="24"/>
              </w:rPr>
              <w:t>多元迴歸分析統計數據</w:t>
            </w:r>
          </w:p>
          <w:p w:rsidR="0049577B" w:rsidRPr="00BF13FB" w:rsidRDefault="0049577B" w:rsidP="00B3048A">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EFFDFF"/>
            <w:vAlign w:val="center"/>
          </w:tcPr>
          <w:p w:rsidR="0049577B" w:rsidRPr="00BF13FB" w:rsidRDefault="0049577B" w:rsidP="00B3048A">
            <w:pPr>
              <w:spacing w:line="240" w:lineRule="auto"/>
              <w:ind w:leftChars="0" w:left="0" w:rightChars="0" w:right="0"/>
              <w:jc w:val="center"/>
              <w:rPr>
                <w:sz w:val="24"/>
              </w:rPr>
            </w:pPr>
            <w:r w:rsidRPr="00BF13FB">
              <w:rPr>
                <w:sz w:val="24"/>
              </w:rPr>
              <w:t>標準化迴歸係數值(Beta)</w:t>
            </w:r>
          </w:p>
        </w:tc>
        <w:tc>
          <w:tcPr>
            <w:tcW w:w="1994" w:type="dxa"/>
            <w:shd w:val="clear" w:color="auto" w:fill="EFFDFF"/>
            <w:vAlign w:val="center"/>
          </w:tcPr>
          <w:p w:rsidR="0049577B" w:rsidRPr="00BF13FB" w:rsidRDefault="0049577B" w:rsidP="00B3048A">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EFFDFF"/>
            <w:vAlign w:val="center"/>
          </w:tcPr>
          <w:p w:rsidR="0049577B" w:rsidRPr="00BF13FB" w:rsidRDefault="0049577B" w:rsidP="00B3048A">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X1：失業率(1992-2016年)</w:t>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X2：結婚對數(1998-2013年)</w:t>
            </w: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c>
          <w:tcPr>
            <w:tcW w:w="1994" w:type="dxa"/>
            <w:shd w:val="clear" w:color="auto" w:fill="auto"/>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r w:rsidRPr="00BF13FB">
              <w:rPr>
                <w:sz w:val="24"/>
              </w:rPr>
              <w:t>-0.959</w:t>
            </w: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r w:rsidRPr="00BF13FB">
              <w:rPr>
                <w:sz w:val="24"/>
              </w:rPr>
              <w:t>0.000</w:t>
            </w: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r w:rsidRPr="00BF13FB">
              <w:rPr>
                <w:sz w:val="24"/>
              </w:rPr>
              <w:t>16.325</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X4：離婚率(1998-2013年)</w:t>
            </w: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X6：低收入戶之家庭及就學生活補助金額(1998-2013年)</w:t>
            </w:r>
            <w:r w:rsidRPr="00BF13FB">
              <w:rPr>
                <w:rStyle w:val="af7"/>
                <w:rFonts w:eastAsia="新細明體"/>
                <w:sz w:val="20"/>
              </w:rPr>
              <w:footnoteReference w:id="239"/>
            </w: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X7：緩刑比率(1998-2013年)</w:t>
            </w: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X8：無期徒刑之人數(1998-2013年)</w:t>
            </w: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X9：被執行死刑之人數(1992-2016年)</w:t>
            </w: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c>
          <w:tcPr>
            <w:tcW w:w="1994" w:type="dxa"/>
            <w:shd w:val="clear" w:color="auto" w:fill="auto"/>
            <w:vAlign w:val="center"/>
          </w:tcPr>
          <w:p w:rsidR="0049577B" w:rsidRPr="00BF13FB" w:rsidRDefault="0049577B" w:rsidP="00B3048A">
            <w:pPr>
              <w:spacing w:line="240" w:lineRule="auto"/>
              <w:ind w:leftChars="0" w:left="0" w:rightChars="0" w:right="0"/>
              <w:rPr>
                <w:sz w:val="24"/>
              </w:rPr>
            </w:pPr>
          </w:p>
        </w:tc>
      </w:tr>
      <w:tr w:rsidR="0049577B" w:rsidRPr="00B40DC1" w:rsidTr="00B3048A">
        <w:tc>
          <w:tcPr>
            <w:tcW w:w="9918" w:type="dxa"/>
            <w:gridSpan w:val="4"/>
            <w:shd w:val="clear" w:color="auto" w:fill="auto"/>
          </w:tcPr>
          <w:p w:rsidR="0049577B" w:rsidRPr="00BF13FB" w:rsidRDefault="0049577B" w:rsidP="00B3048A">
            <w:pPr>
              <w:spacing w:line="240" w:lineRule="auto"/>
              <w:ind w:leftChars="0" w:left="0" w:rightChars="0" w:right="0"/>
              <w:rPr>
                <w:sz w:val="24"/>
              </w:rPr>
            </w:pPr>
            <w:r w:rsidRPr="00BF13FB">
              <w:rPr>
                <w:sz w:val="24"/>
              </w:rPr>
              <w:t>多元迴歸分析模型整體之R平方解釋量：0.914</w:t>
            </w:r>
          </w:p>
        </w:tc>
      </w:tr>
    </w:tbl>
    <w:p w:rsidR="0049577B" w:rsidRPr="00B40DC1" w:rsidRDefault="00817A92" w:rsidP="00B3048A">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B3048A">
      <w:pPr>
        <w:spacing w:line="240" w:lineRule="auto"/>
        <w:ind w:leftChars="0" w:left="0" w:rightChars="0" w:right="0"/>
      </w:pPr>
    </w:p>
    <w:p w:rsidR="0049577B" w:rsidRPr="00B40DC1" w:rsidRDefault="002031B1" w:rsidP="00B3048A">
      <w:pPr>
        <w:spacing w:line="240" w:lineRule="auto"/>
        <w:ind w:leftChars="0" w:left="0" w:rightChars="0" w:right="0"/>
      </w:pPr>
      <w:r>
        <w:t xml:space="preserve">　　</w:t>
      </w:r>
      <w:r w:rsidR="0049577B" w:rsidRPr="00B40DC1">
        <w:t>由下表---影響當年度刑案發生件數(1992年至2016年)相關因子(原因變項)之多元迴歸分析統計數據結果一覽表(本表係使用逐步迴歸分析法之迴歸分析方式)之統計資料可得知，依變項為當年度刑案發生件數，每提升離婚率1個單位之標準差(1個標準單位)，則可增加0.508個單位之標準差(標準化迴歸係數值，Beta=0.508)之當年度刑案發生件數。針對整體犯罪預防機制及社會之安定性而論，離婚實不足取。</w:t>
      </w:r>
    </w:p>
    <w:p w:rsidR="0049577B" w:rsidRPr="00B40DC1" w:rsidRDefault="002031B1" w:rsidP="00B3048A">
      <w:pPr>
        <w:spacing w:line="240" w:lineRule="auto"/>
        <w:ind w:leftChars="0" w:left="0" w:rightChars="0" w:right="0"/>
      </w:pPr>
      <w:r>
        <w:t xml:space="preserve">　　</w:t>
      </w:r>
      <w:r w:rsidR="0049577B" w:rsidRPr="00B40DC1">
        <w:t>每提升低收入戶之家庭及就學生活補助金額1個單位之標準差(1個標準單位)，則可降低0.695個單位之標準差(標準化迴歸係數值，Beta=-0.695)之當年度刑案發生件數。</w:t>
      </w:r>
    </w:p>
    <w:p w:rsidR="0049577B" w:rsidRPr="00B40DC1" w:rsidRDefault="002031B1" w:rsidP="00B3048A">
      <w:pPr>
        <w:spacing w:line="240" w:lineRule="auto"/>
        <w:ind w:leftChars="0" w:left="0" w:rightChars="0" w:right="0"/>
      </w:pPr>
      <w:r>
        <w:t xml:space="preserve">　　</w:t>
      </w:r>
      <w:r w:rsidR="0049577B" w:rsidRPr="00B40DC1">
        <w:t>近年來，佛教團體中之正德佛堂之創辦人---常律和尚，大力推廣愛心餐廳及頒發獎學金，尤其是在愛心餐廳之推展方面，不餘遺力，免費提供中餐及晚餐給台灣低下階層人士用餐，積極響應政府之社會福利政策---對低收入戶之家庭提供補助(提供免費用餐)，某個角度而論，亦是屬於對於低收入戶之家庭及就學生活提供部分之補助。針對改善整體社會治安而論，由於每當提升低收入戶之家庭及就學生活補助金額1個單位之標準差(1個標準單位)，則可降低0.695個單位之標準差(標準化迴歸係數值，Beta=-0.695)之當年度刑案發生件數，是以，正德佛堂之創辦人---常律和尚，因其大力推廣愛心餐廳及頒發獎學金，針對於低收入戶之家庭及就學生活，提供部分之食物及獎學金補助</w:t>
      </w:r>
      <w:r w:rsidR="0049577B" w:rsidRPr="00042127">
        <w:rPr>
          <w:rStyle w:val="af7"/>
          <w:rFonts w:eastAsia="新細明體"/>
          <w:sz w:val="20"/>
        </w:rPr>
        <w:footnoteReference w:id="240"/>
      </w:r>
      <w:r w:rsidR="0049577B" w:rsidRPr="00B40DC1">
        <w:t>，依照下表(影響當年度刑案發生件數(1992年至2016年)相關因子(原因變項)之多元迴歸分析統計數據結果一覽表(本表係使用逐步迴歸分析法之迴歸分析方式))之統計分析結果，其對於抑制、減少及降低台灣社會當年度刑案件數之發生，理論上，亦是功不可沒，應有其一定程度之貢獻度。本書作者，對於正德佛堂之創辦人---常律和尚大力推展愛心餐廳之善行，亦深表認同與讚賞。</w:t>
      </w:r>
    </w:p>
    <w:p w:rsidR="0049577B" w:rsidRPr="00B40DC1" w:rsidRDefault="002031B1" w:rsidP="00B3048A">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當年度刑案發生件數。復次，無期徒刑亦無法有效地嚇阻(減少</w:t>
      </w:r>
      <w:r w:rsidR="00587200">
        <w:t>)</w:t>
      </w:r>
      <w:r w:rsidR="0049577B" w:rsidRPr="00B40DC1">
        <w:t>當年度刑案發生件數。</w:t>
      </w:r>
    </w:p>
    <w:p w:rsidR="0049577B" w:rsidRPr="00B40DC1" w:rsidRDefault="002031B1" w:rsidP="002031B1">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B3048A">
      <w:pPr>
        <w:pStyle w:val="4"/>
        <w:rPr>
          <w:lang w:eastAsia="zh-TW"/>
        </w:rPr>
      </w:pPr>
      <w:r w:rsidRPr="00B40DC1">
        <w:rPr>
          <w:lang w:eastAsia="zh-TW"/>
        </w:rPr>
        <w:t>表40、影響當年度刑案發生件數(1992年至2016年)相關因子(原因變項)之多元迴歸分析統計數據結果一覽表(本表係使用逐步迴歸分析法之迴歸分析方式)</w:t>
      </w:r>
      <w:r w:rsidRPr="00042127">
        <w:rPr>
          <w:rStyle w:val="af7"/>
          <w:rFonts w:eastAsia="新細明體"/>
          <w:sz w:val="20"/>
        </w:rPr>
        <w:footnoteReference w:id="24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FAF0FA"/>
            <w:vAlign w:val="center"/>
          </w:tcPr>
          <w:p w:rsidR="0049577B" w:rsidRPr="00BF13FB" w:rsidRDefault="0049577B" w:rsidP="00B3048A">
            <w:pPr>
              <w:spacing w:line="240" w:lineRule="auto"/>
              <w:ind w:leftChars="0" w:left="0" w:rightChars="0" w:right="0"/>
              <w:jc w:val="center"/>
              <w:rPr>
                <w:sz w:val="24"/>
                <w:szCs w:val="24"/>
              </w:rPr>
            </w:pPr>
            <w:r w:rsidRPr="00BF13FB">
              <w:rPr>
                <w:sz w:val="24"/>
                <w:szCs w:val="24"/>
              </w:rPr>
              <w:t>多元迴歸分析統計數據</w:t>
            </w:r>
          </w:p>
          <w:p w:rsidR="0049577B" w:rsidRPr="00BF13FB" w:rsidRDefault="0049577B" w:rsidP="00B3048A">
            <w:pPr>
              <w:spacing w:line="240" w:lineRule="auto"/>
              <w:ind w:leftChars="0" w:left="0" w:rightChars="0" w:right="0"/>
              <w:jc w:val="center"/>
              <w:rPr>
                <w:sz w:val="24"/>
                <w:szCs w:val="24"/>
              </w:rPr>
            </w:pPr>
            <w:r w:rsidRPr="00BF13FB">
              <w:rPr>
                <w:sz w:val="24"/>
                <w:szCs w:val="24"/>
              </w:rPr>
              <w:t>自變項(解釋因子，independent variable)之名稱</w:t>
            </w:r>
          </w:p>
        </w:tc>
        <w:tc>
          <w:tcPr>
            <w:tcW w:w="1946" w:type="dxa"/>
            <w:shd w:val="clear" w:color="auto" w:fill="FAF0FA"/>
            <w:vAlign w:val="center"/>
          </w:tcPr>
          <w:p w:rsidR="0049577B" w:rsidRPr="00BF13FB" w:rsidRDefault="0049577B" w:rsidP="00B3048A">
            <w:pPr>
              <w:spacing w:line="240" w:lineRule="auto"/>
              <w:ind w:leftChars="0" w:left="0" w:rightChars="0" w:right="0"/>
              <w:jc w:val="center"/>
              <w:rPr>
                <w:sz w:val="24"/>
                <w:szCs w:val="24"/>
              </w:rPr>
            </w:pPr>
            <w:r w:rsidRPr="00BF13FB">
              <w:rPr>
                <w:sz w:val="24"/>
                <w:szCs w:val="24"/>
              </w:rPr>
              <w:t>標準化迴歸係數值(Beta)</w:t>
            </w:r>
          </w:p>
        </w:tc>
        <w:tc>
          <w:tcPr>
            <w:tcW w:w="1947" w:type="dxa"/>
            <w:shd w:val="clear" w:color="auto" w:fill="FAF0FA"/>
            <w:vAlign w:val="center"/>
          </w:tcPr>
          <w:p w:rsidR="0049577B" w:rsidRPr="00BF13FB" w:rsidRDefault="0049577B" w:rsidP="00B3048A">
            <w:pPr>
              <w:spacing w:line="240" w:lineRule="auto"/>
              <w:ind w:leftChars="0" w:left="0" w:rightChars="0" w:right="0"/>
              <w:jc w:val="center"/>
              <w:rPr>
                <w:sz w:val="24"/>
                <w:szCs w:val="24"/>
              </w:rPr>
            </w:pPr>
            <w:r w:rsidRPr="00BF13FB">
              <w:rPr>
                <w:sz w:val="24"/>
                <w:szCs w:val="24"/>
              </w:rPr>
              <w:t>標準化迴歸係數值(Beta)之顯著度(水準)</w:t>
            </w:r>
          </w:p>
        </w:tc>
        <w:tc>
          <w:tcPr>
            <w:tcW w:w="1947" w:type="dxa"/>
            <w:shd w:val="clear" w:color="auto" w:fill="FAF0FA"/>
            <w:vAlign w:val="center"/>
          </w:tcPr>
          <w:p w:rsidR="0049577B" w:rsidRPr="00BF13FB" w:rsidRDefault="0049577B" w:rsidP="00B3048A">
            <w:pPr>
              <w:spacing w:line="240" w:lineRule="auto"/>
              <w:ind w:leftChars="0" w:left="0" w:rightChars="0" w:right="0"/>
              <w:jc w:val="center"/>
              <w:rPr>
                <w:sz w:val="24"/>
                <w:szCs w:val="24"/>
              </w:rPr>
            </w:pPr>
            <w:r w:rsidRPr="00BF13FB">
              <w:rPr>
                <w:sz w:val="24"/>
                <w:szCs w:val="24"/>
              </w:rPr>
              <w:t>條件指標(CI)</w:t>
            </w:r>
            <w:r w:rsidR="003C1792" w:rsidRPr="00BF13FB">
              <w:rPr>
                <w:sz w:val="24"/>
                <w:szCs w:val="24"/>
              </w:rPr>
              <w:t>(</w:t>
            </w:r>
            <w:r w:rsidRPr="00BF13FB">
              <w:rPr>
                <w:sz w:val="24"/>
                <w:szCs w:val="24"/>
              </w:rPr>
              <w:t>檢視自變項是否有嚴重之共線問題)</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X1：失業率(1992-2016年)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X2：結婚對數(1998-2013年)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X3： 35歲以上人口之中，男性未婚之比例</w:t>
            </w:r>
            <w:r w:rsidR="003C1792" w:rsidRPr="00BF13FB">
              <w:rPr>
                <w:sz w:val="24"/>
                <w:szCs w:val="24"/>
              </w:rPr>
              <w:t>(</w:t>
            </w:r>
            <w:r w:rsidRPr="00BF13FB">
              <w:rPr>
                <w:sz w:val="24"/>
                <w:szCs w:val="24"/>
              </w:rPr>
              <w:t>1998-2013年)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X4：離婚率(1998-2013年)</w:t>
            </w:r>
          </w:p>
        </w:tc>
        <w:tc>
          <w:tcPr>
            <w:tcW w:w="1946" w:type="dxa"/>
            <w:shd w:val="clear" w:color="auto" w:fill="auto"/>
          </w:tcPr>
          <w:p w:rsidR="0049577B" w:rsidRPr="00BF13FB" w:rsidRDefault="0049577B" w:rsidP="00B3048A">
            <w:pPr>
              <w:spacing w:line="240" w:lineRule="auto"/>
              <w:ind w:leftChars="0" w:left="0" w:rightChars="0" w:right="0"/>
              <w:jc w:val="center"/>
              <w:rPr>
                <w:sz w:val="24"/>
                <w:szCs w:val="24"/>
              </w:rPr>
            </w:pPr>
            <w:r w:rsidRPr="00BF13FB">
              <w:rPr>
                <w:sz w:val="24"/>
                <w:szCs w:val="24"/>
              </w:rPr>
              <w:t>0.508</w:t>
            </w:r>
          </w:p>
        </w:tc>
        <w:tc>
          <w:tcPr>
            <w:tcW w:w="1947" w:type="dxa"/>
            <w:shd w:val="clear" w:color="auto" w:fill="auto"/>
          </w:tcPr>
          <w:p w:rsidR="0049577B" w:rsidRPr="00BF13FB" w:rsidRDefault="0049577B" w:rsidP="00B3048A">
            <w:pPr>
              <w:spacing w:line="240" w:lineRule="auto"/>
              <w:ind w:leftChars="0" w:left="0" w:rightChars="0" w:right="0"/>
              <w:jc w:val="center"/>
              <w:rPr>
                <w:sz w:val="24"/>
                <w:szCs w:val="24"/>
              </w:rPr>
            </w:pPr>
            <w:r w:rsidRPr="00BF13FB">
              <w:rPr>
                <w:sz w:val="24"/>
                <w:szCs w:val="24"/>
              </w:rPr>
              <w:t>0.000</w:t>
            </w:r>
          </w:p>
        </w:tc>
        <w:tc>
          <w:tcPr>
            <w:tcW w:w="1947" w:type="dxa"/>
            <w:shd w:val="clear" w:color="auto" w:fill="auto"/>
          </w:tcPr>
          <w:p w:rsidR="0049577B" w:rsidRPr="00BF13FB" w:rsidRDefault="0049577B" w:rsidP="00B3048A">
            <w:pPr>
              <w:spacing w:line="240" w:lineRule="auto"/>
              <w:ind w:leftChars="0" w:left="0" w:rightChars="0" w:right="0"/>
              <w:jc w:val="center"/>
              <w:rPr>
                <w:sz w:val="24"/>
                <w:szCs w:val="24"/>
              </w:rPr>
            </w:pPr>
            <w:r w:rsidRPr="00BF13FB">
              <w:rPr>
                <w:sz w:val="24"/>
                <w:szCs w:val="24"/>
              </w:rPr>
              <w:t>26.618</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X5：GNI(平均每人國民所得毛額，以美元為單位)</w:t>
            </w:r>
            <w:r w:rsidR="003C1792" w:rsidRPr="00BF13FB">
              <w:rPr>
                <w:sz w:val="24"/>
                <w:szCs w:val="24"/>
              </w:rPr>
              <w:t>(</w:t>
            </w:r>
            <w:r w:rsidRPr="00BF13FB">
              <w:rPr>
                <w:sz w:val="24"/>
                <w:szCs w:val="24"/>
              </w:rPr>
              <w:t>1992-2016年)</w:t>
            </w:r>
          </w:p>
        </w:tc>
        <w:tc>
          <w:tcPr>
            <w:tcW w:w="1946" w:type="dxa"/>
            <w:shd w:val="clear" w:color="auto" w:fill="auto"/>
          </w:tcPr>
          <w:p w:rsidR="0049577B" w:rsidRPr="00BF13FB" w:rsidRDefault="0049577B" w:rsidP="00B3048A">
            <w:pPr>
              <w:spacing w:line="240" w:lineRule="auto"/>
              <w:ind w:leftChars="0" w:left="0" w:rightChars="0" w:right="0"/>
              <w:jc w:val="center"/>
              <w:rPr>
                <w:sz w:val="24"/>
                <w:szCs w:val="24"/>
              </w:rPr>
            </w:pPr>
          </w:p>
        </w:tc>
        <w:tc>
          <w:tcPr>
            <w:tcW w:w="1947" w:type="dxa"/>
            <w:shd w:val="clear" w:color="auto" w:fill="auto"/>
          </w:tcPr>
          <w:p w:rsidR="0049577B" w:rsidRPr="00BF13FB" w:rsidRDefault="0049577B" w:rsidP="00B3048A">
            <w:pPr>
              <w:spacing w:line="240" w:lineRule="auto"/>
              <w:ind w:leftChars="0" w:left="0" w:rightChars="0" w:right="0"/>
              <w:jc w:val="center"/>
              <w:rPr>
                <w:sz w:val="24"/>
                <w:szCs w:val="24"/>
              </w:rPr>
            </w:pPr>
          </w:p>
        </w:tc>
        <w:tc>
          <w:tcPr>
            <w:tcW w:w="1947" w:type="dxa"/>
            <w:shd w:val="clear" w:color="auto" w:fill="auto"/>
          </w:tcPr>
          <w:p w:rsidR="0049577B" w:rsidRPr="00BF13FB" w:rsidRDefault="0049577B" w:rsidP="00B3048A">
            <w:pPr>
              <w:spacing w:line="240" w:lineRule="auto"/>
              <w:ind w:leftChars="0" w:left="0" w:rightChars="0" w:right="0"/>
              <w:jc w:val="center"/>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X6：低收入戶之家庭及就學生活補助金額(1998-2013年)</w:t>
            </w:r>
            <w:r w:rsidRPr="00BF13FB">
              <w:rPr>
                <w:rStyle w:val="af7"/>
                <w:rFonts w:eastAsia="新細明體"/>
                <w:sz w:val="20"/>
                <w:szCs w:val="24"/>
              </w:rPr>
              <w:footnoteReference w:id="242"/>
            </w:r>
          </w:p>
        </w:tc>
        <w:tc>
          <w:tcPr>
            <w:tcW w:w="1946" w:type="dxa"/>
            <w:shd w:val="clear" w:color="auto" w:fill="auto"/>
          </w:tcPr>
          <w:p w:rsidR="0049577B" w:rsidRPr="00BF13FB" w:rsidRDefault="0049577B" w:rsidP="00B3048A">
            <w:pPr>
              <w:spacing w:line="240" w:lineRule="auto"/>
              <w:ind w:leftChars="0" w:left="0" w:rightChars="0" w:right="0"/>
              <w:jc w:val="center"/>
              <w:rPr>
                <w:sz w:val="24"/>
                <w:szCs w:val="24"/>
              </w:rPr>
            </w:pPr>
            <w:r w:rsidRPr="00BF13FB">
              <w:rPr>
                <w:sz w:val="24"/>
                <w:szCs w:val="24"/>
              </w:rPr>
              <w:t>-0.695</w:t>
            </w:r>
          </w:p>
        </w:tc>
        <w:tc>
          <w:tcPr>
            <w:tcW w:w="1947" w:type="dxa"/>
            <w:shd w:val="clear" w:color="auto" w:fill="auto"/>
          </w:tcPr>
          <w:p w:rsidR="0049577B" w:rsidRPr="00BF13FB" w:rsidRDefault="0049577B" w:rsidP="00B3048A">
            <w:pPr>
              <w:spacing w:line="240" w:lineRule="auto"/>
              <w:ind w:leftChars="0" w:left="0" w:rightChars="0" w:right="0"/>
              <w:jc w:val="center"/>
              <w:rPr>
                <w:sz w:val="24"/>
                <w:szCs w:val="24"/>
              </w:rPr>
            </w:pPr>
            <w:r w:rsidRPr="00BF13FB">
              <w:rPr>
                <w:sz w:val="24"/>
                <w:szCs w:val="24"/>
              </w:rPr>
              <w:t>0.000</w:t>
            </w:r>
          </w:p>
        </w:tc>
        <w:tc>
          <w:tcPr>
            <w:tcW w:w="1947" w:type="dxa"/>
            <w:shd w:val="clear" w:color="auto" w:fill="auto"/>
          </w:tcPr>
          <w:p w:rsidR="0049577B" w:rsidRPr="00BF13FB" w:rsidRDefault="0049577B" w:rsidP="00B3048A">
            <w:pPr>
              <w:spacing w:line="240" w:lineRule="auto"/>
              <w:ind w:leftChars="0" w:left="0" w:rightChars="0" w:right="0"/>
              <w:jc w:val="center"/>
              <w:rPr>
                <w:sz w:val="24"/>
                <w:szCs w:val="24"/>
              </w:rPr>
            </w:pPr>
            <w:r w:rsidRPr="00BF13FB">
              <w:rPr>
                <w:sz w:val="24"/>
                <w:szCs w:val="24"/>
              </w:rPr>
              <w:t>4.682</w:t>
            </w: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X7：緩刑比率(1998-2013年)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X8：無期徒刑之人數(1998-2013年)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X9：被執行死刑之人數(1992-2016年)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2031B1">
        <w:tc>
          <w:tcPr>
            <w:tcW w:w="3936" w:type="dxa"/>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X10：當年度之全般刑案破獲率(1992-2016年)</w:t>
            </w:r>
          </w:p>
        </w:tc>
        <w:tc>
          <w:tcPr>
            <w:tcW w:w="1946"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c>
          <w:tcPr>
            <w:tcW w:w="1947" w:type="dxa"/>
            <w:shd w:val="clear" w:color="auto" w:fill="auto"/>
          </w:tcPr>
          <w:p w:rsidR="0049577B" w:rsidRPr="00BF13FB" w:rsidRDefault="0049577B" w:rsidP="00B3048A">
            <w:pPr>
              <w:spacing w:line="240" w:lineRule="auto"/>
              <w:ind w:leftChars="0" w:left="0" w:rightChars="0" w:right="0"/>
              <w:rPr>
                <w:sz w:val="24"/>
                <w:szCs w:val="24"/>
              </w:rPr>
            </w:pPr>
          </w:p>
        </w:tc>
      </w:tr>
      <w:tr w:rsidR="0049577B" w:rsidRPr="00B40DC1" w:rsidTr="00B3048A">
        <w:tc>
          <w:tcPr>
            <w:tcW w:w="9776" w:type="dxa"/>
            <w:gridSpan w:val="4"/>
            <w:shd w:val="clear" w:color="auto" w:fill="auto"/>
          </w:tcPr>
          <w:p w:rsidR="0049577B" w:rsidRPr="00BF13FB" w:rsidRDefault="0049577B" w:rsidP="00B3048A">
            <w:pPr>
              <w:spacing w:line="240" w:lineRule="auto"/>
              <w:ind w:leftChars="0" w:left="0" w:rightChars="0" w:right="0"/>
              <w:rPr>
                <w:sz w:val="24"/>
                <w:szCs w:val="24"/>
              </w:rPr>
            </w:pPr>
            <w:r w:rsidRPr="00BF13FB">
              <w:rPr>
                <w:sz w:val="24"/>
                <w:szCs w:val="24"/>
              </w:rPr>
              <w:t>多元迴歸分析模型整體之R平方解釋量：0.826</w:t>
            </w:r>
          </w:p>
        </w:tc>
      </w:tr>
    </w:tbl>
    <w:p w:rsidR="0049577B" w:rsidRPr="00B40DC1" w:rsidRDefault="00817A92" w:rsidP="00B3048A">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D26BB"/>
    <w:p w:rsidR="0049577B" w:rsidRPr="00B40DC1" w:rsidRDefault="00B3048A" w:rsidP="00B3048A">
      <w:pPr>
        <w:spacing w:line="240" w:lineRule="auto"/>
        <w:ind w:leftChars="0" w:left="0" w:rightChars="0" w:right="0"/>
      </w:pPr>
      <w:r>
        <w:t xml:space="preserve">　　</w:t>
      </w:r>
      <w:r w:rsidR="0049577B" w:rsidRPr="00B40DC1">
        <w:t>由下表---影響當年度刑案發生件數(1992年至2016年)相關因子(原因變項)之多元迴歸分析統計數據結果一覽表(本表係使用強迫進入法之迴歸分析方式)之統計資料可得知，依變項為當年度刑案發生件數，每提升離婚率1個單位之標準差(1個標準單位)，則可增加0.508個單位之標準差(標準化迴歸係數值，Beta=0.508)之當年度刑案發生件數。針對整體犯罪預防機制及社會之安定性而論，離婚實不足取。</w:t>
      </w:r>
    </w:p>
    <w:p w:rsidR="0049577B" w:rsidRPr="00B40DC1" w:rsidRDefault="00B3048A" w:rsidP="00B3048A">
      <w:pPr>
        <w:spacing w:line="240" w:lineRule="auto"/>
        <w:ind w:leftChars="0" w:left="0" w:rightChars="0" w:right="0"/>
      </w:pPr>
      <w:r>
        <w:t xml:space="preserve">　　</w:t>
      </w:r>
      <w:r w:rsidR="0049577B" w:rsidRPr="00B40DC1">
        <w:t>每提升低收入戶之家庭及就學生活補助金額1個單位之標準差(1個標準單位)，則可降低0.695個單位之標準差(標準化迴歸係數值，Beta=-0.695)之當年度刑案發生件數。</w:t>
      </w:r>
    </w:p>
    <w:p w:rsidR="0049577B" w:rsidRPr="00B40DC1" w:rsidRDefault="00B3048A" w:rsidP="00B3048A">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當年度刑案發生件數。復次，無期徒刑亦無法有效地嚇阻(減少</w:t>
      </w:r>
      <w:r w:rsidR="00587200">
        <w:t>)</w:t>
      </w:r>
      <w:r w:rsidR="0049577B" w:rsidRPr="00B40DC1">
        <w:t>當年度刑案發生件數。</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B3048A">
      <w:pPr>
        <w:pStyle w:val="4"/>
        <w:rPr>
          <w:lang w:eastAsia="zh-TW"/>
        </w:rPr>
      </w:pPr>
      <w:r w:rsidRPr="00B40DC1">
        <w:rPr>
          <w:lang w:eastAsia="zh-TW"/>
        </w:rPr>
        <w:t>表41、影響當年度刑案發生件數(1992年至2016年)相關因子(原因變項)之多元迴歸分析統計數據結果一覽表(本表係使用強迫進入法之迴歸分析方式)</w:t>
      </w:r>
      <w:r w:rsidRPr="00042127">
        <w:rPr>
          <w:rStyle w:val="af7"/>
          <w:rFonts w:eastAsia="新細明體"/>
          <w:sz w:val="20"/>
        </w:rPr>
        <w:footnoteReference w:id="243"/>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41"/>
        <w:gridCol w:w="2041"/>
        <w:gridCol w:w="2042"/>
      </w:tblGrid>
      <w:tr w:rsidR="0049577B" w:rsidRPr="00B40DC1" w:rsidTr="002031B1">
        <w:trPr>
          <w:tblHeader/>
        </w:trPr>
        <w:tc>
          <w:tcPr>
            <w:tcW w:w="3936" w:type="dxa"/>
            <w:shd w:val="clear" w:color="auto" w:fill="EFFDFF"/>
            <w:vAlign w:val="center"/>
          </w:tcPr>
          <w:p w:rsidR="0049577B" w:rsidRPr="00BF13FB" w:rsidRDefault="0049577B" w:rsidP="00241667">
            <w:pPr>
              <w:spacing w:line="240" w:lineRule="auto"/>
              <w:ind w:leftChars="0" w:left="0" w:rightChars="0" w:right="0"/>
              <w:jc w:val="center"/>
              <w:rPr>
                <w:sz w:val="24"/>
              </w:rPr>
            </w:pPr>
            <w:r w:rsidRPr="00BF13FB">
              <w:rPr>
                <w:sz w:val="24"/>
              </w:rPr>
              <w:t>多元迴歸分析統計數據</w:t>
            </w:r>
          </w:p>
          <w:p w:rsidR="0049577B" w:rsidRPr="00BF13FB" w:rsidRDefault="0049577B" w:rsidP="00241667">
            <w:pPr>
              <w:spacing w:line="240" w:lineRule="auto"/>
              <w:ind w:leftChars="0" w:left="0" w:rightChars="0" w:right="0"/>
              <w:jc w:val="center"/>
              <w:rPr>
                <w:sz w:val="24"/>
              </w:rPr>
            </w:pPr>
            <w:r w:rsidRPr="00BF13FB">
              <w:rPr>
                <w:sz w:val="24"/>
              </w:rPr>
              <w:t>自變項(解釋因子，independent variable)之名稱</w:t>
            </w:r>
          </w:p>
        </w:tc>
        <w:tc>
          <w:tcPr>
            <w:tcW w:w="2041" w:type="dxa"/>
            <w:shd w:val="clear" w:color="auto" w:fill="EFFDFF"/>
            <w:vAlign w:val="center"/>
          </w:tcPr>
          <w:p w:rsidR="0049577B" w:rsidRPr="00BF13FB" w:rsidRDefault="0049577B" w:rsidP="00241667">
            <w:pPr>
              <w:spacing w:line="240" w:lineRule="auto"/>
              <w:ind w:leftChars="0" w:left="0" w:rightChars="0" w:right="0"/>
              <w:jc w:val="center"/>
              <w:rPr>
                <w:sz w:val="24"/>
              </w:rPr>
            </w:pPr>
            <w:r w:rsidRPr="00BF13FB">
              <w:rPr>
                <w:sz w:val="24"/>
              </w:rPr>
              <w:t>標準化迴歸係數值(Beta)</w:t>
            </w:r>
          </w:p>
        </w:tc>
        <w:tc>
          <w:tcPr>
            <w:tcW w:w="2041" w:type="dxa"/>
            <w:shd w:val="clear" w:color="auto" w:fill="EFFDFF"/>
            <w:vAlign w:val="center"/>
          </w:tcPr>
          <w:p w:rsidR="0049577B" w:rsidRPr="00BF13FB" w:rsidRDefault="0049577B" w:rsidP="00241667">
            <w:pPr>
              <w:spacing w:line="240" w:lineRule="auto"/>
              <w:ind w:leftChars="0" w:left="0" w:rightChars="0" w:right="0"/>
              <w:jc w:val="center"/>
              <w:rPr>
                <w:sz w:val="24"/>
              </w:rPr>
            </w:pPr>
            <w:r w:rsidRPr="00BF13FB">
              <w:rPr>
                <w:sz w:val="24"/>
              </w:rPr>
              <w:t>標準化迴歸係數值(Beta)之顯著度(水準)</w:t>
            </w:r>
          </w:p>
        </w:tc>
        <w:tc>
          <w:tcPr>
            <w:tcW w:w="2042" w:type="dxa"/>
            <w:shd w:val="clear" w:color="auto" w:fill="EFFDFF"/>
            <w:vAlign w:val="center"/>
          </w:tcPr>
          <w:p w:rsidR="0049577B" w:rsidRPr="00BF13FB" w:rsidRDefault="0049577B" w:rsidP="00241667">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X1：失業率(1992-2016年)</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2F385B">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X2：結婚對數(1998-2013年)</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2F385B">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2F385B">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X4：離婚率(1998-2013年)</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r w:rsidRPr="00BF13FB">
              <w:rPr>
                <w:sz w:val="24"/>
              </w:rPr>
              <w:t>0.508</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r w:rsidRPr="00BF13FB">
              <w:rPr>
                <w:sz w:val="24"/>
              </w:rPr>
              <w:t>0.000</w:t>
            </w:r>
          </w:p>
        </w:tc>
        <w:tc>
          <w:tcPr>
            <w:tcW w:w="2042" w:type="dxa"/>
            <w:shd w:val="clear" w:color="auto" w:fill="auto"/>
            <w:vAlign w:val="center"/>
          </w:tcPr>
          <w:p w:rsidR="0049577B" w:rsidRPr="00BF13FB" w:rsidRDefault="0049577B" w:rsidP="002F385B">
            <w:pPr>
              <w:spacing w:line="240" w:lineRule="auto"/>
              <w:ind w:leftChars="0" w:left="0" w:rightChars="0" w:right="0"/>
              <w:jc w:val="center"/>
              <w:rPr>
                <w:sz w:val="24"/>
              </w:rPr>
            </w:pPr>
            <w:r w:rsidRPr="00BF13FB">
              <w:rPr>
                <w:sz w:val="24"/>
              </w:rPr>
              <w:t>4.682</w:t>
            </w: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2F385B">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X6：低收入戶之家庭及就學生活補助金額(1998-2013年)</w:t>
            </w:r>
            <w:r w:rsidRPr="00BF13FB">
              <w:rPr>
                <w:rStyle w:val="af7"/>
                <w:rFonts w:eastAsia="新細明體"/>
                <w:sz w:val="20"/>
              </w:rPr>
              <w:footnoteReference w:id="244"/>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r w:rsidRPr="00BF13FB">
              <w:rPr>
                <w:sz w:val="24"/>
              </w:rPr>
              <w:t>-0.695</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r w:rsidRPr="00BF13FB">
              <w:rPr>
                <w:sz w:val="24"/>
              </w:rPr>
              <w:t>0.000</w:t>
            </w:r>
          </w:p>
        </w:tc>
        <w:tc>
          <w:tcPr>
            <w:tcW w:w="2042" w:type="dxa"/>
            <w:shd w:val="clear" w:color="auto" w:fill="auto"/>
            <w:vAlign w:val="center"/>
          </w:tcPr>
          <w:p w:rsidR="0049577B" w:rsidRPr="00BF13FB" w:rsidRDefault="0049577B" w:rsidP="002F385B">
            <w:pPr>
              <w:spacing w:line="240" w:lineRule="auto"/>
              <w:ind w:leftChars="0" w:left="0" w:rightChars="0" w:right="0"/>
              <w:jc w:val="center"/>
              <w:rPr>
                <w:sz w:val="24"/>
              </w:rPr>
            </w:pPr>
            <w:r w:rsidRPr="00BF13FB">
              <w:rPr>
                <w:sz w:val="24"/>
              </w:rPr>
              <w:t>26.618</w:t>
            </w: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X7：緩刑比率(1998-2013年)</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2F385B">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X8：無期徒刑之人數(1998-2013年)</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2F385B">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X9：被執行死刑之人數(1992-2016年)</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2F385B">
            <w:pPr>
              <w:spacing w:line="240" w:lineRule="auto"/>
              <w:ind w:leftChars="0" w:left="0" w:rightChars="0" w:right="0"/>
              <w:jc w:val="center"/>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X10：當年度之全般刑案破獲率(1992-2016年)</w:t>
            </w: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1" w:type="dxa"/>
            <w:shd w:val="clear" w:color="auto" w:fill="auto"/>
            <w:vAlign w:val="center"/>
          </w:tcPr>
          <w:p w:rsidR="0049577B" w:rsidRPr="00BF13FB" w:rsidRDefault="0049577B" w:rsidP="002F385B">
            <w:pPr>
              <w:spacing w:line="240" w:lineRule="auto"/>
              <w:ind w:leftChars="0" w:left="0" w:rightChars="0" w:right="0"/>
              <w:jc w:val="center"/>
              <w:rPr>
                <w:sz w:val="24"/>
              </w:rPr>
            </w:pPr>
          </w:p>
        </w:tc>
        <w:tc>
          <w:tcPr>
            <w:tcW w:w="2042" w:type="dxa"/>
            <w:shd w:val="clear" w:color="auto" w:fill="auto"/>
            <w:vAlign w:val="center"/>
          </w:tcPr>
          <w:p w:rsidR="0049577B" w:rsidRPr="00BF13FB" w:rsidRDefault="0049577B" w:rsidP="002F385B">
            <w:pPr>
              <w:spacing w:line="240" w:lineRule="auto"/>
              <w:ind w:leftChars="0" w:left="0" w:rightChars="0" w:right="0"/>
              <w:jc w:val="center"/>
              <w:rPr>
                <w:sz w:val="24"/>
              </w:rPr>
            </w:pPr>
          </w:p>
        </w:tc>
      </w:tr>
      <w:tr w:rsidR="0049577B" w:rsidRPr="00B40DC1" w:rsidTr="00241667">
        <w:tc>
          <w:tcPr>
            <w:tcW w:w="10060" w:type="dxa"/>
            <w:gridSpan w:val="4"/>
            <w:shd w:val="clear" w:color="auto" w:fill="auto"/>
          </w:tcPr>
          <w:p w:rsidR="0049577B" w:rsidRPr="00BF13FB" w:rsidRDefault="0049577B" w:rsidP="00241667">
            <w:pPr>
              <w:spacing w:line="240" w:lineRule="auto"/>
              <w:ind w:leftChars="0" w:left="0" w:rightChars="0" w:right="0"/>
              <w:rPr>
                <w:sz w:val="24"/>
              </w:rPr>
            </w:pPr>
            <w:r w:rsidRPr="00BF13FB">
              <w:rPr>
                <w:sz w:val="24"/>
              </w:rPr>
              <w:t>多元迴歸分析模型整體之R平方解釋量：0.826</w:t>
            </w:r>
          </w:p>
        </w:tc>
      </w:tr>
    </w:tbl>
    <w:p w:rsidR="0049577B" w:rsidRPr="00B40DC1" w:rsidRDefault="00817A92" w:rsidP="002031B1">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2031B1">
      <w:pPr>
        <w:spacing w:line="240" w:lineRule="auto"/>
        <w:ind w:leftChars="0" w:left="0" w:rightChars="0" w:right="0"/>
      </w:pPr>
    </w:p>
    <w:p w:rsidR="0049577B" w:rsidRPr="00B40DC1" w:rsidRDefault="00241667" w:rsidP="002031B1">
      <w:pPr>
        <w:spacing w:line="240" w:lineRule="auto"/>
        <w:ind w:leftChars="0" w:left="0" w:rightChars="0" w:right="0"/>
      </w:pPr>
      <w:r>
        <w:t xml:space="preserve">　　</w:t>
      </w:r>
      <w:r w:rsidR="0049577B" w:rsidRPr="00B40DC1">
        <w:t>由下表---影響當年度被法院定罪總人數(1998年至2013年)相關因子(原因變項)之多元迴歸分析統計數據結果一覽表(本表係使用逐步迴歸分析法之迴歸分析方式)之統計資料可得知，依變項為當年度被法院定罪總人數，每提升緩刑比率1個單位之標準差(1個標準單位)，則可降低0.889個單位之標準差(標準化迴歸係數值，Beta=-0.889)之當年度被法院定罪總人數。</w:t>
      </w:r>
    </w:p>
    <w:p w:rsidR="0049577B" w:rsidRPr="00B40DC1" w:rsidRDefault="00241667" w:rsidP="002031B1">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當年度被法院定罪總人數。復次，無期徒刑亦無法有效地嚇阻(減少</w:t>
      </w:r>
      <w:r w:rsidR="00587200">
        <w:t>)</w:t>
      </w:r>
      <w:r w:rsidR="0049577B" w:rsidRPr="00B40DC1">
        <w:t>當年度被法院定罪總人數。</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241667">
      <w:pPr>
        <w:pStyle w:val="4"/>
        <w:rPr>
          <w:lang w:eastAsia="zh-TW"/>
        </w:rPr>
      </w:pPr>
      <w:r w:rsidRPr="00B40DC1">
        <w:rPr>
          <w:lang w:eastAsia="zh-TW"/>
        </w:rPr>
        <w:t>表42、影響當年度被法院定罪總人數(1998年至2013年)相關因子(原因變項)之多元迴歸分析統計數據結果一覽表(本表係使用逐步迴歸分析法之迴歸分析方式)</w:t>
      </w:r>
      <w:r w:rsidRPr="00042127">
        <w:rPr>
          <w:rStyle w:val="af7"/>
          <w:rFonts w:eastAsia="新細明體"/>
          <w:sz w:val="20"/>
        </w:rPr>
        <w:footnoteReference w:id="245"/>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41"/>
        <w:gridCol w:w="2041"/>
        <w:gridCol w:w="2042"/>
      </w:tblGrid>
      <w:tr w:rsidR="0049577B" w:rsidRPr="00B40DC1" w:rsidTr="002031B1">
        <w:trPr>
          <w:tblHeader/>
        </w:trPr>
        <w:tc>
          <w:tcPr>
            <w:tcW w:w="3936" w:type="dxa"/>
            <w:shd w:val="clear" w:color="auto" w:fill="FAF0FA"/>
            <w:vAlign w:val="center"/>
          </w:tcPr>
          <w:p w:rsidR="0049577B" w:rsidRPr="00BF13FB" w:rsidRDefault="0049577B" w:rsidP="002F385B">
            <w:pPr>
              <w:spacing w:line="240" w:lineRule="auto"/>
              <w:ind w:leftChars="0" w:left="0" w:rightChars="0" w:right="0"/>
              <w:jc w:val="center"/>
              <w:rPr>
                <w:sz w:val="24"/>
              </w:rPr>
            </w:pPr>
            <w:r w:rsidRPr="00BF13FB">
              <w:rPr>
                <w:sz w:val="24"/>
              </w:rPr>
              <w:t>多元迴歸分析統計數據</w:t>
            </w:r>
          </w:p>
          <w:p w:rsidR="0049577B" w:rsidRPr="00BF13FB" w:rsidRDefault="0049577B" w:rsidP="002F385B">
            <w:pPr>
              <w:spacing w:line="240" w:lineRule="auto"/>
              <w:ind w:leftChars="0" w:left="0" w:rightChars="0" w:right="0"/>
              <w:jc w:val="center"/>
              <w:rPr>
                <w:sz w:val="24"/>
              </w:rPr>
            </w:pPr>
            <w:r w:rsidRPr="00BF13FB">
              <w:rPr>
                <w:sz w:val="24"/>
              </w:rPr>
              <w:t>自變項(解釋因子，independent variable)之名稱</w:t>
            </w:r>
          </w:p>
        </w:tc>
        <w:tc>
          <w:tcPr>
            <w:tcW w:w="2041" w:type="dxa"/>
            <w:shd w:val="clear" w:color="auto" w:fill="FAF0FA"/>
            <w:vAlign w:val="center"/>
          </w:tcPr>
          <w:p w:rsidR="0049577B" w:rsidRPr="00BF13FB" w:rsidRDefault="0049577B" w:rsidP="002F385B">
            <w:pPr>
              <w:spacing w:line="240" w:lineRule="auto"/>
              <w:ind w:leftChars="0" w:left="0" w:rightChars="0" w:right="0"/>
              <w:jc w:val="center"/>
              <w:rPr>
                <w:sz w:val="24"/>
              </w:rPr>
            </w:pPr>
            <w:r w:rsidRPr="00BF13FB">
              <w:rPr>
                <w:sz w:val="24"/>
              </w:rPr>
              <w:t>標準化迴歸係數值(Beta)</w:t>
            </w:r>
          </w:p>
        </w:tc>
        <w:tc>
          <w:tcPr>
            <w:tcW w:w="2041" w:type="dxa"/>
            <w:shd w:val="clear" w:color="auto" w:fill="FAF0FA"/>
            <w:vAlign w:val="center"/>
          </w:tcPr>
          <w:p w:rsidR="0049577B" w:rsidRPr="00BF13FB" w:rsidRDefault="0049577B" w:rsidP="002F385B">
            <w:pPr>
              <w:spacing w:line="240" w:lineRule="auto"/>
              <w:ind w:leftChars="0" w:left="0" w:rightChars="0" w:right="0"/>
              <w:jc w:val="center"/>
              <w:rPr>
                <w:sz w:val="24"/>
              </w:rPr>
            </w:pPr>
            <w:r w:rsidRPr="00BF13FB">
              <w:rPr>
                <w:sz w:val="24"/>
              </w:rPr>
              <w:t>標準化迴歸係數值(Beta)之顯著度(水準)</w:t>
            </w:r>
          </w:p>
        </w:tc>
        <w:tc>
          <w:tcPr>
            <w:tcW w:w="2042" w:type="dxa"/>
            <w:shd w:val="clear" w:color="auto" w:fill="FAF0FA"/>
            <w:vAlign w:val="center"/>
          </w:tcPr>
          <w:p w:rsidR="0049577B" w:rsidRPr="00BF13FB" w:rsidRDefault="0049577B" w:rsidP="002F385B">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X1：失業率(1992-2016年)</w:t>
            </w: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2" w:type="dxa"/>
            <w:shd w:val="clear" w:color="auto" w:fill="auto"/>
          </w:tcPr>
          <w:p w:rsidR="0049577B" w:rsidRPr="00BF13FB" w:rsidRDefault="0049577B" w:rsidP="00241667">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X2：結婚對數(1998-2013年)</w:t>
            </w: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2" w:type="dxa"/>
            <w:shd w:val="clear" w:color="auto" w:fill="auto"/>
          </w:tcPr>
          <w:p w:rsidR="0049577B" w:rsidRPr="00BF13FB" w:rsidRDefault="0049577B" w:rsidP="00241667">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2" w:type="dxa"/>
            <w:shd w:val="clear" w:color="auto" w:fill="auto"/>
          </w:tcPr>
          <w:p w:rsidR="0049577B" w:rsidRPr="00BF13FB" w:rsidRDefault="0049577B" w:rsidP="00241667">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X4：離婚率(1998-2013年)</w:t>
            </w: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2" w:type="dxa"/>
            <w:shd w:val="clear" w:color="auto" w:fill="auto"/>
          </w:tcPr>
          <w:p w:rsidR="0049577B" w:rsidRPr="00BF13FB" w:rsidRDefault="0049577B" w:rsidP="00241667">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2" w:type="dxa"/>
            <w:shd w:val="clear" w:color="auto" w:fill="auto"/>
          </w:tcPr>
          <w:p w:rsidR="0049577B" w:rsidRPr="00BF13FB" w:rsidRDefault="0049577B" w:rsidP="00241667">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X6：低收入戶之家庭及就學生活補助金額(1998-2013年)</w:t>
            </w:r>
            <w:r w:rsidRPr="00BF13FB">
              <w:rPr>
                <w:rStyle w:val="af7"/>
                <w:rFonts w:eastAsia="新細明體"/>
                <w:sz w:val="20"/>
              </w:rPr>
              <w:footnoteReference w:id="246"/>
            </w: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2" w:type="dxa"/>
            <w:shd w:val="clear" w:color="auto" w:fill="auto"/>
          </w:tcPr>
          <w:p w:rsidR="0049577B" w:rsidRPr="00BF13FB" w:rsidRDefault="0049577B" w:rsidP="00241667">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X7：緩刑比率(1998-2013年)</w:t>
            </w:r>
          </w:p>
        </w:tc>
        <w:tc>
          <w:tcPr>
            <w:tcW w:w="2041" w:type="dxa"/>
            <w:shd w:val="clear" w:color="auto" w:fill="auto"/>
            <w:vAlign w:val="center"/>
          </w:tcPr>
          <w:p w:rsidR="0049577B" w:rsidRPr="00BF13FB" w:rsidRDefault="0049577B" w:rsidP="002031B1">
            <w:pPr>
              <w:spacing w:line="240" w:lineRule="auto"/>
              <w:ind w:leftChars="0" w:left="0" w:rightChars="0" w:right="0"/>
              <w:jc w:val="center"/>
              <w:rPr>
                <w:sz w:val="24"/>
              </w:rPr>
            </w:pPr>
            <w:r w:rsidRPr="00BF13FB">
              <w:rPr>
                <w:sz w:val="24"/>
              </w:rPr>
              <w:t>-0.889</w:t>
            </w:r>
          </w:p>
        </w:tc>
        <w:tc>
          <w:tcPr>
            <w:tcW w:w="2041" w:type="dxa"/>
            <w:shd w:val="clear" w:color="auto" w:fill="auto"/>
            <w:vAlign w:val="center"/>
          </w:tcPr>
          <w:p w:rsidR="0049577B" w:rsidRPr="00BF13FB" w:rsidRDefault="0049577B" w:rsidP="002031B1">
            <w:pPr>
              <w:spacing w:line="240" w:lineRule="auto"/>
              <w:ind w:leftChars="0" w:left="0" w:rightChars="0" w:right="0"/>
              <w:jc w:val="center"/>
              <w:rPr>
                <w:sz w:val="24"/>
              </w:rPr>
            </w:pPr>
            <w:r w:rsidRPr="00BF13FB">
              <w:rPr>
                <w:sz w:val="24"/>
              </w:rPr>
              <w:t>0.000</w:t>
            </w:r>
          </w:p>
        </w:tc>
        <w:tc>
          <w:tcPr>
            <w:tcW w:w="2042" w:type="dxa"/>
            <w:shd w:val="clear" w:color="auto" w:fill="auto"/>
            <w:vAlign w:val="center"/>
          </w:tcPr>
          <w:p w:rsidR="0049577B" w:rsidRPr="00BF13FB" w:rsidRDefault="0049577B" w:rsidP="002031B1">
            <w:pPr>
              <w:spacing w:line="240" w:lineRule="auto"/>
              <w:ind w:leftChars="0" w:left="0" w:rightChars="0" w:right="0"/>
              <w:jc w:val="center"/>
              <w:rPr>
                <w:sz w:val="24"/>
              </w:rPr>
            </w:pPr>
            <w:r w:rsidRPr="00BF13FB">
              <w:rPr>
                <w:sz w:val="24"/>
              </w:rPr>
              <w:t>8.273</w:t>
            </w: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X8：無期徒刑之人數(1998-2013年)</w:t>
            </w: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2" w:type="dxa"/>
            <w:shd w:val="clear" w:color="auto" w:fill="auto"/>
          </w:tcPr>
          <w:p w:rsidR="0049577B" w:rsidRPr="00BF13FB" w:rsidRDefault="0049577B" w:rsidP="00241667">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X9：被執行死刑之人數(1992-2016年)</w:t>
            </w: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2" w:type="dxa"/>
            <w:shd w:val="clear" w:color="auto" w:fill="auto"/>
          </w:tcPr>
          <w:p w:rsidR="0049577B" w:rsidRPr="00BF13FB" w:rsidRDefault="0049577B" w:rsidP="00241667">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241667">
            <w:pPr>
              <w:spacing w:line="240" w:lineRule="auto"/>
              <w:ind w:leftChars="0" w:left="0" w:rightChars="0" w:right="0"/>
              <w:rPr>
                <w:sz w:val="24"/>
              </w:rPr>
            </w:pPr>
            <w:r w:rsidRPr="00BF13FB">
              <w:rPr>
                <w:sz w:val="24"/>
              </w:rPr>
              <w:t>X10：當年度之全般刑案破獲率(1992-2016年)</w:t>
            </w: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1" w:type="dxa"/>
            <w:shd w:val="clear" w:color="auto" w:fill="auto"/>
          </w:tcPr>
          <w:p w:rsidR="0049577B" w:rsidRPr="00BF13FB" w:rsidRDefault="0049577B" w:rsidP="00241667">
            <w:pPr>
              <w:spacing w:line="240" w:lineRule="auto"/>
              <w:ind w:leftChars="0" w:left="0" w:rightChars="0" w:right="0"/>
              <w:rPr>
                <w:sz w:val="24"/>
              </w:rPr>
            </w:pPr>
          </w:p>
        </w:tc>
        <w:tc>
          <w:tcPr>
            <w:tcW w:w="2042" w:type="dxa"/>
            <w:shd w:val="clear" w:color="auto" w:fill="auto"/>
          </w:tcPr>
          <w:p w:rsidR="0049577B" w:rsidRPr="00BF13FB" w:rsidRDefault="0049577B" w:rsidP="00241667">
            <w:pPr>
              <w:spacing w:line="240" w:lineRule="auto"/>
              <w:ind w:leftChars="0" w:left="0" w:rightChars="0" w:right="0"/>
              <w:rPr>
                <w:sz w:val="24"/>
              </w:rPr>
            </w:pPr>
          </w:p>
        </w:tc>
      </w:tr>
      <w:tr w:rsidR="0049577B" w:rsidRPr="00B40DC1" w:rsidTr="00241667">
        <w:tc>
          <w:tcPr>
            <w:tcW w:w="10060" w:type="dxa"/>
            <w:gridSpan w:val="4"/>
            <w:shd w:val="clear" w:color="auto" w:fill="auto"/>
          </w:tcPr>
          <w:p w:rsidR="0049577B" w:rsidRPr="00BF13FB" w:rsidRDefault="0049577B" w:rsidP="00241667">
            <w:pPr>
              <w:spacing w:line="240" w:lineRule="auto"/>
              <w:ind w:leftChars="0" w:left="0" w:rightChars="0" w:right="0"/>
              <w:rPr>
                <w:sz w:val="24"/>
              </w:rPr>
            </w:pPr>
            <w:r w:rsidRPr="00BF13FB">
              <w:rPr>
                <w:sz w:val="24"/>
              </w:rPr>
              <w:t>多元迴歸分析模型整體之R平方解釋量：0.775</w:t>
            </w:r>
          </w:p>
        </w:tc>
      </w:tr>
    </w:tbl>
    <w:p w:rsidR="0049577B" w:rsidRPr="00B40DC1" w:rsidRDefault="00817A92" w:rsidP="002031B1">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2031B1">
      <w:pPr>
        <w:spacing w:line="240" w:lineRule="auto"/>
        <w:ind w:leftChars="0" w:left="0" w:rightChars="0" w:right="0"/>
      </w:pPr>
    </w:p>
    <w:p w:rsidR="0049577B" w:rsidRPr="00B40DC1" w:rsidRDefault="002F385B" w:rsidP="002031B1">
      <w:pPr>
        <w:spacing w:line="240" w:lineRule="auto"/>
        <w:ind w:leftChars="0" w:left="0" w:rightChars="0" w:right="0"/>
      </w:pPr>
      <w:r>
        <w:t xml:space="preserve">　　</w:t>
      </w:r>
      <w:r w:rsidR="0049577B" w:rsidRPr="00B40DC1">
        <w:t>由下表---影響當年度毒品犯罪被法院定罪人數(1998年至2013年)相關因子(原因變項)之多元迴歸分析統計數據結果一覽表(本表係使用強迫進入法之迴歸分析方式)之統計資料可得知，依變項為當年度毒品犯罪被法院定罪人數，每提升結婚對數1個單位之標準差(1個標準單位)，則可降低0.294個單位之標準差(標準化迴歸係數值，Beta=-0.294)之當年度毒品犯罪被法院定罪人數。</w:t>
      </w:r>
    </w:p>
    <w:p w:rsidR="0049577B" w:rsidRPr="00B40DC1" w:rsidRDefault="002F385B" w:rsidP="002031B1">
      <w:pPr>
        <w:spacing w:line="240" w:lineRule="auto"/>
        <w:ind w:leftChars="0" w:left="0" w:rightChars="0" w:right="0"/>
      </w:pPr>
      <w:r>
        <w:t xml:space="preserve">　　</w:t>
      </w:r>
      <w:r w:rsidR="0049577B" w:rsidRPr="00B40DC1">
        <w:t>每提升GNI(平均每人國民所得毛額，以美元為單位</w:t>
      </w:r>
      <w:r w:rsidR="00587200">
        <w:t>)</w:t>
      </w:r>
      <w:r w:rsidR="0049577B" w:rsidRPr="00B40DC1">
        <w:t>1個單位之標準差(1個標準單位)，則可增加0.747個單位之標準差(標準化迴歸係數值，Beta=0.747)之當年度毒品犯罪被法院定罪人數。當GNI(平均每人國民所得毛額，以美元為單位)提升時，經濟無憂，毒品犯罪就會增加。</w:t>
      </w:r>
    </w:p>
    <w:p w:rsidR="0049577B" w:rsidRPr="00B40DC1" w:rsidRDefault="002F385B" w:rsidP="002031B1">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當年度毒品犯罪被法院定罪人數。復次，無期徒刑亦無法有效地嚇阻(減少</w:t>
      </w:r>
      <w:r w:rsidR="00587200">
        <w:t>)</w:t>
      </w:r>
      <w:r w:rsidR="0049577B" w:rsidRPr="00B40DC1">
        <w:t>當年度毒品犯罪被法院定罪人數。</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2F385B">
      <w:pPr>
        <w:pStyle w:val="4"/>
        <w:rPr>
          <w:lang w:eastAsia="zh-TW"/>
        </w:rPr>
      </w:pPr>
      <w:r w:rsidRPr="00B40DC1">
        <w:rPr>
          <w:lang w:eastAsia="zh-TW"/>
        </w:rPr>
        <w:t>表43、影響當年度毒品犯罪被法院定罪人數(1998年至2013年)相關因子(原因變項)之多元迴歸分析統計數據結果一覽表(本表係使用強迫進入法之迴歸分析方式)</w:t>
      </w:r>
      <w:r w:rsidRPr="00042127">
        <w:rPr>
          <w:rStyle w:val="af7"/>
          <w:rFonts w:eastAsia="新細明體"/>
          <w:sz w:val="20"/>
        </w:rPr>
        <w:footnoteReference w:id="247"/>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614D5B">
        <w:trPr>
          <w:tblHeader/>
        </w:trPr>
        <w:tc>
          <w:tcPr>
            <w:tcW w:w="3936"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多元迴歸分析統計數據</w:t>
            </w:r>
          </w:p>
          <w:p w:rsidR="0049577B" w:rsidRPr="00BF13FB" w:rsidRDefault="0049577B" w:rsidP="00614D5B">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w:t>
            </w:r>
          </w:p>
        </w:tc>
        <w:tc>
          <w:tcPr>
            <w:tcW w:w="1994"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X1：失業率(1992-2016年)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X2：結婚對數(1998-2013年)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-0.294</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0.044</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8.037</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X4：離婚率(1998-2013年)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0.747</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0.000</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24.260</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X6：低收入戶之家庭及就學生活補助金額(1998-2013年)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X7：緩刑比率(1998-2013年)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X8：無期徒刑之人數(1998-2013年)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X9：被執行死刑之人數(1992-2016年)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9918" w:type="dxa"/>
            <w:gridSpan w:val="4"/>
            <w:shd w:val="clear" w:color="auto" w:fill="auto"/>
          </w:tcPr>
          <w:p w:rsidR="0049577B" w:rsidRPr="00BF13FB" w:rsidRDefault="0049577B" w:rsidP="00614D5B">
            <w:pPr>
              <w:spacing w:line="240" w:lineRule="auto"/>
              <w:ind w:leftChars="0" w:left="0" w:rightChars="0" w:right="0"/>
              <w:rPr>
                <w:sz w:val="24"/>
              </w:rPr>
            </w:pPr>
            <w:r w:rsidRPr="00BF13FB">
              <w:rPr>
                <w:sz w:val="24"/>
              </w:rPr>
              <w:t>多元迴歸分析模型整體之R平方解釋量：0.774</w:t>
            </w:r>
          </w:p>
        </w:tc>
      </w:tr>
    </w:tbl>
    <w:p w:rsidR="0049577B" w:rsidRPr="002031B1" w:rsidRDefault="00817A92" w:rsidP="00042127">
      <w:pPr>
        <w:spacing w:line="240" w:lineRule="auto"/>
        <w:ind w:leftChars="0" w:left="0" w:rightChars="0" w:right="0"/>
      </w:pPr>
      <w:r w:rsidRPr="002031B1">
        <w:t>【資料來源】</w:t>
      </w:r>
      <w:r w:rsidR="0049577B" w:rsidRPr="002031B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2031B1" w:rsidRDefault="0049577B" w:rsidP="00042127">
      <w:pPr>
        <w:spacing w:line="240" w:lineRule="auto"/>
        <w:ind w:leftChars="0" w:left="0" w:rightChars="0" w:right="0"/>
      </w:pPr>
    </w:p>
    <w:p w:rsidR="0049577B" w:rsidRPr="002031B1" w:rsidRDefault="00614D5B" w:rsidP="00042127">
      <w:pPr>
        <w:spacing w:line="240" w:lineRule="auto"/>
        <w:ind w:leftChars="0" w:left="0" w:rightChars="0" w:right="0"/>
      </w:pPr>
      <w:r w:rsidRPr="002031B1">
        <w:t xml:space="preserve">　　</w:t>
      </w:r>
      <w:r w:rsidR="0049577B" w:rsidRPr="002031B1">
        <w:t>由下表---影響當年度毒品累(再)犯罪被法院定罪比率(1998年至2013年)相關因子(原因變項)之多元迴歸分析統計數據結果一覽表(本表係使用逐步迴歸分析法之迴歸分析方式)之統計資料可得知，依變項為當年度毒品累(再)犯罪被法院定罪比率，每提升緩刑比率1個單位之標準差(1個標準單位)，則可降低0.872個單位之標準差(標準化迴歸係數值，Beta=-0.872)之當年度毒品累(再)犯罪被法院定罪比率。</w:t>
      </w:r>
    </w:p>
    <w:p w:rsidR="0049577B" w:rsidRPr="002031B1" w:rsidRDefault="0049577B" w:rsidP="00042127">
      <w:pPr>
        <w:spacing w:line="240" w:lineRule="auto"/>
        <w:ind w:leftChars="0" w:left="0" w:rightChars="0" w:right="0"/>
      </w:pPr>
      <w:r w:rsidRPr="002031B1">
        <w:t>另外，就本書特別加以關注之死刑是否能有效地嚇阻(減少)犯罪之發生而論，根據本表之資料可得知，執行死刑無法有效地嚇阻(減少</w:t>
      </w:r>
      <w:r w:rsidR="00587200">
        <w:t>)</w:t>
      </w:r>
      <w:r w:rsidRPr="002031B1">
        <w:t>當年度毒品累(再)犯罪被法院定罪比率。復次，無期徒刑亦無法有效地嚇阻(減少</w:t>
      </w:r>
      <w:r w:rsidR="00587200">
        <w:t>)</w:t>
      </w:r>
      <w:r w:rsidRPr="002031B1">
        <w:t>當年度毒品累(再)犯罪被法院定罪比率。</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614D5B">
      <w:pPr>
        <w:pStyle w:val="4"/>
        <w:rPr>
          <w:lang w:eastAsia="zh-TW"/>
        </w:rPr>
      </w:pPr>
      <w:r w:rsidRPr="00B40DC1">
        <w:rPr>
          <w:lang w:eastAsia="zh-TW"/>
        </w:rPr>
        <w:t>表44、影響當年度毒品累(再)犯罪被法院定罪比率(1998年至2013年)相關因子(原因變項)之多元迴歸分析統計數據結果一覽表(本表係使用逐步迴歸分析法之迴歸分析方式)</w:t>
      </w:r>
      <w:r w:rsidRPr="00042127">
        <w:rPr>
          <w:rStyle w:val="af7"/>
          <w:rFonts w:eastAsia="新細明體"/>
          <w:sz w:val="20"/>
        </w:rPr>
        <w:footnoteReference w:id="24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99"/>
        <w:gridCol w:w="1899"/>
        <w:gridCol w:w="1900"/>
      </w:tblGrid>
      <w:tr w:rsidR="0049577B" w:rsidRPr="00B40DC1" w:rsidTr="00614D5B">
        <w:trPr>
          <w:tblHeader/>
        </w:trPr>
        <w:tc>
          <w:tcPr>
            <w:tcW w:w="3936"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多元迴歸分析統計數據</w:t>
            </w:r>
          </w:p>
          <w:p w:rsidR="0049577B" w:rsidRPr="00BF13FB" w:rsidRDefault="0049577B" w:rsidP="00614D5B">
            <w:pPr>
              <w:spacing w:line="240" w:lineRule="auto"/>
              <w:ind w:leftChars="0" w:left="0" w:rightChars="0" w:right="0"/>
              <w:jc w:val="center"/>
              <w:rPr>
                <w:sz w:val="24"/>
              </w:rPr>
            </w:pPr>
            <w:r w:rsidRPr="00BF13FB">
              <w:rPr>
                <w:sz w:val="24"/>
              </w:rPr>
              <w:t>自變項(解釋因子，independent variable)之名稱</w:t>
            </w:r>
          </w:p>
        </w:tc>
        <w:tc>
          <w:tcPr>
            <w:tcW w:w="1899"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w:t>
            </w:r>
          </w:p>
        </w:tc>
        <w:tc>
          <w:tcPr>
            <w:tcW w:w="1899"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標準化迴歸係數值(Beta)之顯著度(水準)</w:t>
            </w:r>
          </w:p>
        </w:tc>
        <w:tc>
          <w:tcPr>
            <w:tcW w:w="1900"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X1：失業率(1992-2016年)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X2：結婚對數(1998-2013年)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X4：離婚率(1998-2013年)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X6：低收入戶之家庭及就學生活補助金額(1998-2013年)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X7：緩刑比率(1998-2013年)</w:t>
            </w:r>
          </w:p>
        </w:tc>
        <w:tc>
          <w:tcPr>
            <w:tcW w:w="1899"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-0.872</w:t>
            </w:r>
          </w:p>
        </w:tc>
        <w:tc>
          <w:tcPr>
            <w:tcW w:w="1899"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0.000</w:t>
            </w:r>
          </w:p>
        </w:tc>
        <w:tc>
          <w:tcPr>
            <w:tcW w:w="1900"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8.255</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X8：無期徒刑之人數(1998-2013年)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X9：被執行死刑之人數(1992-2016年)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X10：當年度之全般刑案破獲率(1992-2016年)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9634" w:type="dxa"/>
            <w:gridSpan w:val="4"/>
            <w:shd w:val="clear" w:color="auto" w:fill="auto"/>
          </w:tcPr>
          <w:p w:rsidR="0049577B" w:rsidRPr="00BF13FB" w:rsidRDefault="0049577B" w:rsidP="00614D5B">
            <w:pPr>
              <w:spacing w:line="240" w:lineRule="auto"/>
              <w:ind w:leftChars="0" w:left="0" w:rightChars="0" w:right="0"/>
              <w:rPr>
                <w:sz w:val="24"/>
              </w:rPr>
            </w:pPr>
            <w:r w:rsidRPr="00BF13FB">
              <w:rPr>
                <w:sz w:val="24"/>
              </w:rPr>
              <w:t>多元迴歸分析模型整體之R平方解釋量：0.744</w:t>
            </w:r>
          </w:p>
        </w:tc>
      </w:tr>
    </w:tbl>
    <w:p w:rsidR="0049577B" w:rsidRPr="00B40DC1" w:rsidRDefault="00817A92" w:rsidP="00614D5B">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614D5B" w:rsidP="00614D5B">
      <w:pPr>
        <w:spacing w:line="240" w:lineRule="auto"/>
        <w:ind w:leftChars="0" w:left="0" w:rightChars="0" w:right="0"/>
      </w:pPr>
      <w:r>
        <w:t xml:space="preserve">　　</w:t>
      </w:r>
      <w:r w:rsidR="0049577B" w:rsidRPr="00B40DC1">
        <w:t>由下表---影響當年度毒品累(再)犯罪被法院定罪比率(1998年至2013年)相關因子(原因變項)之多元迴歸分析統計數據結果一覽表(本表係使用強迫進入法之迴歸分析方式)之統計資料可得知，依變項為當年度毒品累(再)犯罪被法院定罪比率，每提升GNI(平均每人國民所得毛額，以美元為單位)1個單位之標準差(1個標準單位)，則可增加0.685個單位之標準差(標準化迴歸係數值，Beta=0.685)之當年度毒品累(再)犯罪被法院定罪比率。</w:t>
      </w:r>
    </w:p>
    <w:p w:rsidR="0049577B" w:rsidRPr="00B40DC1" w:rsidRDefault="00614D5B" w:rsidP="00614D5B">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當年度毒品累(再)犯罪被法院定罪比率。復次，無期徒刑亦無法有效地嚇阻(減少</w:t>
      </w:r>
      <w:r w:rsidR="00587200">
        <w:t>)</w:t>
      </w:r>
      <w:r w:rsidR="0049577B" w:rsidRPr="00B40DC1">
        <w:t>當年度毒品累(再)犯罪被法院定罪比率。</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614D5B">
      <w:pPr>
        <w:pStyle w:val="4"/>
        <w:rPr>
          <w:lang w:eastAsia="zh-TW"/>
        </w:rPr>
      </w:pPr>
      <w:r w:rsidRPr="00B40DC1">
        <w:rPr>
          <w:lang w:eastAsia="zh-TW"/>
        </w:rPr>
        <w:t>表45、影響當年度毒品累(再)犯罪被法院定罪比率(1998年至2013年)相關因子(原因變項)之多元迴歸分析統計數據結果一覽表(本表係使用強迫進入法之迴歸分析方式)</w:t>
      </w:r>
      <w:r w:rsidRPr="002031B1">
        <w:rPr>
          <w:rStyle w:val="af7"/>
          <w:rFonts w:eastAsia="新細明體"/>
          <w:sz w:val="20"/>
        </w:rPr>
        <w:footnoteReference w:id="24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99"/>
        <w:gridCol w:w="1899"/>
        <w:gridCol w:w="1900"/>
      </w:tblGrid>
      <w:tr w:rsidR="0049577B" w:rsidRPr="00B40DC1" w:rsidTr="00614D5B">
        <w:trPr>
          <w:tblHeader/>
        </w:trPr>
        <w:tc>
          <w:tcPr>
            <w:tcW w:w="3936"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多元迴歸分析統計數據</w:t>
            </w:r>
          </w:p>
          <w:p w:rsidR="0049577B" w:rsidRPr="00BF13FB" w:rsidRDefault="0049577B" w:rsidP="00614D5B">
            <w:pPr>
              <w:spacing w:line="240" w:lineRule="auto"/>
              <w:ind w:leftChars="0" w:left="0" w:rightChars="0" w:right="0"/>
              <w:jc w:val="center"/>
              <w:rPr>
                <w:sz w:val="24"/>
              </w:rPr>
            </w:pPr>
            <w:r w:rsidRPr="00BF13FB">
              <w:rPr>
                <w:sz w:val="24"/>
              </w:rPr>
              <w:t>自變項(解釋因子，independent variable)之名稱</w:t>
            </w:r>
          </w:p>
        </w:tc>
        <w:tc>
          <w:tcPr>
            <w:tcW w:w="1899"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w:t>
            </w:r>
          </w:p>
        </w:tc>
        <w:tc>
          <w:tcPr>
            <w:tcW w:w="1899"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標準化迴歸係數值(Beta)之顯著度(水準)</w:t>
            </w:r>
          </w:p>
        </w:tc>
        <w:tc>
          <w:tcPr>
            <w:tcW w:w="1900"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X1：失業率(1992-2016年)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X2：結婚對數(1998-2013年)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X4：離婚率(1998-2013年)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899"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0.685</w:t>
            </w:r>
          </w:p>
        </w:tc>
        <w:tc>
          <w:tcPr>
            <w:tcW w:w="1899"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0.003</w:t>
            </w:r>
          </w:p>
        </w:tc>
        <w:tc>
          <w:tcPr>
            <w:tcW w:w="1900"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8.851</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X6：低收入戶之家庭及就學生活補助金額(1998-2013年)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X7：緩刑比率(1998-2013年)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X8：無期徒刑之人數(1998-2013年)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X9：被執行死刑之人數(1992-2016年)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X10：當年度之全般刑案破獲率(1992-2016年)</w:t>
            </w: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899" w:type="dxa"/>
            <w:shd w:val="clear" w:color="auto" w:fill="auto"/>
          </w:tcPr>
          <w:p w:rsidR="0049577B" w:rsidRPr="00BF13FB" w:rsidRDefault="0049577B" w:rsidP="00614D5B">
            <w:pPr>
              <w:spacing w:line="240" w:lineRule="auto"/>
              <w:ind w:leftChars="0" w:left="0" w:rightChars="0" w:right="0"/>
              <w:rPr>
                <w:sz w:val="24"/>
              </w:rPr>
            </w:pPr>
          </w:p>
        </w:tc>
        <w:tc>
          <w:tcPr>
            <w:tcW w:w="1900"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9634" w:type="dxa"/>
            <w:gridSpan w:val="4"/>
            <w:shd w:val="clear" w:color="auto" w:fill="auto"/>
          </w:tcPr>
          <w:p w:rsidR="0049577B" w:rsidRPr="00BF13FB" w:rsidRDefault="0049577B" w:rsidP="00614D5B">
            <w:pPr>
              <w:spacing w:line="240" w:lineRule="auto"/>
              <w:ind w:leftChars="0" w:left="0" w:rightChars="0" w:right="0"/>
              <w:rPr>
                <w:sz w:val="24"/>
              </w:rPr>
            </w:pPr>
            <w:r w:rsidRPr="00BF13FB">
              <w:rPr>
                <w:sz w:val="24"/>
              </w:rPr>
              <w:t>多元迴歸分析模型整體之R平方解釋量：0.432</w:t>
            </w:r>
          </w:p>
        </w:tc>
      </w:tr>
    </w:tbl>
    <w:p w:rsidR="0049577B" w:rsidRPr="00B40DC1" w:rsidRDefault="00817A92" w:rsidP="00614D5B">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614D5B">
      <w:pPr>
        <w:spacing w:line="240" w:lineRule="auto"/>
        <w:ind w:leftChars="0" w:left="0" w:rightChars="0" w:right="0"/>
      </w:pPr>
    </w:p>
    <w:p w:rsidR="0049577B" w:rsidRPr="00B40DC1" w:rsidRDefault="00614D5B" w:rsidP="00614D5B">
      <w:pPr>
        <w:spacing w:line="240" w:lineRule="auto"/>
        <w:ind w:leftChars="0" w:left="0" w:rightChars="0" w:right="0"/>
      </w:pPr>
      <w:r>
        <w:t xml:space="preserve">　　</w:t>
      </w:r>
      <w:r w:rsidR="0049577B" w:rsidRPr="00B40DC1">
        <w:t>由下表---影響當年度因竊盜犯罪被法院定罪人數(1998年至2013年)相關因子(原因變項)之多元迴歸分析統計數據結果一覽表(本表係使用強迫進入法之迴歸分析方式)之統計資料可得知，依變項為當年度因竊盜犯罪被法院定罪人數，所有之自變項對依變項---當年度因竊盜犯罪被法院定罪人數，均無影響力(未達統計上之顯著水準)。</w:t>
      </w:r>
    </w:p>
    <w:p w:rsidR="0049577B" w:rsidRPr="00B40DC1" w:rsidRDefault="00614D5B" w:rsidP="00614D5B">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當年度因竊盜犯罪被法院定罪人數。復次，無期徒刑亦無法有效地嚇阻(減少</w:t>
      </w:r>
      <w:r w:rsidR="00587200">
        <w:t>)</w:t>
      </w:r>
      <w:r w:rsidR="0049577B" w:rsidRPr="00B40DC1">
        <w:t>當年度因竊盜犯罪被法院定罪人數。</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614D5B">
      <w:pPr>
        <w:pStyle w:val="4"/>
        <w:rPr>
          <w:lang w:eastAsia="zh-TW"/>
        </w:rPr>
      </w:pPr>
      <w:r w:rsidRPr="00B40DC1">
        <w:rPr>
          <w:lang w:eastAsia="zh-TW"/>
        </w:rPr>
        <w:t>表46、影響當年度因竊盜犯罪被法院定罪人數(1998年至2013年)相關因子(原因變項)之多元迴歸分析統計數據結果一覽表(本表係使用強迫進入法之迴歸分析方式)</w:t>
      </w:r>
      <w:r w:rsidRPr="002031B1">
        <w:rPr>
          <w:rStyle w:val="af7"/>
          <w:rFonts w:eastAsia="新細明體"/>
          <w:sz w:val="20"/>
        </w:rPr>
        <w:footnoteReference w:id="250"/>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614D5B">
        <w:trPr>
          <w:tblHeader/>
        </w:trPr>
        <w:tc>
          <w:tcPr>
            <w:tcW w:w="3936"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多元迴歸分析統計數據</w:t>
            </w:r>
          </w:p>
          <w:p w:rsidR="0049577B" w:rsidRPr="00BF13FB" w:rsidRDefault="0049577B" w:rsidP="00614D5B">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w:t>
            </w:r>
          </w:p>
        </w:tc>
        <w:tc>
          <w:tcPr>
            <w:tcW w:w="1994"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X1：失業率(1992-2016年)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X2：結婚對數(1998-2013年)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X4：離婚率(1998-2013年)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0.439</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0.078</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2.382</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X6：低收入戶之家庭及就學生活補助金額(1998-2013年)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X7：緩刑比率(1998-2013年)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X8：無期徒刑之人數(1998-2013年)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X9：被執行死刑之人數(1992-2016年)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-0.420</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0.091</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14.578</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9918" w:type="dxa"/>
            <w:gridSpan w:val="4"/>
            <w:shd w:val="clear" w:color="auto" w:fill="auto"/>
          </w:tcPr>
          <w:p w:rsidR="0049577B" w:rsidRPr="00BF13FB" w:rsidRDefault="0049577B" w:rsidP="00614D5B">
            <w:pPr>
              <w:spacing w:line="240" w:lineRule="auto"/>
              <w:ind w:leftChars="0" w:left="0" w:rightChars="0" w:right="0"/>
              <w:rPr>
                <w:sz w:val="24"/>
              </w:rPr>
            </w:pPr>
            <w:r w:rsidRPr="00BF13FB">
              <w:rPr>
                <w:sz w:val="24"/>
              </w:rPr>
              <w:t>多元迴歸分析模型整體之R平方解釋量：0.552</w:t>
            </w:r>
          </w:p>
        </w:tc>
      </w:tr>
    </w:tbl>
    <w:p w:rsidR="0049577B" w:rsidRPr="00B40DC1" w:rsidRDefault="00817A92" w:rsidP="00614D5B">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614D5B">
      <w:pPr>
        <w:spacing w:line="240" w:lineRule="auto"/>
        <w:ind w:leftChars="0" w:left="0" w:rightChars="0" w:right="0"/>
      </w:pPr>
    </w:p>
    <w:p w:rsidR="0049577B" w:rsidRPr="00B40DC1" w:rsidRDefault="00614D5B" w:rsidP="00614D5B">
      <w:pPr>
        <w:spacing w:line="240" w:lineRule="auto"/>
        <w:ind w:leftChars="0" w:left="0" w:rightChars="0" w:right="0"/>
      </w:pPr>
      <w:r>
        <w:t xml:space="preserve">　　</w:t>
      </w:r>
      <w:r w:rsidR="0049577B" w:rsidRPr="00B40DC1">
        <w:t>由下表---影響當年度因詐欺犯罪被法院定罪人數(1998年至2013年)相關因子(原因變項)之多元迴歸分析統計數據結果一覽表(本表係使用強迫進入法之迴歸分析方式)之統計資料可得知，依變項為當年度因詐欺犯罪被法院定罪人數，所有之自變項對依變項---當年度因詐欺犯罪被法院定罪人數，均無影響力(未達到統計上之影響力)。</w:t>
      </w:r>
    </w:p>
    <w:p w:rsidR="0049577B" w:rsidRPr="00B40DC1" w:rsidRDefault="00614D5B" w:rsidP="00614D5B">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當年度因詐欺犯罪被法院定罪人數。復次，無期徒刑亦無法有效地嚇阻(減少</w:t>
      </w:r>
      <w:r w:rsidR="00587200">
        <w:t>)</w:t>
      </w:r>
      <w:r w:rsidR="0049577B" w:rsidRPr="00B40DC1">
        <w:t>當年度因詐欺犯罪被法院定罪人數。</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614D5B">
      <w:pPr>
        <w:pStyle w:val="4"/>
        <w:rPr>
          <w:lang w:eastAsia="zh-TW"/>
        </w:rPr>
      </w:pPr>
      <w:r w:rsidRPr="00B40DC1">
        <w:rPr>
          <w:lang w:eastAsia="zh-TW"/>
        </w:rPr>
        <w:t>表47、影響當年度因詐欺犯罪被法院定罪人數(1998年至2013年)相關因子(原因變項)之多元迴歸分析統計數據結果一覽表(本表係使用強迫進入法之迴歸分析方式)</w:t>
      </w:r>
      <w:r w:rsidRPr="00B40DC1">
        <w:rPr>
          <w:rStyle w:val="af7"/>
          <w:rFonts w:ascii="標楷體" w:hAnsi="標楷體"/>
        </w:rPr>
        <w:footnoteReference w:id="251"/>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2031B1">
        <w:trPr>
          <w:tblHeader/>
        </w:trPr>
        <w:tc>
          <w:tcPr>
            <w:tcW w:w="3936" w:type="dxa"/>
            <w:shd w:val="clear" w:color="auto" w:fill="EFFDFF"/>
            <w:vAlign w:val="center"/>
          </w:tcPr>
          <w:p w:rsidR="0049577B" w:rsidRPr="00BF13FB" w:rsidRDefault="0049577B" w:rsidP="002031B1">
            <w:pPr>
              <w:spacing w:line="240" w:lineRule="auto"/>
              <w:ind w:leftChars="0" w:left="0" w:rightChars="0" w:right="0"/>
              <w:jc w:val="center"/>
              <w:rPr>
                <w:sz w:val="24"/>
              </w:rPr>
            </w:pPr>
            <w:r w:rsidRPr="00BF13FB">
              <w:rPr>
                <w:sz w:val="24"/>
              </w:rPr>
              <w:t>多元迴歸分析統計數據</w:t>
            </w:r>
          </w:p>
          <w:p w:rsidR="0049577B" w:rsidRPr="00BF13FB" w:rsidRDefault="0049577B" w:rsidP="002031B1">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EFFDFF"/>
            <w:vAlign w:val="center"/>
          </w:tcPr>
          <w:p w:rsidR="0049577B" w:rsidRPr="00BF13FB" w:rsidRDefault="0049577B" w:rsidP="002031B1">
            <w:pPr>
              <w:spacing w:line="240" w:lineRule="auto"/>
              <w:ind w:leftChars="0" w:left="0" w:rightChars="0" w:right="0"/>
              <w:jc w:val="center"/>
              <w:rPr>
                <w:sz w:val="24"/>
              </w:rPr>
            </w:pPr>
            <w:r w:rsidRPr="00BF13FB">
              <w:rPr>
                <w:sz w:val="24"/>
              </w:rPr>
              <w:t>標準化迴歸係數值(Beta)</w:t>
            </w:r>
          </w:p>
        </w:tc>
        <w:tc>
          <w:tcPr>
            <w:tcW w:w="1994" w:type="dxa"/>
            <w:shd w:val="clear" w:color="auto" w:fill="EFFDFF"/>
            <w:vAlign w:val="center"/>
          </w:tcPr>
          <w:p w:rsidR="0049577B" w:rsidRPr="00BF13FB" w:rsidRDefault="0049577B" w:rsidP="002031B1">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EFFDFF"/>
            <w:vAlign w:val="center"/>
          </w:tcPr>
          <w:p w:rsidR="0049577B" w:rsidRPr="00BF13FB" w:rsidRDefault="0049577B" w:rsidP="002031B1">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X1：失業率(1992-2016年)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X2：結婚對數(1998-2013年)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-0.424</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0.081</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2.781</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X4：離婚率(1998-2013年)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0.363</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0.186</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13.219</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X6：低收入戶之家庭及就學生活補助金額(1998-2013年)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X7：緩刑比率(1998-2013年)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X8：無期徒刑之人數(1998-2013年)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X9：被執行死刑之人數(1992-2016年)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-0.121</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0.668</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26.508</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9918" w:type="dxa"/>
            <w:gridSpan w:val="4"/>
            <w:shd w:val="clear" w:color="auto" w:fill="auto"/>
          </w:tcPr>
          <w:p w:rsidR="0049577B" w:rsidRPr="00BF13FB" w:rsidRDefault="0049577B" w:rsidP="00614D5B">
            <w:pPr>
              <w:spacing w:line="240" w:lineRule="auto"/>
              <w:ind w:leftChars="0" w:left="0" w:rightChars="0" w:right="0"/>
              <w:rPr>
                <w:sz w:val="24"/>
              </w:rPr>
            </w:pPr>
            <w:r w:rsidRPr="00BF13FB">
              <w:rPr>
                <w:sz w:val="24"/>
              </w:rPr>
              <w:t>多元迴歸分析模型整體之R平方解釋量：0.434</w:t>
            </w:r>
          </w:p>
        </w:tc>
      </w:tr>
    </w:tbl>
    <w:p w:rsidR="0049577B" w:rsidRPr="00B40DC1" w:rsidRDefault="00817A92" w:rsidP="00614D5B">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614D5B">
      <w:pPr>
        <w:spacing w:line="240" w:lineRule="auto"/>
        <w:ind w:leftChars="0" w:left="0" w:rightChars="0" w:right="0"/>
      </w:pPr>
    </w:p>
    <w:p w:rsidR="0049577B" w:rsidRPr="00B40DC1" w:rsidRDefault="00614D5B" w:rsidP="00614D5B">
      <w:pPr>
        <w:spacing w:line="240" w:lineRule="auto"/>
        <w:ind w:leftChars="0" w:left="0" w:rightChars="0" w:right="0"/>
      </w:pPr>
      <w:r>
        <w:t xml:space="preserve">　　</w:t>
      </w:r>
      <w:r w:rsidR="0049577B" w:rsidRPr="00B40DC1">
        <w:t>由下表---影響當年度因公共危險犯罪被法院定罪人數(1998年至2013年)相關因子(原因變項)之多元迴歸分析統計數據結果一覽表(本表係使用強迫進入法之迴歸分析方式)之統計資料可得知，依變項為當年度因公共危險犯罪被法院定罪人數，每提升GNI(平均每人國民所得毛額，以美元為單位)1個單位之標準差(1個標準單位)，則可增加0.459個單位之標準差(標準化迴歸係數值，Beta=0.459)之當年度因公共危險犯罪被法院定罪人數。</w:t>
      </w:r>
    </w:p>
    <w:p w:rsidR="0049577B" w:rsidRPr="00B40DC1" w:rsidRDefault="00614D5B" w:rsidP="00614D5B">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當年度因公共危險犯罪被法院定罪人數。復次，無期徒刑亦無法有效地嚇阻(減少</w:t>
      </w:r>
      <w:r w:rsidR="00587200">
        <w:t>)</w:t>
      </w:r>
      <w:r w:rsidR="0049577B" w:rsidRPr="00B40DC1">
        <w:t>當年度因公共危險犯罪被法院定罪人數。</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614D5B">
      <w:pPr>
        <w:pStyle w:val="4"/>
        <w:rPr>
          <w:lang w:eastAsia="zh-TW"/>
        </w:rPr>
      </w:pPr>
      <w:r w:rsidRPr="00B40DC1">
        <w:rPr>
          <w:lang w:eastAsia="zh-TW"/>
        </w:rPr>
        <w:t>表48、影響當年度因公共危險犯罪被法院定罪人數(1998年至2013年)相關因子(原因變項)之多元迴歸分析統計數據結果一覽表(本表係使用強迫進入法之迴歸分析方式)</w:t>
      </w:r>
      <w:r w:rsidRPr="00042127">
        <w:rPr>
          <w:rStyle w:val="af7"/>
          <w:rFonts w:eastAsia="新細明體"/>
          <w:sz w:val="20"/>
        </w:rPr>
        <w:footnoteReference w:id="25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614D5B">
        <w:trPr>
          <w:tblHeader/>
        </w:trPr>
        <w:tc>
          <w:tcPr>
            <w:tcW w:w="3936"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多元迴歸分析統計數據</w:t>
            </w:r>
          </w:p>
          <w:p w:rsidR="0049577B" w:rsidRPr="00BF13FB" w:rsidRDefault="0049577B" w:rsidP="00614D5B">
            <w:pPr>
              <w:spacing w:line="240" w:lineRule="auto"/>
              <w:ind w:leftChars="0" w:left="0" w:rightChars="0" w:right="0"/>
              <w:jc w:val="center"/>
              <w:rPr>
                <w:sz w:val="24"/>
              </w:rPr>
            </w:pPr>
            <w:r w:rsidRPr="00BF13FB">
              <w:rPr>
                <w:sz w:val="24"/>
              </w:rPr>
              <w:t>自變項(解釋因子，independent variable)之名稱</w:t>
            </w:r>
          </w:p>
        </w:tc>
        <w:tc>
          <w:tcPr>
            <w:tcW w:w="1946"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w:t>
            </w:r>
          </w:p>
        </w:tc>
        <w:tc>
          <w:tcPr>
            <w:tcW w:w="1947"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標準化迴歸係數值(Beta)之顯著度(水準)</w:t>
            </w:r>
          </w:p>
        </w:tc>
        <w:tc>
          <w:tcPr>
            <w:tcW w:w="1947"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X1：失業率(1992-2016年)</w:t>
            </w:r>
          </w:p>
        </w:tc>
        <w:tc>
          <w:tcPr>
            <w:tcW w:w="1946" w:type="dxa"/>
            <w:shd w:val="clear" w:color="auto" w:fill="auto"/>
            <w:vAlign w:val="center"/>
          </w:tcPr>
          <w:p w:rsidR="0049577B" w:rsidRPr="00BF13FB" w:rsidRDefault="0049577B" w:rsidP="002031B1">
            <w:pPr>
              <w:spacing w:line="240" w:lineRule="auto"/>
              <w:ind w:leftChars="0" w:left="0" w:rightChars="0" w:right="0"/>
              <w:jc w:val="center"/>
              <w:rPr>
                <w:sz w:val="24"/>
              </w:rPr>
            </w:pPr>
            <w:r w:rsidRPr="00BF13FB">
              <w:rPr>
                <w:sz w:val="24"/>
              </w:rPr>
              <w:t>0.167</w:t>
            </w:r>
          </w:p>
        </w:tc>
        <w:tc>
          <w:tcPr>
            <w:tcW w:w="1947" w:type="dxa"/>
            <w:shd w:val="clear" w:color="auto" w:fill="auto"/>
            <w:vAlign w:val="center"/>
          </w:tcPr>
          <w:p w:rsidR="0049577B" w:rsidRPr="00BF13FB" w:rsidRDefault="0049577B" w:rsidP="002031B1">
            <w:pPr>
              <w:spacing w:line="240" w:lineRule="auto"/>
              <w:ind w:leftChars="0" w:left="0" w:rightChars="0" w:right="0"/>
              <w:jc w:val="center"/>
              <w:rPr>
                <w:sz w:val="24"/>
              </w:rPr>
            </w:pPr>
            <w:r w:rsidRPr="00BF13FB">
              <w:rPr>
                <w:sz w:val="24"/>
              </w:rPr>
              <w:t>0.417</w:t>
            </w:r>
          </w:p>
        </w:tc>
        <w:tc>
          <w:tcPr>
            <w:tcW w:w="1947" w:type="dxa"/>
            <w:shd w:val="clear" w:color="auto" w:fill="auto"/>
            <w:vAlign w:val="center"/>
          </w:tcPr>
          <w:p w:rsidR="0049577B" w:rsidRPr="00BF13FB" w:rsidRDefault="0049577B" w:rsidP="002031B1">
            <w:pPr>
              <w:spacing w:line="240" w:lineRule="auto"/>
              <w:ind w:leftChars="0" w:left="0" w:rightChars="0" w:right="0"/>
              <w:jc w:val="center"/>
              <w:rPr>
                <w:sz w:val="24"/>
              </w:rPr>
            </w:pPr>
            <w:r w:rsidRPr="00BF13FB">
              <w:rPr>
                <w:sz w:val="24"/>
              </w:rPr>
              <w:t>18.335</w:t>
            </w: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X2：結婚對數(1998-2013年)</w:t>
            </w:r>
          </w:p>
        </w:tc>
        <w:tc>
          <w:tcPr>
            <w:tcW w:w="1946" w:type="dxa"/>
            <w:shd w:val="clear" w:color="auto" w:fill="auto"/>
            <w:vAlign w:val="center"/>
          </w:tcPr>
          <w:p w:rsidR="0049577B" w:rsidRPr="00BF13FB" w:rsidRDefault="0049577B" w:rsidP="002031B1">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2031B1">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2031B1">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X4：離婚率(1998-2013年)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0.459</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0.029</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2.476</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X6：低收入戶之家庭及就學生活補助金額(1998-2013年)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X7：緩刑比率(1998-2013年)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X8：無期徒刑之人數(1998-2013年)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X9：被執行死刑之人數(1992-2016年)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-0.372</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0.120</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10.235</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X10：當年度之全般刑案破獲率(1992-2016年)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9776" w:type="dxa"/>
            <w:gridSpan w:val="4"/>
            <w:shd w:val="clear" w:color="auto" w:fill="auto"/>
          </w:tcPr>
          <w:p w:rsidR="0049577B" w:rsidRPr="00BF13FB" w:rsidRDefault="0049577B" w:rsidP="00614D5B">
            <w:pPr>
              <w:spacing w:line="240" w:lineRule="auto"/>
              <w:ind w:leftChars="0" w:left="0" w:rightChars="0" w:right="0"/>
              <w:rPr>
                <w:sz w:val="24"/>
              </w:rPr>
            </w:pPr>
            <w:r w:rsidRPr="00BF13FB">
              <w:rPr>
                <w:sz w:val="24"/>
              </w:rPr>
              <w:t>多元迴歸分析模型整體之R平方解釋量：0.717</w:t>
            </w:r>
          </w:p>
        </w:tc>
      </w:tr>
    </w:tbl>
    <w:p w:rsidR="0049577B" w:rsidRPr="00B40DC1" w:rsidRDefault="00817A92" w:rsidP="00614D5B">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614D5B">
      <w:pPr>
        <w:spacing w:line="240" w:lineRule="auto"/>
        <w:ind w:leftChars="0" w:left="0" w:rightChars="0" w:right="0"/>
      </w:pPr>
    </w:p>
    <w:p w:rsidR="0049577B" w:rsidRPr="00B40DC1" w:rsidRDefault="00614D5B" w:rsidP="00614D5B">
      <w:pPr>
        <w:spacing w:line="240" w:lineRule="auto"/>
        <w:ind w:leftChars="0" w:left="0" w:rightChars="0" w:right="0"/>
      </w:pPr>
      <w:r>
        <w:t xml:space="preserve">　　</w:t>
      </w:r>
      <w:r w:rsidR="0049577B" w:rsidRPr="00B40DC1">
        <w:t>由下表---影響當年度因公共危險犯罪被法院定罪人數(1998年至2013年)相關因子(原因變項)之多元迴歸分析統計數據結果一覽表(本表係使用逐步迴歸分析法之迴歸分析方式)之統計資料可得知，依變項為當年度因公共危險犯罪被法院定罪人數，每提升無期徒刑之人數1個單位之標準差(1個標準單位)，則可降低0.608個單位之標準差(標準化迴歸係數值，Beta=-0.608)之當年度因公共危險犯罪被法院定罪人數。</w:t>
      </w:r>
    </w:p>
    <w:p w:rsidR="0049577B" w:rsidRPr="00B40DC1" w:rsidRDefault="0049577B" w:rsidP="00614D5B">
      <w:pPr>
        <w:spacing w:line="240" w:lineRule="auto"/>
        <w:ind w:leftChars="0" w:left="0" w:rightChars="0" w:right="0"/>
      </w:pPr>
      <w:r w:rsidRPr="00B40DC1">
        <w:t>每提升被執行死刑之人數1個單位之標準差(1個標準單位)，則可降低0.385個單位之標準差(標準化迴歸係數值，Beta=-0.385)之當年度因公共危險犯罪被法院定罪人數。</w:t>
      </w:r>
    </w:p>
    <w:p w:rsidR="0049577B" w:rsidRPr="00B40DC1" w:rsidRDefault="00614D5B" w:rsidP="00614D5B">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另外，就本書特別加以關注之死刑是否能有效地嚇阻(減少)犯罪之發生而論，根據本表之資料可得知，執行死刑可有效地嚇阻(減少</w:t>
      </w:r>
      <w:r w:rsidR="00587200">
        <w:t>)</w:t>
      </w:r>
      <w:r w:rsidR="0049577B" w:rsidRPr="00B40DC1">
        <w:t>當年度因公共危險犯罪被法院定罪人數。復次，無期徒刑可有效地嚇阻(減少</w:t>
      </w:r>
      <w:r w:rsidR="00587200">
        <w:t>)</w:t>
      </w:r>
      <w:r w:rsidR="0049577B" w:rsidRPr="00B40DC1">
        <w:t>當年度因公共危險犯罪被法院定罪人數。</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614D5B">
      <w:pPr>
        <w:pStyle w:val="4"/>
        <w:rPr>
          <w:lang w:eastAsia="zh-TW"/>
        </w:rPr>
      </w:pPr>
      <w:r w:rsidRPr="00B40DC1">
        <w:rPr>
          <w:lang w:eastAsia="zh-TW"/>
        </w:rPr>
        <w:t>表49、影響當年度因公共危險犯罪被法院定罪人數(1998年至2013年)相關因子(原因變項)之多元迴歸分析統計數據結果一覽表(本表係使用逐步迴歸分析法之迴歸分析方式)</w:t>
      </w:r>
      <w:r w:rsidRPr="00042127">
        <w:rPr>
          <w:rStyle w:val="af7"/>
          <w:rFonts w:eastAsia="新細明體"/>
          <w:sz w:val="20"/>
        </w:rPr>
        <w:footnoteReference w:id="253"/>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614D5B">
        <w:trPr>
          <w:tblHeader/>
        </w:trPr>
        <w:tc>
          <w:tcPr>
            <w:tcW w:w="3936"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多元迴歸分析統計數據</w:t>
            </w:r>
          </w:p>
          <w:p w:rsidR="0049577B" w:rsidRPr="00BF13FB" w:rsidRDefault="0049577B" w:rsidP="00614D5B">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w:t>
            </w:r>
          </w:p>
        </w:tc>
        <w:tc>
          <w:tcPr>
            <w:tcW w:w="1994"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X1：失業率(1992-2016年)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X2：結婚對數(1998-2013年)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X4：離婚率(1998-2013年)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X6：低收入戶之家庭及就學生活補助金額(1998-2013年)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X7：緩刑比率(1998-2013年)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X8：無期徒刑之人數(1998-2013年)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-0.608</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0.002</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3.026</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X9：被執行死刑之人數(1992-2016年)</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-0.385</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0.026</w:t>
            </w:r>
          </w:p>
        </w:tc>
        <w:tc>
          <w:tcPr>
            <w:tcW w:w="1994"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7.576</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c>
          <w:tcPr>
            <w:tcW w:w="1994"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9918" w:type="dxa"/>
            <w:gridSpan w:val="4"/>
            <w:shd w:val="clear" w:color="auto" w:fill="auto"/>
          </w:tcPr>
          <w:p w:rsidR="0049577B" w:rsidRPr="00BF13FB" w:rsidRDefault="0049577B" w:rsidP="00614D5B">
            <w:pPr>
              <w:spacing w:line="240" w:lineRule="auto"/>
              <w:ind w:leftChars="0" w:left="0" w:rightChars="0" w:right="0"/>
              <w:rPr>
                <w:sz w:val="24"/>
              </w:rPr>
            </w:pPr>
            <w:r w:rsidRPr="00BF13FB">
              <w:rPr>
                <w:sz w:val="24"/>
              </w:rPr>
              <w:t>多元迴歸分析模型整體之R平方解釋量：0.807</w:t>
            </w:r>
          </w:p>
        </w:tc>
      </w:tr>
    </w:tbl>
    <w:p w:rsidR="0049577B" w:rsidRPr="00B40DC1" w:rsidRDefault="00817A92" w:rsidP="00614D5B">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614D5B">
      <w:pPr>
        <w:spacing w:line="240" w:lineRule="auto"/>
        <w:ind w:leftChars="0" w:left="0" w:rightChars="0" w:right="0"/>
      </w:pPr>
    </w:p>
    <w:p w:rsidR="0049577B" w:rsidRPr="00B40DC1" w:rsidRDefault="00614D5B" w:rsidP="00614D5B">
      <w:pPr>
        <w:spacing w:line="240" w:lineRule="auto"/>
        <w:ind w:leftChars="0" w:left="0" w:rightChars="0" w:right="0"/>
      </w:pPr>
      <w:r>
        <w:t xml:space="preserve">　　</w:t>
      </w:r>
      <w:r w:rsidR="0049577B" w:rsidRPr="00B40DC1">
        <w:t>由下表---影響當年度因傷害犯罪被法院定罪人數(1998年至2013年)相關因子(原因變項)之多元迴歸分析統計數據結果一覽表(本表係使用強迫進入法之迴歸分析方式)之統計資料可得知，依變項為當年度因傷害犯罪被法院定罪人數，所有之自變項，對依變項---當年度因傷害犯罪被法院定罪人數之作用力，未達到統計上之顯著水準。</w:t>
      </w:r>
    </w:p>
    <w:p w:rsidR="0049577B" w:rsidRPr="00B40DC1" w:rsidRDefault="0049577B" w:rsidP="00614D5B">
      <w:pPr>
        <w:spacing w:line="240" w:lineRule="auto"/>
        <w:ind w:leftChars="0" w:left="0" w:rightChars="0" w:right="0"/>
      </w:pPr>
      <w:r w:rsidRPr="00B40DC1">
        <w:t>另外，就本書特別加以關注之死刑是否能有效地嚇阻(減少)犯罪之發生而論，根據本表之資料可得知，執行死刑無法有效地嚇阻(減少</w:t>
      </w:r>
      <w:r w:rsidR="00587200">
        <w:t>)</w:t>
      </w:r>
      <w:r w:rsidRPr="00B40DC1">
        <w:t>當年度因傷害犯罪被法院定罪人數。復次，無期徒刑亦無法有效地嚇阻(減少</w:t>
      </w:r>
      <w:r w:rsidR="00587200">
        <w:t>)</w:t>
      </w:r>
      <w:r w:rsidRPr="00B40DC1">
        <w:t>當年度因傷害犯罪被法院定罪人數。</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614D5B">
      <w:pPr>
        <w:pStyle w:val="4"/>
        <w:rPr>
          <w:lang w:eastAsia="zh-TW"/>
        </w:rPr>
      </w:pPr>
      <w:r w:rsidRPr="00B40DC1">
        <w:rPr>
          <w:lang w:eastAsia="zh-TW"/>
        </w:rPr>
        <w:t>表50、影響當年度因傷害犯罪被法院定罪人數(1998年至2013年)相關因子(原因變項)之多元迴歸分析統計數據結果一覽表(本表係使用強迫進入法之迴歸分析方式)</w:t>
      </w:r>
      <w:r w:rsidRPr="00042127">
        <w:rPr>
          <w:rStyle w:val="af7"/>
          <w:rFonts w:eastAsia="新細明體"/>
          <w:sz w:val="20"/>
        </w:rPr>
        <w:footnoteReference w:id="25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614D5B">
        <w:trPr>
          <w:tblHeader/>
        </w:trPr>
        <w:tc>
          <w:tcPr>
            <w:tcW w:w="3936"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多元迴歸分析統計數據</w:t>
            </w:r>
          </w:p>
          <w:p w:rsidR="0049577B" w:rsidRPr="00BF13FB" w:rsidRDefault="0049577B" w:rsidP="00614D5B">
            <w:pPr>
              <w:spacing w:line="240" w:lineRule="auto"/>
              <w:ind w:leftChars="0" w:left="0" w:rightChars="0" w:right="0"/>
              <w:jc w:val="center"/>
              <w:rPr>
                <w:sz w:val="24"/>
              </w:rPr>
            </w:pPr>
            <w:r w:rsidRPr="00BF13FB">
              <w:rPr>
                <w:sz w:val="24"/>
              </w:rPr>
              <w:t>自變項(解釋因子，independent variable)之名稱</w:t>
            </w:r>
          </w:p>
        </w:tc>
        <w:tc>
          <w:tcPr>
            <w:tcW w:w="1946"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w:t>
            </w:r>
          </w:p>
        </w:tc>
        <w:tc>
          <w:tcPr>
            <w:tcW w:w="1947"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標準化迴歸係數值(Beta)之顯著度(水準)</w:t>
            </w:r>
          </w:p>
        </w:tc>
        <w:tc>
          <w:tcPr>
            <w:tcW w:w="1947" w:type="dxa"/>
            <w:shd w:val="clear" w:color="auto" w:fill="FAF0FA"/>
            <w:vAlign w:val="center"/>
          </w:tcPr>
          <w:p w:rsidR="0049577B" w:rsidRPr="00BF13FB" w:rsidRDefault="0049577B" w:rsidP="00614D5B">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X1：失業率(1992-2016年)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0.422</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0.301</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10.601</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X2：結婚對數(1998-2013年)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0.201</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0.527</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27.042</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X4：離婚率(1998-2013年)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X6：低收入戶之家庭及就學生活補助金額(1998-2013年)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X7：緩刑比率(1998-2013年)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X8：無期徒刑之人數(1998-2013年)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X9：被執行死刑之人數(1992-2016年)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0.430</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0.329</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2.560</w:t>
            </w:r>
          </w:p>
        </w:tc>
      </w:tr>
      <w:tr w:rsidR="0049577B" w:rsidRPr="00B40DC1" w:rsidTr="00614D5B">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X10：當年度之全般刑案破獲率(1992-2016年)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p>
        </w:tc>
      </w:tr>
      <w:tr w:rsidR="0049577B" w:rsidRPr="00B40DC1" w:rsidTr="00614D5B">
        <w:tc>
          <w:tcPr>
            <w:tcW w:w="9776" w:type="dxa"/>
            <w:gridSpan w:val="4"/>
            <w:shd w:val="clear" w:color="auto" w:fill="auto"/>
          </w:tcPr>
          <w:p w:rsidR="0049577B" w:rsidRPr="00BF13FB" w:rsidRDefault="0049577B" w:rsidP="00614D5B">
            <w:pPr>
              <w:spacing w:line="240" w:lineRule="auto"/>
              <w:ind w:leftChars="0" w:left="0" w:rightChars="0" w:right="0"/>
              <w:rPr>
                <w:sz w:val="24"/>
              </w:rPr>
            </w:pPr>
            <w:r w:rsidRPr="00BF13FB">
              <w:rPr>
                <w:sz w:val="24"/>
              </w:rPr>
              <w:t>多元迴歸分析模型整體之R平方解釋量：0.113</w:t>
            </w:r>
          </w:p>
        </w:tc>
      </w:tr>
    </w:tbl>
    <w:p w:rsidR="0049577B" w:rsidRPr="00B40DC1" w:rsidRDefault="00817A92" w:rsidP="002031B1">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2031B1">
      <w:pPr>
        <w:spacing w:line="240" w:lineRule="auto"/>
        <w:ind w:leftChars="0" w:left="0" w:rightChars="0" w:right="0"/>
      </w:pPr>
    </w:p>
    <w:p w:rsidR="0049577B" w:rsidRPr="00B40DC1" w:rsidRDefault="00614D5B" w:rsidP="002031B1">
      <w:pPr>
        <w:spacing w:line="240" w:lineRule="auto"/>
        <w:ind w:leftChars="0" w:left="0" w:rightChars="0" w:right="0"/>
      </w:pPr>
      <w:r>
        <w:t xml:space="preserve">　　</w:t>
      </w:r>
      <w:r w:rsidR="0049577B" w:rsidRPr="00B40DC1">
        <w:t>再者，本書作者將下列重大之犯罪---故意殺人犯罪+重傷犯罪+重大恐嚇取財犯罪+擄人勒贖犯罪+強盜搶奪犯罪+強制性交犯罪，進行加總，變成一個新變項，玆命名為重大指標犯罪(重大暴力犯罪)。換言之，利用SPSS軟體之加總指令(compute)，生成新的變項。其作法為將故意殺人犯罪、重傷犯罪、重大恐嚇取財犯罪、擄人勒贖犯罪、強盜搶奪犯罪、強制性交犯罪等依變項，進行重新之合併，生成一個新的依變項---重大指標犯罪(重大暴力犯罪)。亦即，重大指標犯罪(重大暴力犯罪)變項=故意殺人犯罪變項+重傷犯罪變項+重大恐嚇取財犯罪變項+擄人勒贖犯罪變項+強盜搶奪犯罪變項+強制性交犯罪變項。之後，檢視何種之自變項，對上開依變項---重大指標犯罪(重大暴力犯罪)變項有影響力。</w:t>
      </w:r>
    </w:p>
    <w:p w:rsidR="0049577B" w:rsidRPr="00B40DC1" w:rsidRDefault="00614D5B" w:rsidP="002031B1">
      <w:pPr>
        <w:spacing w:line="240" w:lineRule="auto"/>
        <w:ind w:leftChars="0" w:left="0" w:rightChars="0" w:right="0"/>
      </w:pPr>
      <w:r>
        <w:t xml:space="preserve">　　</w:t>
      </w:r>
      <w:r w:rsidR="0049577B" w:rsidRPr="00B40DC1">
        <w:t>由下表---影響當年度重大指標犯罪(重大暴力犯罪)(1992年至2016年)相關因子(原因變項)之多元迴歸分析統計數據結果一覽表(本表係使用強迫進入法之迴歸分析方式)之統計資料可得知，依變項為當年度重大指標犯罪(重大暴力犯罪)(故意殺人犯罪+重傷犯罪+重大恐嚇取財犯罪+擄人勒贖犯罪+強盜搶奪犯罪+強制性交犯罪)，在實際進行SPSS軟體之分析時，共計投入以下之自變項進行多元迴歸分析：X3：35歲以上人口之中，男性未婚之比例</w:t>
      </w:r>
      <w:r w:rsidR="003C1792">
        <w:t>(</w:t>
      </w:r>
      <w:r w:rsidR="0049577B" w:rsidRPr="00B40DC1">
        <w:t>1998-2013年)、X5：GNI(平均每人國民所得毛額，以美元為單位)</w:t>
      </w:r>
      <w:r w:rsidR="003C1792">
        <w:t>(</w:t>
      </w:r>
      <w:r w:rsidR="0049577B" w:rsidRPr="00B40DC1">
        <w:t>1992-2016年)、X6：低收入戶之家庭及就學生活補助金額(1998-2013年)、X7：緩刑比率(1998-2013年)、X8：無期徒刑之人數(1998-2013年)、X10：當年度之全般刑案破獲率(1992-2016年)。</w:t>
      </w:r>
    </w:p>
    <w:p w:rsidR="0049577B" w:rsidRPr="00B40DC1" w:rsidRDefault="00614D5B" w:rsidP="002031B1">
      <w:pPr>
        <w:spacing w:line="240" w:lineRule="auto"/>
        <w:ind w:leftChars="0" w:left="0" w:rightChars="0" w:right="0"/>
      </w:pPr>
      <w:r>
        <w:t xml:space="preserve">　　</w:t>
      </w:r>
      <w:r w:rsidR="0049577B" w:rsidRPr="00B40DC1">
        <w:t>經過多元迴歸分析統計結果，X6：低收入戶之家庭及就學生活補助金額(1998-2013年)、X7：緩刑比率(1998-2013年)、X8：無期徒刑之人數(1998-2013年)、X10：當年度之全般刑案破獲率(1992-2016年)等自變項，其條件指標均高於30，故全部均被刪除之，僅剩下X3：35歲以上人口之中，男性未婚之比例</w:t>
      </w:r>
      <w:r w:rsidR="003C1792">
        <w:t>(</w:t>
      </w:r>
      <w:r w:rsidR="0049577B" w:rsidRPr="00B40DC1">
        <w:t>1998-2013年)與X5：GNI(平均每人國民所得毛額，以美元為單位)</w:t>
      </w:r>
      <w:r w:rsidR="003C1792">
        <w:t>(</w:t>
      </w:r>
      <w:r w:rsidR="0049577B" w:rsidRPr="00B40DC1">
        <w:t>1992-2016年)等2個自變項。</w:t>
      </w:r>
    </w:p>
    <w:p w:rsidR="0049577B" w:rsidRPr="00B40DC1" w:rsidRDefault="00614D5B" w:rsidP="002031B1">
      <w:pPr>
        <w:spacing w:line="240" w:lineRule="auto"/>
        <w:ind w:leftChars="0" w:left="0" w:rightChars="0" w:right="0"/>
      </w:pPr>
      <w:r>
        <w:t xml:space="preserve">　　</w:t>
      </w:r>
      <w:r w:rsidR="0049577B" w:rsidRPr="00B40DC1">
        <w:t>不過，X3：35歲以上人口之中，男性未婚之比例</w:t>
      </w:r>
      <w:r w:rsidR="003C1792">
        <w:t>(</w:t>
      </w:r>
      <w:r w:rsidR="0049577B" w:rsidRPr="00B40DC1">
        <w:t>1998-2013年)與X5：GNI(平均每人國民所得毛額，以美元為單位)</w:t>
      </w:r>
      <w:r w:rsidR="003C1792">
        <w:t>(</w:t>
      </w:r>
      <w:r w:rsidR="0049577B" w:rsidRPr="00B40DC1">
        <w:t>1992-2016年)等2個自變項相互之間，仍存有高度共線問題，尤其是X5：GNI(平均每人國民所得毛額，以美元為單位)</w:t>
      </w:r>
      <w:r w:rsidR="003C1792">
        <w:t>(</w:t>
      </w:r>
      <w:r w:rsidR="0049577B" w:rsidRPr="00B40DC1">
        <w:t>1992-2016年)之自變項，其條件指標已高於30，故再刪除之，僅剩下X3：35歲以上人口之中，男性未婚之比例</w:t>
      </w:r>
      <w:r w:rsidR="003C1792">
        <w:t>(</w:t>
      </w:r>
      <w:r w:rsidR="0049577B" w:rsidRPr="00B40DC1">
        <w:t>1998-2013年)。而X3：35歲以上人口之中，男性未婚之比例</w:t>
      </w:r>
      <w:r w:rsidR="003C1792">
        <w:t>(</w:t>
      </w:r>
      <w:r w:rsidR="0049577B" w:rsidRPr="00B40DC1">
        <w:t>1998-2013年)之條件指標，則未高於30，是以，僅投入X3：35歲以上人口之中，男性未婚之比例之自變項，進行多元迴歸分析。</w:t>
      </w:r>
    </w:p>
    <w:p w:rsidR="0049577B" w:rsidRPr="00B40DC1" w:rsidRDefault="00614D5B" w:rsidP="002031B1">
      <w:pPr>
        <w:spacing w:line="240" w:lineRule="auto"/>
        <w:ind w:leftChars="0" w:left="0" w:rightChars="0" w:right="0"/>
      </w:pPr>
      <w:r>
        <w:t xml:space="preserve">　　</w:t>
      </w:r>
      <w:r w:rsidR="0049577B" w:rsidRPr="00B40DC1">
        <w:t>每提升35歲以上人口之中，男性未婚之比例1個單位之標準差(1個標準單位)，則可降低(reduce</w:t>
      </w:r>
      <w:r w:rsidR="00587200">
        <w:t>)</w:t>
      </w:r>
      <w:r w:rsidR="0049577B" w:rsidRPr="00B40DC1">
        <w:t>0.934個單位之標準差(標準化迴歸係數值，Beta=-0.934)之當年度重大指標犯罪(重大暴力犯罪)(故意殺人犯罪+重傷犯罪+重大恐嚇取財犯罪+擄人勒贖犯罪+強盜搶奪犯罪+強制性交犯罪)。</w:t>
      </w:r>
    </w:p>
    <w:p w:rsidR="003C1792" w:rsidRDefault="00614D5B" w:rsidP="002031B1">
      <w:pPr>
        <w:spacing w:line="240" w:lineRule="auto"/>
        <w:ind w:leftChars="0" w:left="0" w:rightChars="0" w:right="0"/>
      </w:pPr>
      <w:r>
        <w:t xml:space="preserve">　　</w:t>
      </w:r>
      <w:r w:rsidR="0049577B" w:rsidRPr="00B40DC1">
        <w:t>有可能之機率，係為35歲以上人口之中，男性未婚之身心狀態，有可能會比較穩定。因其為單身，故有可能較無家庭之經濟上重大負擔，無須教養小孩；35歲以上之單身男性，有較高之經濟所得，此由男性未婚之比例</w:t>
      </w:r>
      <w:r w:rsidR="003C1792">
        <w:t>(</w:t>
      </w:r>
      <w:r w:rsidR="0049577B" w:rsidRPr="00B40DC1">
        <w:t>1998-2013年)與X5：GNI(平均每人國民所得毛額，以美元為單位)</w:t>
      </w:r>
      <w:r w:rsidR="003C1792">
        <w:t>(</w:t>
      </w:r>
      <w:r w:rsidR="0049577B" w:rsidRPr="00B40DC1">
        <w:t>1992-2016年)等2個自變項相互之間，存有高度共線(高度相關)問題，可以得知。35歲以上之單身男性，其工作之所得，可全部歸為自己所有，可購買不動產、動產、或進行其他投資，由於經濟上有所依靠，再加上心智或許更加成熟、穩定，有可能具有較強的自控能力，作一名守法之民眾，而較不會從事重大犯罪。亦即，其從事重大指標犯罪(重大暴力犯罪)(故意殺人犯罪+重傷犯罪+重大恐嚇取財犯罪+擄人勒贖犯罪+強盜搶奪犯罪+強制性交犯罪)之機率，可能相對較低一些。</w:t>
      </w:r>
    </w:p>
    <w:p w:rsidR="0049577B" w:rsidRPr="00B40DC1" w:rsidRDefault="00614D5B" w:rsidP="002031B1">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重大指標犯罪(重大暴力犯罪)(故意殺人犯罪+重傷犯罪+重大恐嚇取財犯罪+擄人勒贖犯罪+強盜搶奪犯罪+強制性交犯罪)。復次，無期徒刑亦無法有效地嚇阻(減少)當年度重大指標犯罪(重大暴力犯罪)(故意殺人犯罪+重傷犯罪+重大恐嚇取財犯罪+擄人勒贖犯罪+強盜搶奪犯罪+強制性交犯罪)。</w:t>
      </w:r>
    </w:p>
    <w:p w:rsidR="0049577B" w:rsidRPr="00B40DC1" w:rsidRDefault="002031B1" w:rsidP="002031B1">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614D5B">
      <w:pPr>
        <w:pStyle w:val="4"/>
        <w:rPr>
          <w:lang w:eastAsia="zh-TW"/>
        </w:rPr>
      </w:pPr>
      <w:r w:rsidRPr="00B40DC1">
        <w:rPr>
          <w:lang w:eastAsia="zh-TW"/>
        </w:rPr>
        <w:t>表51、影響當年度重大指標犯罪(重大暴力犯罪)</w:t>
      </w:r>
      <w:r w:rsidRPr="00042127">
        <w:rPr>
          <w:rStyle w:val="af7"/>
          <w:rFonts w:eastAsia="新細明體"/>
          <w:sz w:val="20"/>
        </w:rPr>
        <w:footnoteReference w:id="255"/>
      </w:r>
      <w:r w:rsidRPr="00B40DC1">
        <w:rPr>
          <w:lang w:eastAsia="zh-TW"/>
        </w:rPr>
        <w:t>(1992年至2016年)相關因子(原因變項)之多元迴歸分析統計數據結果一覽表(本表係使用強迫進入法之迴歸分析方式)</w:t>
      </w:r>
      <w:r w:rsidRPr="00042127">
        <w:rPr>
          <w:rStyle w:val="af7"/>
          <w:rFonts w:eastAsia="新細明體"/>
          <w:sz w:val="20"/>
        </w:rPr>
        <w:footnoteReference w:id="25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多元迴歸分析統計數據</w:t>
            </w:r>
          </w:p>
          <w:p w:rsidR="0049577B" w:rsidRPr="00BF13FB" w:rsidRDefault="0049577B" w:rsidP="00614D5B">
            <w:pPr>
              <w:spacing w:line="240" w:lineRule="auto"/>
              <w:ind w:leftChars="0" w:left="0" w:rightChars="0" w:right="0"/>
              <w:jc w:val="center"/>
              <w:rPr>
                <w:sz w:val="24"/>
              </w:rPr>
            </w:pPr>
            <w:r w:rsidRPr="00BF13FB">
              <w:rPr>
                <w:sz w:val="24"/>
              </w:rPr>
              <w:t>自變項(解釋因子，independent variable)之名稱</w:t>
            </w:r>
          </w:p>
        </w:tc>
        <w:tc>
          <w:tcPr>
            <w:tcW w:w="1946"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w:t>
            </w:r>
          </w:p>
        </w:tc>
        <w:tc>
          <w:tcPr>
            <w:tcW w:w="1947"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標準化迴歸係數值(Beta)之顯著度(水準)</w:t>
            </w:r>
          </w:p>
        </w:tc>
        <w:tc>
          <w:tcPr>
            <w:tcW w:w="1947" w:type="dxa"/>
            <w:shd w:val="clear" w:color="auto" w:fill="EFFDFF"/>
            <w:vAlign w:val="center"/>
          </w:tcPr>
          <w:p w:rsidR="0049577B" w:rsidRPr="00BF13FB" w:rsidRDefault="0049577B" w:rsidP="00614D5B">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X1：失業率(1992-2016年)</w:t>
            </w:r>
          </w:p>
        </w:tc>
        <w:tc>
          <w:tcPr>
            <w:tcW w:w="1946"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X2：結婚對數(1998-2013年)</w:t>
            </w:r>
          </w:p>
        </w:tc>
        <w:tc>
          <w:tcPr>
            <w:tcW w:w="1946"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46"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-0.934</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0.000</w:t>
            </w:r>
          </w:p>
        </w:tc>
        <w:tc>
          <w:tcPr>
            <w:tcW w:w="1947" w:type="dxa"/>
            <w:shd w:val="clear" w:color="auto" w:fill="auto"/>
            <w:vAlign w:val="center"/>
          </w:tcPr>
          <w:p w:rsidR="0049577B" w:rsidRPr="00BF13FB" w:rsidRDefault="0049577B" w:rsidP="00614D5B">
            <w:pPr>
              <w:spacing w:line="240" w:lineRule="auto"/>
              <w:ind w:leftChars="0" w:left="0" w:rightChars="0" w:right="0"/>
              <w:jc w:val="center"/>
              <w:rPr>
                <w:sz w:val="24"/>
              </w:rPr>
            </w:pPr>
            <w:r w:rsidRPr="00BF13FB">
              <w:rPr>
                <w:sz w:val="24"/>
              </w:rPr>
              <w:t>16.325</w:t>
            </w: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X4：離婚率(1998-2013年)</w:t>
            </w:r>
          </w:p>
        </w:tc>
        <w:tc>
          <w:tcPr>
            <w:tcW w:w="1946"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46"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X6：低收入戶之家庭及就學生活補助金額(1998-2013年)</w:t>
            </w:r>
          </w:p>
        </w:tc>
        <w:tc>
          <w:tcPr>
            <w:tcW w:w="1946"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X7：緩刑比率(1998-2013年)</w:t>
            </w:r>
          </w:p>
        </w:tc>
        <w:tc>
          <w:tcPr>
            <w:tcW w:w="1946"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X8：無期徒刑之人數(1998-2013年)</w:t>
            </w:r>
          </w:p>
        </w:tc>
        <w:tc>
          <w:tcPr>
            <w:tcW w:w="1946"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X9：被執行死刑之人數(1992-2016年)</w:t>
            </w:r>
          </w:p>
        </w:tc>
        <w:tc>
          <w:tcPr>
            <w:tcW w:w="1946"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614D5B">
            <w:pPr>
              <w:spacing w:line="240" w:lineRule="auto"/>
              <w:ind w:leftChars="0" w:left="0" w:rightChars="0" w:right="0"/>
              <w:rPr>
                <w:sz w:val="24"/>
              </w:rPr>
            </w:pPr>
            <w:r w:rsidRPr="00BF13FB">
              <w:rPr>
                <w:sz w:val="24"/>
              </w:rPr>
              <w:t>X10：當年度之全般刑案破獲率(1992-2016年)</w:t>
            </w:r>
          </w:p>
        </w:tc>
        <w:tc>
          <w:tcPr>
            <w:tcW w:w="1946"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c>
          <w:tcPr>
            <w:tcW w:w="1947" w:type="dxa"/>
            <w:shd w:val="clear" w:color="auto" w:fill="auto"/>
          </w:tcPr>
          <w:p w:rsidR="0049577B" w:rsidRPr="00BF13FB" w:rsidRDefault="0049577B" w:rsidP="00614D5B">
            <w:pPr>
              <w:spacing w:line="240" w:lineRule="auto"/>
              <w:ind w:leftChars="0" w:left="0" w:rightChars="0" w:right="0"/>
              <w:rPr>
                <w:sz w:val="24"/>
              </w:rPr>
            </w:pPr>
          </w:p>
        </w:tc>
      </w:tr>
      <w:tr w:rsidR="0049577B" w:rsidRPr="00B40DC1" w:rsidTr="00614D5B">
        <w:tc>
          <w:tcPr>
            <w:tcW w:w="9776" w:type="dxa"/>
            <w:gridSpan w:val="4"/>
            <w:shd w:val="clear" w:color="auto" w:fill="auto"/>
          </w:tcPr>
          <w:p w:rsidR="0049577B" w:rsidRPr="00BF13FB" w:rsidRDefault="0049577B" w:rsidP="00614D5B">
            <w:pPr>
              <w:spacing w:line="240" w:lineRule="auto"/>
              <w:ind w:leftChars="0" w:left="0" w:rightChars="0" w:right="0"/>
              <w:rPr>
                <w:sz w:val="24"/>
              </w:rPr>
            </w:pPr>
            <w:r w:rsidRPr="00BF13FB">
              <w:rPr>
                <w:sz w:val="24"/>
              </w:rPr>
              <w:t>多元迴歸分析模型整體之R平方解釋量：0.862</w:t>
            </w:r>
          </w:p>
        </w:tc>
      </w:tr>
    </w:tbl>
    <w:p w:rsidR="0049577B" w:rsidRPr="00B40DC1" w:rsidRDefault="00817A92" w:rsidP="00614D5B">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D26BB"/>
    <w:p w:rsidR="0049577B" w:rsidRPr="00B40DC1" w:rsidRDefault="00614D5B" w:rsidP="00614D5B">
      <w:pPr>
        <w:spacing w:line="240" w:lineRule="auto"/>
        <w:ind w:leftChars="0" w:left="0" w:rightChars="0" w:right="0"/>
        <w:rPr>
          <w:bCs/>
        </w:rPr>
      </w:pPr>
      <w:r>
        <w:rPr>
          <w:bCs/>
        </w:rPr>
        <w:t xml:space="preserve">　　</w:t>
      </w:r>
      <w:r w:rsidR="0049577B" w:rsidRPr="00B40DC1">
        <w:rPr>
          <w:bCs/>
        </w:rPr>
        <w:t>在犯罪學之中，有一個理論，非常有名，即為Sampson及Laub逐級年齡非正式社會控制理論。</w:t>
      </w:r>
      <w:r w:rsidR="0049577B" w:rsidRPr="00B40DC1">
        <w:t>Sampson &amp; Laub所建構的「逐級年齡非正式社會控制理論」，在理論之中，當個體生命歷程發展到成人階段，其是否會從事犯行，最重要的關鍵，係在於「成人社會鍵」之強弱(Sampson., &amp; Laub</w:t>
      </w:r>
      <w:r w:rsidR="003C1792">
        <w:t>.</w:t>
      </w:r>
      <w:r w:rsidR="0049577B" w:rsidRPr="00B40DC1">
        <w:t>1993)。而上述「成人社會鍵」的內涵，係包括工作與對於配偶之附著力(結婚)。就台灣而論，「成人社會鍵」中之結婚，是否果真能抑制犯罪，本文運用實證資料檢視之結果，係推翻Sampson &amp; Laub所建構的「逐級年齡非正式社會控制理論」，「成人社會鍵」中之未婚，始能有效地抑制重大犯罪之發生。</w:t>
      </w:r>
    </w:p>
    <w:p w:rsidR="0049577B" w:rsidRPr="00B40DC1" w:rsidRDefault="00614D5B" w:rsidP="00614D5B">
      <w:pPr>
        <w:spacing w:line="240" w:lineRule="auto"/>
        <w:ind w:leftChars="0" w:left="0" w:rightChars="0" w:right="0"/>
      </w:pPr>
      <w:r>
        <w:t xml:space="preserve">　　</w:t>
      </w:r>
      <w:r w:rsidR="0049577B" w:rsidRPr="00B40DC1">
        <w:t>Sampson &amp; Laub利用Glueck之資料，重新再度加以編碼，並加以分析，之後建構「逐級年齡非正式社會控制理論」，並將上述過程詳載於1993年出版之「犯罪之形成：途徑及人生轉折點」（Crime in the Making：Pathways and Turning Points Through Life）一書之中。</w:t>
      </w:r>
      <w:r w:rsidR="0049577B" w:rsidRPr="00B40DC1">
        <w:rPr>
          <w:bCs/>
        </w:rPr>
        <w:t>Sampson及Laub逐級年齡非正式社會控制理論</w:t>
      </w:r>
      <w:r w:rsidR="0049577B" w:rsidRPr="00B40DC1">
        <w:t>強調個體在整個生命歷程中，行為具有持續性及變化性，而Hirschi及Gottfredson之「一般化控制理論」，則主張個體在孩童時期所孕育而成之「自我控制」，終其一生將會具有「穩定性」</w:t>
      </w:r>
      <w:r w:rsidR="0049577B" w:rsidRPr="004B4ED9">
        <w:rPr>
          <w:rStyle w:val="af7"/>
          <w:rFonts w:eastAsia="新細明體"/>
          <w:sz w:val="20"/>
        </w:rPr>
        <w:footnoteReference w:id="257"/>
      </w:r>
      <w:r w:rsidR="0049577B" w:rsidRPr="00B40DC1">
        <w:t>（stability）(Sampson., &amp; Laub</w:t>
      </w:r>
      <w:r w:rsidR="003C1792">
        <w:t>.</w:t>
      </w:r>
      <w:r w:rsidR="0049577B" w:rsidRPr="00B40DC1">
        <w:t>1993)。</w:t>
      </w:r>
    </w:p>
    <w:p w:rsidR="0049577B" w:rsidRPr="00B40DC1" w:rsidRDefault="00614D5B" w:rsidP="00614D5B">
      <w:pPr>
        <w:spacing w:line="240" w:lineRule="auto"/>
        <w:ind w:leftChars="0" w:left="0" w:rightChars="0" w:right="0"/>
      </w:pPr>
      <w:r>
        <w:t xml:space="preserve">　　</w:t>
      </w:r>
      <w:r w:rsidR="0049577B" w:rsidRPr="00B40DC1">
        <w:t>Sampson &amp; Laub的「逐級年齡非正式社會控制理論」之資料來源，並非其親自實施第一手之問卷調查、蒐集與分析，而係針對Gluecks夫婦</w:t>
      </w:r>
      <w:r w:rsidR="0049577B" w:rsidRPr="004B4ED9">
        <w:rPr>
          <w:rStyle w:val="af7"/>
          <w:rFonts w:eastAsia="新細明體"/>
          <w:sz w:val="20"/>
        </w:rPr>
        <w:footnoteReference w:id="258"/>
      </w:r>
      <w:r w:rsidR="0049577B" w:rsidRPr="00B40DC1">
        <w:t>的「破解少年非行」（Unraveling Juvenile Delinquency ,1950）調查研究重新加以整理、編碼、輸入、分析及歸納，同時，利用質化與量化之研究方法，綜合歸整出上述之理論架構。在Gluecks夫婦</w:t>
      </w:r>
      <w:r w:rsidR="0049577B" w:rsidRPr="004B4ED9">
        <w:rPr>
          <w:rStyle w:val="af7"/>
          <w:rFonts w:eastAsia="新細明體"/>
          <w:sz w:val="20"/>
        </w:rPr>
        <w:footnoteReference w:id="259"/>
      </w:r>
      <w:r w:rsidR="0049577B" w:rsidRPr="00B40DC1">
        <w:t>一生之學術生涯中，其最為重要的研究成果，當屬於「破解少年非行」（1950）之學術成果，Sampson &amp; Laub針對該調查重新作二手之資料分析，其意義是非凡的，他們是從Gluecks畢生最為精華之研究調查中，萃取及提煉出上述之理論架構(Sampson, Robert J., and John H</w:t>
      </w:r>
      <w:r w:rsidR="003C1792">
        <w:t>.</w:t>
      </w:r>
      <w:r w:rsidR="0049577B" w:rsidRPr="00B40DC1">
        <w:t>Laub</w:t>
      </w:r>
      <w:r w:rsidR="003C1792">
        <w:t>.</w:t>
      </w:r>
      <w:r w:rsidR="0049577B" w:rsidRPr="00B40DC1">
        <w:t>1993)。</w:t>
      </w:r>
      <w:r w:rsidR="0049577B" w:rsidRPr="00B40DC1">
        <w:cr/>
        <w:t xml:space="preserve">　　在逐級年齡非正式社會控制理論的內涵方面，Coleman將資本分為三大類，其分別為：(1)、社會資本；(2)、物理化資本；(3)、人類資本。其中，有關於社會投資（Social investment）或社會資本（Social capital）之定義，係指非正式社會控制對於個體之影響。Coleman</w:t>
      </w:r>
      <w:r w:rsidR="003C1792">
        <w:t>(</w:t>
      </w:r>
      <w:r w:rsidR="0049577B" w:rsidRPr="00B40DC1">
        <w:t>1990)指出，社會資本的明顯特徵，在於個體之人際關係與社會機構間的連結</w:t>
      </w:r>
      <w:r w:rsidR="0049577B" w:rsidRPr="004B4ED9">
        <w:rPr>
          <w:rStyle w:val="af7"/>
          <w:rFonts w:eastAsia="新細明體"/>
          <w:sz w:val="20"/>
        </w:rPr>
        <w:footnoteReference w:id="260"/>
      </w:r>
      <w:r w:rsidR="0049577B" w:rsidRPr="00B40DC1">
        <w:t>。當人與人間之關係，以及社會機構之間彼此的連結，若其產生改變，並促發相關的行動（行為）時，此時，社會資本就被創造出來。而社會資本，則是促進個體對社會機構產生社會連結鍵的最重要核心因素</w:t>
      </w:r>
      <w:r w:rsidR="0049577B" w:rsidRPr="004B4ED9">
        <w:rPr>
          <w:rStyle w:val="af7"/>
          <w:rFonts w:eastAsia="新細明體"/>
          <w:sz w:val="20"/>
        </w:rPr>
        <w:footnoteReference w:id="261"/>
      </w:r>
      <w:r w:rsidR="0049577B" w:rsidRPr="00B40DC1">
        <w:t>。Coleman的社會資本，可與社會控制理論產生連結。微弱社會鍵的主要特徵之一，就是缺乏社會資本。Sampson的理論架構，就是要去確認與證實社會關係之諸多特徵。而上述之社會關係特徵，係可使「社會資本」對於個體，家庭之成員、雇主及其他社會成員而言，更具有可利用性</w:t>
      </w:r>
      <w:r w:rsidR="0049577B" w:rsidRPr="00893AB9">
        <w:rPr>
          <w:rStyle w:val="af7"/>
          <w:rFonts w:eastAsia="新細明體"/>
          <w:sz w:val="20"/>
        </w:rPr>
        <w:footnoteReference w:id="262"/>
      </w:r>
      <w:r w:rsidR="0049577B" w:rsidRPr="00B40DC1">
        <w:t>﹙Sampson &amp; Laub, 1993: 140-142﹚。</w:t>
      </w:r>
    </w:p>
    <w:p w:rsidR="0049577B" w:rsidRPr="00B40DC1" w:rsidRDefault="00614D5B" w:rsidP="00614D5B">
      <w:pPr>
        <w:spacing w:line="240" w:lineRule="auto"/>
        <w:ind w:leftChars="0" w:left="0" w:rightChars="0" w:right="0"/>
      </w:pPr>
      <w:r>
        <w:t xml:space="preserve">　　</w:t>
      </w:r>
      <w:r w:rsidR="0049577B" w:rsidRPr="00B40DC1">
        <w:t>Sampson &amp; Laub逐級年齡非正式社會控制理論</w:t>
      </w:r>
      <w:r w:rsidR="0049577B" w:rsidRPr="00893AB9">
        <w:rPr>
          <w:rStyle w:val="af7"/>
          <w:rFonts w:eastAsia="新細明體"/>
          <w:sz w:val="20"/>
        </w:rPr>
        <w:footnoteReference w:id="263"/>
      </w:r>
      <w:r w:rsidR="0049577B" w:rsidRPr="00B40DC1">
        <w:t>主張：家庭及學校非正式社會控制過程是解釋兒童及少年時期偏差行為的主要原因。就少年非行之家庭因素（內涵）而言，有學者論及所謂之「兒童效應」（child effect）。亦即，假若父母的家庭社會控制（如教養紀律、拒絕……）是植基於對兒童早期失序行為的直接反應，那麼，吾人假定之「家庭之父母教養型態」對少年非行有影響力之主張，會產生問題。事實上，父母之教養型態可能是「結果」，而原因是「兒童失序行為」</w:t>
      </w:r>
      <w:r w:rsidR="0049577B" w:rsidRPr="00893AB9">
        <w:rPr>
          <w:rStyle w:val="af7"/>
          <w:rFonts w:eastAsia="新細明體"/>
          <w:sz w:val="20"/>
        </w:rPr>
        <w:footnoteReference w:id="264"/>
      </w:r>
      <w:r w:rsidR="0049577B" w:rsidRPr="00B40DC1">
        <w:t>。如何解決上述的挑戰呢﹖White</w:t>
      </w:r>
      <w:r w:rsidR="003C1792">
        <w:t>(</w:t>
      </w:r>
      <w:r w:rsidR="0049577B" w:rsidRPr="00B40DC1">
        <w:t>1990)指出，兒童在3歲之教養上的困難及5歲時之問題行為，可以「預測」（predict）個體後來（晚期）之少年非行﹙Sampson &amp; Laub, 1993: 140-142﹚</w:t>
      </w:r>
      <w:r w:rsidR="0049577B" w:rsidRPr="00893AB9">
        <w:rPr>
          <w:rStyle w:val="af7"/>
          <w:rFonts w:eastAsia="新細明體"/>
          <w:sz w:val="20"/>
        </w:rPr>
        <w:footnoteReference w:id="265"/>
      </w:r>
      <w:r w:rsidR="0049577B" w:rsidRPr="00B40DC1">
        <w:t>。</w:t>
      </w:r>
    </w:p>
    <w:p w:rsidR="0049577B" w:rsidRPr="00B40DC1" w:rsidRDefault="00893AB9" w:rsidP="00614D5B">
      <w:pPr>
        <w:spacing w:line="240" w:lineRule="auto"/>
        <w:ind w:leftChars="0" w:left="0" w:rightChars="0" w:right="0"/>
      </w:pPr>
      <w:r>
        <w:t xml:space="preserve">　　</w:t>
      </w:r>
      <w:r w:rsidR="0049577B" w:rsidRPr="00B40DC1">
        <w:t>在研究方法中之研究對象與抽樣部分，於「破解少年非行」之實證調查研究中，啟始於1939年的秋天，Gluecks夫婦在實驗組（非行少年組）方面，從麻州矯正機構抽取500位樣本，這些樣本，均是累犯（persistent delinquents），均為白人小孩，年齡介於10到17歲，在研究開始之際，其均是少年矯正機構中，正在接受矯治之非行少年。在控制組（一般正常少年組）方面，同樣地，亦是白人小孩，年齡介於10到17歲，係從波士頓公立學校中抽取出來，其無官方之犯行紀錄，並且，研究人員透過訪問其父母、老師、地方之員警、社會工作者及樣本本身，確定無少年非行紀錄者，始加以抽取。很明顯地，取樣過程雖然是屬於「非隨機」的，但仍可代表波士頓地區人口中有正式官方累犯紀錄之非行少年及正常少年。Gluecks夫婦在取樣時，係採用配對設計方式（Matching Design）</w:t>
      </w:r>
      <w:r w:rsidR="0049577B" w:rsidRPr="004B4ED9">
        <w:rPr>
          <w:rStyle w:val="af7"/>
          <w:rFonts w:eastAsia="新細明體"/>
          <w:sz w:val="20"/>
        </w:rPr>
        <w:footnoteReference w:id="266"/>
      </w:r>
      <w:r w:rsidR="0049577B" w:rsidRPr="00B40DC1">
        <w:t>。上述二組之配對，是逐一地（case by case）配對，配對項目包括：種族、雙方父母之出生地、居住地（二組之少年均是居住於定義非常明確之非行少年居住區）及智力。關於二組少年之居住地，為何亦要配對呢﹖Gluecks夫婦之意，係要確保二組少年均是成長於低下階層之地區，被選取樣本之居住地，均是波士頓之貧民區及租屋區，亦即，是Shaw及Mckay(1942)所謂的社會解組地區</w:t>
      </w:r>
      <w:r w:rsidR="0049577B" w:rsidRPr="004B4ED9">
        <w:rPr>
          <w:rStyle w:val="af7"/>
          <w:rFonts w:eastAsia="新細明體"/>
          <w:sz w:val="20"/>
        </w:rPr>
        <w:footnoteReference w:id="267"/>
      </w:r>
      <w:r w:rsidR="0049577B" w:rsidRPr="00B40DC1">
        <w:t>(Sampson., &amp; Laub</w:t>
      </w:r>
      <w:r w:rsidR="003C1792">
        <w:t>.</w:t>
      </w:r>
      <w:r w:rsidR="0049577B" w:rsidRPr="00B40DC1">
        <w:t>1993)。</w:t>
      </w:r>
    </w:p>
    <w:p w:rsidR="0049577B" w:rsidRPr="00B40DC1" w:rsidRDefault="00614D5B" w:rsidP="00614D5B">
      <w:pPr>
        <w:spacing w:line="240" w:lineRule="auto"/>
        <w:ind w:leftChars="0" w:left="0" w:rightChars="0" w:right="0"/>
      </w:pPr>
      <w:r>
        <w:t xml:space="preserve">　　</w:t>
      </w:r>
      <w:r w:rsidR="0049577B" w:rsidRPr="00B40DC1">
        <w:t>在成人時期的犯罪及偏差行為之測量﹙Sampson &amp; Laub, 1993: 126﹚方面，首先，就每位樣本之後續追蹤過程中，其包括17-25歲及25-32歲兩個階段，檢視其是否具有被逮捕之官方紀錄。其方法為在電腦統計軟體之中，新創設一個變項，用以評估其是否具有上述被逮捕之官方紀錄</w:t>
      </w:r>
      <w:r w:rsidR="0049577B" w:rsidRPr="004B4ED9">
        <w:rPr>
          <w:rStyle w:val="af7"/>
          <w:rFonts w:eastAsia="新細明體"/>
          <w:sz w:val="20"/>
        </w:rPr>
        <w:footnoteReference w:id="268"/>
      </w:r>
      <w:r w:rsidR="0049577B" w:rsidRPr="00B40DC1">
        <w:t>。於資料分析方法之部分，Sampson &amp; Laub對於資料之分析，首先，其將Glueck的UJD資料要加以回復、補充及使其具有效度，其步驟如下所述(Sampson., &amp; Laub</w:t>
      </w:r>
      <w:r w:rsidR="003C1792">
        <w:t>.</w:t>
      </w:r>
      <w:r w:rsidR="0049577B" w:rsidRPr="00B40DC1">
        <w:t>1993)：回復（restore）Glueck UJD資料；確定UJD的效度（validation）；樣本刑事紀錄之重新建構與補充</w:t>
      </w:r>
      <w:r w:rsidR="0049577B" w:rsidRPr="004B4ED9">
        <w:rPr>
          <w:rStyle w:val="af7"/>
          <w:rFonts w:eastAsia="新細明體"/>
          <w:sz w:val="20"/>
        </w:rPr>
        <w:footnoteReference w:id="269"/>
      </w:r>
      <w:r w:rsidR="0049577B" w:rsidRPr="00B40DC1">
        <w:t>。遺漏值及樣本選取之偏差﹙Sampson &amp; Laub, 1993: 149-153﹚部分，Glueck原始的樣本計1000人，但在後續追蹤時，因樣本之死亡，或無法找到樣本等因素，計流失12%。更甚者，對於剩下的880位樣本，因部分樣本係在監執行徒刑或是在軍中服役，故關於「成人社會鍵」中的「工作穩定」及「夫妻附著」均無用武之地，均無法測量(Sampson., &amp; Laub</w:t>
      </w:r>
      <w:r w:rsidR="003C1792">
        <w:t>.</w:t>
      </w:r>
      <w:r w:rsidR="0049577B" w:rsidRPr="00B40DC1">
        <w:t>1993)</w:t>
      </w:r>
      <w:r w:rsidR="0049577B" w:rsidRPr="002031B1">
        <w:rPr>
          <w:rStyle w:val="af7"/>
          <w:rFonts w:eastAsia="新細明體"/>
          <w:sz w:val="20"/>
        </w:rPr>
        <w:footnoteReference w:id="270"/>
      </w:r>
      <w:r w:rsidR="0049577B" w:rsidRPr="00B40DC1">
        <w:t>。</w:t>
      </w:r>
      <w:r w:rsidR="0049577B" w:rsidRPr="00B40DC1">
        <w:cr/>
      </w:r>
      <w:r>
        <w:t xml:space="preserve">　　</w:t>
      </w:r>
      <w:r w:rsidR="0049577B" w:rsidRPr="00B40DC1">
        <w:t>針對於統計分析方法而言，Sampson &amp; Laub首先將Glueck的UJD資料加以回復、補充及使其具有效度，並妥為遺漏值及樣本選取之偏差問題，之後，其使用百分比、皮爾森相關、迴歸分析及Lisrel等統計分析方法，對於重新整理過之資料進行分析(Sampson., &amp; Laub</w:t>
      </w:r>
      <w:r w:rsidR="003C1792">
        <w:t>.</w:t>
      </w:r>
      <w:r w:rsidR="0049577B" w:rsidRPr="00B40DC1">
        <w:t>1993)</w:t>
      </w:r>
      <w:r w:rsidR="0049577B" w:rsidRPr="002031B1">
        <w:rPr>
          <w:rStyle w:val="af7"/>
          <w:rFonts w:eastAsia="新細明體"/>
          <w:sz w:val="20"/>
        </w:rPr>
        <w:footnoteReference w:id="271"/>
      </w:r>
      <w:r w:rsidR="0049577B" w:rsidRPr="00B40DC1">
        <w:t>。</w:t>
      </w:r>
    </w:p>
    <w:p w:rsidR="002031B1" w:rsidRDefault="00614D5B" w:rsidP="002031B1">
      <w:pPr>
        <w:spacing w:line="240" w:lineRule="auto"/>
        <w:ind w:leftChars="0" w:left="0" w:rightChars="0" w:right="0"/>
      </w:pPr>
      <w:r>
        <w:t xml:space="preserve">　　</w:t>
      </w:r>
      <w:r w:rsidR="0049577B" w:rsidRPr="00B40DC1">
        <w:t>在研究設計遭受之批評部分，「格魯克」從事之研究，其所遭到「研究方法」及意識型態的批評如下﹙Sampson &amp; Laub, 1993：37﹚：</w:t>
      </w:r>
      <w:r w:rsidR="0049577B" w:rsidRPr="00B40DC1">
        <w:cr/>
      </w:r>
      <w:r>
        <w:t xml:space="preserve">　　</w:t>
      </w:r>
      <w:r w:rsidR="0049577B" w:rsidRPr="00B40DC1">
        <w:t>1、Reiss(1951：118-119)的批評﹙Sampson &amp; Laub, 1993：37﹚：</w:t>
      </w:r>
      <w:r w:rsidR="0049577B" w:rsidRPr="00B40DC1">
        <w:cr/>
      </w:r>
      <w:r>
        <w:t xml:space="preserve">　　</w:t>
      </w:r>
      <w:r w:rsidR="0049577B" w:rsidRPr="00B40DC1">
        <w:t>在Glueck的「破解少年非行」UJD(Unraveling Juvenile Delinquency)的研究案中，有關於樣本之比例與選樣，其中，50%是非行少年，50%是一般少年。同時，Glueck用5個因素預測少年非行：(1)、父親對小孩的管教（discipline）；(2)、母親對小孩的監督；(3)、父親對小孩的父愛；(4)、母親對小孩之母愛；(5)、家庭的凝聚力。但Reiss指出，樣本之比例，並不符合一般人口中非行少年所佔之比例。故關於Glueck結果輸出表格所作之預測，Reiss(1951：118-119)批評是一種「非常差勁之預測」。通常，非行少年所佔之人口比例約為10%，用此標準衡量Glueck之預測，Glueck在作少年非行之預測時，少了8.6%(Sampson., &amp; Laub</w:t>
      </w:r>
      <w:r w:rsidR="003C1792">
        <w:t>.</w:t>
      </w:r>
      <w:r w:rsidR="0049577B" w:rsidRPr="00B40DC1">
        <w:t>1993)。</w:t>
      </w:r>
      <w:r w:rsidR="0049577B" w:rsidRPr="00B40DC1">
        <w:cr/>
      </w:r>
      <w:r>
        <w:t xml:space="preserve">　　</w:t>
      </w:r>
      <w:r w:rsidR="0049577B" w:rsidRPr="00B40DC1">
        <w:t>2、Hirschi及Selvin對Glueck之評價﹙引自Sampson &amp; Laub, 1993:38-40﹚：</w:t>
      </w:r>
      <w:r w:rsidR="0049577B" w:rsidRPr="00B40DC1">
        <w:cr/>
        <w:t>在UJD調查研究中，儘管Glueck就非行少年之取樣，不符合一般人口中，非行少年所佔之比例，故無法作少年非行之預測，但Hirschi及Selvin主張，UJD之研究，仍可評估非行及反社會行為間之相關性(correlation)</w:t>
      </w:r>
      <w:r w:rsidR="0049577B" w:rsidRPr="00614D5B">
        <w:rPr>
          <w:rStyle w:val="af7"/>
          <w:rFonts w:eastAsia="新細明體"/>
          <w:sz w:val="20"/>
        </w:rPr>
        <w:footnoteReference w:id="272"/>
      </w:r>
      <w:r w:rsidR="0049577B" w:rsidRPr="00B40DC1">
        <w:t>。</w:t>
      </w:r>
      <w:r w:rsidR="0049577B" w:rsidRPr="00B40DC1">
        <w:cr/>
      </w:r>
      <w:r>
        <w:t xml:space="preserve">　　</w:t>
      </w:r>
      <w:r w:rsidR="0049577B" w:rsidRPr="00B40DC1">
        <w:t>3、因果順序問題及「虛假不實」（spuriousness）﹙Sampson &amp; Laub, 1993; 38-40﹚：</w:t>
      </w:r>
      <w:r w:rsidR="0049577B" w:rsidRPr="00B40DC1">
        <w:cr/>
        <w:t>另有學者批評，Gluecks未對「少年非行」之先行變項作檢驗。亦即，未區別出少年非行之前的「先行」（precede）因素（變項）為何﹖Hirschi及Selvin主張，少年非行可能導自（源自，result from）非行及機構化之因素，很可惜的，Gluecks未對其加以區別及探討。在Glueck研究輸出結果之表格中，同時（simultaneously）檢驗3個或更多個變項，無法看出因果順序</w:t>
      </w:r>
      <w:r w:rsidR="0049577B" w:rsidRPr="00614D5B">
        <w:rPr>
          <w:rStyle w:val="af7"/>
          <w:rFonts w:eastAsia="新細明體"/>
          <w:sz w:val="20"/>
        </w:rPr>
        <w:footnoteReference w:id="273"/>
      </w:r>
      <w:r w:rsidR="0049577B" w:rsidRPr="00B40DC1">
        <w:t>。</w:t>
      </w:r>
      <w:r w:rsidR="0049577B" w:rsidRPr="00B40DC1">
        <w:cr/>
      </w:r>
      <w:r>
        <w:t xml:space="preserve">　　</w:t>
      </w:r>
      <w:r w:rsidR="0049577B" w:rsidRPr="00B40DC1">
        <w:t>4、配對問題（matching）﹙Sampson &amp; Laub, 1993：25-46﹚</w:t>
      </w:r>
      <w:r w:rsidR="0049577B" w:rsidRPr="00B40DC1">
        <w:cr/>
      </w:r>
      <w:r>
        <w:t xml:space="preserve">　　</w:t>
      </w:r>
      <w:r w:rsidR="0049577B" w:rsidRPr="00B40DC1">
        <w:t>Reiss(1951)指出，Gluecks的研究中，關於他們的「配對設計」（matching design）亦曾受到批評，尤其是年齡之配對。Sampson &amp; Laub則持相反看法，他們認為Gluecks的配對，是頗為精準的，且一對一配對(case-by-case matching)之作法，亦令人印象深刻</w:t>
      </w:r>
      <w:r w:rsidR="0049577B" w:rsidRPr="00614D5B">
        <w:rPr>
          <w:rStyle w:val="af7"/>
          <w:rFonts w:eastAsia="新細明體"/>
          <w:sz w:val="20"/>
        </w:rPr>
        <w:footnoteReference w:id="274"/>
      </w:r>
      <w:r w:rsidR="0049577B" w:rsidRPr="00B40DC1">
        <w:t>。</w:t>
      </w:r>
      <w:r w:rsidR="0049577B" w:rsidRPr="00B40DC1">
        <w:cr/>
      </w:r>
      <w:r>
        <w:t xml:space="preserve">　　</w:t>
      </w:r>
      <w:r w:rsidR="0049577B" w:rsidRPr="00B40DC1">
        <w:t>5、UJD研究成果之中，所使用之統計分析方法過於「不足」（poor data analysis）(Sampson &amp; Laub, 1993：39)：Reiss</w:t>
      </w:r>
      <w:r w:rsidR="003C1792">
        <w:t>(</w:t>
      </w:r>
      <w:r w:rsidR="0049577B" w:rsidRPr="00B40DC1">
        <w:t>1951)批評，Gluecks使用「打帶跑」（打了就跑，hit and run）之策略，在UJD（破解少年非行，Unraveling Juvenile Delinquency）研究中，未曾使用任何之多變項分析</w:t>
      </w:r>
      <w:r w:rsidR="0049577B" w:rsidRPr="002031B1">
        <w:rPr>
          <w:rStyle w:val="af7"/>
          <w:rFonts w:eastAsia="新細明體"/>
          <w:sz w:val="20"/>
        </w:rPr>
        <w:footnoteReference w:id="275"/>
      </w:r>
      <w:r w:rsidR="0049577B" w:rsidRPr="00B40DC1">
        <w:t>。</w:t>
      </w:r>
      <w:r w:rsidR="0049577B" w:rsidRPr="00B40DC1">
        <w:cr/>
      </w:r>
      <w:r>
        <w:t xml:space="preserve">　　</w:t>
      </w:r>
      <w:r w:rsidR="0049577B" w:rsidRPr="00B40DC1">
        <w:t>6、Gluecks與其他當代犯罪學者不同之治學方法（Sampson &amp; Laub, 1993: 25-46）：</w:t>
      </w:r>
      <w:r w:rsidR="0049577B" w:rsidRPr="00B40DC1">
        <w:cr/>
      </w:r>
      <w:r>
        <w:t xml:space="preserve">　　</w:t>
      </w:r>
      <w:r w:rsidR="0049577B" w:rsidRPr="00B40DC1">
        <w:t>Gluecks使用科際整合之策略，結合社會學、生物學、心理學，比較非行少年與正常少年之差異。其他的犯罪學者，則偏好某一特殊之學科，他們反對科技整合，故，就很反對Gluecks之治學方法</w:t>
      </w:r>
      <w:r w:rsidR="0049577B" w:rsidRPr="004B4ED9">
        <w:rPr>
          <w:rStyle w:val="af7"/>
          <w:rFonts w:eastAsia="新細明體"/>
          <w:sz w:val="20"/>
        </w:rPr>
        <w:footnoteReference w:id="276"/>
      </w:r>
      <w:r w:rsidR="0049577B" w:rsidRPr="00B40DC1">
        <w:t>。</w:t>
      </w:r>
      <w:r w:rsidR="0049577B" w:rsidRPr="00B40DC1">
        <w:cr/>
      </w:r>
      <w:r>
        <w:t xml:space="preserve">　　</w:t>
      </w:r>
      <w:r w:rsidR="0049577B" w:rsidRPr="00B40DC1">
        <w:t>7、「回溯性偏見」與「哈囉效應」﹙Sampson &amp; Laub, 1993: 53-54﹚：</w:t>
      </w:r>
      <w:r w:rsidR="0049577B" w:rsidRPr="00B40DC1">
        <w:cr/>
      </w:r>
      <w:r>
        <w:t xml:space="preserve">　　</w:t>
      </w:r>
      <w:r w:rsidR="0049577B" w:rsidRPr="00B40DC1">
        <w:t>關於Glueck的UJD調查研究，Blumstein(1988)，McCord and McCord</w:t>
      </w:r>
      <w:r w:rsidR="003C1792">
        <w:t>(</w:t>
      </w:r>
      <w:r w:rsidR="0049577B" w:rsidRPr="00B40DC1">
        <w:t>1959：96)、Wilkins</w:t>
      </w:r>
      <w:r w:rsidR="003C1792">
        <w:t>(</w:t>
      </w:r>
      <w:r w:rsidR="0049577B" w:rsidRPr="00B40DC1">
        <w:t>1969: 733)等人，則質疑Glueck之研究，充斥「回溯性之偏見」（retrospective bias）。亦即，研究人員在進行調查之際，其事實上已知某戶家庭已有非行少年或正常少年之樣本。在訪談之中，有些題目是依賴調查人員之主觀評定（subjective ratings）。更甚者，在第一波調查時，大部分的非行少年已不在學校</w:t>
      </w:r>
      <w:r w:rsidR="0049577B" w:rsidRPr="004B4ED9">
        <w:rPr>
          <w:rStyle w:val="af7"/>
          <w:rFonts w:eastAsia="新細明體"/>
          <w:sz w:val="20"/>
        </w:rPr>
        <w:footnoteReference w:id="277"/>
      </w:r>
      <w:r w:rsidR="0049577B" w:rsidRPr="00B40DC1">
        <w:t>。</w:t>
      </w:r>
      <w:r w:rsidR="0049577B" w:rsidRPr="00B40DC1">
        <w:cr/>
      </w:r>
      <w:r>
        <w:t xml:space="preserve">　　</w:t>
      </w:r>
      <w:r w:rsidR="0049577B" w:rsidRPr="00B40DC1">
        <w:t>8、酗酒、社會鍵及犯罪之因果順位問題(Sampson., &amp; Laub</w:t>
      </w:r>
      <w:r w:rsidR="003C1792">
        <w:t>.</w:t>
      </w:r>
      <w:r w:rsidR="0049577B" w:rsidRPr="00B40DC1">
        <w:t>1993)</w:t>
      </w:r>
    </w:p>
    <w:p w:rsidR="0049577B" w:rsidRPr="00B40DC1" w:rsidRDefault="00614D5B" w:rsidP="00BF13FB">
      <w:pPr>
        <w:spacing w:line="240" w:lineRule="auto"/>
        <w:ind w:leftChars="0" w:left="0" w:rightChars="0" w:right="0"/>
      </w:pPr>
      <w:r>
        <w:t xml:space="preserve">　　</w:t>
      </w:r>
      <w:r w:rsidR="0049577B" w:rsidRPr="00B40DC1">
        <w:t>在Sampson &amp; Laub的質化研究分析中，有出現一個問題，此問題將其逐級年齡非正式社會控制理論加以複雜化，亦即，在若干樣本之中，經常喝酒之樣本，易傾向於「侵蝕」（undermine）婚姻之附著力與工作之穩定性(Sampson., &amp; Laub</w:t>
      </w:r>
      <w:r w:rsidR="003C1792">
        <w:t>.</w:t>
      </w:r>
      <w:r w:rsidR="0049577B" w:rsidRPr="00B40DC1">
        <w:t>1993)</w:t>
      </w:r>
      <w:r w:rsidR="0049577B" w:rsidRPr="004B4ED9">
        <w:rPr>
          <w:rStyle w:val="af7"/>
          <w:rFonts w:eastAsia="新細明體"/>
          <w:sz w:val="20"/>
        </w:rPr>
        <w:footnoteReference w:id="278"/>
      </w:r>
      <w:r w:rsidR="0049577B" w:rsidRPr="00B40DC1">
        <w:t>。</w:t>
      </w:r>
      <w:r w:rsidR="0049577B" w:rsidRPr="00B40DC1">
        <w:cr/>
      </w:r>
      <w:r>
        <w:t xml:space="preserve">　　</w:t>
      </w:r>
      <w:r w:rsidR="0049577B" w:rsidRPr="00B40DC1">
        <w:t>在逐級年齡非正式社會控制理論的科學實證發現部分(Sampson., &amp; Laub</w:t>
      </w:r>
      <w:r w:rsidR="003C1792">
        <w:t>.</w:t>
      </w:r>
      <w:r w:rsidR="0049577B" w:rsidRPr="00B40DC1">
        <w:t>1993)：</w:t>
      </w:r>
      <w:r w:rsidR="0049577B" w:rsidRPr="00B40DC1">
        <w:cr/>
        <w:t>一、少年非行的成因探討﹙Sampson &amp; Laub, 1993: 247﹚：逐級年齡非正式社會控制理論之實證發現，對於正式官方以及非正式官方的少年非行而言，具有最強而有力與最具一貫性的作用力，係來自於家庭、學校及同儕之社會化過程（the social processes of family, school, and peers）</w:t>
      </w:r>
      <w:r w:rsidR="0049577B" w:rsidRPr="004B4ED9">
        <w:rPr>
          <w:rStyle w:val="af7"/>
          <w:rFonts w:eastAsia="新細明體"/>
          <w:sz w:val="20"/>
        </w:rPr>
        <w:footnoteReference w:id="279"/>
      </w:r>
      <w:r w:rsidR="0049577B" w:rsidRPr="00B40DC1">
        <w:t>。</w:t>
      </w:r>
      <w:r w:rsidR="0049577B" w:rsidRPr="00B40DC1">
        <w:cr/>
      </w:r>
      <w:r>
        <w:t xml:space="preserve">　　</w:t>
      </w:r>
      <w:r w:rsidR="0049577B" w:rsidRPr="00B40DC1">
        <w:t>二、在刑事犯行中的「穩定性」與「改變性」（變化性，change）-----橫跨個體整個生命歷程﹙Sampson &amp; Laub, 1993: 247-249﹚： 強而有力的婚姻附著，其可抑制（inhibit）成人之犯罪及偏差行為</w:t>
      </w:r>
      <w:r w:rsidR="0049577B" w:rsidRPr="004B4ED9">
        <w:rPr>
          <w:rStyle w:val="af7"/>
          <w:rFonts w:eastAsia="新細明體"/>
          <w:sz w:val="20"/>
        </w:rPr>
        <w:footnoteReference w:id="280"/>
      </w:r>
      <w:r w:rsidR="0049577B" w:rsidRPr="00B40DC1">
        <w:t>。上述婚姻附著對於成人犯罪之抑制力，儘管配偶(妻子)本身擁有偏差行為，仍能抑制成人之犯行(Sampson., &amp; Laub</w:t>
      </w:r>
      <w:r w:rsidR="003C1792">
        <w:t>.</w:t>
      </w:r>
      <w:r w:rsidR="0049577B" w:rsidRPr="00B40DC1">
        <w:t>1993)</w:t>
      </w:r>
      <w:r w:rsidR="0049577B" w:rsidRPr="004B4ED9">
        <w:rPr>
          <w:rStyle w:val="af7"/>
          <w:rFonts w:eastAsia="新細明體"/>
          <w:sz w:val="20"/>
        </w:rPr>
        <w:footnoteReference w:id="281"/>
      </w:r>
      <w:r w:rsidR="0049577B" w:rsidRPr="00B40DC1">
        <w:t>。</w:t>
      </w:r>
      <w:r w:rsidR="0049577B" w:rsidRPr="00B40DC1">
        <w:cr/>
      </w:r>
      <w:r>
        <w:t xml:space="preserve">　　</w:t>
      </w:r>
      <w:r w:rsidR="0049577B" w:rsidRPr="00B40DC1">
        <w:t>在當前美國犯罪防治政策之爭議部分，雖然，Glueck研究調查中之樣本，其成長之階段係在1930年代及1940年代的早期，這些樣本之成人階段，係處在1940年代晚期及1950年代早期，但，其研究之實證發現，仍有可供參考之處。在當時，Gluecks夫婦二人其蒐集樣本之資料，是從不同角度來蒐集，此種大規模之實證調查，在今日幾乎很難被複製。Sampson &amp; Laub則認為，在Glueck時代，犯罪結構性成因與本質課題之探討，其非完全異於今日犯罪學之課題，兩個時代中，就犯罪成因與本質之研究，是具有相似性的。另外，在Glueck的研究調查中，就實驗組而言，這些非行少年樣本，其犯行特性是具有持續性（persistent），是嚴重的犯罪者，均是白種人，並且，均是居住在大都巿中心的低下階層中之少年，其結構背景因素，是屬於不利之情況。即使在Glueck那個年代，海洛英及古柯鹼之類的毒品並非十分普及，然而，實驗組之非行少年，仍是屬於廣泛地從事犯行及有酗酒習性之少年，在成人階段之調查時，普遍具有暴力行為-------在家庭中之暴力。Glueck研究中的樣本，其均是白種人，Kotlowitz(1991)指出，此種研究設計，提供一種很重要的比較描述研究法，因為，在今日之犯罪學，關心之焦點，仍是種族、犯罪與低階層之社經地位。不過，Sampson &amp; Laub主張，從個體生命發展歷程的過程中探究犯罪之成因時，此種犯罪之成因，並非植基於種族問題，亦不是毒品、幫派及槍枝等問題所引發的，很可惜的，今日之美國犯罪政策，卻錯認上述之課題為犯罪之成因。事實上，應是結構性之不利狀況，如附著於家庭、學校及工作之非正式社會鍵呈現微弱之情形，以及個人與社會機構（institutions）間之社會關係破裂等相關因素造成犯罪之發生，而非種族、毒品、幫派及槍枝等問題所造成的。Sampson &amp; Laub研究之特色，是採取生命歷程之觀點，此種分析模式，對於犯罪問題可提供特殊之犯罪政策。目前美國所採用之犯罪控制政策，主要之著力點，不論是針對毒品或暴力問題，係鎖住犯罪人加以研究，而忽略年齡這一個議題﹙Sampson &amp; Laub, 1993: 253-256﹚</w:t>
      </w:r>
      <w:r w:rsidR="0049577B" w:rsidRPr="004B4ED9">
        <w:rPr>
          <w:rStyle w:val="af7"/>
          <w:rFonts w:eastAsia="新細明體"/>
          <w:sz w:val="20"/>
        </w:rPr>
        <w:footnoteReference w:id="282"/>
      </w:r>
      <w:r w:rsidR="0049577B" w:rsidRPr="00B40DC1">
        <w:t>。</w:t>
      </w:r>
      <w:r w:rsidR="0049577B" w:rsidRPr="00B40DC1">
        <w:cr/>
        <w:t>Sampson &amp; Laub對於未來研究方向，提出以下之建言(Sampson., &amp; Laub</w:t>
      </w:r>
      <w:r w:rsidR="003C1792">
        <w:t>.</w:t>
      </w:r>
      <w:r w:rsidR="0049577B" w:rsidRPr="00B40DC1">
        <w:t>1993)：</w:t>
      </w:r>
    </w:p>
    <w:p w:rsidR="0049577B" w:rsidRPr="00B40DC1" w:rsidRDefault="00614D5B" w:rsidP="00BF13FB">
      <w:pPr>
        <w:spacing w:line="240" w:lineRule="auto"/>
        <w:ind w:leftChars="0" w:left="0" w:rightChars="0" w:right="0"/>
      </w:pPr>
      <w:r>
        <w:t xml:space="preserve">　　</w:t>
      </w:r>
      <w:r w:rsidR="0049577B" w:rsidRPr="00B40DC1">
        <w:t>1、對於生命歷程轉變的縱貫性研究資料之新需求﹙Sampson &amp; Laub, 1993: 250-251﹚</w:t>
      </w:r>
      <w:r w:rsidR="0049577B" w:rsidRPr="00B40DC1">
        <w:cr/>
      </w:r>
      <w:r>
        <w:t xml:space="preserve">　　</w:t>
      </w:r>
      <w:r w:rsidR="0049577B" w:rsidRPr="00B40DC1">
        <w:t>為了進一步瞭解生命歷程中之犯罪及偏差行為，需要對於關鍵性生命歷程之轉變，要有一種能夠加以測量（量度）之能力。Sampson &amp; Laub指出，在孩童發展到青少年階段，以及從青少年晚期發展到成人階段，在上述這二個發展階段中，對於其中之發展變化，吾人應再深入加以探究。雖然逐級年齡非正式社會控制理論之模式及其資料，係在強調「家庭及學校的社會控制過程」（family and school social control processes），不過，同儕對於少年非行強而有力的作用力，是無法被忽視的。同時，Sampson &amp; Laub認為，對於同儕影響力這一個角色，有必要更進一步地仔細加以檢查</w:t>
      </w:r>
      <w:r w:rsidR="0049577B" w:rsidRPr="002031B1">
        <w:rPr>
          <w:rStyle w:val="af7"/>
          <w:rFonts w:eastAsia="新細明體"/>
          <w:sz w:val="20"/>
        </w:rPr>
        <w:footnoteReference w:id="283"/>
      </w:r>
      <w:r w:rsidR="0049577B" w:rsidRPr="00B40DC1">
        <w:t>。</w:t>
      </w:r>
      <w:r w:rsidR="0049577B" w:rsidRPr="00B40DC1">
        <w:cr/>
      </w:r>
      <w:r w:rsidR="0049577B" w:rsidRPr="00B40DC1">
        <w:cr/>
      </w:r>
      <w:r>
        <w:t xml:space="preserve">　　</w:t>
      </w:r>
      <w:r w:rsidR="0049577B" w:rsidRPr="00B40DC1">
        <w:t>2、整合量化及質化的實證資料﹙Sampson &amp; Laub, 1993: 251-252﹚</w:t>
      </w:r>
      <w:r w:rsidR="0049577B" w:rsidRPr="00B40DC1">
        <w:cr/>
      </w:r>
      <w:r>
        <w:t xml:space="preserve">　　</w:t>
      </w:r>
      <w:r w:rsidR="0049577B" w:rsidRPr="00B40DC1">
        <w:t>在生命歷程的縱貫性研究中，研究方法之取向，應包括量化與質化之資料蒐集與分析。在Glueck的研究中，有一個很重要的特色，就是資料的蒐集，其包括「變項」（variables）及「個體」（persons）。同時，在資料之蒐集及分析中，分別使用量化與質化之蒐集、分析方法（Magnusson and Bergman, 1990; Cairns, 1986）。關於質化研究資料的來源，係Glueck的研究人員，利用開放式之問題，訪談樣本，或是將樣本之生命歷史，以敘述性（描述性，narrative）之方式，加以記載於樣本之檔案卷宗之內。假若欲了解樣本於從事犯罪及偏差行為之社會過程中，有關於穩定性與變化性之情形，則質化研究方法是非常重要的（crucial）(Sampson., &amp; Laub</w:t>
      </w:r>
      <w:r w:rsidR="003C1792">
        <w:t>.</w:t>
      </w:r>
      <w:r w:rsidR="0049577B" w:rsidRPr="00B40DC1">
        <w:t>1993)</w:t>
      </w:r>
      <w:r w:rsidR="0049577B" w:rsidRPr="002031B1">
        <w:rPr>
          <w:rStyle w:val="af7"/>
          <w:rFonts w:eastAsia="新細明體"/>
          <w:sz w:val="20"/>
        </w:rPr>
        <w:footnoteReference w:id="284"/>
      </w:r>
      <w:r w:rsidR="0049577B" w:rsidRPr="00B40DC1">
        <w:t>。</w:t>
      </w:r>
      <w:r w:rsidR="0049577B" w:rsidRPr="00B40DC1">
        <w:cr/>
      </w:r>
      <w:r>
        <w:t xml:space="preserve">　　</w:t>
      </w:r>
      <w:r w:rsidR="0049577B" w:rsidRPr="00B40DC1">
        <w:t>Sampson &amp; Laub之「逐級年齡非正式社會控制理論」對於犯罪學之意義與啟發之部分，本文作者認為，「一般化控制理論」與「逐級年齡非正式社會控制理論」具有高度的一致性、相容性與互補性。Hirschi的一般化控制理論強調個體在孩童時期所孕育之「自我控制」，其會持續一生，具有高度的穩定性。而Sampson &amp; Laub之「逐級年齡非正式社會控制理論」則強調個體行為之「持續性」與「變化性」。兩個理論相同之處，均是強調個體行為具有「穩定性」與「持續性」，Sampson &amp; Laub則另強調「變化性」（Change）。表面上看起來是不相容的，不過，筆者卻不如此認為，吾人可將「一般化控制理論」中自我控制之穩定性，將其視為是各種犯罪學理論之通則與基石。就宛如蓋摩天大樓一般，Hirschi之自我控制理論，其所強調之「穩定性」與Sampson &amp; Laub強調個體行為具持續性，可將其視為是最為重要的基石。故「自我控制」理論中的「穩定性」，是可適用於各種犯行之通則與原理，而「逐級年齡非正式社會控制理論」中之「變化性」（改變性），則是一種個體行為穩定性之「例外原則」與「補充原則」。亦即，即使個體在青少年時期擁有少年非行之刑案紀錄，到了成人階段，假若其具有高度強而有力之「成人社會鍵」，則其行為穩定性將會發生「改變」</w:t>
      </w:r>
      <w:r w:rsidR="0049577B" w:rsidRPr="002031B1">
        <w:rPr>
          <w:rStyle w:val="af7"/>
          <w:rFonts w:eastAsia="新細明體"/>
          <w:sz w:val="20"/>
        </w:rPr>
        <w:footnoteReference w:id="285"/>
      </w:r>
      <w:r w:rsidR="0049577B" w:rsidRPr="00B40DC1">
        <w:t>(Sampson., &amp; Laub</w:t>
      </w:r>
      <w:r w:rsidR="003C1792">
        <w:t>.</w:t>
      </w:r>
      <w:r w:rsidR="0049577B" w:rsidRPr="00B40DC1">
        <w:t>1993)。</w:t>
      </w:r>
    </w:p>
    <w:p w:rsidR="0049577B" w:rsidRPr="00B40DC1" w:rsidRDefault="00614D5B" w:rsidP="00BF13FB">
      <w:pPr>
        <w:spacing w:line="240" w:lineRule="auto"/>
        <w:ind w:leftChars="0" w:left="0" w:rightChars="0" w:right="0"/>
      </w:pPr>
      <w:r>
        <w:t xml:space="preserve">　　</w:t>
      </w:r>
      <w:r w:rsidR="0049577B" w:rsidRPr="00B40DC1">
        <w:t>本書認為：Sampson &amp; Laub重新將Glueck之資料，再次分析之結果，其發現個體在生命歷程中，其行為具有持續性及變化性(Sampson., &amp; Laub</w:t>
      </w:r>
      <w:r w:rsidR="003C1792">
        <w:t>.</w:t>
      </w:r>
      <w:r w:rsidR="0049577B" w:rsidRPr="00B40DC1">
        <w:t>1993)。同時，「逐級年齡非正式社會控制理論」及其分析結論，給予吾人以下之啟示：1、量化與質化研究方法併重：Sampson &amp; Laub利用量化之分析，其得到之結論為成人社會鍵具有抑制成人犯罪之效用；除此之外，質化研究之結論，亦得出「人生轉折點」-----成人社會鍵對於犯罪亦同樣具有抑制作用。從上述量化與質化研究方法所得到之結果發現中，令吾人更有信心地指出，個體強而有力之工作及婚姻附著，確可降低成人犯罪(Sampson., &amp; Laub</w:t>
      </w:r>
      <w:r w:rsidR="003C1792">
        <w:t>.</w:t>
      </w:r>
      <w:r w:rsidR="0049577B" w:rsidRPr="00B40DC1">
        <w:t>1993)。2、抗制少年非行的最佳利器------母親的監督角色。Sampson &amp; Laub兩人曾以「孩童效應」（內容孩童早期失序行為、適應不良與暴躁型脾氣）、「結構背景變項」（內包含：搬家、家庭大小及家庭擁擠）及「社會過程變項」（非正式社會控制變項）（內含：父母不規則及威脅恐嚇式之教養方式、母親監督、被父母拒絕、附著於學校、附著於偏差友伴）為自變項，分別以少年之正式官方非行及非官方之少年非行為依變項，探討少年非行之解釋成因，結果發現，上述之自變項，均達到統計上之顯著水準(Sampson., &amp; Laub</w:t>
      </w:r>
      <w:r w:rsidR="003C1792">
        <w:t>.</w:t>
      </w:r>
      <w:r w:rsidR="0049577B" w:rsidRPr="00B40DC1">
        <w:t>1993)</w:t>
      </w:r>
      <w:r w:rsidR="0049577B" w:rsidRPr="002031B1">
        <w:rPr>
          <w:rStyle w:val="af7"/>
          <w:rFonts w:eastAsia="新細明體"/>
          <w:sz w:val="20"/>
        </w:rPr>
        <w:footnoteReference w:id="286"/>
      </w:r>
      <w:r w:rsidR="0049577B" w:rsidRPr="00B40DC1">
        <w:t>。3、找出影響母親監督小孩的不利因素-------母親就業、搬家及母親本身之非行：首先，Sampson &amp; Laub利用結構背景變項為自變項，母親監督為依變項，結果找出對母親監督產生負向之三大不利因素，依序為：母親就業（Beta值-0.22）、搬家（Beta值-0.22）及母親偏差行為（Beta值-0.18）(Sampson., &amp; Laub</w:t>
      </w:r>
      <w:r w:rsidR="003C1792">
        <w:t>.</w:t>
      </w:r>
      <w:r w:rsidR="0049577B" w:rsidRPr="00B40DC1">
        <w:t>1993)。另外，Sampson &amp; Laub並以結構背景變項及個體早期孩童效應為自變項，母親監督為依變項，其結果發現：對母親監督產生負向之五大不利因素，其依序為：母親就業（Beta值-0.24）、搬家（Beta值-0.19）、母親偏差行為（Beta值-0.18），家庭大小（Beta值-0.15）及父親偏差行為（Beta值-0.15）（Sampson &amp; Laub, 1993：79及90）。綜合上述，影響母親監督小孩之三大不利因素，可歸納為：母親就業、搬家及母親偏差行為，其中，以母親就業對母親扮演監督之角色最為不利(Sampson., &amp; Laub</w:t>
      </w:r>
      <w:r w:rsidR="003C1792">
        <w:t>.</w:t>
      </w:r>
      <w:r w:rsidR="0049577B" w:rsidRPr="00B40DC1">
        <w:t>1993)</w:t>
      </w:r>
      <w:r w:rsidR="0049577B" w:rsidRPr="002031B1">
        <w:rPr>
          <w:rStyle w:val="af7"/>
          <w:rFonts w:eastAsia="新細明體"/>
          <w:sz w:val="20"/>
        </w:rPr>
        <w:footnoteReference w:id="287"/>
      </w:r>
      <w:r w:rsidR="0049577B" w:rsidRPr="00B40DC1">
        <w:t>。</w:t>
      </w:r>
      <w:r w:rsidR="0049577B" w:rsidRPr="00B40DC1">
        <w:cr/>
      </w:r>
      <w:r>
        <w:t xml:space="preserve">　　</w:t>
      </w:r>
      <w:r w:rsidR="0049577B" w:rsidRPr="00B40DC1">
        <w:t>Sampson &amp; Laub所建構的「逐級年齡非正式社會控制理論」，其核心之概念，係為強而有力的婚姻附著，其可抑制（inhibit）成人之犯罪及偏差行為(Sampson., &amp; Laub</w:t>
      </w:r>
      <w:r w:rsidR="003C1792">
        <w:t>.</w:t>
      </w:r>
      <w:r w:rsidR="0049577B" w:rsidRPr="00B40DC1">
        <w:t>1993)。果真如此？此種理論，針對台灣而論，似有修正之必要，本書實際進行統計分析之結果，乃為「成人社會鍵」中之男性未婚之狀態(35歲以上)，始能有效地「抑制」重大犯罪之發生。針對台灣而論，「成人社會鍵」中之婚姻附著之狀態，無法有效地「抑制」重大犯罪之發生。</w:t>
      </w:r>
    </w:p>
    <w:p w:rsidR="0049577B" w:rsidRPr="00B40DC1" w:rsidRDefault="00614D5B" w:rsidP="00BF13FB">
      <w:pPr>
        <w:spacing w:line="240" w:lineRule="auto"/>
        <w:ind w:leftChars="0" w:left="0" w:rightChars="0" w:right="0"/>
      </w:pPr>
      <w:r>
        <w:t xml:space="preserve">　　</w:t>
      </w:r>
      <w:r w:rsidR="0049577B" w:rsidRPr="00B40DC1">
        <w:t>針對21世紀初期而論，現代之台灣，是一個長期低薪之社會，「成人社會鍵」中之婚姻附著之狀態，會造成已婚者之生活負擔，當其入不敷出時，有可能會進行重大犯罪，故本書推翻Sampson &amp; Laub所建構的「逐級年齡非正式社會控制理論----強而有力的婚姻附著其可抑制（inhibit）成人之犯罪及偏差行為之論點，此種論點，不適用於一個長期低薪之台灣社會。根據下表(影響當年度重大指標犯罪(重大暴力犯罪)</w:t>
      </w:r>
      <w:r w:rsidR="003C1792">
        <w:t>(</w:t>
      </w:r>
      <w:r w:rsidR="0049577B" w:rsidRPr="00B40DC1">
        <w:t>1992年至2016年)相關因子(原因變項)之多元迴歸分析統計數據結果一覽表(本表係使用逐步回歸法之迴歸分析方式))之統計分析之資料，就一個長期低薪之台灣社會而論，真實之社會現象，係強而有力的「不」附著婚姻</w:t>
      </w:r>
      <w:r w:rsidR="003C1792">
        <w:t>(</w:t>
      </w:r>
      <w:r w:rsidR="0049577B" w:rsidRPr="00B40DC1">
        <w:t>男性未婚)(unmarry)( X3： 35歲以上人口之中，男性未婚之比例</w:t>
      </w:r>
      <w:r w:rsidR="003C1792">
        <w:t>(</w:t>
      </w:r>
      <w:r w:rsidR="0049577B" w:rsidRPr="00B40DC1">
        <w:t>1998-2013年))，始有可能抑制（inhibit）成人之犯罪及偏差行為。</w:t>
      </w:r>
    </w:p>
    <w:p w:rsidR="0049577B" w:rsidRPr="00B40DC1" w:rsidRDefault="00614D5B" w:rsidP="00BF13FB">
      <w:pPr>
        <w:spacing w:line="240" w:lineRule="auto"/>
        <w:ind w:leftChars="0" w:left="0" w:rightChars="0" w:right="0"/>
      </w:pPr>
      <w:r>
        <w:t xml:space="preserve">　　</w:t>
      </w:r>
      <w:r w:rsidR="0049577B" w:rsidRPr="00B40DC1">
        <w:t>由下表---影響當年度重大指標犯罪(重大暴力犯罪)(1992年至2016年)相關因子(原因變項)之多元迴歸分析統計數據結果一覽表(本表係使用逐步回歸法之迴歸分析方式)之統計資料可得知，依變項為當年度重大指標犯罪(重大暴力犯罪)(故意殺人犯罪+重傷犯罪+重大恐嚇取財犯罪+擄人勒贖犯罪+強盜搶奪犯罪+強制性交犯罪)，在實際進行SPSS軟體之分析時，共計投入以下之自變項進行多元迴歸分析：X3：35歲以上人口之中，男性未婚之比例</w:t>
      </w:r>
      <w:r w:rsidR="003C1792">
        <w:t>(</w:t>
      </w:r>
      <w:r w:rsidR="0049577B" w:rsidRPr="00B40DC1">
        <w:t>1998-2013年)、X5：GNI(平均每人國民所得毛額，以美元為單位)</w:t>
      </w:r>
      <w:r w:rsidR="003C1792">
        <w:t>(</w:t>
      </w:r>
      <w:r w:rsidR="0049577B" w:rsidRPr="00B40DC1">
        <w:t>1992-2016年)、X6：低收入戶之家庭及就學生活補助金額(1998-2013年)、X7：緩刑比率(1998-2013年)、X8：無期徒刑之人數(1998-2013年)、X10：當年度之全般刑案破獲率(1992-2016年)。</w:t>
      </w:r>
    </w:p>
    <w:p w:rsidR="0049577B" w:rsidRPr="00B40DC1" w:rsidRDefault="00614D5B" w:rsidP="00BF13FB">
      <w:pPr>
        <w:spacing w:line="240" w:lineRule="auto"/>
        <w:ind w:leftChars="0" w:left="0" w:rightChars="0" w:right="0"/>
      </w:pPr>
      <w:r>
        <w:t xml:space="preserve">　　</w:t>
      </w:r>
      <w:r w:rsidR="0049577B" w:rsidRPr="00B40DC1">
        <w:t>經過多元迴歸分析統計結果，X6：低收入戶之家庭及就學生活補助金額(1998-2013年)、X7：緩刑比率(1998-2013年)、X8：無期徒刑之人數(1998-2013年)、X10：當年度之全般刑案破獲率(1992-2016年)等自變項，其條件指標均高於30，故全部均被刪除之，僅剩下X3：35歲以上人口之中，男性未婚之比例</w:t>
      </w:r>
      <w:r w:rsidR="003C1792">
        <w:t>(</w:t>
      </w:r>
      <w:r w:rsidR="0049577B" w:rsidRPr="00B40DC1">
        <w:t>1998-2013年)與X5：GNI(平均每人國民所得毛額，以美元為單位)</w:t>
      </w:r>
      <w:r w:rsidR="003C1792">
        <w:t>(</w:t>
      </w:r>
      <w:r w:rsidR="0049577B" w:rsidRPr="00B40DC1">
        <w:t>1992-2016年)等2個自變項。不過，X3：35歲以上人口之中，男性未婚之比例</w:t>
      </w:r>
      <w:r w:rsidR="003C1792">
        <w:t>(</w:t>
      </w:r>
      <w:r w:rsidR="0049577B" w:rsidRPr="00B40DC1">
        <w:t>1998-2013年)與X5：GNI(平均每人國民所得毛額，以美元為單位)</w:t>
      </w:r>
      <w:r w:rsidR="003C1792">
        <w:t>(</w:t>
      </w:r>
      <w:r w:rsidR="0049577B" w:rsidRPr="00B40DC1">
        <w:t>1992-2016年)等2個自變項相互之間，仍存有高度共線問題，尤其是X5：GNI(平均每人國民所得毛額，以美元為單位)</w:t>
      </w:r>
      <w:r w:rsidR="003C1792">
        <w:t>(</w:t>
      </w:r>
      <w:r w:rsidR="0049577B" w:rsidRPr="00B40DC1">
        <w:t>1992-2016年)之自變項，其條件指標已高於30，故再刪除之，僅剩下X3：35歲以上人口之中，男性未婚之比例</w:t>
      </w:r>
      <w:r w:rsidR="003C1792">
        <w:t>(</w:t>
      </w:r>
      <w:r w:rsidR="0049577B" w:rsidRPr="00B40DC1">
        <w:t>1998-2013年)。而X3：35歲以上人口之中，男性未婚之比例</w:t>
      </w:r>
      <w:r w:rsidR="003C1792">
        <w:t>(</w:t>
      </w:r>
      <w:r w:rsidR="0049577B" w:rsidRPr="00B40DC1">
        <w:t>1998-2013年)之條件指標，則未高於30，是以，僅投入X3：35歲以上人口之中，男性未婚之比例之自變項，進行多元迴歸分析。</w:t>
      </w:r>
    </w:p>
    <w:p w:rsidR="0049577B" w:rsidRPr="00B40DC1" w:rsidRDefault="00614D5B" w:rsidP="00BF13FB">
      <w:pPr>
        <w:spacing w:line="240" w:lineRule="auto"/>
        <w:ind w:leftChars="0" w:left="0" w:rightChars="0" w:right="0"/>
      </w:pPr>
      <w:r>
        <w:t xml:space="preserve">　　</w:t>
      </w:r>
      <w:r w:rsidR="0049577B" w:rsidRPr="00B40DC1">
        <w:t>每提升35歲以上人口之中，男性未婚之比例1個單位之標準差(1個標準單位)，則可降低(reduce)0.934個單位之標準差(標準化迴歸係數值，Beta=-0.934)之當年度重大指標犯罪(重大暴力犯罪)(故意殺人犯罪+重傷犯罪+重大恐嚇取財犯罪+擄人勒贖犯罪+強盜搶奪犯罪+強制性交犯罪)。</w:t>
      </w:r>
    </w:p>
    <w:p w:rsidR="0049577B" w:rsidRPr="00B40DC1" w:rsidRDefault="00614D5B" w:rsidP="00BF13FB">
      <w:pPr>
        <w:spacing w:line="240" w:lineRule="auto"/>
        <w:ind w:leftChars="0" w:left="0" w:rightChars="0" w:right="0"/>
      </w:pPr>
      <w:r>
        <w:t xml:space="preserve">　　</w:t>
      </w:r>
      <w:r w:rsidR="0049577B" w:rsidRPr="00B40DC1">
        <w:t>有可能之機率，係為35歲以上人口之中，男性未婚之身心狀態，有可能會比較穩定。因其為單身，故有可能較無家庭之經濟上重大負擔，無須教養小孩；35歲以上之單身男性，其工作之所得，可全部歸為自己所有，可購買不動產、動產、或進行其他投資，由於經濟上有所依靠，再加上心智更加成熟、穩定，有可能具有較強的自控能力，作一名守法之民眾，而未從事重大犯罪。亦即，其從事重大指標犯罪(重大暴力犯罪)(故意殺人犯罪+重傷犯罪+重大恐嚇取財犯罪+擄人勒贖犯罪+強盜搶奪犯罪+強制性交犯罪)之機率，可能相對較低一些。</w:t>
      </w:r>
    </w:p>
    <w:p w:rsidR="0049577B" w:rsidRPr="00B40DC1" w:rsidRDefault="00614D5B" w:rsidP="00BF13FB">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當年度重大指標犯罪(重大暴力犯罪)(故意殺人犯罪+重傷犯罪+重大恐嚇取財犯罪+擄人勒贖犯罪+強盜搶奪犯罪+強制性交犯罪)。復次，無期徒刑亦無法有效地嚇阻(減少)當年度重大指標犯罪(重大暴力犯罪)(故意殺人犯罪+重傷犯罪+重大恐嚇取財犯罪+擄人勒贖犯罪+強盜搶奪犯罪+強制性交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614D5B">
      <w:pPr>
        <w:pStyle w:val="4"/>
        <w:rPr>
          <w:lang w:eastAsia="zh-TW"/>
        </w:rPr>
      </w:pPr>
      <w:r w:rsidRPr="00B40DC1">
        <w:rPr>
          <w:lang w:eastAsia="zh-TW"/>
        </w:rPr>
        <w:t>表52、影響當年度重大指標犯罪(重大暴力犯罪)</w:t>
      </w:r>
      <w:r w:rsidRPr="004B4ED9">
        <w:rPr>
          <w:rStyle w:val="af7"/>
          <w:rFonts w:eastAsia="新細明體"/>
          <w:sz w:val="20"/>
        </w:rPr>
        <w:footnoteReference w:id="288"/>
      </w:r>
      <w:r w:rsidR="003C1792">
        <w:rPr>
          <w:lang w:eastAsia="zh-TW"/>
        </w:rPr>
        <w:t>(</w:t>
      </w:r>
      <w:r w:rsidRPr="00B40DC1">
        <w:rPr>
          <w:lang w:eastAsia="zh-TW"/>
        </w:rPr>
        <w:t>1992年至2016年)相關因子(原因變項)之多元迴歸分析統計數據結果一覽表(本表係使用逐步回歸法之迴歸分析方式)</w:t>
      </w:r>
      <w:r w:rsidRPr="004B4ED9">
        <w:rPr>
          <w:rStyle w:val="af7"/>
          <w:rFonts w:eastAsia="新細明體"/>
          <w:sz w:val="20"/>
        </w:rPr>
        <w:footnoteReference w:id="289"/>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2031B1">
        <w:trPr>
          <w:tblHeader/>
        </w:trPr>
        <w:tc>
          <w:tcPr>
            <w:tcW w:w="3936"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多元迴歸分析統計數據</w:t>
            </w:r>
          </w:p>
          <w:p w:rsidR="0049577B" w:rsidRPr="00BF13FB" w:rsidRDefault="0049577B" w:rsidP="00151AD5">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w:t>
            </w:r>
          </w:p>
        </w:tc>
        <w:tc>
          <w:tcPr>
            <w:tcW w:w="1994"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X1：失業率(1992-2016年)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X2：結婚對數(1998-2013年)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-0.934</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0.000</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16.325</w:t>
            </w: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X4：離婚率(1998-2013年)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X6：低收入戶之家庭及就學生活補助金額(1998-2013年)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X7：緩刑比率(1998-2013年)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X8：無期徒刑之人數(1998-2013年)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X9：被執行死刑之人數(1992-2016年)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9918" w:type="dxa"/>
            <w:gridSpan w:val="4"/>
            <w:shd w:val="clear" w:color="auto" w:fill="auto"/>
          </w:tcPr>
          <w:p w:rsidR="0049577B" w:rsidRPr="00BF13FB" w:rsidRDefault="0049577B" w:rsidP="00151AD5">
            <w:pPr>
              <w:spacing w:line="240" w:lineRule="auto"/>
              <w:ind w:leftChars="0" w:left="0" w:rightChars="0" w:right="0"/>
              <w:rPr>
                <w:sz w:val="24"/>
              </w:rPr>
            </w:pPr>
            <w:r w:rsidRPr="00BF13FB">
              <w:rPr>
                <w:sz w:val="24"/>
              </w:rPr>
              <w:t>多元迴歸分析模型整體之R平方解釋量：0.862</w:t>
            </w:r>
          </w:p>
        </w:tc>
      </w:tr>
    </w:tbl>
    <w:p w:rsidR="0049577B" w:rsidRPr="00B40DC1" w:rsidRDefault="00817A92" w:rsidP="00151AD5">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D26BB"/>
    <w:p w:rsidR="0049577B" w:rsidRPr="00B40DC1" w:rsidRDefault="00151AD5" w:rsidP="002031B1">
      <w:pPr>
        <w:spacing w:line="240" w:lineRule="auto"/>
        <w:ind w:leftChars="0" w:left="0" w:rightChars="0" w:right="0"/>
      </w:pPr>
      <w:r>
        <w:t xml:space="preserve">　　</w:t>
      </w:r>
      <w:r w:rsidR="0049577B" w:rsidRPr="00B40DC1">
        <w:t>由下表---影響當年度重大指標犯罪(重大暴力犯罪)(1992年至2016年)相關因子(原因變項)之多元迴歸分析統計數據結果一覽表(本表係使用向前進入法之迴歸分析方式)之統計資料可得知，依變項為當年度重大指標犯罪(重大暴力犯罪)(故意殺人犯罪+重傷犯罪+重大恐嚇取財犯罪+擄人勒贖犯罪+強盜搶奪犯罪+強制性交犯罪)，在實際進行SPSS軟體之分析時，共計投入以下之自變項進行多元迴歸分析：X3：35歲以上人口之中，男性未婚之比例</w:t>
      </w:r>
      <w:r w:rsidR="003C1792">
        <w:t>(</w:t>
      </w:r>
      <w:r w:rsidR="0049577B" w:rsidRPr="00B40DC1">
        <w:t>1998-2013年)、X5：GNI(平均每人國民所得毛額，以美元為單位)</w:t>
      </w:r>
      <w:r w:rsidR="003C1792">
        <w:t>(</w:t>
      </w:r>
      <w:r w:rsidR="0049577B" w:rsidRPr="00B40DC1">
        <w:t>1992-2016年)、X6：低收入戶之家庭及就學生活補助金額(1998-2013年)、X7：緩刑比率(1998-2013年)、X8：無期徒刑之人數(1998-2013年)、X10：當年度之全般刑案破獲率(1992-2016年)。</w:t>
      </w:r>
    </w:p>
    <w:p w:rsidR="0049577B" w:rsidRPr="00B40DC1" w:rsidRDefault="00151AD5" w:rsidP="002031B1">
      <w:pPr>
        <w:spacing w:line="240" w:lineRule="auto"/>
        <w:ind w:leftChars="0" w:left="0" w:rightChars="0" w:right="0"/>
      </w:pPr>
      <w:r>
        <w:t xml:space="preserve">　　</w:t>
      </w:r>
      <w:r w:rsidR="0049577B" w:rsidRPr="00B40DC1">
        <w:t>經過多元迴歸分析統計結果，X6：低收入戶之家庭及就學生活補助金額(1998-2013年)、X7：緩刑比率(1998-2013年)、X8：無期徒刑之人數(1998-2013年)、X10：當年度之全般刑案破獲率(1992-2016年)等自變項，其條件指標均高於30，故全部均被刪除之，僅剩下X3：35歲以上人口之中，男性未婚之比例</w:t>
      </w:r>
      <w:r w:rsidR="003C1792">
        <w:t>(</w:t>
      </w:r>
      <w:r w:rsidR="0049577B" w:rsidRPr="00B40DC1">
        <w:t>1998-2013年)與X5：GNI(平均每人國民所得毛額，以美元為單位)</w:t>
      </w:r>
      <w:r w:rsidR="003C1792">
        <w:t>(</w:t>
      </w:r>
      <w:r w:rsidR="0049577B" w:rsidRPr="00B40DC1">
        <w:t>1992-2016年)等2個自變項。不過，X3：35歲以上人口之中，男性未婚之比例</w:t>
      </w:r>
      <w:r w:rsidR="003C1792">
        <w:t>(</w:t>
      </w:r>
      <w:r w:rsidR="0049577B" w:rsidRPr="00B40DC1">
        <w:t>1998-2013年)與X5：GNI(平均每人國民所得毛額，以美元為單位)</w:t>
      </w:r>
      <w:r w:rsidR="003C1792">
        <w:t>(</w:t>
      </w:r>
      <w:r w:rsidR="0049577B" w:rsidRPr="00B40DC1">
        <w:t>1992-2016年)等2個自變項相互之間，仍存有高度共線問題，尤其是X5：GNI(平均每人國民所得毛額，以美元為單位)</w:t>
      </w:r>
      <w:r w:rsidR="003C1792">
        <w:t>(</w:t>
      </w:r>
      <w:r w:rsidR="0049577B" w:rsidRPr="00B40DC1">
        <w:t>1992-2016年)之自變項，其條件指標已高於30，故再刪除之，僅剩下X3：35歲以上人口之中，男性未婚之比例</w:t>
      </w:r>
      <w:r w:rsidR="003C1792">
        <w:t>(</w:t>
      </w:r>
      <w:r w:rsidR="0049577B" w:rsidRPr="00B40DC1">
        <w:t>1998-2013年)。而X3：35歲以上人口之中，男性未婚之比例</w:t>
      </w:r>
      <w:r w:rsidR="003C1792">
        <w:t>(</w:t>
      </w:r>
      <w:r w:rsidR="0049577B" w:rsidRPr="00B40DC1">
        <w:t>1998-2013年)之條件指標，則未高於30，是以，僅投入X3：35歲以上人口之中，男性未婚之比例之自變項，進行多元迴歸分析。</w:t>
      </w:r>
    </w:p>
    <w:p w:rsidR="0049577B" w:rsidRPr="00B40DC1" w:rsidRDefault="00151AD5" w:rsidP="002031B1">
      <w:pPr>
        <w:spacing w:line="240" w:lineRule="auto"/>
        <w:ind w:leftChars="0" w:left="0" w:rightChars="0" w:right="0"/>
      </w:pPr>
      <w:r>
        <w:t xml:space="preserve">　　</w:t>
      </w:r>
      <w:r w:rsidR="0049577B" w:rsidRPr="00B40DC1">
        <w:t>每提升35歲以上人口之中，男性未婚之比例1個單位之標準差(1個標準單位)，則可降低(reduce)0.934個單位之標準差(標準化迴歸係數值，Beta=-0.934)之當年度重大指標犯罪(重大暴力犯罪)(故意殺人犯罪+重傷犯罪+重大恐嚇取財犯罪+擄人勒贖犯罪+強盜搶奪犯罪+強制性交犯罪)。</w:t>
      </w:r>
    </w:p>
    <w:p w:rsidR="0049577B" w:rsidRPr="00B40DC1" w:rsidRDefault="00151AD5" w:rsidP="002031B1">
      <w:pPr>
        <w:spacing w:line="240" w:lineRule="auto"/>
        <w:ind w:leftChars="0" w:left="0" w:rightChars="0" w:right="0"/>
      </w:pPr>
      <w:r>
        <w:t xml:space="preserve">　　</w:t>
      </w:r>
      <w:r w:rsidR="0049577B" w:rsidRPr="00B40DC1">
        <w:t>有可能之機率，係為35歲以上人口之中，男性未婚之身心狀態，有可能會比較穩定。因其為單身，故有可能較無家庭之經濟上重大負擔，無須教養小孩；35歲以上之單身男性，其工作之所得，可全部歸為自己所有，可購買不動產、動產、或進行其他投資，由於經濟上有所依靠，再加上心智更加成熟、穩定，有可能具有較強的自控能力，作一名守法之民眾，而未從事重大犯罪(故意殺人犯罪+重傷犯罪+重大恐嚇取財犯罪+擄人勒贖犯罪+強盜搶奪犯罪+強制性交犯罪)。亦即，其從事重大指標犯罪(重大暴力犯罪)(故意殺人犯罪+重傷犯罪+重大恐嚇取財犯罪+擄人勒贖犯罪+強盜搶奪犯罪+強制性交犯罪)之機率，可能相對較低一些。</w:t>
      </w:r>
    </w:p>
    <w:p w:rsidR="0049577B" w:rsidRPr="00B40DC1" w:rsidRDefault="00151AD5" w:rsidP="002031B1">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重大指標犯罪(重大暴力犯罪)(故意殺人犯罪+重傷犯罪+重大恐嚇取財犯罪+擄人勒贖犯罪+強盜搶奪犯罪+強制性交犯罪)。復次，無期徒刑亦無法有效地嚇阻(減少)當年度重大指標犯罪(重大暴力犯罪)(故意殺人犯罪+重傷犯罪+重大恐嚇取財犯罪+擄人勒贖犯罪+強盜搶奪犯罪+強制性交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151AD5">
      <w:pPr>
        <w:pStyle w:val="4"/>
        <w:rPr>
          <w:lang w:eastAsia="zh-TW"/>
        </w:rPr>
      </w:pPr>
      <w:r w:rsidRPr="00B40DC1">
        <w:rPr>
          <w:lang w:eastAsia="zh-TW"/>
        </w:rPr>
        <w:t>表53、影響當年度重大指標犯罪(重大暴力犯罪)</w:t>
      </w:r>
      <w:r w:rsidRPr="004B4ED9">
        <w:rPr>
          <w:rStyle w:val="af7"/>
          <w:rFonts w:eastAsia="新細明體"/>
          <w:sz w:val="20"/>
        </w:rPr>
        <w:footnoteReference w:id="290"/>
      </w:r>
      <w:r w:rsidRPr="00B40DC1">
        <w:rPr>
          <w:lang w:eastAsia="zh-TW"/>
        </w:rPr>
        <w:t>(1992年至2016年)相關因子(原因變項)之多元迴歸分析統計數據結果一覽表(本表係使用向前進入法之迴歸分析方式)</w:t>
      </w:r>
      <w:r w:rsidRPr="004B4ED9">
        <w:rPr>
          <w:rStyle w:val="af7"/>
          <w:rFonts w:eastAsia="新細明體"/>
          <w:sz w:val="20"/>
        </w:rPr>
        <w:footnoteReference w:id="291"/>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151AD5">
        <w:trPr>
          <w:tblHeader/>
        </w:trPr>
        <w:tc>
          <w:tcPr>
            <w:tcW w:w="3936"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多元迴歸分析統計數據</w:t>
            </w:r>
          </w:p>
          <w:p w:rsidR="0049577B" w:rsidRPr="00BF13FB" w:rsidRDefault="0049577B" w:rsidP="00151AD5">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w:t>
            </w:r>
          </w:p>
        </w:tc>
        <w:tc>
          <w:tcPr>
            <w:tcW w:w="1994"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EFFDFF"/>
            <w:vAlign w:val="center"/>
          </w:tcPr>
          <w:p w:rsidR="0049577B" w:rsidRPr="00BF13FB" w:rsidRDefault="0049577B" w:rsidP="00151AD5">
            <w:pPr>
              <w:spacing w:line="240" w:lineRule="auto"/>
              <w:ind w:leftChars="0" w:left="0" w:rightChars="0" w:right="0"/>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X1：失業率(1992-2016年)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X2：結婚對數(1998-2013年)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-0.934</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0.000</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16.325</w:t>
            </w: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X4：離婚率(1998-2013年)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X6：低收入戶之家庭及就學生活補助金額(1998-2013年)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X7：緩刑比率(1998-2013年)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X8：無期徒刑之人數(1998-2013年)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X9：被執行死刑之人數(1992-2016年)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9918" w:type="dxa"/>
            <w:gridSpan w:val="4"/>
            <w:shd w:val="clear" w:color="auto" w:fill="auto"/>
          </w:tcPr>
          <w:p w:rsidR="0049577B" w:rsidRPr="00BF13FB" w:rsidRDefault="0049577B" w:rsidP="00151AD5">
            <w:pPr>
              <w:spacing w:line="240" w:lineRule="auto"/>
              <w:ind w:leftChars="0" w:left="0" w:rightChars="0" w:right="0"/>
              <w:rPr>
                <w:sz w:val="24"/>
              </w:rPr>
            </w:pPr>
            <w:r w:rsidRPr="00BF13FB">
              <w:rPr>
                <w:sz w:val="24"/>
              </w:rPr>
              <w:t>多元迴歸分析模型整體之R平方解釋量：0.862</w:t>
            </w:r>
          </w:p>
        </w:tc>
      </w:tr>
    </w:tbl>
    <w:p w:rsidR="0049577B" w:rsidRPr="00B40DC1" w:rsidRDefault="00817A92" w:rsidP="00151AD5">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D26BB"/>
    <w:p w:rsidR="00151AD5" w:rsidRDefault="00151AD5" w:rsidP="00151AD5">
      <w:pPr>
        <w:spacing w:line="240" w:lineRule="auto"/>
        <w:ind w:leftChars="0" w:left="0" w:rightChars="0" w:right="0"/>
      </w:pPr>
      <w:r w:rsidRPr="00151AD5">
        <w:t xml:space="preserve">　　</w:t>
      </w:r>
      <w:r w:rsidR="0049577B" w:rsidRPr="00151AD5">
        <w:t>由下表---影響當年度重大指標犯罪(重大暴力犯罪)</w:t>
      </w:r>
      <w:r w:rsidR="0049577B" w:rsidRPr="002031B1">
        <w:rPr>
          <w:rFonts w:ascii="Arial Unicode MS" w:eastAsia="新細明體" w:hAnsi="Arial Unicode MS"/>
          <w:color w:val="FF6600"/>
          <w:sz w:val="20"/>
        </w:rPr>
        <w:footnoteReference w:id="292"/>
      </w:r>
      <w:r w:rsidR="0049577B" w:rsidRPr="00151AD5">
        <w:t>(1992年至2016年)相關</w:t>
      </w:r>
      <w:r w:rsidR="0049577B" w:rsidRPr="00B40DC1">
        <w:t>因子(原因變項)之多元迴歸分析統計數據結果一覽表(本表係使用向後進入法之迴歸分析方式)之統計資料可得知，依變項為當年度重大指標犯罪(重大暴力犯罪)(故意殺人犯罪+重傷犯罪+重大恐嚇取財犯罪+擄人勒贖犯罪+強盜搶奪犯罪+強制性交犯罪)，在實際進行SPSS軟體之分析時，共計投入以下之自變項進行多元迴歸分析：X3：35歲以上人口之中，男性未婚之比例</w:t>
      </w:r>
      <w:r w:rsidR="003C1792">
        <w:t>(</w:t>
      </w:r>
      <w:r w:rsidR="0049577B" w:rsidRPr="00B40DC1">
        <w:t>1998-2013年)、X5：GNI(平均每人國民所得毛額，以美元為單位)</w:t>
      </w:r>
      <w:r w:rsidR="003C1792">
        <w:t>(</w:t>
      </w:r>
      <w:r w:rsidR="0049577B" w:rsidRPr="00B40DC1">
        <w:t>1992-2016年)、X6：低收入戶之家庭及就學生活補助金額(1998-2013年)、X7：緩刑比率(1998-2013年)、X8：無期徒刑之人數(1998-2013年)、X10：當年度之全般刑案破獲率(1992-2016年)。</w:t>
      </w:r>
    </w:p>
    <w:p w:rsidR="0049577B" w:rsidRPr="00B40DC1" w:rsidRDefault="00151AD5" w:rsidP="00151AD5">
      <w:pPr>
        <w:spacing w:line="240" w:lineRule="auto"/>
        <w:ind w:leftChars="0" w:left="0" w:rightChars="0" w:right="0"/>
      </w:pPr>
      <w:r>
        <w:t xml:space="preserve">　　</w:t>
      </w:r>
      <w:r w:rsidR="0049577B" w:rsidRPr="00B40DC1">
        <w:t>經過多元迴歸分析統計結果，X6：低收入戶之家庭及就學生活補助金額(1998-2013年)、X7：緩刑比率(1998-2013年)、X8：無期徒刑之人數(1998-2013年)、X10：當年度之全般刑案破獲率(1992-2016年)等自變項，其條件指標均高於30，故全部均被刪除之，僅剩下X3：35歲以上人口之中，男性未婚之比例</w:t>
      </w:r>
      <w:r w:rsidR="003C1792">
        <w:t>(</w:t>
      </w:r>
      <w:r w:rsidR="0049577B" w:rsidRPr="00B40DC1">
        <w:t>1998-2013年)與X5：GNI(平均每人國民所得毛額，以美元為單位)</w:t>
      </w:r>
      <w:r w:rsidR="003C1792">
        <w:t>(</w:t>
      </w:r>
      <w:r w:rsidR="0049577B" w:rsidRPr="00B40DC1">
        <w:t>1992-2016年)等2個自變項。不過，X3：35歲以上人口之中，男性未婚之比例</w:t>
      </w:r>
      <w:r w:rsidR="003C1792">
        <w:t>(</w:t>
      </w:r>
      <w:r w:rsidR="0049577B" w:rsidRPr="00B40DC1">
        <w:t>1998-2013年)與X5：GNI(平均每人國民所得毛額，以美元為單位)</w:t>
      </w:r>
      <w:r w:rsidR="003C1792">
        <w:t>(</w:t>
      </w:r>
      <w:r w:rsidR="0049577B" w:rsidRPr="00B40DC1">
        <w:t>1992-2016年)等2個自變項相互之間，仍存有高度共線問題，尤其是X5：GNI(平均每人國民所得毛額，以美元為單位)</w:t>
      </w:r>
      <w:r w:rsidR="003C1792">
        <w:t>(</w:t>
      </w:r>
      <w:r w:rsidR="0049577B" w:rsidRPr="00B40DC1">
        <w:t>1992-2016年)之自變項，其條件指標已高於30，故再刪除之，僅剩下X3：35歲以上人口之中，男性未婚之比例</w:t>
      </w:r>
      <w:r w:rsidR="003C1792">
        <w:t>(</w:t>
      </w:r>
      <w:r w:rsidR="0049577B" w:rsidRPr="00B40DC1">
        <w:t>1998-2013年)。而X3：35歲以上人口之中，男性未婚之比例</w:t>
      </w:r>
      <w:r w:rsidR="003C1792">
        <w:t>(</w:t>
      </w:r>
      <w:r w:rsidR="0049577B" w:rsidRPr="00B40DC1">
        <w:t>1998-2013年)之條件指標，則未高於30，是以，僅投入X3：35歲以上人口之中，男性未婚之比例之自變項，進行多元迴歸分析。</w:t>
      </w:r>
    </w:p>
    <w:p w:rsidR="0049577B" w:rsidRPr="00B40DC1" w:rsidRDefault="00151AD5" w:rsidP="00151AD5">
      <w:pPr>
        <w:spacing w:line="240" w:lineRule="auto"/>
        <w:ind w:leftChars="0" w:left="0" w:rightChars="0" w:right="0"/>
      </w:pPr>
      <w:r>
        <w:t xml:space="preserve">　　</w:t>
      </w:r>
      <w:r w:rsidR="0049577B" w:rsidRPr="00B40DC1">
        <w:t>每提升35歲以上人口之中，男性未婚之比例1個單位之標準差(1個標準單位)，則可降低(reduce)0.934個單位之標準差(標準化迴歸係數值，Beta=-0.934)之當年度重大指標犯罪(重大暴力犯罪)(故意殺人犯罪+重傷犯罪+重大恐嚇取財犯罪+擄人勒贖犯罪+強盜搶奪犯罪+強制性交犯罪)。</w:t>
      </w:r>
    </w:p>
    <w:p w:rsidR="0049577B" w:rsidRPr="00B40DC1" w:rsidRDefault="00151AD5" w:rsidP="00151AD5">
      <w:pPr>
        <w:spacing w:line="240" w:lineRule="auto"/>
        <w:ind w:leftChars="0" w:left="0" w:rightChars="0" w:right="0"/>
      </w:pPr>
      <w:r>
        <w:t xml:space="preserve">　　</w:t>
      </w:r>
      <w:r w:rsidR="0049577B" w:rsidRPr="00B40DC1">
        <w:t>有可能之機率，係為35歲以上人口之中，男性未婚之身心狀態，有可能會比較穩定。因其為單身，故有可能較無家庭之經濟上重大負擔，無須教養小孩；35歲以上之單身男性，其工作之所得，可全部歸為自己所有，可購買不動產、動產、或進行其他投資，由於經濟上有所依靠，再加上心智有可能更加成熟、穩定，有可能具有較強的自控能力，作一名守法之民眾，而未從事重大犯罪(故意殺人犯罪+重傷犯罪+重大恐嚇取財犯罪+擄人勒贖犯罪+強盜搶奪犯罪+強制性交犯罪)。亦即，其從事重大指標犯罪(重大暴力犯罪)(故意殺人犯罪+重傷犯罪+重大恐嚇取財犯罪+擄人勒贖犯罪+強盜搶奪犯罪+強制性交犯罪)之機率，可能相對較低一些。</w:t>
      </w:r>
    </w:p>
    <w:p w:rsidR="0049577B" w:rsidRPr="00B40DC1" w:rsidRDefault="00151AD5" w:rsidP="00151AD5">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當年度重大指標犯罪(重大暴力犯罪)(故意殺人犯罪+重傷犯罪+重大恐嚇取財犯罪+擄人勒贖犯罪+強盜搶奪犯罪+強制性交犯罪)。復次，無期徒刑亦無法有效地嚇阻(減少)當年度重大指標犯罪(重大暴力犯罪)(故意殺人犯罪+重傷犯罪+重大恐嚇取財犯罪+擄人勒贖犯罪+強盜搶奪犯罪+強制性交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151AD5">
      <w:pPr>
        <w:pStyle w:val="4"/>
        <w:rPr>
          <w:lang w:eastAsia="zh-TW"/>
        </w:rPr>
      </w:pPr>
      <w:r w:rsidRPr="00B40DC1">
        <w:rPr>
          <w:lang w:eastAsia="zh-TW"/>
        </w:rPr>
        <w:t>表54、影響當年度重大指標犯罪(重大暴力犯罪)</w:t>
      </w:r>
      <w:r w:rsidRPr="004B4ED9">
        <w:rPr>
          <w:rStyle w:val="af7"/>
          <w:rFonts w:eastAsia="新細明體"/>
          <w:sz w:val="20"/>
        </w:rPr>
        <w:footnoteReference w:id="293"/>
      </w:r>
      <w:r w:rsidRPr="00B40DC1">
        <w:rPr>
          <w:lang w:eastAsia="zh-TW"/>
        </w:rPr>
        <w:t>(1992年至2016年)相關因子(原因變項)之多元迴歸分析統計數據結果一覽表(本表係使用向後進入法之迴歸分析方式)</w:t>
      </w:r>
      <w:r w:rsidRPr="004B4ED9">
        <w:rPr>
          <w:rStyle w:val="af7"/>
          <w:rFonts w:eastAsia="新細明體"/>
          <w:sz w:val="20"/>
        </w:rPr>
        <w:footnoteReference w:id="29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2031B1">
        <w:trPr>
          <w:tblHeader/>
        </w:trPr>
        <w:tc>
          <w:tcPr>
            <w:tcW w:w="3936"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多元迴歸分析統計數據</w:t>
            </w:r>
          </w:p>
          <w:p w:rsidR="0049577B" w:rsidRPr="00BF13FB" w:rsidRDefault="0049577B" w:rsidP="00151AD5">
            <w:pPr>
              <w:spacing w:line="240" w:lineRule="auto"/>
              <w:ind w:leftChars="0" w:left="0" w:rightChars="0" w:right="0"/>
              <w:jc w:val="center"/>
              <w:rPr>
                <w:sz w:val="24"/>
              </w:rPr>
            </w:pPr>
            <w:r w:rsidRPr="00BF13FB">
              <w:rPr>
                <w:sz w:val="24"/>
              </w:rPr>
              <w:t>自變項(解釋因子，independent variable)之名稱</w:t>
            </w:r>
          </w:p>
        </w:tc>
        <w:tc>
          <w:tcPr>
            <w:tcW w:w="1946"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w:t>
            </w:r>
          </w:p>
        </w:tc>
        <w:tc>
          <w:tcPr>
            <w:tcW w:w="1947"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標準化迴歸係數值(Beta)之顯著度(水準)</w:t>
            </w:r>
          </w:p>
        </w:tc>
        <w:tc>
          <w:tcPr>
            <w:tcW w:w="1947"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X1：失業率(1992-2016年)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X2：結婚對數(1998-2013年)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46"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-0.934</w:t>
            </w:r>
          </w:p>
        </w:tc>
        <w:tc>
          <w:tcPr>
            <w:tcW w:w="1947"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0.000</w:t>
            </w:r>
          </w:p>
        </w:tc>
        <w:tc>
          <w:tcPr>
            <w:tcW w:w="1947"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16.325</w:t>
            </w: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X4：離婚率(1998-2013年)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X6：低收入戶之家庭及就學生活補助金額(1998-2013年)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X7：緩刑比率(1998-2013年)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X8：無期徒刑之人數(1998-2013年)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X9：被執行死刑之人數(1992-2016年)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2031B1">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X10：當年度之全般刑案破獲率(1992-2016年)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9776" w:type="dxa"/>
            <w:gridSpan w:val="4"/>
            <w:shd w:val="clear" w:color="auto" w:fill="auto"/>
          </w:tcPr>
          <w:p w:rsidR="0049577B" w:rsidRPr="00BF13FB" w:rsidRDefault="0049577B" w:rsidP="00151AD5">
            <w:pPr>
              <w:spacing w:line="240" w:lineRule="auto"/>
              <w:ind w:leftChars="0" w:left="0" w:rightChars="0" w:right="0"/>
              <w:rPr>
                <w:sz w:val="24"/>
              </w:rPr>
            </w:pPr>
            <w:r w:rsidRPr="00BF13FB">
              <w:rPr>
                <w:sz w:val="24"/>
              </w:rPr>
              <w:t>多元迴歸分析模型整體之R平方解釋量：0.862</w:t>
            </w:r>
          </w:p>
        </w:tc>
      </w:tr>
    </w:tbl>
    <w:p w:rsidR="0049577B" w:rsidRPr="00B40DC1" w:rsidRDefault="00817A92" w:rsidP="00151AD5">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D26BB"/>
    <w:p w:rsidR="0049577B" w:rsidRPr="00B40DC1" w:rsidRDefault="00151AD5" w:rsidP="002031B1">
      <w:pPr>
        <w:spacing w:line="240" w:lineRule="auto"/>
        <w:ind w:leftChars="0" w:left="0" w:rightChars="0" w:right="0"/>
      </w:pPr>
      <w:r>
        <w:t xml:space="preserve">　　</w:t>
      </w:r>
      <w:r w:rsidR="0049577B" w:rsidRPr="00B40DC1">
        <w:t>在執行下表---影響當年度重大指標犯罪(重大暴力犯罪)</w:t>
      </w:r>
      <w:r w:rsidR="0049577B" w:rsidRPr="004B4ED9">
        <w:rPr>
          <w:rStyle w:val="af7"/>
          <w:rFonts w:eastAsia="新細明體"/>
          <w:sz w:val="20"/>
        </w:rPr>
        <w:footnoteReference w:id="295"/>
      </w:r>
      <w:r w:rsidR="0049577B" w:rsidRPr="00B40DC1">
        <w:t>(1992年至2016年)相關因子(原因變項)之多元迴歸分析統計數據結果一覽表(本表係使用移除法之迴歸分析方式)時，於本案之中，由於移除法(REMOVE)它是一個無效的迴歸方式(REGRESSION METHOD)，故移除法(REMOVE)無法用為建立多元迴歸方程式時的第一個方法。SPSS多元迴歸(REGRESSION)軟體會自動地插入強迫進入法(ENTER)做為第一個方法，而移除法(REMOVE)就成為第2個次順序之方法(REMOVE</w:t>
      </w:r>
      <w:r w:rsidR="00185C4E">
        <w:t xml:space="preserve"> </w:t>
      </w:r>
      <w:r w:rsidR="0049577B" w:rsidRPr="00B40DC1">
        <w:t>is now the second method)。</w:t>
      </w:r>
    </w:p>
    <w:p w:rsidR="0049577B" w:rsidRPr="00B40DC1" w:rsidRDefault="00151AD5" w:rsidP="002031B1">
      <w:pPr>
        <w:spacing w:line="240" w:lineRule="auto"/>
        <w:ind w:leftChars="0" w:left="0" w:rightChars="0" w:right="0"/>
      </w:pPr>
      <w:r>
        <w:t xml:space="preserve">　　</w:t>
      </w:r>
      <w:r w:rsidR="0049577B" w:rsidRPr="00B40DC1">
        <w:t>由下表---影響當年度重大指標犯罪(重大暴力犯罪)</w:t>
      </w:r>
      <w:r w:rsidR="0049577B" w:rsidRPr="004B4ED9">
        <w:rPr>
          <w:rStyle w:val="af7"/>
          <w:rFonts w:eastAsia="新細明體"/>
          <w:sz w:val="20"/>
        </w:rPr>
        <w:footnoteReference w:id="296"/>
      </w:r>
      <w:r w:rsidR="0049577B" w:rsidRPr="00B40DC1">
        <w:t>(1992年至2016年)相關因子(原因變項)之多元迴歸分析統計數據結果一覽表(本表係使用移除法之迴歸分析方式)之統計資料可得知，依變項為當年度重大指標犯罪(重大暴力犯罪)(故意殺人犯罪+重傷犯罪+重大恐嚇取財犯罪+擄人勒贖犯罪+強盜搶奪犯罪+強制性交犯罪)，在實際進行SPSS軟體之分析時，共計投入以下之自變項進行多元迴歸分析：X3：35歲以上人口之中，男性未婚之比例</w:t>
      </w:r>
      <w:r w:rsidR="003C1792">
        <w:t>(</w:t>
      </w:r>
      <w:r w:rsidR="0049577B" w:rsidRPr="00B40DC1">
        <w:t>1998-2013年)、X5：GNI(平均每人國民所得毛額，以美元為單位)</w:t>
      </w:r>
      <w:r w:rsidR="003C1792">
        <w:t>(</w:t>
      </w:r>
      <w:r w:rsidR="0049577B" w:rsidRPr="00B40DC1">
        <w:t>1992-2016年)、X6：低收入戶之家庭及就學生活補助金額(1998-2013年)、X7：緩刑比率(1998-2013年)、X8：無期徒刑之人數(1998-2013年)、X10：當年度之全般刑案破獲率(1992-2016年)。</w:t>
      </w:r>
    </w:p>
    <w:p w:rsidR="0049577B" w:rsidRPr="00B40DC1" w:rsidRDefault="00151AD5" w:rsidP="002031B1">
      <w:pPr>
        <w:spacing w:line="240" w:lineRule="auto"/>
        <w:ind w:leftChars="0" w:left="0" w:rightChars="0" w:right="0"/>
      </w:pPr>
      <w:r>
        <w:t xml:space="preserve">　　</w:t>
      </w:r>
      <w:r w:rsidR="0049577B" w:rsidRPr="00B40DC1">
        <w:t>經過多元迴歸分析統計結果，X6：低收入戶之家庭及就學生活補助金額(1998-2013年)、X7：緩刑比率(1998-2013年)、X8：無期徒刑之人數(1998-2013年)、X10：當年度之全般刑案破獲率(1992-2016年)等自變項，其條件指標均高於30，故全部均被刪除之，僅剩下X3：35歲以上人口之中，男性未婚之比例</w:t>
      </w:r>
      <w:r w:rsidR="003C1792">
        <w:t>(</w:t>
      </w:r>
      <w:r w:rsidR="0049577B" w:rsidRPr="00B40DC1">
        <w:t>1998-2013年)與X5：GNI(平均每人國民所得毛額，以美元為單位)</w:t>
      </w:r>
      <w:r w:rsidR="003C1792">
        <w:t>(</w:t>
      </w:r>
      <w:r w:rsidR="0049577B" w:rsidRPr="00B40DC1">
        <w:t>1992-2016年)等2個自變項。不過，X3：35歲以上人口之中，男性未婚之比例</w:t>
      </w:r>
      <w:r w:rsidR="003C1792">
        <w:t>(</w:t>
      </w:r>
      <w:r w:rsidR="0049577B" w:rsidRPr="00B40DC1">
        <w:t>1998-2013年)與X5：GNI(平均每人國民所得毛額，以美元為單位)</w:t>
      </w:r>
      <w:r w:rsidR="003C1792">
        <w:t>(</w:t>
      </w:r>
      <w:r w:rsidR="0049577B" w:rsidRPr="00B40DC1">
        <w:t>1992-2016年)等2個自變項相互之間，仍存有高度共線問題，尤其是X5：GNI(平均每人國民所得毛額，以美元為單位)</w:t>
      </w:r>
      <w:r w:rsidR="003C1792">
        <w:t>(</w:t>
      </w:r>
      <w:r w:rsidR="0049577B" w:rsidRPr="00B40DC1">
        <w:t>1992-2016年)之自變項，其條件指標已高於30，故再刪除之，僅剩下X3：35歲以上人口之中，男性未婚之比例</w:t>
      </w:r>
      <w:r w:rsidR="003C1792">
        <w:t>(</w:t>
      </w:r>
      <w:r w:rsidR="0049577B" w:rsidRPr="00B40DC1">
        <w:t>1998-2013年)。而X3：35歲以上人口之中，男性未婚之比例</w:t>
      </w:r>
      <w:r w:rsidR="003C1792">
        <w:t>(</w:t>
      </w:r>
      <w:r w:rsidR="0049577B" w:rsidRPr="00B40DC1">
        <w:t>1998-2013年)之條件指標，則未高於30，是以，僅投入X3：35歲以上人口之中，男性未婚之比例之自變項，進行多元迴歸分析。</w:t>
      </w:r>
    </w:p>
    <w:p w:rsidR="0049577B" w:rsidRPr="00B40DC1" w:rsidRDefault="00151AD5" w:rsidP="002031B1">
      <w:pPr>
        <w:spacing w:line="240" w:lineRule="auto"/>
        <w:ind w:leftChars="0" w:left="0" w:rightChars="0" w:right="0"/>
      </w:pPr>
      <w:r>
        <w:t xml:space="preserve">　　</w:t>
      </w:r>
      <w:r w:rsidR="0049577B" w:rsidRPr="00B40DC1">
        <w:t>每提升35歲以上人口之中，男性未婚之比例1個單位之標準差(1個標準單位)，則可降低(reduce)0.934個單位之標準差(標準化迴歸係數值，Beta=-0.934)之當年度重大指標犯罪(重大暴力犯罪)(故意殺人犯罪+重傷犯罪+重大恐嚇取財犯罪+擄人勒贖犯罪+強盜搶奪犯罪+強制性交犯罪)。</w:t>
      </w:r>
    </w:p>
    <w:p w:rsidR="0049577B" w:rsidRPr="00B40DC1" w:rsidRDefault="00151AD5" w:rsidP="002031B1">
      <w:pPr>
        <w:spacing w:line="240" w:lineRule="auto"/>
        <w:ind w:leftChars="0" w:left="0" w:rightChars="0" w:right="0"/>
      </w:pPr>
      <w:r>
        <w:t xml:space="preserve">　　</w:t>
      </w:r>
      <w:r w:rsidR="0049577B" w:rsidRPr="00B40DC1">
        <w:t>有可能之機率，係為35歲以上人口之中，男性未婚之身心狀態，有可能會比較穩定。因其為單身，故有可能較無家庭之經濟上重大負擔，無須教養小孩；35歲以上之單身男性，其工作之所得，可全部歸為自己所有，可購買不動產、動產、或進行其他投資，由於經濟上有所依靠，再加上心智有可能更加成熟、穩定，有可能具有較強的自控能力，作一名守法之民眾，而未從事重大犯罪(故意殺人犯罪+重傷犯罪+重大恐嚇取財犯罪+擄人勒贖犯罪+強盜搶奪犯罪+強制性交犯罪)。亦即，其從事重大指標犯罪(重大暴力犯罪)(故意殺人犯罪+重傷犯罪+重大恐嚇取財犯罪+擄人勒贖犯罪+強盜搶奪犯罪+強制性交犯罪)之機率，可能相對較低一些。</w:t>
      </w:r>
    </w:p>
    <w:p w:rsidR="0049577B" w:rsidRPr="00B40DC1" w:rsidRDefault="00151AD5" w:rsidP="002031B1">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當年度重大指標犯罪(重大暴力犯罪)(故意殺人犯罪+重傷犯罪+重大恐嚇取財犯罪+擄人勒贖犯罪+強盜搶奪犯罪+強制性交犯罪)。復次，無期徒刑亦無法有效地嚇阻(減少)當年度重大指標犯罪(重大暴力犯罪)(故意殺人犯罪+重傷犯罪+重大恐嚇取財犯罪+擄人勒贖犯罪+強盜搶奪犯罪+強制性交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151AD5">
      <w:pPr>
        <w:pStyle w:val="4"/>
        <w:rPr>
          <w:lang w:eastAsia="zh-TW"/>
        </w:rPr>
      </w:pPr>
      <w:r w:rsidRPr="00B40DC1">
        <w:rPr>
          <w:lang w:eastAsia="zh-TW"/>
        </w:rPr>
        <w:t>表55、影響當年度重大指標犯罪(重大暴力犯罪)</w:t>
      </w:r>
      <w:r w:rsidRPr="004B4ED9">
        <w:rPr>
          <w:rStyle w:val="af7"/>
          <w:rFonts w:eastAsia="新細明體"/>
          <w:sz w:val="20"/>
        </w:rPr>
        <w:footnoteReference w:id="297"/>
      </w:r>
      <w:r w:rsidRPr="00B40DC1">
        <w:rPr>
          <w:lang w:eastAsia="zh-TW"/>
        </w:rPr>
        <w:t>(1992年至2016年)相關因子(原因變項)之多元迴歸分析統計數據結果一覽表(本表係使用移除法之迴歸分析方式)</w:t>
      </w:r>
      <w:r w:rsidRPr="004B4ED9">
        <w:rPr>
          <w:rStyle w:val="af7"/>
          <w:rFonts w:eastAsia="新細明體"/>
          <w:sz w:val="20"/>
        </w:rPr>
        <w:footnoteReference w:id="298"/>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151AD5">
        <w:trPr>
          <w:tblHeader/>
        </w:trPr>
        <w:tc>
          <w:tcPr>
            <w:tcW w:w="3936"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多元迴歸分析統計數據</w:t>
            </w:r>
          </w:p>
          <w:p w:rsidR="0049577B" w:rsidRPr="00BF13FB" w:rsidRDefault="0049577B" w:rsidP="00151AD5">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w:t>
            </w:r>
          </w:p>
        </w:tc>
        <w:tc>
          <w:tcPr>
            <w:tcW w:w="1994"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X1：失業率(1992-2016年)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X2：結婚對數(1998-2013年)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-0.934</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0.000</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16.325</w:t>
            </w: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X4：離婚率(1998-2013年)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X6：低收入戶之家庭及就學生活補助金額(1998-2013年)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X7：緩刑比率(1998-2013年)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X8：無期徒刑之人數(1998-2013年)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X9：被執行死刑之人數(1992-2016年)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9918" w:type="dxa"/>
            <w:gridSpan w:val="4"/>
            <w:shd w:val="clear" w:color="auto" w:fill="auto"/>
          </w:tcPr>
          <w:p w:rsidR="0049577B" w:rsidRPr="00BF13FB" w:rsidRDefault="0049577B" w:rsidP="00151AD5">
            <w:pPr>
              <w:spacing w:line="240" w:lineRule="auto"/>
              <w:ind w:leftChars="0" w:left="0" w:rightChars="0" w:right="0"/>
              <w:rPr>
                <w:sz w:val="24"/>
              </w:rPr>
            </w:pPr>
            <w:r w:rsidRPr="00BF13FB">
              <w:rPr>
                <w:sz w:val="24"/>
              </w:rPr>
              <w:t>多元迴歸分析模型整體之R平方解釋量：0.862</w:t>
            </w:r>
          </w:p>
        </w:tc>
      </w:tr>
    </w:tbl>
    <w:p w:rsidR="0049577B" w:rsidRPr="00B40DC1" w:rsidRDefault="00817A92" w:rsidP="00151AD5">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151AD5">
      <w:pPr>
        <w:spacing w:line="240" w:lineRule="auto"/>
        <w:ind w:leftChars="0" w:left="0" w:rightChars="0" w:right="0"/>
      </w:pPr>
    </w:p>
    <w:p w:rsidR="0049577B" w:rsidRPr="00B40DC1" w:rsidRDefault="00151AD5" w:rsidP="00151AD5">
      <w:pPr>
        <w:spacing w:line="240" w:lineRule="auto"/>
        <w:ind w:leftChars="0" w:left="0" w:rightChars="0" w:right="0"/>
      </w:pPr>
      <w:r>
        <w:t xml:space="preserve">　　</w:t>
      </w:r>
      <w:r w:rsidR="0049577B" w:rsidRPr="00B40DC1">
        <w:t>由下表---影響下年度重大指標犯罪(重大暴力犯罪)</w:t>
      </w:r>
      <w:r w:rsidR="0049577B" w:rsidRPr="004B4ED9">
        <w:rPr>
          <w:rStyle w:val="af7"/>
          <w:rFonts w:eastAsia="新細明體"/>
          <w:sz w:val="20"/>
        </w:rPr>
        <w:footnoteReference w:id="299"/>
      </w:r>
      <w:r w:rsidR="0049577B" w:rsidRPr="00B40DC1">
        <w:t>(1993年至2015年)相關因子(原因變項)之多元迴歸分析統計數據結果一覽表(本表係使用逐步迴歸法之迴歸分析方式)之統計資料可得知，依變項為下年度重大指標犯罪(重大暴力犯罪)，每提升當年度之全般刑案破獲率1個單位之標準差(1個標準單位)，則可減少0.973個單位之標準差(標準化迴歸係數值，Beta=-0.973)之下年度重大指標犯罪(重大暴力犯罪)。</w:t>
      </w:r>
    </w:p>
    <w:p w:rsidR="0049577B" w:rsidRPr="00B40DC1" w:rsidRDefault="00151AD5" w:rsidP="00151AD5">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下年度重大指標犯罪(重大暴力犯罪)。復次，無期徒刑亦無法有效地嚇阻(減少)下年度重大指標犯罪(重大暴力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151AD5">
      <w:pPr>
        <w:pStyle w:val="4"/>
        <w:rPr>
          <w:lang w:eastAsia="zh-TW"/>
        </w:rPr>
      </w:pPr>
      <w:r w:rsidRPr="00B40DC1">
        <w:rPr>
          <w:lang w:eastAsia="zh-TW"/>
        </w:rPr>
        <w:t>表56、影響下年度重大指標犯罪(重大暴力犯罪)</w:t>
      </w:r>
      <w:r w:rsidRPr="004B4ED9">
        <w:rPr>
          <w:rStyle w:val="af7"/>
          <w:rFonts w:eastAsia="新細明體"/>
          <w:sz w:val="20"/>
        </w:rPr>
        <w:footnoteReference w:id="300"/>
      </w:r>
      <w:r w:rsidRPr="00B40DC1">
        <w:rPr>
          <w:lang w:eastAsia="zh-TW"/>
        </w:rPr>
        <w:t>(1993年至2015年)相關因子(原因變項)之多元迴歸分析統計數據結果一覽表(本表係使用逐步迴歸法之迴歸分析方式)</w:t>
      </w:r>
      <w:r w:rsidRPr="004B4ED9">
        <w:rPr>
          <w:rStyle w:val="af7"/>
          <w:rFonts w:eastAsia="新細明體"/>
          <w:sz w:val="20"/>
        </w:rPr>
        <w:footnoteReference w:id="301"/>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151AD5">
        <w:trPr>
          <w:tblHeader/>
        </w:trPr>
        <w:tc>
          <w:tcPr>
            <w:tcW w:w="3936"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多元迴歸分析統計數據</w:t>
            </w:r>
          </w:p>
          <w:p w:rsidR="0049577B" w:rsidRPr="00BF13FB" w:rsidRDefault="0049577B" w:rsidP="00151AD5">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w:t>
            </w:r>
          </w:p>
        </w:tc>
        <w:tc>
          <w:tcPr>
            <w:tcW w:w="1994"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X1：失業率(1992-2016年)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X2：結婚對數(1998-2013年)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X4：離婚率(1998-2013年)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X6：低收入戶之家庭及就學生活補助金額(1998-2013年)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X7：緩刑比率(1998-2013年)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X8：無期徒刑之人數(1998-2013年)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X9：被執行死刑之人數(1992-2016年)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-0.973</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0.000</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13.341</w:t>
            </w:r>
          </w:p>
        </w:tc>
      </w:tr>
      <w:tr w:rsidR="0049577B" w:rsidRPr="00B40DC1" w:rsidTr="00151AD5">
        <w:tc>
          <w:tcPr>
            <w:tcW w:w="9918" w:type="dxa"/>
            <w:gridSpan w:val="4"/>
            <w:shd w:val="clear" w:color="auto" w:fill="auto"/>
          </w:tcPr>
          <w:p w:rsidR="0049577B" w:rsidRPr="00BF13FB" w:rsidRDefault="0049577B" w:rsidP="00151AD5">
            <w:pPr>
              <w:spacing w:line="240" w:lineRule="auto"/>
              <w:ind w:leftChars="0" w:left="0" w:rightChars="0" w:right="0"/>
              <w:rPr>
                <w:sz w:val="24"/>
              </w:rPr>
            </w:pPr>
            <w:r w:rsidRPr="00BF13FB">
              <w:rPr>
                <w:sz w:val="24"/>
              </w:rPr>
              <w:t>多元迴歸分析模型整體之R平方解釋量：0.942</w:t>
            </w:r>
          </w:p>
        </w:tc>
      </w:tr>
    </w:tbl>
    <w:p w:rsidR="0049577B" w:rsidRPr="00B40DC1" w:rsidRDefault="00817A92" w:rsidP="00151AD5">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D26BB"/>
    <w:p w:rsidR="0049577B" w:rsidRPr="00B40DC1" w:rsidRDefault="00151AD5" w:rsidP="00151AD5">
      <w:pPr>
        <w:spacing w:line="240" w:lineRule="auto"/>
        <w:ind w:leftChars="0" w:left="0" w:rightChars="0" w:right="0"/>
      </w:pPr>
      <w:r>
        <w:t xml:space="preserve">　　</w:t>
      </w:r>
      <w:r w:rsidR="0049577B" w:rsidRPr="00B40DC1">
        <w:t>由下表---影響下年度重大指標犯罪(重大暴力犯罪)</w:t>
      </w:r>
      <w:r w:rsidR="0049577B" w:rsidRPr="002031B1">
        <w:rPr>
          <w:rStyle w:val="af7"/>
          <w:rFonts w:eastAsia="新細明體"/>
          <w:sz w:val="20"/>
        </w:rPr>
        <w:footnoteReference w:id="302"/>
      </w:r>
      <w:r w:rsidR="0049577B" w:rsidRPr="00B40DC1">
        <w:t>(1993年至2015年)相關因子(原因變項)之多元迴歸分析統計數據結果一覽表(本表係使用強迫進入法之迴歸分析方式)之統計資料可得知，依變項為下年度重大指標犯罪(重大暴力犯罪)，每提升35歲以上人口之中，男性未婚之比例</w:t>
      </w:r>
      <w:r w:rsidR="003C1792">
        <w:t>(</w:t>
      </w:r>
      <w:r w:rsidR="0049577B" w:rsidRPr="00B40DC1">
        <w:t>1998-2013年)1個單位之標準差(1個標準單位)，則可減少0.942個單位之標準差(標準化迴歸係數值，Beta=-0.942)之下年度重大指標犯罪(重大暴力犯罪)。</w:t>
      </w:r>
    </w:p>
    <w:p w:rsidR="0049577B" w:rsidRPr="00B40DC1" w:rsidRDefault="00151AD5" w:rsidP="00151AD5">
      <w:pPr>
        <w:spacing w:line="240" w:lineRule="auto"/>
        <w:ind w:leftChars="0" w:left="0" w:rightChars="0" w:right="0"/>
      </w:pPr>
      <w:r>
        <w:t xml:space="preserve">　　</w:t>
      </w:r>
      <w:r w:rsidR="0049577B" w:rsidRPr="00B40DC1">
        <w:t>或許，有可能之機率，係為35歲以上人口之中，未婚男性之身心狀態，有可能會比較穩定。因其為單身，故有可能較無家庭之經濟上重大負擔，無須教養小孩；35歲以上之單身男性，其工作之所得，可全部歸為自己所有，可購買不動產、動產、或進行其他投資，由於經濟上有所依靠，再加上心智有可能更加成熟、穩定，有可能具有較強的自控能力，作一名守法之民眾，而未從事重大犯罪(故意殺人犯罪+重傷犯罪+重大恐嚇取財犯罪+擄人勒贖犯罪+強盜搶奪犯罪+強制性交犯罪)。亦即，其從事重大指標犯罪(重大暴力犯罪)(故意殺人犯罪+重傷犯罪+重大恐嚇取財犯罪+擄人勒贖犯罪+強盜搶奪犯罪+強制性交犯罪)之機率，相對而論，或許，有可能相對較低一些。</w:t>
      </w:r>
    </w:p>
    <w:p w:rsidR="0049577B" w:rsidRPr="00B40DC1" w:rsidRDefault="00151AD5" w:rsidP="00151AD5">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下年度重大指標犯罪(重大暴力犯罪)。復次，無期徒刑亦無法有效地嚇阻(減少</w:t>
      </w:r>
      <w:r w:rsidR="00587200">
        <w:t>)</w:t>
      </w:r>
      <w:r w:rsidR="0049577B" w:rsidRPr="00B40DC1">
        <w:t>下年度重大指標犯罪(重大暴力犯罪)。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151AD5">
      <w:pPr>
        <w:pStyle w:val="4"/>
        <w:rPr>
          <w:lang w:eastAsia="zh-TW"/>
        </w:rPr>
      </w:pPr>
      <w:r w:rsidRPr="00B40DC1">
        <w:rPr>
          <w:lang w:eastAsia="zh-TW"/>
        </w:rPr>
        <w:t>表57、影響下年度重大指標犯罪(重大暴力犯罪)</w:t>
      </w:r>
      <w:r w:rsidRPr="002031B1">
        <w:rPr>
          <w:rStyle w:val="af7"/>
          <w:rFonts w:eastAsia="新細明體"/>
          <w:sz w:val="20"/>
        </w:rPr>
        <w:footnoteReference w:id="303"/>
      </w:r>
      <w:r w:rsidRPr="00B40DC1">
        <w:rPr>
          <w:lang w:eastAsia="zh-TW"/>
        </w:rPr>
        <w:t>(1993年至2015年)相關因子(原因變項)之多元迴歸分析統計數據結果一覽表(本表係使用強迫進入法之迴歸分析方式)</w:t>
      </w:r>
      <w:r w:rsidRPr="002031B1">
        <w:rPr>
          <w:rStyle w:val="af7"/>
          <w:rFonts w:eastAsia="新細明體"/>
          <w:sz w:val="20"/>
        </w:rPr>
        <w:footnoteReference w:id="304"/>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94"/>
        <w:gridCol w:w="1994"/>
        <w:gridCol w:w="1994"/>
      </w:tblGrid>
      <w:tr w:rsidR="0049577B" w:rsidRPr="00B40DC1" w:rsidTr="00151AD5">
        <w:trPr>
          <w:tblHeader/>
        </w:trPr>
        <w:tc>
          <w:tcPr>
            <w:tcW w:w="3936"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多元迴歸分析統計數據</w:t>
            </w:r>
          </w:p>
          <w:p w:rsidR="0049577B" w:rsidRPr="00BF13FB" w:rsidRDefault="0049577B" w:rsidP="00151AD5">
            <w:pPr>
              <w:spacing w:line="240" w:lineRule="auto"/>
              <w:ind w:leftChars="0" w:left="0" w:rightChars="0" w:right="0"/>
              <w:jc w:val="center"/>
              <w:rPr>
                <w:sz w:val="24"/>
              </w:rPr>
            </w:pPr>
            <w:r w:rsidRPr="00BF13FB">
              <w:rPr>
                <w:sz w:val="24"/>
              </w:rPr>
              <w:t>自變項(解釋因子，independent variable)之名稱</w:t>
            </w:r>
          </w:p>
        </w:tc>
        <w:tc>
          <w:tcPr>
            <w:tcW w:w="1994"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w:t>
            </w:r>
          </w:p>
        </w:tc>
        <w:tc>
          <w:tcPr>
            <w:tcW w:w="1994"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標準化迴歸係數值(Beta)之顯著度(水準)</w:t>
            </w:r>
          </w:p>
        </w:tc>
        <w:tc>
          <w:tcPr>
            <w:tcW w:w="1994"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X1：失業率(1992-2016年)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X2：結婚對數(1998-2013年)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-0.942</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0.000</w:t>
            </w:r>
          </w:p>
        </w:tc>
        <w:tc>
          <w:tcPr>
            <w:tcW w:w="1994"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16.325</w:t>
            </w: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X4：離婚率(1998-2013年)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X6：低收入戶之家庭及就學生活補助金額(1998-2013年)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X7：緩刑比率(1998-2013年)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X8：無期徒刑之人數(1998-2013年)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X9：被執行死刑之人數(1992-2016年)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X10：當年度之全般刑案破獲率(1992-2016年)</w:t>
            </w: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c>
          <w:tcPr>
            <w:tcW w:w="1994"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9918" w:type="dxa"/>
            <w:gridSpan w:val="4"/>
            <w:shd w:val="clear" w:color="auto" w:fill="auto"/>
          </w:tcPr>
          <w:p w:rsidR="0049577B" w:rsidRPr="00BF13FB" w:rsidRDefault="0049577B" w:rsidP="00151AD5">
            <w:pPr>
              <w:spacing w:line="240" w:lineRule="auto"/>
              <w:ind w:leftChars="0" w:left="0" w:rightChars="0" w:right="0"/>
              <w:rPr>
                <w:sz w:val="24"/>
              </w:rPr>
            </w:pPr>
            <w:r w:rsidRPr="00BF13FB">
              <w:rPr>
                <w:sz w:val="24"/>
              </w:rPr>
              <w:t>多元迴歸分析模型整體之R平方解釋量：0.880</w:t>
            </w:r>
          </w:p>
        </w:tc>
      </w:tr>
    </w:tbl>
    <w:p w:rsidR="0049577B" w:rsidRPr="00B40DC1" w:rsidRDefault="00817A92" w:rsidP="00151AD5">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151AD5">
      <w:pPr>
        <w:spacing w:line="240" w:lineRule="auto"/>
        <w:ind w:leftChars="0" w:left="0" w:rightChars="0" w:right="0"/>
      </w:pPr>
    </w:p>
    <w:p w:rsidR="0049577B" w:rsidRPr="00B40DC1" w:rsidRDefault="00151AD5" w:rsidP="00151AD5">
      <w:pPr>
        <w:spacing w:line="240" w:lineRule="auto"/>
        <w:ind w:leftChars="0" w:left="0" w:rightChars="0" w:right="0"/>
      </w:pPr>
      <w:r>
        <w:t xml:space="preserve">　　</w:t>
      </w:r>
      <w:r w:rsidR="0049577B" w:rsidRPr="00B40DC1">
        <w:t>由下表---影響下年度重大指標犯罪(重大暴力犯罪)</w:t>
      </w:r>
      <w:r w:rsidR="0049577B" w:rsidRPr="004B4ED9">
        <w:rPr>
          <w:rStyle w:val="af7"/>
          <w:rFonts w:eastAsia="新細明體"/>
          <w:sz w:val="20"/>
        </w:rPr>
        <w:footnoteReference w:id="305"/>
      </w:r>
      <w:r w:rsidR="0049577B" w:rsidRPr="00B40DC1">
        <w:t>(1993年至2015年)相關因子(原因變項)之多元迴歸分析統計數據結果一覽表(本表係使用向前進入法之迴歸分析方式)之統計資料可得知，依變項為下年度重大指標犯罪(重大暴力犯罪)，每提升當年度之全般刑案破獲率1個單位之標準差(1個標準單位)，則可減少0.973個單位之標準差(標準化迴歸係數值，Beta=-0.973)之下年度重大指標犯罪(重大暴力犯罪)。</w:t>
      </w:r>
    </w:p>
    <w:p w:rsidR="0049577B" w:rsidRPr="00B40DC1" w:rsidRDefault="00151AD5" w:rsidP="00151AD5">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下年度重大指標犯罪(重大暴力犯罪)。復次，無期徒刑亦無法有效地嚇阻(減少)下年度重大指標犯罪(重大暴力犯罪)。</w:t>
      </w:r>
    </w:p>
    <w:p w:rsidR="0049577B" w:rsidRPr="00B40DC1" w:rsidRDefault="002031B1" w:rsidP="002031B1">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151AD5">
      <w:pPr>
        <w:pStyle w:val="4"/>
        <w:rPr>
          <w:lang w:eastAsia="zh-TW"/>
        </w:rPr>
      </w:pPr>
      <w:r w:rsidRPr="00B40DC1">
        <w:rPr>
          <w:lang w:eastAsia="zh-TW"/>
        </w:rPr>
        <w:t>表58、影響下年度重大指標犯罪(重大暴力犯罪)</w:t>
      </w:r>
      <w:r w:rsidRPr="004B4ED9">
        <w:rPr>
          <w:rStyle w:val="af7"/>
          <w:rFonts w:eastAsia="新細明體"/>
          <w:sz w:val="20"/>
        </w:rPr>
        <w:footnoteReference w:id="306"/>
      </w:r>
      <w:r w:rsidRPr="00B40DC1">
        <w:rPr>
          <w:lang w:eastAsia="zh-TW"/>
        </w:rPr>
        <w:t>(1993年至2015年)相關因子(原因變項)之多元迴歸分析統計數據結果一覽表(本表係使用向前進入法之迴歸分析方式)</w:t>
      </w:r>
      <w:r w:rsidRPr="004B4ED9">
        <w:rPr>
          <w:rStyle w:val="af7"/>
          <w:rFonts w:eastAsia="新細明體"/>
          <w:sz w:val="20"/>
        </w:rPr>
        <w:footnoteReference w:id="307"/>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41"/>
        <w:gridCol w:w="2041"/>
        <w:gridCol w:w="2042"/>
      </w:tblGrid>
      <w:tr w:rsidR="0049577B" w:rsidRPr="00B40DC1" w:rsidTr="00151AD5">
        <w:trPr>
          <w:tblHeader/>
        </w:trPr>
        <w:tc>
          <w:tcPr>
            <w:tcW w:w="3936"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多元迴歸分析統計數據</w:t>
            </w:r>
          </w:p>
          <w:p w:rsidR="0049577B" w:rsidRPr="00BF13FB" w:rsidRDefault="0049577B" w:rsidP="00151AD5">
            <w:pPr>
              <w:spacing w:line="240" w:lineRule="auto"/>
              <w:ind w:leftChars="0" w:left="0" w:rightChars="0" w:right="0"/>
              <w:jc w:val="center"/>
              <w:rPr>
                <w:sz w:val="24"/>
              </w:rPr>
            </w:pPr>
            <w:r w:rsidRPr="00BF13FB">
              <w:rPr>
                <w:sz w:val="24"/>
              </w:rPr>
              <w:t>自變項(解釋因子，independent variable)之名稱</w:t>
            </w:r>
          </w:p>
        </w:tc>
        <w:tc>
          <w:tcPr>
            <w:tcW w:w="2041"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w:t>
            </w:r>
          </w:p>
        </w:tc>
        <w:tc>
          <w:tcPr>
            <w:tcW w:w="2041"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標準化迴歸係數值(Beta)之顯著度(水準)</w:t>
            </w:r>
          </w:p>
        </w:tc>
        <w:tc>
          <w:tcPr>
            <w:tcW w:w="2042" w:type="dxa"/>
            <w:shd w:val="clear" w:color="auto" w:fill="FAF0FA"/>
            <w:vAlign w:val="center"/>
          </w:tcPr>
          <w:p w:rsidR="0049577B" w:rsidRPr="00BF13FB" w:rsidRDefault="0049577B" w:rsidP="00151AD5">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X1：失業率(1992-2016年)</w:t>
            </w: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2"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X2：結婚對數(1998-2013年)</w:t>
            </w: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2"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2"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X4：離婚率(1998-2013年)</w:t>
            </w: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2"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2"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X6：低收入戶之家庭及就學生活補助金額(1998-2013年)</w:t>
            </w: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2"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X7：緩刑比率(1998-2013年)</w:t>
            </w: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2"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X8：無期徒刑之人數(1998-2013年)</w:t>
            </w: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2"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X9：被執行死刑之人數(1992-2016年)</w:t>
            </w: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1" w:type="dxa"/>
            <w:shd w:val="clear" w:color="auto" w:fill="auto"/>
          </w:tcPr>
          <w:p w:rsidR="0049577B" w:rsidRPr="00BF13FB" w:rsidRDefault="0049577B" w:rsidP="00151AD5">
            <w:pPr>
              <w:spacing w:line="240" w:lineRule="auto"/>
              <w:ind w:leftChars="0" w:left="0" w:rightChars="0" w:right="0"/>
              <w:rPr>
                <w:sz w:val="24"/>
              </w:rPr>
            </w:pPr>
          </w:p>
        </w:tc>
        <w:tc>
          <w:tcPr>
            <w:tcW w:w="2042"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X10：當年度之全般刑案破獲率(1992-2016年)</w:t>
            </w:r>
          </w:p>
        </w:tc>
        <w:tc>
          <w:tcPr>
            <w:tcW w:w="2041" w:type="dxa"/>
            <w:shd w:val="clear" w:color="auto" w:fill="auto"/>
          </w:tcPr>
          <w:p w:rsidR="0049577B" w:rsidRPr="00BF13FB" w:rsidRDefault="0049577B" w:rsidP="00151AD5">
            <w:pPr>
              <w:spacing w:line="240" w:lineRule="auto"/>
              <w:ind w:leftChars="0" w:left="0" w:rightChars="0" w:right="0"/>
              <w:rPr>
                <w:sz w:val="24"/>
              </w:rPr>
            </w:pPr>
            <w:r w:rsidRPr="00BF13FB">
              <w:rPr>
                <w:sz w:val="24"/>
              </w:rPr>
              <w:t>-0.973</w:t>
            </w:r>
          </w:p>
        </w:tc>
        <w:tc>
          <w:tcPr>
            <w:tcW w:w="2041" w:type="dxa"/>
            <w:shd w:val="clear" w:color="auto" w:fill="auto"/>
          </w:tcPr>
          <w:p w:rsidR="0049577B" w:rsidRPr="00BF13FB" w:rsidRDefault="0049577B" w:rsidP="00151AD5">
            <w:pPr>
              <w:spacing w:line="240" w:lineRule="auto"/>
              <w:ind w:leftChars="0" w:left="0" w:rightChars="0" w:right="0"/>
              <w:rPr>
                <w:sz w:val="24"/>
              </w:rPr>
            </w:pPr>
            <w:r w:rsidRPr="00BF13FB">
              <w:rPr>
                <w:sz w:val="24"/>
              </w:rPr>
              <w:t>0.000</w:t>
            </w:r>
          </w:p>
        </w:tc>
        <w:tc>
          <w:tcPr>
            <w:tcW w:w="2042" w:type="dxa"/>
            <w:shd w:val="clear" w:color="auto" w:fill="auto"/>
          </w:tcPr>
          <w:p w:rsidR="0049577B" w:rsidRPr="00BF13FB" w:rsidRDefault="0049577B" w:rsidP="00151AD5">
            <w:pPr>
              <w:spacing w:line="240" w:lineRule="auto"/>
              <w:ind w:leftChars="0" w:left="0" w:rightChars="0" w:right="0"/>
              <w:rPr>
                <w:sz w:val="24"/>
              </w:rPr>
            </w:pPr>
            <w:r w:rsidRPr="00BF13FB">
              <w:rPr>
                <w:sz w:val="24"/>
              </w:rPr>
              <w:t>13.341</w:t>
            </w:r>
          </w:p>
        </w:tc>
      </w:tr>
      <w:tr w:rsidR="0049577B" w:rsidRPr="00B40DC1" w:rsidTr="00151AD5">
        <w:tc>
          <w:tcPr>
            <w:tcW w:w="10060" w:type="dxa"/>
            <w:gridSpan w:val="4"/>
            <w:shd w:val="clear" w:color="auto" w:fill="auto"/>
          </w:tcPr>
          <w:p w:rsidR="0049577B" w:rsidRPr="00BF13FB" w:rsidRDefault="0049577B" w:rsidP="00151AD5">
            <w:pPr>
              <w:spacing w:line="240" w:lineRule="auto"/>
              <w:ind w:leftChars="0" w:left="0" w:rightChars="0" w:right="0"/>
              <w:rPr>
                <w:sz w:val="24"/>
              </w:rPr>
            </w:pPr>
            <w:r w:rsidRPr="00BF13FB">
              <w:rPr>
                <w:sz w:val="24"/>
              </w:rPr>
              <w:t>多元迴歸分析模型整體之R平方解釋量：0.942</w:t>
            </w:r>
          </w:p>
        </w:tc>
      </w:tr>
    </w:tbl>
    <w:p w:rsidR="0049577B" w:rsidRPr="00B40DC1" w:rsidRDefault="00817A92" w:rsidP="00151AD5">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D26BB"/>
    <w:p w:rsidR="0049577B" w:rsidRPr="00B40DC1" w:rsidRDefault="002031B1" w:rsidP="002031B1">
      <w:pPr>
        <w:spacing w:line="240" w:lineRule="auto"/>
        <w:ind w:leftChars="0" w:left="0" w:rightChars="0" w:right="0"/>
      </w:pPr>
      <w:r>
        <w:t xml:space="preserve">　　</w:t>
      </w:r>
      <w:r w:rsidR="0049577B" w:rsidRPr="00B40DC1">
        <w:t>由下表---影響下年度重大指標犯罪(重大暴力犯罪)</w:t>
      </w:r>
      <w:r w:rsidR="0049577B" w:rsidRPr="004B4ED9">
        <w:rPr>
          <w:rStyle w:val="af7"/>
          <w:rFonts w:eastAsia="新細明體"/>
          <w:sz w:val="20"/>
        </w:rPr>
        <w:footnoteReference w:id="308"/>
      </w:r>
      <w:r w:rsidR="0049577B" w:rsidRPr="00B40DC1">
        <w:t>(1993年至2015年)相關因子(原因變項)之多元迴歸分析統計數據結果一覽表(本表係使用向後進入法之迴歸分析方式)之統計資料可得知，依變項為下年度重大指標犯罪(重大暴力犯罪)，每提升35歲以上人口之中，男性未婚之比例</w:t>
      </w:r>
      <w:r w:rsidR="003C1792">
        <w:t>(</w:t>
      </w:r>
      <w:r w:rsidR="0049577B" w:rsidRPr="00B40DC1">
        <w:t>1998-2013年)1個單位之標準差(1個標準單位)，則可減少0.942個單位之標準差(標準化迴歸係數值，Beta=-0.942)之下年度重大指標犯罪(重大暴力犯罪)。</w:t>
      </w:r>
    </w:p>
    <w:p w:rsidR="0049577B" w:rsidRPr="00B40DC1" w:rsidRDefault="00151AD5" w:rsidP="002031B1">
      <w:pPr>
        <w:spacing w:line="240" w:lineRule="auto"/>
        <w:ind w:leftChars="0" w:left="0" w:rightChars="0" w:right="0"/>
      </w:pPr>
      <w:r>
        <w:t xml:space="preserve">　　</w:t>
      </w:r>
      <w:r w:rsidR="0049577B" w:rsidRPr="00B40DC1">
        <w:t>或許，有可能之機率，係為35歲以上人口之中，未婚男性之身心狀態，有可能會比較穩定。因其為單身，故有可能較無家庭之經濟上重大負擔，無須教養小孩；35歲以上之單身男性，其工作之所得，可全部歸為自己所有，可購買不動產、動產、或進行其他投資，由於經濟上有所依靠，再加上心智有可能更加成熟、穩定，有可能具有較強的自控能力，作一名守法之民眾，而未從事重大犯罪(故意殺人犯罪+重傷犯罪+重大恐嚇取財犯罪+擄人勒贖犯罪+強盜搶奪犯罪+強制性交犯罪)。亦即，其從事重大指標犯罪(重大暴力犯罪)(故意殺人犯罪+重傷犯罪+重大恐嚇取財犯罪+擄人勒贖犯罪+強盜搶奪犯罪+強制性交犯罪)之機率，相對而論，或許，有可能相對較低一些。</w:t>
      </w:r>
    </w:p>
    <w:p w:rsidR="0049577B" w:rsidRPr="00B40DC1" w:rsidRDefault="0049577B" w:rsidP="002031B1">
      <w:pPr>
        <w:spacing w:line="240" w:lineRule="auto"/>
        <w:ind w:leftChars="0" w:left="0" w:rightChars="0" w:right="0"/>
      </w:pPr>
      <w:r w:rsidRPr="00B40DC1">
        <w:t>另外，就本書特別加以關注之死刑是否能有效地嚇阻(減少)犯罪之發生而論，根據本表之資料可得知，執行死刑無法有效地嚇阻(減少)下年度重大指標犯罪(重大暴力犯罪)。復次，無期徒刑亦無法有效地嚇阻(減少)下年度重大指標犯罪(重大暴力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151AD5">
      <w:pPr>
        <w:pStyle w:val="4"/>
        <w:rPr>
          <w:lang w:eastAsia="zh-TW"/>
        </w:rPr>
      </w:pPr>
      <w:r w:rsidRPr="00B40DC1">
        <w:rPr>
          <w:lang w:eastAsia="zh-TW"/>
        </w:rPr>
        <w:t>表59、影響下年度重大指標犯罪(重大暴力犯罪)</w:t>
      </w:r>
      <w:r w:rsidRPr="004B4ED9">
        <w:rPr>
          <w:rStyle w:val="af7"/>
          <w:rFonts w:eastAsia="新細明體"/>
          <w:sz w:val="20"/>
        </w:rPr>
        <w:footnoteReference w:id="309"/>
      </w:r>
      <w:r w:rsidRPr="00B40DC1">
        <w:rPr>
          <w:lang w:eastAsia="zh-TW"/>
        </w:rPr>
        <w:t>(1993年至2015年)相關因子(原因變項)之多元迴歸分析統計數據結果一覽表(本表係使用向後進入法之迴歸分析方式)</w:t>
      </w:r>
      <w:r w:rsidRPr="004B4ED9">
        <w:rPr>
          <w:rStyle w:val="af7"/>
          <w:rFonts w:eastAsia="新細明體"/>
          <w:sz w:val="20"/>
        </w:rPr>
        <w:footnoteReference w:id="31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151AD5">
        <w:trPr>
          <w:tblHeader/>
        </w:trPr>
        <w:tc>
          <w:tcPr>
            <w:tcW w:w="3936"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多元迴歸分析統計數據</w:t>
            </w:r>
          </w:p>
          <w:p w:rsidR="0049577B" w:rsidRPr="00BF13FB" w:rsidRDefault="0049577B" w:rsidP="00151AD5">
            <w:pPr>
              <w:spacing w:line="240" w:lineRule="auto"/>
              <w:ind w:leftChars="0" w:left="0" w:rightChars="0" w:right="0"/>
              <w:jc w:val="center"/>
              <w:rPr>
                <w:sz w:val="24"/>
              </w:rPr>
            </w:pPr>
            <w:r w:rsidRPr="00BF13FB">
              <w:rPr>
                <w:sz w:val="24"/>
              </w:rPr>
              <w:t>自變項(解釋因子，independent variable)之名稱</w:t>
            </w:r>
          </w:p>
        </w:tc>
        <w:tc>
          <w:tcPr>
            <w:tcW w:w="1946"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w:t>
            </w:r>
          </w:p>
        </w:tc>
        <w:tc>
          <w:tcPr>
            <w:tcW w:w="1947"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標準化迴歸係數值(Beta)之顯著度(水準)</w:t>
            </w:r>
          </w:p>
        </w:tc>
        <w:tc>
          <w:tcPr>
            <w:tcW w:w="1947" w:type="dxa"/>
            <w:shd w:val="clear" w:color="auto" w:fill="EFFDFF"/>
            <w:vAlign w:val="center"/>
          </w:tcPr>
          <w:p w:rsidR="0049577B" w:rsidRPr="00BF13FB" w:rsidRDefault="0049577B" w:rsidP="00151AD5">
            <w:pPr>
              <w:spacing w:line="240" w:lineRule="auto"/>
              <w:ind w:leftChars="0" w:left="0" w:rightChars="0" w:right="0"/>
              <w:jc w:val="center"/>
              <w:rPr>
                <w:sz w:val="24"/>
              </w:rPr>
            </w:pPr>
            <w:r w:rsidRPr="00BF13FB">
              <w:rPr>
                <w:sz w:val="24"/>
              </w:rPr>
              <w:t>條件指標(CI)</w:t>
            </w:r>
            <w:r w:rsidR="003C1792" w:rsidRPr="00BF13FB">
              <w:rPr>
                <w:sz w:val="24"/>
              </w:rPr>
              <w:t>(</w:t>
            </w:r>
            <w:r w:rsidRPr="00BF13FB">
              <w:rPr>
                <w:sz w:val="24"/>
              </w:rPr>
              <w:t>檢視自變項是否有嚴重之共線問題)</w:t>
            </w: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X1：失業率(1992-2016年)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X2：結婚對數(1998-2013年)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X3： 35歲以上人口之中，男性未婚之比例</w:t>
            </w:r>
            <w:r w:rsidR="003C1792" w:rsidRPr="00BF13FB">
              <w:rPr>
                <w:sz w:val="24"/>
              </w:rPr>
              <w:t>(</w:t>
            </w:r>
            <w:r w:rsidRPr="00BF13FB">
              <w:rPr>
                <w:sz w:val="24"/>
              </w:rPr>
              <w:t>1998-2013年)</w:t>
            </w:r>
          </w:p>
        </w:tc>
        <w:tc>
          <w:tcPr>
            <w:tcW w:w="1946"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-0.942</w:t>
            </w:r>
          </w:p>
        </w:tc>
        <w:tc>
          <w:tcPr>
            <w:tcW w:w="1947"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0.000</w:t>
            </w:r>
          </w:p>
        </w:tc>
        <w:tc>
          <w:tcPr>
            <w:tcW w:w="1947" w:type="dxa"/>
            <w:shd w:val="clear" w:color="auto" w:fill="auto"/>
            <w:vAlign w:val="center"/>
          </w:tcPr>
          <w:p w:rsidR="0049577B" w:rsidRPr="00BF13FB" w:rsidRDefault="0049577B" w:rsidP="00151AD5">
            <w:pPr>
              <w:spacing w:line="240" w:lineRule="auto"/>
              <w:ind w:leftChars="0" w:left="0" w:rightChars="0" w:right="0"/>
              <w:jc w:val="center"/>
              <w:rPr>
                <w:sz w:val="24"/>
              </w:rPr>
            </w:pPr>
            <w:r w:rsidRPr="00BF13FB">
              <w:rPr>
                <w:sz w:val="24"/>
              </w:rPr>
              <w:t>16.325</w:t>
            </w: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X4：離婚率(1998-2013年)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X5：GNI(平均每人國民所得毛額，以美元為單位)</w:t>
            </w:r>
            <w:r w:rsidR="003C1792" w:rsidRPr="00BF13FB">
              <w:rPr>
                <w:sz w:val="24"/>
              </w:rPr>
              <w:t>(</w:t>
            </w:r>
            <w:r w:rsidRPr="00BF13FB">
              <w:rPr>
                <w:sz w:val="24"/>
              </w:rPr>
              <w:t>1992-2016年)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X6：低收入戶之家庭及就學生活補助金額(1998-2013年)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X7：緩刑比率(1998-2013年)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X8：無期徒刑之人數(1998-2013年)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X9：被執行死刑之人數(1992-2016年)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3936" w:type="dxa"/>
            <w:shd w:val="clear" w:color="auto" w:fill="auto"/>
          </w:tcPr>
          <w:p w:rsidR="0049577B" w:rsidRPr="00BF13FB" w:rsidRDefault="0049577B" w:rsidP="00151AD5">
            <w:pPr>
              <w:spacing w:line="240" w:lineRule="auto"/>
              <w:ind w:leftChars="0" w:left="0" w:rightChars="0" w:right="0"/>
              <w:rPr>
                <w:sz w:val="24"/>
              </w:rPr>
            </w:pPr>
            <w:r w:rsidRPr="00BF13FB">
              <w:rPr>
                <w:sz w:val="24"/>
              </w:rPr>
              <w:t>X10：當年度之全般刑案破獲率(1992-2016年)</w:t>
            </w:r>
          </w:p>
        </w:tc>
        <w:tc>
          <w:tcPr>
            <w:tcW w:w="1946"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c>
          <w:tcPr>
            <w:tcW w:w="1947" w:type="dxa"/>
            <w:shd w:val="clear" w:color="auto" w:fill="auto"/>
          </w:tcPr>
          <w:p w:rsidR="0049577B" w:rsidRPr="00BF13FB" w:rsidRDefault="0049577B" w:rsidP="00151AD5">
            <w:pPr>
              <w:spacing w:line="240" w:lineRule="auto"/>
              <w:ind w:leftChars="0" w:left="0" w:rightChars="0" w:right="0"/>
              <w:rPr>
                <w:sz w:val="24"/>
              </w:rPr>
            </w:pPr>
          </w:p>
        </w:tc>
      </w:tr>
      <w:tr w:rsidR="0049577B" w:rsidRPr="00B40DC1" w:rsidTr="00151AD5">
        <w:tc>
          <w:tcPr>
            <w:tcW w:w="9776" w:type="dxa"/>
            <w:gridSpan w:val="4"/>
            <w:shd w:val="clear" w:color="auto" w:fill="auto"/>
          </w:tcPr>
          <w:p w:rsidR="0049577B" w:rsidRPr="00BF13FB" w:rsidRDefault="0049577B" w:rsidP="00151AD5">
            <w:pPr>
              <w:spacing w:line="240" w:lineRule="auto"/>
              <w:ind w:leftChars="0" w:left="0" w:rightChars="0" w:right="0"/>
              <w:rPr>
                <w:sz w:val="24"/>
              </w:rPr>
            </w:pPr>
            <w:r w:rsidRPr="00BF13FB">
              <w:rPr>
                <w:sz w:val="24"/>
              </w:rPr>
              <w:t>多元迴歸分析模型整體之R平方解釋量：0.880</w:t>
            </w:r>
          </w:p>
        </w:tc>
      </w:tr>
    </w:tbl>
    <w:p w:rsidR="0049577B" w:rsidRPr="00B40DC1" w:rsidRDefault="00817A92" w:rsidP="000260C3">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260C3">
      <w:pPr>
        <w:spacing w:line="240" w:lineRule="auto"/>
        <w:ind w:leftChars="0" w:left="0" w:rightChars="0" w:right="0"/>
      </w:pPr>
    </w:p>
    <w:p w:rsidR="0049577B" w:rsidRPr="00B40DC1" w:rsidRDefault="00151AD5" w:rsidP="000260C3">
      <w:pPr>
        <w:spacing w:line="240" w:lineRule="auto"/>
        <w:ind w:leftChars="0" w:left="0" w:rightChars="0" w:right="0"/>
      </w:pPr>
      <w:r>
        <w:t xml:space="preserve">　　</w:t>
      </w:r>
      <w:r w:rsidR="0049577B" w:rsidRPr="00B40DC1">
        <w:t>在執行下表---影響下年度重大指標犯罪(重大暴力犯罪)</w:t>
      </w:r>
      <w:r w:rsidR="0049577B" w:rsidRPr="000260C3">
        <w:rPr>
          <w:rStyle w:val="af7"/>
          <w:rFonts w:eastAsia="新細明體"/>
          <w:sz w:val="20"/>
        </w:rPr>
        <w:footnoteReference w:id="311"/>
      </w:r>
      <w:r w:rsidR="0049577B" w:rsidRPr="00B40DC1">
        <w:t>(1993年至2015年)相關因子(原因變項)之多元迴歸分析統計數據結果一覽表(本表係使用移除法之迴歸分析方式)時，在本案之中，由於移除法(REMOVE)它是一個無效的迴歸方式(REGRESSION METHOD)，故移除法(REMOVE)無法用為建立多元迴歸方程式時的第一個方法。SPSS多元迴歸(REGRESSION)軟體會自動地插入強迫進入法(ENTER)做為第一個方法，而移除法(REMOVE)就成為第2個次順序之方法(REMOVE</w:t>
      </w:r>
      <w:r w:rsidR="00185C4E">
        <w:t xml:space="preserve"> </w:t>
      </w:r>
      <w:r w:rsidR="0049577B" w:rsidRPr="00B40DC1">
        <w:t>is now the second method)。</w:t>
      </w:r>
    </w:p>
    <w:p w:rsidR="0049577B" w:rsidRPr="00B40DC1" w:rsidRDefault="000260C3" w:rsidP="000260C3">
      <w:pPr>
        <w:spacing w:line="240" w:lineRule="auto"/>
        <w:ind w:leftChars="0" w:left="0" w:rightChars="0" w:right="0"/>
      </w:pPr>
      <w:r>
        <w:t xml:space="preserve">　　</w:t>
      </w:r>
      <w:r w:rsidR="0049577B" w:rsidRPr="00B40DC1">
        <w:t>由下表---影響下年度重大指標犯罪(重大暴力犯罪)</w:t>
      </w:r>
      <w:r w:rsidR="0049577B" w:rsidRPr="000260C3">
        <w:rPr>
          <w:rStyle w:val="af7"/>
          <w:rFonts w:eastAsia="新細明體"/>
          <w:sz w:val="20"/>
        </w:rPr>
        <w:footnoteReference w:id="312"/>
      </w:r>
      <w:r w:rsidR="0049577B" w:rsidRPr="00B40DC1">
        <w:t>(1993年至2015年)相關因子(原因變項)之多元迴歸分析統計數據結果一覽表(本表係使用移除法之迴歸分析方式)之統計資料可得知，依變項為下年度重大指標犯罪(重大暴力犯罪)，每提升35歲以上人口之中，男性未婚之比例</w:t>
      </w:r>
      <w:r w:rsidR="003C1792">
        <w:t>(</w:t>
      </w:r>
      <w:r w:rsidR="0049577B" w:rsidRPr="00B40DC1">
        <w:t>1998-2013年)1個單位之標準差(1個標準單位)，則可減少0.942個單位之標準差(標準化迴歸係數值，Beta=-0.942)之下年度重大指標犯罪(重大暴力犯罪)。</w:t>
      </w:r>
    </w:p>
    <w:p w:rsidR="0049577B" w:rsidRPr="00B40DC1" w:rsidRDefault="000260C3" w:rsidP="000260C3">
      <w:pPr>
        <w:spacing w:line="240" w:lineRule="auto"/>
        <w:ind w:leftChars="0" w:left="0" w:rightChars="0" w:right="0"/>
      </w:pPr>
      <w:r>
        <w:t xml:space="preserve">　　</w:t>
      </w:r>
      <w:r w:rsidR="0049577B" w:rsidRPr="00B40DC1">
        <w:t>或許，有可能之機率，係為35歲以上人口之中，未婚男性之身心狀態，有可能會比較穩定。因其為單身，故有可能較無家庭之經濟上重大負擔，無須教養小孩；35歲以上之單身男性，其工作之所得，可全部歸為自己所有，可購買不動產、動產、或進行其他投資，由於經濟上有所依靠，再加上心智有可能更加成熟、穩定，有可能具有較強的自控能力，作一名守法之民眾，而未從事重大犯罪(故意殺人犯罪+重傷犯罪+重大恐嚇取財犯罪+擄人勒贖犯罪+強盜搶奪犯罪+強制性交犯罪)。亦即，其從事重大指標犯罪(重大暴力犯罪)(故意殺人犯罪+重傷犯罪+重大恐嚇取財犯罪+擄人勒贖犯罪+強盜搶奪犯罪+強制性交犯罪)之機率，相對而論，或許，有可能相對較低一些。</w:t>
      </w:r>
    </w:p>
    <w:p w:rsidR="0049577B" w:rsidRPr="00B40DC1" w:rsidRDefault="000260C3" w:rsidP="000260C3">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下年度重大指標犯罪(重大暴力犯罪)。復次，無期徒刑亦無法有效地嚇阻(減少)下年度重大指標犯罪(重大暴力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0260C3">
      <w:pPr>
        <w:pStyle w:val="4"/>
        <w:rPr>
          <w:lang w:eastAsia="zh-TW"/>
        </w:rPr>
      </w:pPr>
      <w:r w:rsidRPr="00B40DC1">
        <w:rPr>
          <w:lang w:eastAsia="zh-TW"/>
        </w:rPr>
        <w:t>表60、影響下年度重大指標犯罪(重大暴力犯罪)</w:t>
      </w:r>
      <w:r w:rsidRPr="004B4ED9">
        <w:rPr>
          <w:rStyle w:val="af7"/>
          <w:rFonts w:eastAsia="新細明體"/>
          <w:sz w:val="20"/>
        </w:rPr>
        <w:footnoteReference w:id="313"/>
      </w:r>
      <w:r w:rsidRPr="004B4ED9">
        <w:rPr>
          <w:rFonts w:ascii="Arial Unicode MS" w:eastAsia="新細明體" w:hAnsi="Arial Unicode MS"/>
          <w:color w:val="FF6600"/>
          <w:sz w:val="20"/>
          <w:lang w:eastAsia="zh-TW"/>
        </w:rPr>
        <w:t>(</w:t>
      </w:r>
      <w:r w:rsidRPr="00B40DC1">
        <w:rPr>
          <w:lang w:eastAsia="zh-TW"/>
        </w:rPr>
        <w:t>1993年至2015年)相關因子(原因變項)之多元迴歸分析統計數據結果一覽表(本表係使用移除法之迴歸分析方式)</w:t>
      </w:r>
      <w:r w:rsidRPr="004B4ED9">
        <w:rPr>
          <w:rStyle w:val="af7"/>
          <w:rFonts w:eastAsia="新細明體"/>
          <w:sz w:val="20"/>
        </w:rPr>
        <w:footnoteReference w:id="31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4B4ED9">
        <w:trPr>
          <w:tblHeader/>
        </w:trPr>
        <w:tc>
          <w:tcPr>
            <w:tcW w:w="3936" w:type="dxa"/>
            <w:shd w:val="clear" w:color="auto" w:fill="FAF0FA"/>
            <w:vAlign w:val="center"/>
          </w:tcPr>
          <w:p w:rsidR="009214BE" w:rsidRDefault="0049577B" w:rsidP="000260C3">
            <w:pPr>
              <w:spacing w:line="240" w:lineRule="auto"/>
              <w:ind w:leftChars="0" w:left="0" w:rightChars="0" w:right="0"/>
              <w:jc w:val="center"/>
              <w:rPr>
                <w:sz w:val="24"/>
                <w:szCs w:val="24"/>
              </w:rPr>
            </w:pPr>
            <w:r w:rsidRPr="000260C3">
              <w:rPr>
                <w:sz w:val="24"/>
                <w:szCs w:val="24"/>
              </w:rPr>
              <w:t>多元迴歸分析統計數據</w:t>
            </w:r>
          </w:p>
          <w:p w:rsidR="0049577B" w:rsidRPr="000260C3" w:rsidRDefault="0049577B" w:rsidP="000260C3">
            <w:pPr>
              <w:spacing w:line="240" w:lineRule="auto"/>
              <w:ind w:leftChars="0" w:left="0" w:rightChars="0" w:right="0"/>
              <w:jc w:val="center"/>
              <w:rPr>
                <w:sz w:val="24"/>
                <w:szCs w:val="24"/>
              </w:rPr>
            </w:pPr>
            <w:r w:rsidRPr="000260C3">
              <w:rPr>
                <w:sz w:val="24"/>
                <w:szCs w:val="24"/>
              </w:rPr>
              <w:t>自變項(解釋因子，independent variable)之名稱</w:t>
            </w:r>
          </w:p>
        </w:tc>
        <w:tc>
          <w:tcPr>
            <w:tcW w:w="1946" w:type="dxa"/>
            <w:shd w:val="clear" w:color="auto" w:fill="FAF0FA"/>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標準化迴歸係數值(Beta)</w:t>
            </w:r>
          </w:p>
        </w:tc>
        <w:tc>
          <w:tcPr>
            <w:tcW w:w="1947" w:type="dxa"/>
            <w:shd w:val="clear" w:color="auto" w:fill="FAF0FA"/>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標準化迴歸係數值(Beta)之顯著度(水準)</w:t>
            </w:r>
          </w:p>
        </w:tc>
        <w:tc>
          <w:tcPr>
            <w:tcW w:w="1947" w:type="dxa"/>
            <w:shd w:val="clear" w:color="auto" w:fill="FAF0FA"/>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條件指標(CI)</w:t>
            </w:r>
            <w:r w:rsidR="003C1792" w:rsidRPr="000260C3">
              <w:rPr>
                <w:sz w:val="24"/>
                <w:szCs w:val="24"/>
              </w:rPr>
              <w:t>(</w:t>
            </w:r>
            <w:r w:rsidRPr="000260C3">
              <w:rPr>
                <w:sz w:val="24"/>
                <w:szCs w:val="24"/>
              </w:rPr>
              <w:t>檢視自變項是否有嚴重之共線問題)</w:t>
            </w: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X1：失業率(1992-2016年)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X2：結婚對數(1998-2013年)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X3： 35歲以上人口之中，男性未婚之比例</w:t>
            </w:r>
            <w:r w:rsidR="003C1792" w:rsidRPr="000260C3">
              <w:rPr>
                <w:sz w:val="24"/>
                <w:szCs w:val="24"/>
              </w:rPr>
              <w:t>(</w:t>
            </w:r>
            <w:r w:rsidRPr="000260C3">
              <w:rPr>
                <w:sz w:val="24"/>
                <w:szCs w:val="24"/>
              </w:rPr>
              <w:t>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-0.942</w:t>
            </w: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0.000</w:t>
            </w: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16.325</w:t>
            </w: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X4：離婚率(1998-2013年)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X5：GNI(平均每人國民所得毛額，以美元為單位)</w:t>
            </w:r>
            <w:r w:rsidR="003C1792" w:rsidRPr="000260C3">
              <w:rPr>
                <w:sz w:val="24"/>
                <w:szCs w:val="24"/>
              </w:rPr>
              <w:t>(</w:t>
            </w:r>
            <w:r w:rsidRPr="000260C3">
              <w:rPr>
                <w:sz w:val="24"/>
                <w:szCs w:val="24"/>
              </w:rPr>
              <w:t>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X6：低收入戶之家庭及就學生活補助金額(1998-2013年)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X7：緩刑比率(1998-2013年)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X8：無期徒刑之人數(1998-2013年)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X9：被執行死刑之人數(1992-2016年)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X10：當年度之全般刑案破獲率(1992-2016年)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0260C3">
        <w:tc>
          <w:tcPr>
            <w:tcW w:w="9776" w:type="dxa"/>
            <w:gridSpan w:val="4"/>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多元迴歸分析模型整體之R平方解釋量：0.880</w:t>
            </w:r>
          </w:p>
        </w:tc>
      </w:tr>
    </w:tbl>
    <w:p w:rsidR="0049577B" w:rsidRDefault="00817A92" w:rsidP="000260C3">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0260C3" w:rsidRPr="000260C3" w:rsidRDefault="000260C3" w:rsidP="000260C3">
      <w:pPr>
        <w:spacing w:line="240" w:lineRule="auto"/>
        <w:ind w:leftChars="0" w:left="0" w:rightChars="0" w:right="0"/>
      </w:pPr>
    </w:p>
    <w:p w:rsidR="0049577B" w:rsidRPr="00B40DC1" w:rsidRDefault="000260C3" w:rsidP="000260C3">
      <w:pPr>
        <w:spacing w:line="240" w:lineRule="auto"/>
        <w:ind w:leftChars="0" w:left="0" w:rightChars="0" w:right="0"/>
      </w:pPr>
      <w:r>
        <w:t xml:space="preserve">　　</w:t>
      </w:r>
      <w:r w:rsidR="0049577B" w:rsidRPr="00B40DC1">
        <w:t>由下表---影響下下年度重大指標犯罪(重大暴力犯罪)</w:t>
      </w:r>
      <w:r w:rsidR="0049577B" w:rsidRPr="000260C3">
        <w:rPr>
          <w:rStyle w:val="af7"/>
          <w:rFonts w:eastAsia="新細明體"/>
          <w:sz w:val="20"/>
        </w:rPr>
        <w:footnoteReference w:id="315"/>
      </w:r>
      <w:r w:rsidR="0049577B" w:rsidRPr="00B40DC1">
        <w:t>(1994年至2014年)相關因子(原因變項)之多元迴歸分析統計數據結果一覽表(本表係使用逐步回歸法之迴歸分析方式)之統計資料可得知，依變項為下下年度重大指標犯罪(重大暴力犯罪)，每提升失業率(1992-2016年)1個單位之標準差(1個標準單位)，則可減少0.174個單位之標準差(標準化迴歸係數值，Beta=-0.174)之下下年度重大指標犯罪(重大暴力犯罪)。有可能之成因，係失業者可請領失業補助金，「暫時地」解決其經濟困境，促使失業者未從事犯罪。</w:t>
      </w:r>
    </w:p>
    <w:p w:rsidR="0049577B" w:rsidRPr="00B40DC1" w:rsidRDefault="000260C3" w:rsidP="000260C3">
      <w:pPr>
        <w:spacing w:line="240" w:lineRule="auto"/>
        <w:ind w:leftChars="0" w:left="0" w:rightChars="0" w:right="0"/>
      </w:pPr>
      <w:r>
        <w:t xml:space="preserve">　　</w:t>
      </w:r>
      <w:r w:rsidR="0049577B" w:rsidRPr="00B40DC1">
        <w:t>在逐級年齡非正式社會控制理論(桑普森、勞伯，Sampson and laub)之中，桑普森、勞伯（1994）對格魯克夫婦（Sheldon and Elean Glueck）資料重新整理和分析而產生「逐級年齡非正式社會控制理論」，該理論可說是一般化犯罪理論的修正，認為兒童早期的生活經驗和個人的自我控制上差異，固可解釋偏差行為的變化，但個體日後的人生經驗的各個階段，非正式社會控制（家庭、學校、職業、婚姻等的附著，Sampson &amp; Laub稱之為社會資本）對個人是否從事犯行的影響仍是很重要的。其中最重要的轉折點是「婚姻」與「就業」。而家庭及學校非正式社會控制過程是解釋兒童及少年時期偏差行為的主要原因</w:t>
      </w:r>
      <w:r w:rsidR="0049577B" w:rsidRPr="000260C3">
        <w:rPr>
          <w:rStyle w:val="af7"/>
          <w:rFonts w:eastAsia="新細明體"/>
          <w:sz w:val="20"/>
        </w:rPr>
        <w:footnoteReference w:id="316"/>
      </w:r>
      <w:r w:rsidR="0049577B" w:rsidRPr="00B40DC1">
        <w:t>。本書之結論，則認為逐級年齡非正式社會控制理論所主張「就業」可降低犯罪部分，容有討論空間。在台灣，每提升失業率(1992-2016年)1個單位之標準差(1個標準單位)，則可減少0.174個單位之標準差(標準化迴歸係數值，Beta=-0.174)之下下年度重大指標犯罪(重大暴力犯罪)。</w:t>
      </w:r>
    </w:p>
    <w:p w:rsidR="0049577B" w:rsidRPr="00B40DC1" w:rsidRDefault="000260C3" w:rsidP="000260C3">
      <w:pPr>
        <w:spacing w:line="240" w:lineRule="auto"/>
        <w:ind w:leftChars="0" w:left="0" w:rightChars="0" w:right="0"/>
      </w:pPr>
      <w:r>
        <w:t xml:space="preserve">　　</w:t>
      </w:r>
      <w:r w:rsidR="0049577B" w:rsidRPr="00B40DC1">
        <w:t>每提升緩刑比率(1998-2013年)1個單位之標準差(1個標準單位)，則可增加0.885個單位之標準差(標準化迴歸係數值，Beta=+0.885)之下下年度重大指標犯罪(重大暴力犯罪)。</w:t>
      </w:r>
    </w:p>
    <w:p w:rsidR="0049577B" w:rsidRPr="00B40DC1" w:rsidRDefault="000260C3" w:rsidP="000260C3">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下下年度重大指標犯罪(重大暴力犯罪)。復次，無期徒刑亦無法有效地嚇阻(減少)下下年度重大指標犯罪(重大暴力犯罪)。</w:t>
      </w:r>
    </w:p>
    <w:p w:rsidR="0049577B" w:rsidRPr="00B40DC1" w:rsidRDefault="002031B1" w:rsidP="002031B1">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0260C3">
      <w:pPr>
        <w:pStyle w:val="4"/>
        <w:rPr>
          <w:lang w:eastAsia="zh-TW"/>
        </w:rPr>
      </w:pPr>
      <w:r w:rsidRPr="00B40DC1">
        <w:rPr>
          <w:lang w:eastAsia="zh-TW"/>
        </w:rPr>
        <w:t>表61、影響下下年度重大指標犯罪(重大暴力犯罪)</w:t>
      </w:r>
      <w:r w:rsidRPr="000260C3">
        <w:rPr>
          <w:rStyle w:val="af7"/>
          <w:rFonts w:eastAsia="新細明體"/>
          <w:sz w:val="20"/>
        </w:rPr>
        <w:footnoteReference w:id="317"/>
      </w:r>
      <w:r w:rsidRPr="00B40DC1">
        <w:rPr>
          <w:lang w:eastAsia="zh-TW"/>
        </w:rPr>
        <w:t>(1994年至2014年)相關因子(原因變項)之多元迴歸分析統計數據結果一覽表(本表係使用逐步回歸法之迴歸分析方式)</w:t>
      </w:r>
      <w:r w:rsidRPr="000260C3">
        <w:rPr>
          <w:rStyle w:val="af7"/>
          <w:rFonts w:eastAsia="新細明體"/>
          <w:sz w:val="20"/>
        </w:rPr>
        <w:footnoteReference w:id="31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4B4ED9">
        <w:trPr>
          <w:tblHeader/>
        </w:trPr>
        <w:tc>
          <w:tcPr>
            <w:tcW w:w="3936" w:type="dxa"/>
            <w:shd w:val="clear" w:color="auto" w:fill="EFFDFF"/>
            <w:vAlign w:val="center"/>
          </w:tcPr>
          <w:p w:rsidR="009214BE" w:rsidRDefault="0049577B" w:rsidP="000260C3">
            <w:pPr>
              <w:spacing w:line="240" w:lineRule="auto"/>
              <w:ind w:leftChars="0" w:left="0" w:rightChars="0" w:right="0"/>
              <w:jc w:val="center"/>
              <w:rPr>
                <w:sz w:val="24"/>
                <w:szCs w:val="24"/>
              </w:rPr>
            </w:pPr>
            <w:r w:rsidRPr="000260C3">
              <w:rPr>
                <w:sz w:val="24"/>
                <w:szCs w:val="24"/>
              </w:rPr>
              <w:t>多元迴歸分析統計數據</w:t>
            </w:r>
          </w:p>
          <w:p w:rsidR="0049577B" w:rsidRPr="000260C3" w:rsidRDefault="0049577B" w:rsidP="000260C3">
            <w:pPr>
              <w:spacing w:line="240" w:lineRule="auto"/>
              <w:ind w:leftChars="0" w:left="0" w:rightChars="0" w:right="0"/>
              <w:jc w:val="center"/>
              <w:rPr>
                <w:sz w:val="24"/>
                <w:szCs w:val="24"/>
              </w:rPr>
            </w:pPr>
            <w:r w:rsidRPr="000260C3">
              <w:rPr>
                <w:sz w:val="24"/>
                <w:szCs w:val="24"/>
              </w:rPr>
              <w:t>自變項(解釋因子，independent variable)之名稱</w:t>
            </w:r>
          </w:p>
        </w:tc>
        <w:tc>
          <w:tcPr>
            <w:tcW w:w="1946" w:type="dxa"/>
            <w:shd w:val="clear" w:color="auto" w:fill="EFFDFF"/>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標準化迴歸係數值(Beta)</w:t>
            </w:r>
          </w:p>
        </w:tc>
        <w:tc>
          <w:tcPr>
            <w:tcW w:w="1947" w:type="dxa"/>
            <w:shd w:val="clear" w:color="auto" w:fill="EFFDFF"/>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標準化迴歸係數值(Beta)之顯著度(水準)</w:t>
            </w:r>
          </w:p>
        </w:tc>
        <w:tc>
          <w:tcPr>
            <w:tcW w:w="1947" w:type="dxa"/>
            <w:shd w:val="clear" w:color="auto" w:fill="EFFDFF"/>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條件指標(CI)</w:t>
            </w:r>
            <w:r w:rsidR="003C1792" w:rsidRPr="000260C3">
              <w:rPr>
                <w:sz w:val="24"/>
                <w:szCs w:val="24"/>
              </w:rPr>
              <w:t>(</w:t>
            </w:r>
            <w:r w:rsidRPr="000260C3">
              <w:rPr>
                <w:sz w:val="24"/>
                <w:szCs w:val="24"/>
              </w:rPr>
              <w:t>檢視自變項是否有嚴重之共線問題)</w:t>
            </w: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X1：失業率(1992-2016年)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-0.174</w:t>
            </w: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0.048</w:t>
            </w: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13.652</w:t>
            </w: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X2：結婚對數(1998-2013年)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X3： 35歲以上人口之中，男性未婚之比例</w:t>
            </w:r>
            <w:r w:rsidR="003C1792" w:rsidRPr="000260C3">
              <w:rPr>
                <w:sz w:val="24"/>
                <w:szCs w:val="24"/>
              </w:rPr>
              <w:t>(</w:t>
            </w:r>
            <w:r w:rsidRPr="000260C3">
              <w:rPr>
                <w:sz w:val="24"/>
                <w:szCs w:val="24"/>
              </w:rPr>
              <w:t>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X4：離婚率(1998-2013年)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X5：GNI(平均每人國民所得毛額，以美元為單位)</w:t>
            </w:r>
            <w:r w:rsidR="003C1792" w:rsidRPr="000260C3">
              <w:rPr>
                <w:sz w:val="24"/>
                <w:szCs w:val="24"/>
              </w:rPr>
              <w:t>(</w:t>
            </w:r>
            <w:r w:rsidRPr="000260C3">
              <w:rPr>
                <w:sz w:val="24"/>
                <w:szCs w:val="24"/>
              </w:rPr>
              <w:t>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X6：低收入戶之家庭及就學生活補助金額(1998-2013年)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X7：緩刑比率(1998-2013年)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0.885</w:t>
            </w: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0.000</w:t>
            </w: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5.221</w:t>
            </w: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X8：無期徒刑之人數(1998-2013年)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X9：被執行死刑之人數(1992-2016年)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4B4ED9">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X10：當年度之全般刑案破獲率(1992-2016年)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0260C3">
        <w:tc>
          <w:tcPr>
            <w:tcW w:w="9776" w:type="dxa"/>
            <w:gridSpan w:val="4"/>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多元迴歸分析模型整體之R平方解釋量：0.918</w:t>
            </w:r>
          </w:p>
        </w:tc>
      </w:tr>
    </w:tbl>
    <w:p w:rsidR="0049577B" w:rsidRPr="00B40DC1" w:rsidRDefault="00817A92" w:rsidP="000260C3">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0260C3" w:rsidRDefault="0049577B" w:rsidP="000260C3">
      <w:pPr>
        <w:spacing w:line="240" w:lineRule="auto"/>
        <w:ind w:leftChars="0" w:left="0" w:rightChars="0" w:right="0"/>
      </w:pPr>
    </w:p>
    <w:p w:rsidR="0049577B" w:rsidRPr="00B40DC1" w:rsidRDefault="000260C3" w:rsidP="000260C3">
      <w:pPr>
        <w:spacing w:line="240" w:lineRule="auto"/>
        <w:ind w:leftChars="0" w:left="0" w:rightChars="0" w:right="0"/>
      </w:pPr>
      <w:r>
        <w:t xml:space="preserve">　　</w:t>
      </w:r>
      <w:r w:rsidR="0049577B" w:rsidRPr="00B40DC1">
        <w:t>由下表---影響下下年度重大指標犯罪(重大暴力犯罪)</w:t>
      </w:r>
      <w:r w:rsidR="0049577B" w:rsidRPr="000260C3">
        <w:rPr>
          <w:rStyle w:val="af7"/>
          <w:rFonts w:eastAsia="新細明體"/>
          <w:sz w:val="20"/>
        </w:rPr>
        <w:footnoteReference w:id="319"/>
      </w:r>
      <w:r w:rsidR="0049577B" w:rsidRPr="00B40DC1">
        <w:t>(1994年至2014年)相關因子(原因變項)之多元迴歸分析統計數據結果一覽表(本表係使用強迫進入法之迴歸分析方式)之統計資料可得知，依變項為下下年度重大指標犯罪(重大暴力犯罪)，每提升結婚對數(1998-2013年)1個單位之標準差(1個標準單位)，則可增加0.297個單位之標準差(標準化迴歸係數值，Beta=+0.297)之下下年度重大指標犯罪(重大暴力犯罪)。</w:t>
      </w:r>
    </w:p>
    <w:p w:rsidR="0049577B" w:rsidRPr="00B40DC1" w:rsidRDefault="0049577B" w:rsidP="000260C3">
      <w:pPr>
        <w:spacing w:line="240" w:lineRule="auto"/>
        <w:ind w:leftChars="0" w:left="0" w:rightChars="0" w:right="0"/>
      </w:pPr>
      <w:r w:rsidRPr="00B40DC1">
        <w:t>傳統上，犯罪學之理論</w:t>
      </w:r>
      <w:r w:rsidRPr="000260C3">
        <w:rPr>
          <w:rStyle w:val="af7"/>
          <w:rFonts w:eastAsia="新細明體"/>
          <w:sz w:val="20"/>
        </w:rPr>
        <w:footnoteReference w:id="320"/>
      </w:r>
      <w:r w:rsidRPr="00B40DC1">
        <w:t>，大約分為一、魔鬼附身說；二、自然說。自然說之中，約可以分為以下之三大學派：(一)、自由意志與理性選擇理論；(二)、實證學派；(三)、批判學派。</w:t>
      </w:r>
    </w:p>
    <w:p w:rsidR="0049577B" w:rsidRPr="00B40DC1" w:rsidRDefault="000260C3" w:rsidP="000260C3">
      <w:pPr>
        <w:spacing w:line="240" w:lineRule="auto"/>
        <w:ind w:leftChars="0" w:left="0" w:rightChars="0" w:right="0"/>
      </w:pPr>
      <w:r>
        <w:t xml:space="preserve">　　</w:t>
      </w:r>
      <w:r w:rsidR="0049577B" w:rsidRPr="00B40DC1">
        <w:t>在自由意志與理性選擇理論之中，約可再加以細分為：1.古典學派；2.新古典學派；3.理性選擇理論(從1970年代迄今，理性選擇理論共分為：(1)日常活動理論(Cohen and Felson)。(2)生活型態/暴露理論(Hindelang)。(3)情境犯罪預防理論(Clarke)。(4)現代新古典學派(一般威嚇主義、特殊威嚇(Wilson)、隔離主義、公平報應主義)。(5)明恥整合理論(Braithwaite))。在實證學派之中，約可再加以細分為：1</w:t>
      </w:r>
      <w:r w:rsidR="003C1792">
        <w:t>.</w:t>
      </w:r>
      <w:r w:rsidR="0049577B" w:rsidRPr="00B40DC1">
        <w:t>犯罪生物學；2.犯罪心理學(心理分析理論、認知理論、社會學習理論、生物心理學)；3.犯罪社會學，犯罪社會學包括</w:t>
      </w:r>
      <w:r w:rsidR="0049577B" w:rsidRPr="000260C3">
        <w:rPr>
          <w:rStyle w:val="af7"/>
          <w:rFonts w:eastAsia="新細明體"/>
          <w:sz w:val="20"/>
        </w:rPr>
        <w:footnoteReference w:id="321"/>
      </w:r>
      <w:r w:rsidR="0049577B" w:rsidRPr="00B40DC1">
        <w:t>：(1)控制理論；(2)犯罪副文化；(3)緊張理論</w:t>
      </w:r>
      <w:r w:rsidR="0049577B" w:rsidRPr="000260C3">
        <w:rPr>
          <w:rStyle w:val="af7"/>
          <w:rFonts w:eastAsia="新細明體"/>
          <w:sz w:val="20"/>
        </w:rPr>
        <w:footnoteReference w:id="322"/>
      </w:r>
      <w:r w:rsidR="0049577B" w:rsidRPr="00B40DC1">
        <w:t>。</w:t>
      </w:r>
    </w:p>
    <w:p w:rsidR="003C1792" w:rsidRDefault="000260C3" w:rsidP="000260C3">
      <w:pPr>
        <w:spacing w:line="240" w:lineRule="auto"/>
        <w:ind w:leftChars="0" w:left="0" w:rightChars="0" w:right="0"/>
      </w:pPr>
      <w:r>
        <w:t xml:space="preserve">　　</w:t>
      </w:r>
      <w:r w:rsidR="0049577B" w:rsidRPr="00B40DC1">
        <w:t>在批判學派之中，約可再加以細分為</w:t>
      </w:r>
      <w:r w:rsidR="0049577B" w:rsidRPr="000260C3">
        <w:rPr>
          <w:rStyle w:val="af7"/>
          <w:rFonts w:eastAsia="新細明體"/>
          <w:sz w:val="20"/>
        </w:rPr>
        <w:footnoteReference w:id="323"/>
      </w:r>
      <w:r w:rsidR="0049577B" w:rsidRPr="00B40DC1">
        <w:t>：1.標韱理論；2.馬克斯理論</w:t>
      </w:r>
      <w:r w:rsidR="0049577B" w:rsidRPr="000260C3">
        <w:rPr>
          <w:rStyle w:val="af7"/>
          <w:rFonts w:eastAsia="新細明體"/>
          <w:sz w:val="20"/>
        </w:rPr>
        <w:footnoteReference w:id="324"/>
      </w:r>
      <w:r w:rsidR="0049577B" w:rsidRPr="00B40DC1">
        <w:t>；3.衝突犯罪理論，包括：(1)衝突理論；(2)衝突與犯罪；(3)犯罪的社會現實；(4)犯罪與法秩序；4.和平建構理論</w:t>
      </w:r>
      <w:r w:rsidR="0049577B" w:rsidRPr="000260C3">
        <w:rPr>
          <w:rStyle w:val="af7"/>
          <w:rFonts w:eastAsia="新細明體"/>
          <w:sz w:val="20"/>
        </w:rPr>
        <w:footnoteReference w:id="325"/>
      </w:r>
      <w:r w:rsidR="0049577B" w:rsidRPr="00B40DC1">
        <w:t>；5.解構論</w:t>
      </w:r>
      <w:r w:rsidR="0049577B" w:rsidRPr="000260C3">
        <w:rPr>
          <w:rStyle w:val="af7"/>
          <w:rFonts w:eastAsia="新細明體"/>
          <w:sz w:val="20"/>
        </w:rPr>
        <w:footnoteReference w:id="326"/>
      </w:r>
      <w:r w:rsidR="0049577B" w:rsidRPr="00B40DC1">
        <w:t xml:space="preserve">。 </w:t>
      </w:r>
    </w:p>
    <w:p w:rsidR="0049577B" w:rsidRPr="00B40DC1" w:rsidRDefault="000260C3" w:rsidP="000260C3">
      <w:pPr>
        <w:spacing w:line="240" w:lineRule="auto"/>
        <w:ind w:leftChars="0" w:left="0" w:rightChars="0" w:right="0"/>
      </w:pPr>
      <w:r>
        <w:t xml:space="preserve">　　</w:t>
      </w:r>
      <w:r w:rsidR="0049577B" w:rsidRPr="00B40DC1">
        <w:t>再者，在解釋被害者學「總論」之理論方面，計有以下常用之理論</w:t>
      </w:r>
      <w:r w:rsidR="0049577B" w:rsidRPr="000260C3">
        <w:rPr>
          <w:rStyle w:val="af7"/>
          <w:rFonts w:eastAsia="新細明體"/>
          <w:sz w:val="20"/>
        </w:rPr>
        <w:footnoteReference w:id="327"/>
      </w:r>
      <w:r w:rsidR="0049577B" w:rsidRPr="00B40DC1">
        <w:t>：1.生活方式暴露理論；2.日常活動理論；3.個人被害因素理論；4</w:t>
      </w:r>
      <w:r w:rsidR="0049577B" w:rsidRPr="00B40DC1">
        <w:tab/>
        <w:t>.暴力循環論(暴力循環三階段論)；5.無助學習理論；6.一般系統理論；7.特質論：8.防衛空間理論：可分為：(1)領域感。(2)自然監控。(3)建築物外觀與環境。(4)鄰接區域之安全性。</w:t>
      </w:r>
    </w:p>
    <w:p w:rsidR="0049577B" w:rsidRPr="00B40DC1" w:rsidRDefault="002031B1" w:rsidP="000260C3">
      <w:pPr>
        <w:spacing w:line="240" w:lineRule="auto"/>
        <w:ind w:leftChars="0" w:left="0" w:rightChars="0" w:right="0"/>
      </w:pPr>
      <w:r>
        <w:t xml:space="preserve">　　</w:t>
      </w:r>
      <w:r w:rsidR="0049577B" w:rsidRPr="00B40DC1">
        <w:t>再者，涉及解釋被害者學「各論」之理論方面，計有以下常用之理論</w:t>
      </w:r>
      <w:r w:rsidR="0049577B" w:rsidRPr="000260C3">
        <w:rPr>
          <w:rStyle w:val="af7"/>
          <w:rFonts w:eastAsia="新細明體"/>
          <w:sz w:val="20"/>
        </w:rPr>
        <w:footnoteReference w:id="328"/>
      </w:r>
      <w:r w:rsidR="0049577B" w:rsidRPr="00B40DC1">
        <w:t>：在解釋殺人被害理論方面，計有以下常用之理論：1.憤怒攻擊論。2.挫折攻擊論。3.角色互動論。在解釋性傷害被害理論方面，計有以下常用之理論：1、性別歧視論。2、暴力容許論。3、色情傳播感染論。4、社會解組論。在解釋性騷擾被害理論方面，計有以下常用之理論：1、人格心理學理論。2、社會心理學理論。3、組織心理學理論。</w:t>
      </w:r>
    </w:p>
    <w:p w:rsidR="0049577B" w:rsidRPr="00B40DC1" w:rsidRDefault="000260C3" w:rsidP="000260C3">
      <w:pPr>
        <w:spacing w:line="240" w:lineRule="auto"/>
        <w:ind w:leftChars="0" w:left="0" w:rightChars="0" w:right="0"/>
      </w:pPr>
      <w:r>
        <w:t xml:space="preserve">　　</w:t>
      </w:r>
      <w:r w:rsidR="0049577B" w:rsidRPr="00B40DC1">
        <w:t>在解釋婚姻暴力被害理論方面，計有以下常用之理論：1.個人內在因素論。2.家庭結構因素論。3.父權論。4.無助學習論。5.暴力循環論。6.整合論。7.創傷融合論。在解釋兒童被虐待被害理論方面，計有以下常用之理論：1、個人內在因素論。2、社會文化論。3、社會學習論。在解釋竊盜被害理論方面，計有以下常用之理論：1、機會論。2、被害因素論。3、日常活動理論。4、警察真空論。5、防衛空間論。在解釋老人被害理論方面，計有以下常用之理論：1、個人內在因素論。2、外在情境因素論。3、符號互動論。4、社會交換理論。5、社會態度論。在解釋被害者補償理論方面，計有以下常用之理論：1、國家責任論。2、宿命論。3、社會福利論。4、社會契約論。5、政治利益論。6、社會防衛論。7、司法改革論。</w:t>
      </w:r>
    </w:p>
    <w:p w:rsidR="0049577B" w:rsidRPr="00B40DC1" w:rsidRDefault="00664AD3" w:rsidP="000260C3">
      <w:pPr>
        <w:spacing w:line="240" w:lineRule="auto"/>
        <w:ind w:leftChars="0" w:left="0" w:rightChars="0" w:right="0"/>
      </w:pPr>
      <w:r>
        <w:t xml:space="preserve">　　</w:t>
      </w:r>
      <w:r w:rsidR="0049577B" w:rsidRPr="00B40DC1">
        <w:t>復次，在解釋少年犯罪理論方面，計有以下常用之理論</w:t>
      </w:r>
      <w:r w:rsidR="0049577B" w:rsidRPr="000260C3">
        <w:rPr>
          <w:rStyle w:val="af7"/>
          <w:rFonts w:eastAsia="新細明體"/>
          <w:sz w:val="20"/>
        </w:rPr>
        <w:footnoteReference w:id="329"/>
      </w:r>
      <w:r w:rsidR="0049577B" w:rsidRPr="00B40DC1">
        <w:t>：一、生物學。二、心理學。三、社會學。四、科技整合。其中之少年犯罪社會學理論，可再細分為：1、社會結構理論。 2、社會過程理論。3、社會反應與衝突理論。</w:t>
      </w:r>
    </w:p>
    <w:p w:rsidR="0049577B" w:rsidRPr="00B40DC1" w:rsidRDefault="00664AD3" w:rsidP="000260C3">
      <w:pPr>
        <w:spacing w:line="240" w:lineRule="auto"/>
        <w:ind w:leftChars="0" w:left="0" w:rightChars="0" w:right="0"/>
      </w:pPr>
      <w:r>
        <w:t xml:space="preserve">　　</w:t>
      </w:r>
      <w:r w:rsidR="0049577B" w:rsidRPr="00B40DC1">
        <w:t>以上相關之犯罪學與被害者學之理論與學派</w:t>
      </w:r>
      <w:r w:rsidR="0049577B" w:rsidRPr="000260C3">
        <w:rPr>
          <w:rStyle w:val="af7"/>
          <w:rFonts w:eastAsia="新細明體"/>
          <w:sz w:val="20"/>
        </w:rPr>
        <w:footnoteReference w:id="330"/>
      </w:r>
      <w:r w:rsidR="0049577B" w:rsidRPr="00B40DC1">
        <w:t>，在討論犯罪成因之自變項方面，鮮少探討GNI(平均每人國民所得毛額，以美元為單位)對於犯罪成因之影響，這是相當可惜之處。馬克斯犯罪理論(由龐格所提倡)主張：財富數量本身不會影響犯罪，而是其分配均勻與否，才會影響犯罪。此種之論點，亦非正確與無誤。</w:t>
      </w:r>
    </w:p>
    <w:p w:rsidR="0049577B" w:rsidRPr="00B40DC1" w:rsidRDefault="00664AD3" w:rsidP="000260C3">
      <w:pPr>
        <w:spacing w:line="240" w:lineRule="auto"/>
        <w:ind w:leftChars="0" w:left="0" w:rightChars="0" w:right="0"/>
      </w:pPr>
      <w:r>
        <w:t xml:space="preserve">　　</w:t>
      </w:r>
      <w:r w:rsidR="0049577B" w:rsidRPr="00B40DC1">
        <w:t>根據本書之實證統計分析結果，每提升GNI(平均每人國民所得毛額，以美元為單位)</w:t>
      </w:r>
      <w:r w:rsidR="003C1792">
        <w:t>(</w:t>
      </w:r>
      <w:r w:rsidR="0049577B" w:rsidRPr="00B40DC1">
        <w:t>1992-2016年)1個單位之標準差(1個標準單位)，則可減少0.754個單位之標準差(標準化迴歸係數值，Beta=-0.754)之下下年度重大指標犯罪(重大暴力犯罪)。財富數量本身之多寡，係會影響犯罪之發生。大幅提升GNI(平均每人國民所得毛額，以美元為單位)，可有效地降低下下年度重大指標犯罪(重大暴力犯罪)之發生。</w:t>
      </w:r>
    </w:p>
    <w:p w:rsidR="0049577B" w:rsidRPr="00B40DC1" w:rsidRDefault="0049577B" w:rsidP="000260C3">
      <w:pPr>
        <w:spacing w:line="240" w:lineRule="auto"/>
        <w:ind w:leftChars="0" w:left="0" w:rightChars="0" w:right="0"/>
      </w:pPr>
      <w:r w:rsidRPr="00B40DC1">
        <w:t>另外，就本書特別加以關注之死刑是否能有效地嚇阻(減少)犯罪之發生而論，根據本表之資料可得知，執行死刑無法有效地嚇阻(減少)下下年度重大指標犯罪(重大暴力犯罪)。復次，無期徒刑亦無法有效地嚇阻(減少)下下年度重大指標犯罪(重大暴力犯罪)。</w:t>
      </w:r>
    </w:p>
    <w:p w:rsidR="0049577B" w:rsidRPr="00B40DC1" w:rsidRDefault="002031B1" w:rsidP="002031B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664AD3" w:rsidRDefault="0049577B" w:rsidP="00E736D6">
      <w:pPr>
        <w:pStyle w:val="4"/>
        <w:rPr>
          <w:lang w:eastAsia="zh-TW"/>
        </w:rPr>
      </w:pPr>
      <w:r w:rsidRPr="00664AD3">
        <w:rPr>
          <w:lang w:eastAsia="zh-TW"/>
        </w:rPr>
        <w:t>表62、影響下下年度重大指標犯罪(重大暴力犯罪)</w:t>
      </w:r>
      <w:r w:rsidRPr="000260C3">
        <w:rPr>
          <w:rStyle w:val="af7"/>
          <w:rFonts w:eastAsia="新細明體"/>
          <w:b w:val="0"/>
          <w:sz w:val="20"/>
        </w:rPr>
        <w:footnoteReference w:id="331"/>
      </w:r>
      <w:r w:rsidRPr="00664AD3">
        <w:rPr>
          <w:lang w:eastAsia="zh-TW"/>
        </w:rPr>
        <w:t>(1994年至2014年)相關因子(原因變項)之多元迴歸分析統計數據結果一覽表(本表係使用強迫進入法之迴歸分析方式)</w:t>
      </w:r>
      <w:r w:rsidRPr="000260C3">
        <w:rPr>
          <w:rStyle w:val="af7"/>
          <w:rFonts w:eastAsia="新細明體"/>
          <w:b w:val="0"/>
          <w:sz w:val="20"/>
        </w:rPr>
        <w:footnoteReference w:id="332"/>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984"/>
        <w:gridCol w:w="1984"/>
        <w:gridCol w:w="1985"/>
      </w:tblGrid>
      <w:tr w:rsidR="0049577B" w:rsidRPr="00B40DC1" w:rsidTr="002031B1">
        <w:trPr>
          <w:tblHeader/>
        </w:trPr>
        <w:tc>
          <w:tcPr>
            <w:tcW w:w="3823" w:type="dxa"/>
            <w:shd w:val="clear" w:color="auto" w:fill="FAF0FA"/>
            <w:vAlign w:val="center"/>
          </w:tcPr>
          <w:p w:rsidR="009214BE" w:rsidRDefault="0049577B" w:rsidP="009214BE">
            <w:pPr>
              <w:spacing w:line="240" w:lineRule="auto"/>
              <w:ind w:leftChars="0" w:left="0" w:rightChars="0" w:right="0"/>
              <w:jc w:val="center"/>
              <w:rPr>
                <w:sz w:val="24"/>
                <w:szCs w:val="24"/>
              </w:rPr>
            </w:pPr>
            <w:r w:rsidRPr="000260C3">
              <w:rPr>
                <w:sz w:val="24"/>
                <w:szCs w:val="24"/>
              </w:rPr>
              <w:t>多元迴歸分析統計數據</w:t>
            </w:r>
          </w:p>
          <w:p w:rsidR="0049577B" w:rsidRPr="000260C3" w:rsidRDefault="0049577B" w:rsidP="009214BE">
            <w:pPr>
              <w:spacing w:line="240" w:lineRule="auto"/>
              <w:ind w:leftChars="0" w:left="0" w:rightChars="0" w:right="0"/>
              <w:jc w:val="center"/>
              <w:rPr>
                <w:sz w:val="24"/>
                <w:szCs w:val="24"/>
              </w:rPr>
            </w:pPr>
            <w:r w:rsidRPr="000260C3">
              <w:rPr>
                <w:sz w:val="24"/>
                <w:szCs w:val="24"/>
              </w:rPr>
              <w:t>自變項(解釋因子，independent variable)之名稱</w:t>
            </w:r>
          </w:p>
        </w:tc>
        <w:tc>
          <w:tcPr>
            <w:tcW w:w="1984" w:type="dxa"/>
            <w:shd w:val="clear" w:color="auto" w:fill="FAF0FA"/>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標準化迴歸係數值(Beta)</w:t>
            </w:r>
          </w:p>
        </w:tc>
        <w:tc>
          <w:tcPr>
            <w:tcW w:w="1984" w:type="dxa"/>
            <w:shd w:val="clear" w:color="auto" w:fill="FAF0FA"/>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標準化迴歸係數值(Beta)之顯著度(水準)</w:t>
            </w:r>
          </w:p>
        </w:tc>
        <w:tc>
          <w:tcPr>
            <w:tcW w:w="1985" w:type="dxa"/>
            <w:shd w:val="clear" w:color="auto" w:fill="FAF0FA"/>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條件指標(CI)</w:t>
            </w:r>
            <w:r w:rsidR="003C1792" w:rsidRPr="000260C3">
              <w:rPr>
                <w:sz w:val="24"/>
                <w:szCs w:val="24"/>
              </w:rPr>
              <w:t>(</w:t>
            </w:r>
            <w:r w:rsidRPr="000260C3">
              <w:rPr>
                <w:sz w:val="24"/>
                <w:szCs w:val="24"/>
              </w:rPr>
              <w:t>檢視自變項是否有嚴重之共線問題)</w:t>
            </w:r>
          </w:p>
        </w:tc>
      </w:tr>
      <w:tr w:rsidR="0049577B" w:rsidRPr="00B40DC1" w:rsidTr="00F478DC">
        <w:tc>
          <w:tcPr>
            <w:tcW w:w="3823"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X1：失業率(1992-2016年)</w:t>
            </w:r>
          </w:p>
        </w:tc>
        <w:tc>
          <w:tcPr>
            <w:tcW w:w="1984"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r w:rsidRPr="000260C3">
              <w:rPr>
                <w:sz w:val="24"/>
                <w:szCs w:val="24"/>
              </w:rPr>
              <w:t>-0.003</w:t>
            </w:r>
          </w:p>
        </w:tc>
        <w:tc>
          <w:tcPr>
            <w:tcW w:w="1984"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r w:rsidRPr="000260C3">
              <w:rPr>
                <w:sz w:val="24"/>
                <w:szCs w:val="24"/>
              </w:rPr>
              <w:t>0.983</w:t>
            </w:r>
          </w:p>
        </w:tc>
        <w:tc>
          <w:tcPr>
            <w:tcW w:w="1985"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r w:rsidRPr="000260C3">
              <w:rPr>
                <w:sz w:val="24"/>
                <w:szCs w:val="24"/>
              </w:rPr>
              <w:t>6.956</w:t>
            </w:r>
          </w:p>
        </w:tc>
      </w:tr>
      <w:tr w:rsidR="0049577B" w:rsidRPr="00B40DC1" w:rsidTr="00F478DC">
        <w:tc>
          <w:tcPr>
            <w:tcW w:w="3823"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X2：結婚對數(1998-2013年)</w:t>
            </w:r>
          </w:p>
        </w:tc>
        <w:tc>
          <w:tcPr>
            <w:tcW w:w="1984"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r w:rsidRPr="000260C3">
              <w:rPr>
                <w:sz w:val="24"/>
                <w:szCs w:val="24"/>
              </w:rPr>
              <w:t>0.297</w:t>
            </w:r>
          </w:p>
        </w:tc>
        <w:tc>
          <w:tcPr>
            <w:tcW w:w="1984"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r w:rsidRPr="000260C3">
              <w:rPr>
                <w:sz w:val="24"/>
                <w:szCs w:val="24"/>
              </w:rPr>
              <w:t>0.043</w:t>
            </w:r>
          </w:p>
        </w:tc>
        <w:tc>
          <w:tcPr>
            <w:tcW w:w="1985"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r w:rsidRPr="000260C3">
              <w:rPr>
                <w:sz w:val="24"/>
                <w:szCs w:val="24"/>
              </w:rPr>
              <w:t>11.558</w:t>
            </w:r>
          </w:p>
        </w:tc>
      </w:tr>
      <w:tr w:rsidR="0049577B" w:rsidRPr="00B40DC1" w:rsidTr="00F478DC">
        <w:tc>
          <w:tcPr>
            <w:tcW w:w="3823"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X3： 35歲以上人口之中，男性未婚之比例</w:t>
            </w:r>
            <w:r w:rsidR="003C1792" w:rsidRPr="000260C3">
              <w:rPr>
                <w:sz w:val="24"/>
                <w:szCs w:val="24"/>
              </w:rPr>
              <w:t>(</w:t>
            </w:r>
            <w:r w:rsidRPr="000260C3">
              <w:rPr>
                <w:sz w:val="24"/>
                <w:szCs w:val="24"/>
              </w:rPr>
              <w:t>1998-2013年)</w:t>
            </w:r>
          </w:p>
        </w:tc>
        <w:tc>
          <w:tcPr>
            <w:tcW w:w="1984"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p>
        </w:tc>
        <w:tc>
          <w:tcPr>
            <w:tcW w:w="1984"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p>
        </w:tc>
        <w:tc>
          <w:tcPr>
            <w:tcW w:w="1985"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p>
        </w:tc>
      </w:tr>
      <w:tr w:rsidR="0049577B" w:rsidRPr="00B40DC1" w:rsidTr="00F478DC">
        <w:tc>
          <w:tcPr>
            <w:tcW w:w="3823"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X4：離婚率(1998-2013年)</w:t>
            </w:r>
          </w:p>
        </w:tc>
        <w:tc>
          <w:tcPr>
            <w:tcW w:w="1984"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p>
        </w:tc>
        <w:tc>
          <w:tcPr>
            <w:tcW w:w="1984"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p>
        </w:tc>
        <w:tc>
          <w:tcPr>
            <w:tcW w:w="1985"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p>
        </w:tc>
      </w:tr>
      <w:tr w:rsidR="0049577B" w:rsidRPr="00B40DC1" w:rsidTr="00F478DC">
        <w:tc>
          <w:tcPr>
            <w:tcW w:w="3823"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X5：GNI(平均每人國民所得毛額，以美元為單位)</w:t>
            </w:r>
            <w:r w:rsidR="003C1792" w:rsidRPr="000260C3">
              <w:rPr>
                <w:sz w:val="24"/>
                <w:szCs w:val="24"/>
              </w:rPr>
              <w:t>(</w:t>
            </w:r>
            <w:r w:rsidRPr="000260C3">
              <w:rPr>
                <w:sz w:val="24"/>
                <w:szCs w:val="24"/>
              </w:rPr>
              <w:t>1992-2016年)</w:t>
            </w:r>
          </w:p>
        </w:tc>
        <w:tc>
          <w:tcPr>
            <w:tcW w:w="1984"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r w:rsidRPr="000260C3">
              <w:rPr>
                <w:sz w:val="24"/>
                <w:szCs w:val="24"/>
              </w:rPr>
              <w:t>-0.754</w:t>
            </w:r>
          </w:p>
        </w:tc>
        <w:tc>
          <w:tcPr>
            <w:tcW w:w="1984"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r w:rsidRPr="000260C3">
              <w:rPr>
                <w:sz w:val="24"/>
                <w:szCs w:val="24"/>
              </w:rPr>
              <w:t>0.000</w:t>
            </w:r>
          </w:p>
        </w:tc>
        <w:tc>
          <w:tcPr>
            <w:tcW w:w="1985" w:type="dxa"/>
            <w:shd w:val="clear" w:color="auto" w:fill="auto"/>
            <w:vAlign w:val="center"/>
          </w:tcPr>
          <w:p w:rsidR="0049577B" w:rsidRPr="000260C3" w:rsidRDefault="0049577B" w:rsidP="00F478DC">
            <w:pPr>
              <w:spacing w:line="240" w:lineRule="auto"/>
              <w:ind w:leftChars="0" w:left="0" w:rightChars="0" w:right="0"/>
              <w:jc w:val="center"/>
              <w:rPr>
                <w:sz w:val="24"/>
                <w:szCs w:val="24"/>
              </w:rPr>
            </w:pPr>
            <w:r w:rsidRPr="000260C3">
              <w:rPr>
                <w:sz w:val="24"/>
                <w:szCs w:val="24"/>
              </w:rPr>
              <w:t>28.124</w:t>
            </w:r>
          </w:p>
        </w:tc>
      </w:tr>
      <w:tr w:rsidR="0049577B" w:rsidRPr="00B40DC1" w:rsidTr="002031B1">
        <w:tc>
          <w:tcPr>
            <w:tcW w:w="3823"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X6：低收入戶之家庭及就學生活補助金額(1998-2013年)</w:t>
            </w:r>
          </w:p>
        </w:tc>
        <w:tc>
          <w:tcPr>
            <w:tcW w:w="1984" w:type="dxa"/>
            <w:shd w:val="clear" w:color="auto" w:fill="auto"/>
            <w:vAlign w:val="center"/>
          </w:tcPr>
          <w:p w:rsidR="0049577B" w:rsidRPr="000260C3" w:rsidRDefault="0049577B" w:rsidP="000260C3">
            <w:pPr>
              <w:spacing w:line="240" w:lineRule="auto"/>
              <w:ind w:leftChars="0" w:left="0" w:rightChars="0" w:right="0"/>
              <w:rPr>
                <w:sz w:val="24"/>
                <w:szCs w:val="24"/>
              </w:rPr>
            </w:pPr>
          </w:p>
        </w:tc>
        <w:tc>
          <w:tcPr>
            <w:tcW w:w="1984" w:type="dxa"/>
            <w:shd w:val="clear" w:color="auto" w:fill="auto"/>
            <w:vAlign w:val="center"/>
          </w:tcPr>
          <w:p w:rsidR="0049577B" w:rsidRPr="000260C3" w:rsidRDefault="0049577B" w:rsidP="000260C3">
            <w:pPr>
              <w:spacing w:line="240" w:lineRule="auto"/>
              <w:ind w:leftChars="0" w:left="0" w:rightChars="0" w:right="0"/>
              <w:rPr>
                <w:sz w:val="24"/>
                <w:szCs w:val="24"/>
              </w:rPr>
            </w:pPr>
          </w:p>
        </w:tc>
        <w:tc>
          <w:tcPr>
            <w:tcW w:w="1985" w:type="dxa"/>
            <w:shd w:val="clear" w:color="auto" w:fill="auto"/>
            <w:vAlign w:val="center"/>
          </w:tcPr>
          <w:p w:rsidR="0049577B" w:rsidRPr="000260C3" w:rsidRDefault="0049577B" w:rsidP="000260C3">
            <w:pPr>
              <w:spacing w:line="240" w:lineRule="auto"/>
              <w:ind w:leftChars="0" w:left="0" w:rightChars="0" w:right="0"/>
              <w:rPr>
                <w:sz w:val="24"/>
                <w:szCs w:val="24"/>
              </w:rPr>
            </w:pPr>
          </w:p>
        </w:tc>
      </w:tr>
      <w:tr w:rsidR="0049577B" w:rsidRPr="00B40DC1" w:rsidTr="002031B1">
        <w:tc>
          <w:tcPr>
            <w:tcW w:w="3823"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X7：緩刑比率(1998-2013年)</w:t>
            </w:r>
          </w:p>
        </w:tc>
        <w:tc>
          <w:tcPr>
            <w:tcW w:w="1984" w:type="dxa"/>
            <w:shd w:val="clear" w:color="auto" w:fill="auto"/>
            <w:vAlign w:val="center"/>
          </w:tcPr>
          <w:p w:rsidR="0049577B" w:rsidRPr="000260C3" w:rsidRDefault="0049577B" w:rsidP="000260C3">
            <w:pPr>
              <w:spacing w:line="240" w:lineRule="auto"/>
              <w:ind w:leftChars="0" w:left="0" w:rightChars="0" w:right="0"/>
              <w:rPr>
                <w:sz w:val="24"/>
                <w:szCs w:val="24"/>
              </w:rPr>
            </w:pPr>
          </w:p>
        </w:tc>
        <w:tc>
          <w:tcPr>
            <w:tcW w:w="1984" w:type="dxa"/>
            <w:shd w:val="clear" w:color="auto" w:fill="auto"/>
            <w:vAlign w:val="center"/>
          </w:tcPr>
          <w:p w:rsidR="0049577B" w:rsidRPr="000260C3" w:rsidRDefault="0049577B" w:rsidP="000260C3">
            <w:pPr>
              <w:spacing w:line="240" w:lineRule="auto"/>
              <w:ind w:leftChars="0" w:left="0" w:rightChars="0" w:right="0"/>
              <w:rPr>
                <w:sz w:val="24"/>
                <w:szCs w:val="24"/>
              </w:rPr>
            </w:pPr>
          </w:p>
        </w:tc>
        <w:tc>
          <w:tcPr>
            <w:tcW w:w="1985" w:type="dxa"/>
            <w:shd w:val="clear" w:color="auto" w:fill="auto"/>
            <w:vAlign w:val="center"/>
          </w:tcPr>
          <w:p w:rsidR="0049577B" w:rsidRPr="000260C3" w:rsidRDefault="0049577B" w:rsidP="000260C3">
            <w:pPr>
              <w:spacing w:line="240" w:lineRule="auto"/>
              <w:ind w:leftChars="0" w:left="0" w:rightChars="0" w:right="0"/>
              <w:rPr>
                <w:sz w:val="24"/>
                <w:szCs w:val="24"/>
              </w:rPr>
            </w:pPr>
          </w:p>
        </w:tc>
      </w:tr>
      <w:tr w:rsidR="0049577B" w:rsidRPr="00B40DC1" w:rsidTr="002031B1">
        <w:tc>
          <w:tcPr>
            <w:tcW w:w="3823"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X8：無期徒刑之人數(1998-2013年)</w:t>
            </w:r>
          </w:p>
        </w:tc>
        <w:tc>
          <w:tcPr>
            <w:tcW w:w="1984" w:type="dxa"/>
            <w:shd w:val="clear" w:color="auto" w:fill="auto"/>
            <w:vAlign w:val="center"/>
          </w:tcPr>
          <w:p w:rsidR="0049577B" w:rsidRPr="000260C3" w:rsidRDefault="0049577B" w:rsidP="000260C3">
            <w:pPr>
              <w:spacing w:line="240" w:lineRule="auto"/>
              <w:ind w:leftChars="0" w:left="0" w:rightChars="0" w:right="0"/>
              <w:rPr>
                <w:sz w:val="24"/>
                <w:szCs w:val="24"/>
              </w:rPr>
            </w:pPr>
          </w:p>
        </w:tc>
        <w:tc>
          <w:tcPr>
            <w:tcW w:w="1984" w:type="dxa"/>
            <w:shd w:val="clear" w:color="auto" w:fill="auto"/>
            <w:vAlign w:val="center"/>
          </w:tcPr>
          <w:p w:rsidR="0049577B" w:rsidRPr="000260C3" w:rsidRDefault="0049577B" w:rsidP="000260C3">
            <w:pPr>
              <w:spacing w:line="240" w:lineRule="auto"/>
              <w:ind w:leftChars="0" w:left="0" w:rightChars="0" w:right="0"/>
              <w:rPr>
                <w:sz w:val="24"/>
                <w:szCs w:val="24"/>
              </w:rPr>
            </w:pPr>
          </w:p>
        </w:tc>
        <w:tc>
          <w:tcPr>
            <w:tcW w:w="1985" w:type="dxa"/>
            <w:shd w:val="clear" w:color="auto" w:fill="auto"/>
            <w:vAlign w:val="center"/>
          </w:tcPr>
          <w:p w:rsidR="0049577B" w:rsidRPr="000260C3" w:rsidRDefault="0049577B" w:rsidP="000260C3">
            <w:pPr>
              <w:spacing w:line="240" w:lineRule="auto"/>
              <w:ind w:leftChars="0" w:left="0" w:rightChars="0" w:right="0"/>
              <w:rPr>
                <w:sz w:val="24"/>
                <w:szCs w:val="24"/>
              </w:rPr>
            </w:pPr>
          </w:p>
        </w:tc>
      </w:tr>
      <w:tr w:rsidR="0049577B" w:rsidRPr="00B40DC1" w:rsidTr="002031B1">
        <w:tc>
          <w:tcPr>
            <w:tcW w:w="3823"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X9：被執行死刑之人數(1992-2016年)</w:t>
            </w:r>
          </w:p>
        </w:tc>
        <w:tc>
          <w:tcPr>
            <w:tcW w:w="1984" w:type="dxa"/>
            <w:shd w:val="clear" w:color="auto" w:fill="auto"/>
            <w:vAlign w:val="center"/>
          </w:tcPr>
          <w:p w:rsidR="0049577B" w:rsidRPr="000260C3" w:rsidRDefault="0049577B" w:rsidP="000260C3">
            <w:pPr>
              <w:spacing w:line="240" w:lineRule="auto"/>
              <w:ind w:leftChars="0" w:left="0" w:rightChars="0" w:right="0"/>
              <w:rPr>
                <w:sz w:val="24"/>
                <w:szCs w:val="24"/>
              </w:rPr>
            </w:pPr>
          </w:p>
        </w:tc>
        <w:tc>
          <w:tcPr>
            <w:tcW w:w="1984" w:type="dxa"/>
            <w:shd w:val="clear" w:color="auto" w:fill="auto"/>
            <w:vAlign w:val="center"/>
          </w:tcPr>
          <w:p w:rsidR="0049577B" w:rsidRPr="000260C3" w:rsidRDefault="0049577B" w:rsidP="000260C3">
            <w:pPr>
              <w:spacing w:line="240" w:lineRule="auto"/>
              <w:ind w:leftChars="0" w:left="0" w:rightChars="0" w:right="0"/>
              <w:rPr>
                <w:sz w:val="24"/>
                <w:szCs w:val="24"/>
              </w:rPr>
            </w:pPr>
          </w:p>
        </w:tc>
        <w:tc>
          <w:tcPr>
            <w:tcW w:w="1985" w:type="dxa"/>
            <w:shd w:val="clear" w:color="auto" w:fill="auto"/>
            <w:vAlign w:val="center"/>
          </w:tcPr>
          <w:p w:rsidR="0049577B" w:rsidRPr="000260C3" w:rsidRDefault="0049577B" w:rsidP="000260C3">
            <w:pPr>
              <w:spacing w:line="240" w:lineRule="auto"/>
              <w:ind w:leftChars="0" w:left="0" w:rightChars="0" w:right="0"/>
              <w:rPr>
                <w:sz w:val="24"/>
                <w:szCs w:val="24"/>
              </w:rPr>
            </w:pPr>
          </w:p>
        </w:tc>
      </w:tr>
      <w:tr w:rsidR="0049577B" w:rsidRPr="00B40DC1" w:rsidTr="002031B1">
        <w:tc>
          <w:tcPr>
            <w:tcW w:w="3823"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X10：當年度之全般刑案破獲率(1992-2016年)</w:t>
            </w:r>
          </w:p>
        </w:tc>
        <w:tc>
          <w:tcPr>
            <w:tcW w:w="1984" w:type="dxa"/>
            <w:shd w:val="clear" w:color="auto" w:fill="auto"/>
            <w:vAlign w:val="center"/>
          </w:tcPr>
          <w:p w:rsidR="0049577B" w:rsidRPr="000260C3" w:rsidRDefault="0049577B" w:rsidP="000260C3">
            <w:pPr>
              <w:spacing w:line="240" w:lineRule="auto"/>
              <w:ind w:leftChars="0" w:left="0" w:rightChars="0" w:right="0"/>
              <w:rPr>
                <w:sz w:val="24"/>
                <w:szCs w:val="24"/>
              </w:rPr>
            </w:pPr>
          </w:p>
        </w:tc>
        <w:tc>
          <w:tcPr>
            <w:tcW w:w="1984" w:type="dxa"/>
            <w:shd w:val="clear" w:color="auto" w:fill="auto"/>
            <w:vAlign w:val="center"/>
          </w:tcPr>
          <w:p w:rsidR="0049577B" w:rsidRPr="000260C3" w:rsidRDefault="0049577B" w:rsidP="000260C3">
            <w:pPr>
              <w:spacing w:line="240" w:lineRule="auto"/>
              <w:ind w:leftChars="0" w:left="0" w:rightChars="0" w:right="0"/>
              <w:rPr>
                <w:sz w:val="24"/>
                <w:szCs w:val="24"/>
              </w:rPr>
            </w:pPr>
          </w:p>
        </w:tc>
        <w:tc>
          <w:tcPr>
            <w:tcW w:w="1985" w:type="dxa"/>
            <w:shd w:val="clear" w:color="auto" w:fill="auto"/>
            <w:vAlign w:val="center"/>
          </w:tcPr>
          <w:p w:rsidR="0049577B" w:rsidRPr="000260C3" w:rsidRDefault="0049577B" w:rsidP="000260C3">
            <w:pPr>
              <w:spacing w:line="240" w:lineRule="auto"/>
              <w:ind w:leftChars="0" w:left="0" w:rightChars="0" w:right="0"/>
              <w:rPr>
                <w:sz w:val="24"/>
                <w:szCs w:val="24"/>
              </w:rPr>
            </w:pPr>
          </w:p>
        </w:tc>
      </w:tr>
      <w:tr w:rsidR="0049577B" w:rsidRPr="00B40DC1" w:rsidTr="00664AD3">
        <w:tc>
          <w:tcPr>
            <w:tcW w:w="9776" w:type="dxa"/>
            <w:gridSpan w:val="4"/>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多元迴歸分析模型整體之R平方解釋量：0.780</w:t>
            </w:r>
          </w:p>
        </w:tc>
      </w:tr>
    </w:tbl>
    <w:p w:rsidR="0049577B" w:rsidRDefault="00817A92" w:rsidP="000260C3">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871524" w:rsidRPr="00B40DC1" w:rsidRDefault="00871524" w:rsidP="000260C3">
      <w:pPr>
        <w:spacing w:line="240" w:lineRule="auto"/>
        <w:ind w:leftChars="0" w:left="0" w:rightChars="0" w:right="0"/>
      </w:pPr>
    </w:p>
    <w:p w:rsidR="0049577B" w:rsidRPr="00B40DC1" w:rsidRDefault="00664AD3" w:rsidP="000260C3">
      <w:pPr>
        <w:spacing w:line="240" w:lineRule="auto"/>
        <w:ind w:leftChars="0" w:left="0" w:rightChars="0" w:right="0"/>
      </w:pPr>
      <w:r>
        <w:t xml:space="preserve">　　</w:t>
      </w:r>
      <w:r w:rsidR="0049577B" w:rsidRPr="00B40DC1">
        <w:t>由下表---影響下下年度重大指標犯罪(重大暴力犯罪)</w:t>
      </w:r>
      <w:r w:rsidR="0049577B" w:rsidRPr="000260C3">
        <w:rPr>
          <w:rStyle w:val="af7"/>
          <w:rFonts w:eastAsia="新細明體"/>
          <w:sz w:val="20"/>
        </w:rPr>
        <w:footnoteReference w:id="333"/>
      </w:r>
      <w:r w:rsidR="0049577B" w:rsidRPr="00B40DC1">
        <w:t>(1994年至2014年)相關因子(原因變項)之多元迴歸分析統計數據結果一覽表(本表係使用向前進入法之迴歸分析方式)之統計資料可得知，依變項為下下年度重大指標犯罪(重大暴力犯罪)，每提升失業率(1992-2016年)1個單位之標準差(1個標準單位)，則可減少0.174個單位之標準差(標準化迴歸係數值，Beta=-0.174)之下下年度重大指標犯罪(重大暴力犯罪)。有可能之成因，係失業者可請領失業補助金，「暫時地」解決其經濟困境，促使失業者未從事犯罪。</w:t>
      </w:r>
    </w:p>
    <w:p w:rsidR="0049577B" w:rsidRPr="00B40DC1" w:rsidRDefault="00664AD3" w:rsidP="000260C3">
      <w:pPr>
        <w:spacing w:line="240" w:lineRule="auto"/>
        <w:ind w:leftChars="0" w:left="0" w:rightChars="0" w:right="0"/>
      </w:pPr>
      <w:r>
        <w:t xml:space="preserve">　　</w:t>
      </w:r>
      <w:r w:rsidR="0049577B" w:rsidRPr="00B40DC1">
        <w:t>每提升緩刑比率(1998-2013年)1個單位之標準差(1個標準單位)，則可增加0.885個單位之標準差(標準化迴歸係數值，Beta=+0.885)之下下年度重大指標犯罪(重大暴力犯罪)。</w:t>
      </w:r>
    </w:p>
    <w:p w:rsidR="0049577B" w:rsidRPr="00B40DC1" w:rsidRDefault="00664AD3" w:rsidP="000260C3">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下下年度重大指標犯罪(重大暴力犯罪)。復次，無期徒刑亦無法有效地嚇阻(減少</w:t>
      </w:r>
      <w:r w:rsidR="00587200">
        <w:t>)</w:t>
      </w:r>
      <w:r w:rsidR="0049577B" w:rsidRPr="00B40DC1">
        <w:t>下下年度重大指標犯罪(重大暴力犯罪)。</w:t>
      </w:r>
    </w:p>
    <w:p w:rsidR="0049577B" w:rsidRPr="00B40DC1" w:rsidRDefault="00E56787" w:rsidP="00E56787">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表63、影響下下年度重大指標犯罪(重大暴力犯罪)</w:t>
      </w:r>
      <w:r w:rsidRPr="000260C3">
        <w:rPr>
          <w:rStyle w:val="af7"/>
          <w:rFonts w:eastAsia="新細明體"/>
          <w:sz w:val="20"/>
        </w:rPr>
        <w:footnoteReference w:id="334"/>
      </w:r>
      <w:r w:rsidRPr="00B40DC1">
        <w:rPr>
          <w:lang w:eastAsia="zh-TW"/>
        </w:rPr>
        <w:t>(1994年至2014年)相關因子(原因變項)之多元迴歸分析統計數據結果一覽表(本表係使用向前進入法之迴歸分析方式)</w:t>
      </w:r>
      <w:r w:rsidRPr="000260C3">
        <w:rPr>
          <w:rStyle w:val="af7"/>
          <w:rFonts w:eastAsia="新細明體"/>
          <w:sz w:val="20"/>
        </w:rPr>
        <w:footnoteReference w:id="33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99"/>
        <w:gridCol w:w="1899"/>
        <w:gridCol w:w="1900"/>
      </w:tblGrid>
      <w:tr w:rsidR="0049577B" w:rsidRPr="00B40DC1" w:rsidTr="00F478DC">
        <w:trPr>
          <w:tblHeader/>
        </w:trPr>
        <w:tc>
          <w:tcPr>
            <w:tcW w:w="3936" w:type="dxa"/>
            <w:shd w:val="clear" w:color="auto" w:fill="EFFDFF"/>
            <w:vAlign w:val="center"/>
          </w:tcPr>
          <w:p w:rsidR="009214BE" w:rsidRDefault="0049577B" w:rsidP="009214BE">
            <w:pPr>
              <w:spacing w:line="240" w:lineRule="auto"/>
              <w:ind w:leftChars="0" w:left="0" w:rightChars="0" w:right="0"/>
              <w:jc w:val="center"/>
              <w:rPr>
                <w:sz w:val="24"/>
                <w:szCs w:val="24"/>
              </w:rPr>
            </w:pPr>
            <w:r w:rsidRPr="000260C3">
              <w:rPr>
                <w:sz w:val="24"/>
                <w:szCs w:val="24"/>
              </w:rPr>
              <w:t>多元迴歸分析統計數據</w:t>
            </w:r>
          </w:p>
          <w:p w:rsidR="0049577B" w:rsidRPr="000260C3" w:rsidRDefault="0049577B" w:rsidP="009214BE">
            <w:pPr>
              <w:spacing w:line="240" w:lineRule="auto"/>
              <w:ind w:leftChars="0" w:left="0" w:rightChars="0" w:right="0"/>
              <w:jc w:val="center"/>
              <w:rPr>
                <w:sz w:val="24"/>
                <w:szCs w:val="24"/>
              </w:rPr>
            </w:pPr>
            <w:r w:rsidRPr="000260C3">
              <w:rPr>
                <w:sz w:val="24"/>
                <w:szCs w:val="24"/>
              </w:rPr>
              <w:t>自變項(解釋因子，independent variable)之名稱</w:t>
            </w:r>
          </w:p>
        </w:tc>
        <w:tc>
          <w:tcPr>
            <w:tcW w:w="1899" w:type="dxa"/>
            <w:shd w:val="clear" w:color="auto" w:fill="EFFDFF"/>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標準化迴歸係數值(Beta)</w:t>
            </w:r>
          </w:p>
        </w:tc>
        <w:tc>
          <w:tcPr>
            <w:tcW w:w="1899" w:type="dxa"/>
            <w:shd w:val="clear" w:color="auto" w:fill="EFFDFF"/>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標準化迴歸係數值(Beta)之顯著度(水準)</w:t>
            </w:r>
          </w:p>
        </w:tc>
        <w:tc>
          <w:tcPr>
            <w:tcW w:w="1900" w:type="dxa"/>
            <w:shd w:val="clear" w:color="auto" w:fill="EFFDFF"/>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條件指標(CI)</w:t>
            </w:r>
            <w:r w:rsidR="003C1792" w:rsidRPr="000260C3">
              <w:rPr>
                <w:sz w:val="24"/>
                <w:szCs w:val="24"/>
              </w:rPr>
              <w:t>(</w:t>
            </w:r>
            <w:r w:rsidRPr="000260C3">
              <w:rPr>
                <w:sz w:val="24"/>
                <w:szCs w:val="24"/>
              </w:rPr>
              <w:t>檢視自變項是否有嚴重之共線問題)</w:t>
            </w:r>
          </w:p>
        </w:tc>
      </w:tr>
      <w:tr w:rsidR="0049577B" w:rsidRPr="00B40DC1" w:rsidTr="00F478DC">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X1：失業率(1992-2016年)</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-0.174</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0.048</w:t>
            </w:r>
          </w:p>
        </w:tc>
        <w:tc>
          <w:tcPr>
            <w:tcW w:w="1900"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13.652</w:t>
            </w:r>
          </w:p>
        </w:tc>
      </w:tr>
      <w:tr w:rsidR="0049577B" w:rsidRPr="00B40DC1" w:rsidTr="00F478DC">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X2：結婚對數(1998-2013年)</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00"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F478DC">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X3： 35歲以上人口之中，男性未婚之比例</w:t>
            </w:r>
            <w:r w:rsidR="003C1792" w:rsidRPr="000260C3">
              <w:rPr>
                <w:sz w:val="24"/>
                <w:szCs w:val="24"/>
              </w:rPr>
              <w:t>(</w:t>
            </w:r>
            <w:r w:rsidRPr="000260C3">
              <w:rPr>
                <w:sz w:val="24"/>
                <w:szCs w:val="24"/>
              </w:rPr>
              <w:t>1998-2013年)</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00"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F478DC">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X4：離婚率(1998-2013年)</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00"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F478DC">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X5：GNI(平均每人國民所得毛額，以美元為單位)</w:t>
            </w:r>
            <w:r w:rsidR="003C1792" w:rsidRPr="000260C3">
              <w:rPr>
                <w:sz w:val="24"/>
                <w:szCs w:val="24"/>
              </w:rPr>
              <w:t>(</w:t>
            </w:r>
            <w:r w:rsidRPr="000260C3">
              <w:rPr>
                <w:sz w:val="24"/>
                <w:szCs w:val="24"/>
              </w:rPr>
              <w:t>1992-2016年)</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00"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F478DC">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X6：低收入戶之家庭及就學生活補助金額(1998-2013年)</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00"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F478DC">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X7：緩刑比率(1998-2013年)</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0.885</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0.000</w:t>
            </w:r>
          </w:p>
        </w:tc>
        <w:tc>
          <w:tcPr>
            <w:tcW w:w="1900"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5.221</w:t>
            </w:r>
          </w:p>
        </w:tc>
      </w:tr>
      <w:tr w:rsidR="0049577B" w:rsidRPr="00B40DC1" w:rsidTr="00F478DC">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X8：無期徒刑之人數(1998-2013年)</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00"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F478DC">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X9：被執行死刑之人數(1992-2016年)</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00"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F478DC">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X10：當年度之全般刑案破獲率(1992-2016年)</w:t>
            </w: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899"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00"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664AD3">
        <w:tc>
          <w:tcPr>
            <w:tcW w:w="9634" w:type="dxa"/>
            <w:gridSpan w:val="4"/>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多元迴歸分析模型整體之R平方解釋量：0.918</w:t>
            </w:r>
          </w:p>
        </w:tc>
      </w:tr>
    </w:tbl>
    <w:p w:rsidR="0049577B" w:rsidRDefault="00817A92" w:rsidP="000260C3">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871524" w:rsidRPr="00B40DC1" w:rsidRDefault="00871524" w:rsidP="000260C3">
      <w:pPr>
        <w:spacing w:line="240" w:lineRule="auto"/>
        <w:ind w:leftChars="0" w:left="0" w:rightChars="0" w:right="0"/>
      </w:pPr>
    </w:p>
    <w:p w:rsidR="0049577B" w:rsidRPr="00B40DC1" w:rsidRDefault="00664AD3" w:rsidP="000260C3">
      <w:pPr>
        <w:spacing w:line="240" w:lineRule="auto"/>
        <w:ind w:leftChars="0" w:left="0" w:rightChars="0" w:right="0"/>
      </w:pPr>
      <w:r>
        <w:t xml:space="preserve">　　</w:t>
      </w:r>
      <w:r w:rsidR="0049577B" w:rsidRPr="00B40DC1">
        <w:t>由下表---影響下下年度重大指標犯罪(重大暴力犯罪)</w:t>
      </w:r>
      <w:r w:rsidR="0049577B" w:rsidRPr="000260C3">
        <w:rPr>
          <w:rStyle w:val="af7"/>
          <w:rFonts w:eastAsia="新細明體"/>
          <w:sz w:val="20"/>
        </w:rPr>
        <w:footnoteReference w:id="336"/>
      </w:r>
      <w:r w:rsidR="0049577B" w:rsidRPr="00B40DC1">
        <w:t>(1994年至2014年)相關因子(原因變項)之多元迴歸分析統計數據結果一覽表(本表係使用向後進入法之迴歸分析方式)之統計資料可得知，依變項為下下年度重大指標犯罪(重大暴力犯罪)，每提升結婚對數(1998-2013年)1個單位之標準差(1個標準單位)，則可增加0.343個單位之標準差(標準化迴歸係數值，Beta=+0.343)之下下年度重大指標犯罪(重大暴力犯罪)。</w:t>
      </w:r>
    </w:p>
    <w:p w:rsidR="0049577B" w:rsidRPr="00B40DC1" w:rsidRDefault="00664AD3" w:rsidP="000260C3">
      <w:pPr>
        <w:spacing w:line="240" w:lineRule="auto"/>
        <w:ind w:leftChars="0" w:left="0" w:rightChars="0" w:right="0"/>
      </w:pPr>
      <w:r>
        <w:t xml:space="preserve">　　</w:t>
      </w:r>
      <w:r w:rsidR="0049577B" w:rsidRPr="00B40DC1">
        <w:t>每提升低收入戶之家庭及就學生活補助金額(1998-2013年)1個單位之標準差(1個標準單位)，則可減少0.742個單位之標準差(標準化迴歸係數值，Beta=-0.742)之下下年度重大指標犯罪(重大暴力犯罪)。</w:t>
      </w:r>
    </w:p>
    <w:p w:rsidR="0049577B" w:rsidRPr="00B40DC1" w:rsidRDefault="00664AD3" w:rsidP="000260C3">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下下年度重大指標犯罪(重大暴力犯罪)。復次，無期徒刑亦無法有效地嚇阻(減少</w:t>
      </w:r>
      <w:r w:rsidR="00587200">
        <w:t>)</w:t>
      </w:r>
      <w:r w:rsidR="0049577B" w:rsidRPr="00B40DC1">
        <w:t>下下年度重大指標犯罪(重大暴力犯罪)。</w:t>
      </w:r>
    </w:p>
    <w:p w:rsidR="0049577B" w:rsidRPr="00B40DC1" w:rsidRDefault="00E56787" w:rsidP="00E56787">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D162A0">
      <w:pPr>
        <w:pStyle w:val="4"/>
        <w:rPr>
          <w:lang w:eastAsia="zh-TW"/>
        </w:rPr>
      </w:pPr>
      <w:r w:rsidRPr="00B40DC1">
        <w:rPr>
          <w:lang w:eastAsia="zh-TW"/>
        </w:rPr>
        <w:t>表64、影響下下年度重大指標犯罪(重大暴力犯罪)</w:t>
      </w:r>
      <w:r w:rsidRPr="000260C3">
        <w:rPr>
          <w:rStyle w:val="af7"/>
          <w:rFonts w:eastAsia="新細明體"/>
          <w:sz w:val="20"/>
        </w:rPr>
        <w:footnoteReference w:id="337"/>
      </w:r>
      <w:r w:rsidRPr="00B40DC1">
        <w:rPr>
          <w:lang w:eastAsia="zh-TW"/>
        </w:rPr>
        <w:t>(1994年至2014年)相關因子(原因變項)之多元迴歸分析統計數據結果一覽表(本表係使用向後進入法之迴歸分析方式)</w:t>
      </w:r>
      <w:r w:rsidRPr="000260C3">
        <w:rPr>
          <w:rStyle w:val="af7"/>
          <w:rFonts w:eastAsia="新細明體"/>
          <w:sz w:val="20"/>
        </w:rPr>
        <w:footnoteReference w:id="338"/>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46"/>
        <w:gridCol w:w="1947"/>
        <w:gridCol w:w="1947"/>
      </w:tblGrid>
      <w:tr w:rsidR="0049577B" w:rsidRPr="00B40DC1" w:rsidTr="00E56787">
        <w:trPr>
          <w:tblHeader/>
        </w:trPr>
        <w:tc>
          <w:tcPr>
            <w:tcW w:w="3936" w:type="dxa"/>
            <w:shd w:val="clear" w:color="auto" w:fill="FAF0FA"/>
            <w:vAlign w:val="center"/>
          </w:tcPr>
          <w:p w:rsidR="009214BE" w:rsidRDefault="0049577B" w:rsidP="000260C3">
            <w:pPr>
              <w:spacing w:line="240" w:lineRule="auto"/>
              <w:ind w:leftChars="0" w:left="0" w:rightChars="0" w:right="0"/>
              <w:jc w:val="center"/>
              <w:rPr>
                <w:sz w:val="24"/>
                <w:szCs w:val="24"/>
              </w:rPr>
            </w:pPr>
            <w:r w:rsidRPr="000260C3">
              <w:rPr>
                <w:sz w:val="24"/>
                <w:szCs w:val="24"/>
              </w:rPr>
              <w:t>多元迴歸分析統計數據</w:t>
            </w:r>
          </w:p>
          <w:p w:rsidR="0049577B" w:rsidRPr="000260C3" w:rsidRDefault="0049577B" w:rsidP="000260C3">
            <w:pPr>
              <w:spacing w:line="240" w:lineRule="auto"/>
              <w:ind w:leftChars="0" w:left="0" w:rightChars="0" w:right="0"/>
              <w:jc w:val="center"/>
              <w:rPr>
                <w:sz w:val="24"/>
                <w:szCs w:val="24"/>
              </w:rPr>
            </w:pPr>
            <w:r w:rsidRPr="000260C3">
              <w:rPr>
                <w:sz w:val="24"/>
                <w:szCs w:val="24"/>
              </w:rPr>
              <w:t>自變項(解釋因子，independent variable)之名稱</w:t>
            </w:r>
          </w:p>
        </w:tc>
        <w:tc>
          <w:tcPr>
            <w:tcW w:w="1946" w:type="dxa"/>
            <w:shd w:val="clear" w:color="auto" w:fill="FAF0FA"/>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標準化迴歸係數值(Beta)</w:t>
            </w:r>
          </w:p>
        </w:tc>
        <w:tc>
          <w:tcPr>
            <w:tcW w:w="1947" w:type="dxa"/>
            <w:shd w:val="clear" w:color="auto" w:fill="FAF0FA"/>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標準化迴歸係數值(Beta)之顯著度(水準)</w:t>
            </w:r>
          </w:p>
        </w:tc>
        <w:tc>
          <w:tcPr>
            <w:tcW w:w="1947" w:type="dxa"/>
            <w:shd w:val="clear" w:color="auto" w:fill="FAF0FA"/>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條件指標(CI)</w:t>
            </w:r>
            <w:r w:rsidR="003C1792" w:rsidRPr="000260C3">
              <w:rPr>
                <w:sz w:val="24"/>
                <w:szCs w:val="24"/>
              </w:rPr>
              <w:t>(</w:t>
            </w:r>
            <w:r w:rsidRPr="000260C3">
              <w:rPr>
                <w:sz w:val="24"/>
                <w:szCs w:val="24"/>
              </w:rPr>
              <w:t>檢視自變項是否有嚴重之共線問題)</w:t>
            </w: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X1：失業率(1992-2016年)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X2：結婚對數(1998-2013年)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0.343</w:t>
            </w: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0.014</w:t>
            </w: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4.519</w:t>
            </w: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X3： 35歲以上人口之中，男性未婚之比例</w:t>
            </w:r>
            <w:r w:rsidR="003C1792" w:rsidRPr="000260C3">
              <w:rPr>
                <w:sz w:val="24"/>
                <w:szCs w:val="24"/>
              </w:rPr>
              <w:t>(</w:t>
            </w:r>
            <w:r w:rsidRPr="000260C3">
              <w:rPr>
                <w:sz w:val="24"/>
                <w:szCs w:val="24"/>
              </w:rPr>
              <w:t>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X4：離婚率(1998-2013年)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X5：GNI(平均每人國民所得毛額，以美元為單位)</w:t>
            </w:r>
            <w:r w:rsidR="003C1792" w:rsidRPr="000260C3">
              <w:rPr>
                <w:sz w:val="24"/>
                <w:szCs w:val="24"/>
              </w:rPr>
              <w:t>(</w:t>
            </w:r>
            <w:r w:rsidRPr="000260C3">
              <w:rPr>
                <w:sz w:val="24"/>
                <w:szCs w:val="24"/>
              </w:rPr>
              <w:t>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X6：低收入戶之家庭及就學生活補助金額(1998-2013年)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-0.742</w:t>
            </w: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0.000</w:t>
            </w: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21.149</w:t>
            </w: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X7：緩刑比率(1998-2013年)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X8：無期徒刑之人數(1998-2013年)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X9：被執行死刑之人數(1992-2016年)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X10：當年度之全般刑案破獲率(1992-2016年)</w:t>
            </w:r>
          </w:p>
        </w:tc>
        <w:tc>
          <w:tcPr>
            <w:tcW w:w="1946"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c>
          <w:tcPr>
            <w:tcW w:w="1947" w:type="dxa"/>
            <w:shd w:val="clear" w:color="auto" w:fill="auto"/>
            <w:vAlign w:val="center"/>
          </w:tcPr>
          <w:p w:rsidR="0049577B" w:rsidRPr="000260C3" w:rsidRDefault="0049577B" w:rsidP="000260C3">
            <w:pPr>
              <w:spacing w:line="240" w:lineRule="auto"/>
              <w:ind w:leftChars="0" w:left="0" w:rightChars="0" w:right="0"/>
              <w:jc w:val="center"/>
              <w:rPr>
                <w:sz w:val="24"/>
                <w:szCs w:val="24"/>
              </w:rPr>
            </w:pPr>
          </w:p>
        </w:tc>
      </w:tr>
      <w:tr w:rsidR="0049577B" w:rsidRPr="00B40DC1" w:rsidTr="00664AD3">
        <w:tc>
          <w:tcPr>
            <w:tcW w:w="9776" w:type="dxa"/>
            <w:gridSpan w:val="4"/>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多元迴歸分析模型整體之R平方解釋量：0.800</w:t>
            </w:r>
          </w:p>
        </w:tc>
      </w:tr>
    </w:tbl>
    <w:p w:rsidR="0049577B" w:rsidRDefault="00817A92" w:rsidP="000260C3">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0260C3" w:rsidRPr="00B40DC1" w:rsidRDefault="000260C3" w:rsidP="000D26BB"/>
    <w:p w:rsidR="0049577B" w:rsidRPr="00B40DC1" w:rsidRDefault="00664AD3" w:rsidP="00E56787">
      <w:pPr>
        <w:spacing w:line="240" w:lineRule="auto"/>
        <w:ind w:leftChars="0" w:left="0" w:rightChars="0" w:right="0"/>
      </w:pPr>
      <w:r>
        <w:t xml:space="preserve">　　</w:t>
      </w:r>
      <w:r w:rsidR="0049577B" w:rsidRPr="00B40DC1">
        <w:t>在執行下表---影響下下年度重大指標犯罪(重大暴力犯罪)</w:t>
      </w:r>
      <w:r w:rsidR="0049577B" w:rsidRPr="000260C3">
        <w:rPr>
          <w:rStyle w:val="af7"/>
          <w:rFonts w:eastAsia="新細明體"/>
          <w:sz w:val="20"/>
        </w:rPr>
        <w:footnoteReference w:id="339"/>
      </w:r>
      <w:r w:rsidR="0049577B" w:rsidRPr="000260C3">
        <w:t>(</w:t>
      </w:r>
      <w:r w:rsidR="0049577B" w:rsidRPr="00B40DC1">
        <w:t>1994年至2014年)相關因子(原因變項)之多元迴歸分析統計數據結果一覽表(本表係使用移除法之迴歸分析方式)時，於本案之中，由於移除法(REMOVE)它是一個無效的迴歸方式(REGRESSION METHOD)，故移除法(REMOVE)無法用為建立多元迴歸方程式時的第一個方法。SPSS多元迴歸(REGRESSION)軟體會自動地插入強迫進入法(ENTER)做為第一個方法，而移除法(REMOVE)就成為第2個次順序之方法(REMOVE</w:t>
      </w:r>
      <w:r w:rsidR="00185C4E">
        <w:t xml:space="preserve"> </w:t>
      </w:r>
      <w:r w:rsidR="0049577B" w:rsidRPr="00B40DC1">
        <w:t>is now the second method)。</w:t>
      </w:r>
    </w:p>
    <w:p w:rsidR="0049577B" w:rsidRPr="00B40DC1" w:rsidRDefault="00664AD3" w:rsidP="00E56787">
      <w:pPr>
        <w:spacing w:line="240" w:lineRule="auto"/>
        <w:ind w:leftChars="0" w:left="0" w:rightChars="0" w:right="0"/>
      </w:pPr>
      <w:r>
        <w:t xml:space="preserve">　　</w:t>
      </w:r>
      <w:r w:rsidR="0049577B" w:rsidRPr="00B40DC1">
        <w:t>由下表---影響下下年度重大指標犯罪(重大暴力犯罪)</w:t>
      </w:r>
      <w:r w:rsidR="0049577B" w:rsidRPr="000260C3">
        <w:rPr>
          <w:rStyle w:val="af7"/>
          <w:rFonts w:eastAsia="新細明體"/>
          <w:sz w:val="20"/>
        </w:rPr>
        <w:footnoteReference w:id="340"/>
      </w:r>
      <w:r w:rsidR="0049577B" w:rsidRPr="00B40DC1">
        <w:t>(1994年至2014年)相關因子(原因變項)之多元迴歸分析統計數據結果一覽表(本表係使用移除法之迴歸分析方式)之統計資料可得知，依變項為下下年度重大指標犯罪(重大暴力犯罪)，每提升結婚對數(1998-2013年)1個單位之標準差(1個標準單位)，則可增加0.297個單位之標準差(標準化迴歸係數值，Beta=+0.297)之下下年度重大指標犯罪(重大暴力犯罪)。</w:t>
      </w:r>
    </w:p>
    <w:p w:rsidR="0049577B" w:rsidRPr="00B40DC1" w:rsidRDefault="00664AD3" w:rsidP="00E56787">
      <w:pPr>
        <w:spacing w:line="240" w:lineRule="auto"/>
        <w:ind w:leftChars="0" w:left="0" w:rightChars="0" w:right="0"/>
      </w:pPr>
      <w:r>
        <w:t xml:space="preserve">　　</w:t>
      </w:r>
      <w:r w:rsidR="0049577B" w:rsidRPr="00B40DC1">
        <w:t>在逐級年齡非正式社會控制理論(桑普森、勞伯，Sampson and laub)之中，桑普森、勞伯（1994）對格魯克夫婦（Sheldon and Elean Glueck）資料重新整理和分析而產生「逐級年齡非正式社會控制理論」，該理論有三重點：1.結構變項(性別、年齡、種族、等)透過家庭及學校控制的中介變項作用，而解釋兒童及少年時期的偏差行為。2.兒童時期的反社會行為可以不同的型態(如酗酒、精神疾病、意外事故、犯罪或偏差行為等)而延續至成人時期。3.但無論早期犯罪傾向如何，成人時期的家庭及就業狀況，可以解釋成人犯罪狀況之改變</w:t>
      </w:r>
      <w:r w:rsidR="0049577B" w:rsidRPr="000260C3">
        <w:rPr>
          <w:rStyle w:val="af7"/>
          <w:rFonts w:eastAsia="新細明體"/>
          <w:sz w:val="20"/>
        </w:rPr>
        <w:footnoteReference w:id="341"/>
      </w:r>
      <w:r w:rsidR="0049577B" w:rsidRPr="00B40DC1">
        <w:t>。</w:t>
      </w:r>
    </w:p>
    <w:p w:rsidR="0049577B" w:rsidRPr="00B40DC1" w:rsidRDefault="00664AD3" w:rsidP="00E56787">
      <w:pPr>
        <w:spacing w:line="240" w:lineRule="auto"/>
        <w:ind w:leftChars="0" w:left="0" w:rightChars="0" w:right="0"/>
      </w:pPr>
      <w:r>
        <w:t xml:space="preserve">　　</w:t>
      </w:r>
      <w:r w:rsidR="0049577B" w:rsidRPr="00B40DC1">
        <w:t>該理論可說是一般化犯罪理論的修正，認為兒童早期的生活經驗和個人的自我控制上差異，固可解釋偏差行為的變化，但個體日後的人生經驗的各個階段，非正式社會控制（家庭、學校、職業、婚姻等的附著，Sampson &amp; Laub稱之為社會資本）對個人是否從事犯行的影響仍是很重要的。其中最重要的轉折點是「婚姻」與「就業」。而家庭及學校非正式社會控制過程是解釋兒童及少年時期偏差行為的主要原因</w:t>
      </w:r>
      <w:r w:rsidR="0049577B" w:rsidRPr="000260C3">
        <w:rPr>
          <w:rStyle w:val="af7"/>
          <w:rFonts w:eastAsia="新細明體"/>
          <w:sz w:val="20"/>
        </w:rPr>
        <w:footnoteReference w:id="342"/>
      </w:r>
      <w:r w:rsidR="0049577B" w:rsidRPr="00B40DC1">
        <w:t>。</w:t>
      </w:r>
    </w:p>
    <w:p w:rsidR="0049577B" w:rsidRPr="00B40DC1" w:rsidRDefault="00664AD3" w:rsidP="00E56787">
      <w:pPr>
        <w:spacing w:line="240" w:lineRule="auto"/>
        <w:ind w:leftChars="0" w:left="0" w:rightChars="0" w:right="0"/>
      </w:pPr>
      <w:r>
        <w:t xml:space="preserve">　　</w:t>
      </w:r>
      <w:r w:rsidR="0049577B" w:rsidRPr="00B40DC1">
        <w:t>他們同意Hirschi和 Gottfredson一般化犯罪理論，社會控制和自我控制可影響一個人犯罪及偏差行為可能性，但不認為犯罪傾向（犯罪性）行成後，終生難以改變，犯罪及偏差行為可受日後生命事件的影響。因此，該理論較強調社會鍵的品質，而非僅事件之發生或時間</w:t>
      </w:r>
      <w:r w:rsidR="0049577B" w:rsidRPr="000260C3">
        <w:rPr>
          <w:rStyle w:val="af7"/>
          <w:rFonts w:eastAsia="新細明體"/>
          <w:sz w:val="20"/>
        </w:rPr>
        <w:footnoteReference w:id="343"/>
      </w:r>
      <w:r w:rsidR="0049577B" w:rsidRPr="00B40DC1">
        <w:t>。</w:t>
      </w:r>
    </w:p>
    <w:p w:rsidR="0049577B" w:rsidRPr="00B40DC1" w:rsidRDefault="00664AD3" w:rsidP="00E56787">
      <w:pPr>
        <w:spacing w:line="240" w:lineRule="auto"/>
        <w:ind w:leftChars="0" w:left="0" w:rightChars="0" w:right="0"/>
      </w:pPr>
      <w:r>
        <w:t xml:space="preserve">　　</w:t>
      </w:r>
      <w:r w:rsidR="0049577B" w:rsidRPr="00B40DC1">
        <w:t>本書之結論，則認為逐級年齡非正式社會控制理論所主張「婚姻」可降低犯罪部分，容有討論空間。在台灣，每提升結婚對數(1998-2013年)1個單位之標準差(1個標準單位)，則可增加0.297個單位之標準差(標準化迴歸係數值，Beta=+0.297)之下下年度重大指標犯罪(重大暴力犯罪)，澈底推翻逐級年齡非正式社會控制理論所主張「婚姻」可降低犯罪之假設。</w:t>
      </w:r>
    </w:p>
    <w:p w:rsidR="0049577B" w:rsidRPr="00B40DC1" w:rsidRDefault="000260C3" w:rsidP="00E56787">
      <w:pPr>
        <w:spacing w:line="240" w:lineRule="auto"/>
        <w:ind w:leftChars="0" w:left="0" w:rightChars="0" w:right="0"/>
      </w:pPr>
      <w:r>
        <w:t xml:space="preserve">　　</w:t>
      </w:r>
      <w:r w:rsidR="0049577B" w:rsidRPr="00B40DC1">
        <w:t>每提升GNI(平均每人國民所得毛額，以美元為單位)</w:t>
      </w:r>
      <w:r w:rsidR="003C1792">
        <w:t>(</w:t>
      </w:r>
      <w:r w:rsidR="0049577B" w:rsidRPr="00B40DC1">
        <w:t>1992-2016年)1個單位之標準差(1個標準單位)，則可減少0.754個單位之標準差(標準化迴歸係數值，Beta=-0.754)之下下年度重大指標犯罪(重大暴力犯罪)。</w:t>
      </w:r>
    </w:p>
    <w:p w:rsidR="0049577B" w:rsidRPr="00B40DC1" w:rsidRDefault="000260C3" w:rsidP="00E56787">
      <w:pPr>
        <w:spacing w:line="240" w:lineRule="auto"/>
        <w:ind w:leftChars="0" w:left="0" w:rightChars="0" w:right="0"/>
      </w:pPr>
      <w:r>
        <w:t xml:space="preserve">　　</w:t>
      </w:r>
      <w:r w:rsidR="0049577B" w:rsidRPr="00B40DC1">
        <w:t>另外，就本書特別加以關注之死刑是否能有效地嚇阻(減少)犯罪之發生而論，根據本表之資料可得知，執行死刑無法有效地嚇阻(減少</w:t>
      </w:r>
      <w:r w:rsidR="00587200">
        <w:t>)</w:t>
      </w:r>
      <w:r w:rsidR="0049577B" w:rsidRPr="00B40DC1">
        <w:t>下下年度重大指標犯罪(重大暴力犯罪)。復次，無期徒刑亦無法有效地嚇阻(減少)下下年度重大指標犯罪(重大暴力犯罪)。</w:t>
      </w:r>
    </w:p>
    <w:p w:rsidR="0049577B" w:rsidRPr="00B40DC1" w:rsidRDefault="00E56787" w:rsidP="00E56787">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71524" w:rsidRDefault="0049577B" w:rsidP="00D162A0">
      <w:pPr>
        <w:pStyle w:val="4"/>
        <w:rPr>
          <w:rFonts w:ascii="Arial Unicode MS" w:eastAsia="新細明體" w:hAnsi="Arial Unicode MS"/>
          <w:color w:val="FF6600"/>
          <w:sz w:val="20"/>
          <w:lang w:eastAsia="zh-TW"/>
        </w:rPr>
      </w:pPr>
      <w:r w:rsidRPr="00B40DC1">
        <w:rPr>
          <w:lang w:eastAsia="zh-TW"/>
        </w:rPr>
        <w:t>表65、影響下下年度重大指標犯罪(重大暴力犯罪)</w:t>
      </w:r>
      <w:r w:rsidRPr="00871524">
        <w:rPr>
          <w:rStyle w:val="af7"/>
          <w:rFonts w:eastAsia="新細明體"/>
          <w:sz w:val="20"/>
        </w:rPr>
        <w:footnoteReference w:id="344"/>
      </w:r>
      <w:r w:rsidRPr="00B40DC1">
        <w:rPr>
          <w:lang w:eastAsia="zh-TW"/>
        </w:rPr>
        <w:t>(1994年至2014年)相關因子(原因變項)之多元迴歸分析統計數據結果一覽表(本表係使用移除法之迴歸分析方式)</w:t>
      </w:r>
      <w:r w:rsidRPr="00871524">
        <w:rPr>
          <w:rStyle w:val="af7"/>
          <w:rFonts w:eastAsia="新細明體"/>
          <w:sz w:val="20"/>
        </w:rPr>
        <w:footnoteReference w:id="345"/>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41"/>
        <w:gridCol w:w="2041"/>
        <w:gridCol w:w="2042"/>
      </w:tblGrid>
      <w:tr w:rsidR="0049577B" w:rsidRPr="00B40DC1" w:rsidTr="00E56787">
        <w:trPr>
          <w:tblHeader/>
        </w:trPr>
        <w:tc>
          <w:tcPr>
            <w:tcW w:w="3936" w:type="dxa"/>
            <w:shd w:val="clear" w:color="auto" w:fill="EFFDFF"/>
            <w:vAlign w:val="center"/>
          </w:tcPr>
          <w:p w:rsidR="009214BE" w:rsidRDefault="0049577B" w:rsidP="000260C3">
            <w:pPr>
              <w:spacing w:line="240" w:lineRule="auto"/>
              <w:ind w:leftChars="0" w:left="0" w:rightChars="0" w:right="0"/>
              <w:jc w:val="center"/>
              <w:rPr>
                <w:sz w:val="24"/>
                <w:szCs w:val="24"/>
              </w:rPr>
            </w:pPr>
            <w:r w:rsidRPr="000260C3">
              <w:rPr>
                <w:sz w:val="24"/>
                <w:szCs w:val="24"/>
              </w:rPr>
              <w:t>多元迴歸分析統計數據</w:t>
            </w:r>
          </w:p>
          <w:p w:rsidR="0049577B" w:rsidRPr="000260C3" w:rsidRDefault="0049577B" w:rsidP="000260C3">
            <w:pPr>
              <w:spacing w:line="240" w:lineRule="auto"/>
              <w:ind w:leftChars="0" w:left="0" w:rightChars="0" w:right="0"/>
              <w:jc w:val="center"/>
              <w:rPr>
                <w:sz w:val="24"/>
                <w:szCs w:val="24"/>
              </w:rPr>
            </w:pPr>
            <w:r w:rsidRPr="000260C3">
              <w:rPr>
                <w:sz w:val="24"/>
                <w:szCs w:val="24"/>
              </w:rPr>
              <w:t>自變項(解釋因子，independent variable)之名稱</w:t>
            </w:r>
          </w:p>
        </w:tc>
        <w:tc>
          <w:tcPr>
            <w:tcW w:w="2041" w:type="dxa"/>
            <w:shd w:val="clear" w:color="auto" w:fill="EFFDFF"/>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標準化迴歸係數值(Beta)</w:t>
            </w:r>
          </w:p>
        </w:tc>
        <w:tc>
          <w:tcPr>
            <w:tcW w:w="2041" w:type="dxa"/>
            <w:shd w:val="clear" w:color="auto" w:fill="EFFDFF"/>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標準化迴歸係數值(Beta)之顯著度(水準)</w:t>
            </w:r>
          </w:p>
        </w:tc>
        <w:tc>
          <w:tcPr>
            <w:tcW w:w="2042" w:type="dxa"/>
            <w:shd w:val="clear" w:color="auto" w:fill="EFFDFF"/>
            <w:vAlign w:val="center"/>
          </w:tcPr>
          <w:p w:rsidR="0049577B" w:rsidRPr="000260C3" w:rsidRDefault="0049577B" w:rsidP="000260C3">
            <w:pPr>
              <w:spacing w:line="240" w:lineRule="auto"/>
              <w:ind w:leftChars="0" w:left="0" w:rightChars="0" w:right="0"/>
              <w:jc w:val="center"/>
              <w:rPr>
                <w:sz w:val="24"/>
                <w:szCs w:val="24"/>
              </w:rPr>
            </w:pPr>
            <w:r w:rsidRPr="000260C3">
              <w:rPr>
                <w:sz w:val="24"/>
                <w:szCs w:val="24"/>
              </w:rPr>
              <w:t>條件指標(CI)</w:t>
            </w:r>
            <w:r w:rsidR="003C1792" w:rsidRPr="000260C3">
              <w:rPr>
                <w:sz w:val="24"/>
                <w:szCs w:val="24"/>
              </w:rPr>
              <w:t>(</w:t>
            </w:r>
            <w:r w:rsidRPr="000260C3">
              <w:rPr>
                <w:sz w:val="24"/>
                <w:szCs w:val="24"/>
              </w:rPr>
              <w:t>檢視自變項是否有嚴重之共線問題)</w:t>
            </w: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X1：失業率(1992-2016年)</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-0.003</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0.983</w:t>
            </w:r>
          </w:p>
        </w:tc>
        <w:tc>
          <w:tcPr>
            <w:tcW w:w="2042"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6.956</w:t>
            </w: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X2：結婚對數(1998-2013年)</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0.297</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0.043</w:t>
            </w:r>
          </w:p>
        </w:tc>
        <w:tc>
          <w:tcPr>
            <w:tcW w:w="2042"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11.558</w:t>
            </w: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X3： 35歲以上人口之中，男性未婚之比例</w:t>
            </w:r>
            <w:r w:rsidR="003C1792" w:rsidRPr="000260C3">
              <w:rPr>
                <w:sz w:val="24"/>
                <w:szCs w:val="24"/>
              </w:rPr>
              <w:t>(</w:t>
            </w:r>
            <w:r w:rsidRPr="000260C3">
              <w:rPr>
                <w:sz w:val="24"/>
                <w:szCs w:val="24"/>
              </w:rPr>
              <w:t>1998-2013年)</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2"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X4：離婚率(1998-2013年)</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2"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X5：GNI(平均每人國民所得毛額，以美元為單位)</w:t>
            </w:r>
            <w:r w:rsidR="003C1792" w:rsidRPr="000260C3">
              <w:rPr>
                <w:sz w:val="24"/>
                <w:szCs w:val="24"/>
              </w:rPr>
              <w:t>(</w:t>
            </w:r>
            <w:r w:rsidRPr="000260C3">
              <w:rPr>
                <w:sz w:val="24"/>
                <w:szCs w:val="24"/>
              </w:rPr>
              <w:t>1992-2016年)</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-0.754</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0.000</w:t>
            </w:r>
          </w:p>
        </w:tc>
        <w:tc>
          <w:tcPr>
            <w:tcW w:w="2042"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r w:rsidRPr="000260C3">
              <w:rPr>
                <w:sz w:val="24"/>
                <w:szCs w:val="24"/>
              </w:rPr>
              <w:t>28.124</w:t>
            </w: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X6：低收入戶之家庭及就學生活補助金額(1998-2013年)</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2"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X7：緩刑比率(1998-2013年)</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2"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X8：無期徒刑之人數(1998-2013年)</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2"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X9：被執行死刑之人數(1992-2016年)</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2"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r>
      <w:tr w:rsidR="0049577B" w:rsidRPr="00B40DC1" w:rsidTr="00E56787">
        <w:tc>
          <w:tcPr>
            <w:tcW w:w="3936" w:type="dxa"/>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X10：當年度之全般刑案破獲率(1992-2016年)</w:t>
            </w: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1"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c>
          <w:tcPr>
            <w:tcW w:w="2042" w:type="dxa"/>
            <w:shd w:val="clear" w:color="auto" w:fill="auto"/>
            <w:vAlign w:val="center"/>
          </w:tcPr>
          <w:p w:rsidR="0049577B" w:rsidRPr="000260C3" w:rsidRDefault="0049577B" w:rsidP="009214BE">
            <w:pPr>
              <w:spacing w:line="240" w:lineRule="auto"/>
              <w:ind w:leftChars="0" w:left="0" w:rightChars="0" w:right="0"/>
              <w:jc w:val="center"/>
              <w:rPr>
                <w:sz w:val="24"/>
                <w:szCs w:val="24"/>
              </w:rPr>
            </w:pPr>
          </w:p>
        </w:tc>
      </w:tr>
      <w:tr w:rsidR="0049577B" w:rsidRPr="00B40DC1" w:rsidTr="009214BE">
        <w:tc>
          <w:tcPr>
            <w:tcW w:w="10060" w:type="dxa"/>
            <w:gridSpan w:val="4"/>
            <w:shd w:val="clear" w:color="auto" w:fill="auto"/>
          </w:tcPr>
          <w:p w:rsidR="0049577B" w:rsidRPr="000260C3" w:rsidRDefault="0049577B" w:rsidP="000260C3">
            <w:pPr>
              <w:spacing w:line="240" w:lineRule="auto"/>
              <w:ind w:leftChars="0" w:left="0" w:rightChars="0" w:right="0"/>
              <w:rPr>
                <w:sz w:val="24"/>
                <w:szCs w:val="24"/>
              </w:rPr>
            </w:pPr>
            <w:r w:rsidRPr="000260C3">
              <w:rPr>
                <w:sz w:val="24"/>
                <w:szCs w:val="24"/>
              </w:rPr>
              <w:t>多元迴歸分析模型整體之R平方解釋量：0.780</w:t>
            </w:r>
          </w:p>
        </w:tc>
      </w:tr>
    </w:tbl>
    <w:p w:rsidR="0049577B" w:rsidRPr="00B40DC1" w:rsidRDefault="00817A92" w:rsidP="009214BE">
      <w:pPr>
        <w:spacing w:line="240" w:lineRule="auto"/>
        <w:ind w:leftChars="0" w:left="0" w:rightChars="0" w:right="0"/>
      </w:pPr>
      <w:r>
        <w:t>【資料來源】</w:t>
      </w:r>
      <w:r w:rsidR="0049577B" w:rsidRPr="00B40DC1">
        <w:t>本表之自變項、依變項之最原始數據，原始數據資料來源如下---中華民國統計資訊網(2018)；法務部統計處(2018)；行政院主計總處(2018)；內政部統計處(2018)；內政部警政署(2018)；內政部警政署刑事警察局(2018)；台灣人權促進會(2018)。</w:t>
      </w:r>
    </w:p>
    <w:p w:rsidR="0049577B" w:rsidRPr="00B40DC1" w:rsidRDefault="0049577B" w:rsidP="000D26BB"/>
    <w:p w:rsidR="0049577B" w:rsidRPr="00B40DC1" w:rsidRDefault="00664AD3" w:rsidP="00E56787">
      <w:pPr>
        <w:spacing w:line="240" w:lineRule="auto"/>
        <w:ind w:leftChars="0" w:left="0" w:rightChars="0" w:right="0"/>
      </w:pPr>
      <w:r>
        <w:t xml:space="preserve">　　</w:t>
      </w:r>
      <w:r w:rsidR="0049577B" w:rsidRPr="00B40DC1">
        <w:t>由下表---無期徒刑與當年度重大指標犯罪(重大暴力犯罪)、下年度重大指標犯罪(重大暴力犯罪)、下下年度重大指標犯罪(重大暴力犯罪)</w:t>
      </w:r>
      <w:r w:rsidR="0049577B" w:rsidRPr="00871524">
        <w:rPr>
          <w:rStyle w:val="af7"/>
          <w:rFonts w:eastAsia="新細明體"/>
          <w:sz w:val="20"/>
        </w:rPr>
        <w:footnoteReference w:id="346"/>
      </w:r>
      <w:r w:rsidR="0049577B" w:rsidRPr="00B40DC1">
        <w:t>Pearson相關分析之統計數據結果一覽表之統計資料可得知，無期徒刑與當年度重大指標犯罪(重大暴力犯罪)之Pearson相關係數，乃為0.749，且已達顯著性(p=0.001)，顯示無期徒刑與當年度重大指標犯罪(重大暴力犯罪)兩者之間，存有高度之正相關。</w:t>
      </w:r>
    </w:p>
    <w:p w:rsidR="0049577B" w:rsidRPr="00B40DC1" w:rsidRDefault="0049577B" w:rsidP="00E56787">
      <w:pPr>
        <w:spacing w:line="240" w:lineRule="auto"/>
        <w:ind w:leftChars="0" w:left="0" w:rightChars="0" w:right="0"/>
      </w:pPr>
      <w:r w:rsidRPr="00B40DC1">
        <w:t>無期徒刑與下年度重大指標犯罪(重大暴力犯罪)之Pearson相關係數，乃為0.721，且已達顯著性，顯示無期徒刑與下年度重大指標犯罪(重大暴力犯罪)兩者之間，存有高度之正相關。</w:t>
      </w:r>
    </w:p>
    <w:p w:rsidR="0049577B" w:rsidRPr="00B40DC1" w:rsidRDefault="00664AD3" w:rsidP="00E56787">
      <w:pPr>
        <w:spacing w:line="240" w:lineRule="auto"/>
        <w:ind w:leftChars="0" w:left="0" w:rightChars="0" w:right="0"/>
      </w:pPr>
      <w:r>
        <w:t xml:space="preserve">　　</w:t>
      </w:r>
      <w:r w:rsidR="0049577B" w:rsidRPr="00B40DC1">
        <w:t>無期徒刑與下下年度重大指標犯罪(重大暴力犯罪)之Pearson相關係數，乃為0.776，且已達極顯著性，顯示無期徒刑與下下年度重大指標犯罪(重大暴力犯罪)兩者之間，存有高度之正相關。</w:t>
      </w:r>
    </w:p>
    <w:p w:rsidR="00D162A0" w:rsidRDefault="00E56787" w:rsidP="00E56787">
      <w:pPr>
        <w:jc w:val="right"/>
        <w:rPr>
          <w:color w:val="808000"/>
          <w:sz w:val="22"/>
        </w:rPr>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E56787" w:rsidRPr="00B40DC1" w:rsidRDefault="00D162A0" w:rsidP="00D162A0">
      <w:pPr>
        <w:pStyle w:val="4"/>
        <w:rPr>
          <w:lang w:eastAsia="zh-TW"/>
        </w:rPr>
      </w:pPr>
      <w:r w:rsidRPr="00B40DC1">
        <w:rPr>
          <w:lang w:eastAsia="zh-TW"/>
        </w:rPr>
        <w:t>表66、無期徒刑與當年度重大指標犯罪(重大暴力犯罪)、下年度重大指標犯罪(重大暴力犯罪)、下下年度重大指標犯罪(重大暴力犯罪)</w:t>
      </w:r>
      <w:r w:rsidRPr="00871524">
        <w:rPr>
          <w:rStyle w:val="af7"/>
          <w:rFonts w:eastAsia="新細明體"/>
          <w:sz w:val="20"/>
        </w:rPr>
        <w:footnoteReference w:id="347"/>
      </w:r>
      <w:r w:rsidRPr="00B40DC1">
        <w:rPr>
          <w:lang w:eastAsia="zh-TW"/>
        </w:rPr>
        <w:t>Pearson相關分析之統計數據結果一覽表</w:t>
      </w:r>
      <w:r w:rsidRPr="00871524">
        <w:rPr>
          <w:rStyle w:val="af7"/>
          <w:rFonts w:eastAsia="新細明體"/>
          <w:sz w:val="20"/>
        </w:rPr>
        <w:footnoteReference w:id="348"/>
      </w:r>
    </w:p>
    <w:tbl>
      <w:tblPr>
        <w:tblW w:w="963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1275"/>
        <w:gridCol w:w="1559"/>
        <w:gridCol w:w="1559"/>
        <w:gridCol w:w="1559"/>
        <w:gridCol w:w="1560"/>
      </w:tblGrid>
      <w:tr w:rsidR="0049577B" w:rsidRPr="00B40DC1" w:rsidTr="00D162A0">
        <w:trPr>
          <w:cantSplit/>
        </w:trPr>
        <w:tc>
          <w:tcPr>
            <w:tcW w:w="3402" w:type="dxa"/>
            <w:gridSpan w:val="2"/>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B40DC1" w:rsidRDefault="0049577B" w:rsidP="00E56787">
            <w:pPr>
              <w:spacing w:line="240" w:lineRule="auto"/>
              <w:ind w:leftChars="0" w:left="0" w:rightChars="0" w:right="0"/>
              <w:jc w:val="center"/>
            </w:pPr>
          </w:p>
        </w:tc>
        <w:tc>
          <w:tcPr>
            <w:tcW w:w="1559" w:type="dxa"/>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D162A0" w:rsidRDefault="0049577B" w:rsidP="00E56787">
            <w:pPr>
              <w:spacing w:line="240" w:lineRule="auto"/>
              <w:ind w:leftChars="0" w:left="0" w:rightChars="0" w:right="0"/>
              <w:jc w:val="center"/>
              <w:rPr>
                <w:sz w:val="24"/>
              </w:rPr>
            </w:pPr>
            <w:r w:rsidRPr="00D162A0">
              <w:rPr>
                <w:sz w:val="24"/>
              </w:rPr>
              <w:t>無期徒刑</w:t>
            </w:r>
          </w:p>
        </w:tc>
        <w:tc>
          <w:tcPr>
            <w:tcW w:w="1559" w:type="dxa"/>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D162A0" w:rsidRDefault="0049577B" w:rsidP="00E56787">
            <w:pPr>
              <w:spacing w:line="240" w:lineRule="auto"/>
              <w:ind w:leftChars="0" w:left="0" w:rightChars="0" w:right="0"/>
              <w:jc w:val="center"/>
              <w:rPr>
                <w:sz w:val="24"/>
              </w:rPr>
            </w:pPr>
            <w:r w:rsidRPr="00D162A0">
              <w:rPr>
                <w:sz w:val="24"/>
              </w:rPr>
              <w:t>當年度重大指標犯罪(重大暴力犯罪)(Bigcrime)</w:t>
            </w:r>
          </w:p>
        </w:tc>
        <w:tc>
          <w:tcPr>
            <w:tcW w:w="1559" w:type="dxa"/>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D162A0" w:rsidRDefault="0049577B" w:rsidP="00E56787">
            <w:pPr>
              <w:spacing w:line="240" w:lineRule="auto"/>
              <w:ind w:leftChars="0" w:left="0" w:rightChars="0" w:right="0"/>
              <w:jc w:val="center"/>
              <w:rPr>
                <w:sz w:val="24"/>
              </w:rPr>
            </w:pPr>
            <w:r w:rsidRPr="00D162A0">
              <w:rPr>
                <w:sz w:val="24"/>
              </w:rPr>
              <w:t>下年度重大指標犯罪(重大暴力犯罪)(Bigcrimenext)</w:t>
            </w:r>
          </w:p>
        </w:tc>
        <w:tc>
          <w:tcPr>
            <w:tcW w:w="1560" w:type="dxa"/>
            <w:tcBorders>
              <w:top w:val="single" w:sz="4" w:space="0" w:color="auto"/>
              <w:left w:val="single" w:sz="4" w:space="0" w:color="auto"/>
              <w:bottom w:val="single" w:sz="4" w:space="0" w:color="auto"/>
              <w:right w:val="single" w:sz="4" w:space="0" w:color="auto"/>
            </w:tcBorders>
            <w:shd w:val="clear" w:color="auto" w:fill="FAF0FA"/>
            <w:vAlign w:val="center"/>
          </w:tcPr>
          <w:p w:rsidR="0049577B" w:rsidRPr="00D162A0" w:rsidRDefault="0049577B" w:rsidP="00E56787">
            <w:pPr>
              <w:spacing w:line="240" w:lineRule="auto"/>
              <w:ind w:leftChars="0" w:left="0" w:rightChars="0" w:right="0"/>
              <w:jc w:val="center"/>
              <w:rPr>
                <w:sz w:val="24"/>
              </w:rPr>
            </w:pPr>
            <w:r w:rsidRPr="00D162A0">
              <w:rPr>
                <w:sz w:val="24"/>
              </w:rPr>
              <w:t>下下年度重大指標犯罪(重大暴力犯罪)(Bigcrime2next)</w:t>
            </w:r>
          </w:p>
        </w:tc>
      </w:tr>
      <w:tr w:rsidR="0049577B" w:rsidRPr="00B40DC1" w:rsidTr="00D162A0">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r w:rsidRPr="00D162A0">
              <w:rPr>
                <w:sz w:val="24"/>
              </w:rPr>
              <w:t xml:space="preserve">無期徒刑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Pearson 相關</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.749</w:t>
            </w:r>
            <w:r w:rsidR="001E5891" w:rsidRPr="001E5891">
              <w:rPr>
                <w:rFonts w:hint="eastAsia"/>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.721</w:t>
            </w:r>
            <w:r w:rsidR="001E5891" w:rsidRPr="001E5891">
              <w:rPr>
                <w:rFonts w:hint="eastAsia"/>
                <w:sz w:val="20"/>
                <w:szCs w:val="20"/>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.776</w:t>
            </w:r>
            <w:r w:rsidR="001E5891" w:rsidRPr="001E5891">
              <w:rPr>
                <w:rFonts w:hint="eastAsia"/>
                <w:sz w:val="20"/>
                <w:szCs w:val="20"/>
              </w:rPr>
              <w:t>＊＊</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顯著性</w:t>
            </w:r>
            <w:r w:rsidR="003C1792" w:rsidRPr="00D162A0">
              <w:rPr>
                <w:sz w:val="24"/>
              </w:rPr>
              <w:t>(</w:t>
            </w:r>
            <w:r w:rsidRPr="00D162A0">
              <w:rPr>
                <w:sz w:val="24"/>
              </w:rPr>
              <w:t>雙尾)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.000</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個數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16</w:t>
            </w:r>
          </w:p>
        </w:tc>
      </w:tr>
      <w:tr w:rsidR="0049577B" w:rsidRPr="00B40DC1" w:rsidTr="00D162A0">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r w:rsidRPr="00D162A0">
              <w:rPr>
                <w:sz w:val="24"/>
              </w:rPr>
              <w:t>當年度重大指標犯罪(重大暴力犯罪)(Bigcrime)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Pearson 相關</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.749</w:t>
            </w:r>
            <w:r w:rsidR="001E5891" w:rsidRPr="001E5891">
              <w:rPr>
                <w:rFonts w:hint="eastAsia"/>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.875</w:t>
            </w:r>
            <w:r w:rsidR="001E5891" w:rsidRPr="001E5891">
              <w:rPr>
                <w:rFonts w:hint="eastAsia"/>
                <w:sz w:val="20"/>
                <w:szCs w:val="20"/>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.692</w:t>
            </w:r>
            <w:r w:rsidR="001E5891" w:rsidRPr="001E5891">
              <w:rPr>
                <w:rFonts w:hint="eastAsia"/>
                <w:sz w:val="20"/>
                <w:szCs w:val="20"/>
              </w:rPr>
              <w:t>＊＊</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顯著性</w:t>
            </w:r>
            <w:r w:rsidR="003C1792" w:rsidRPr="00D162A0">
              <w:rPr>
                <w:sz w:val="24"/>
              </w:rPr>
              <w:t>(</w:t>
            </w:r>
            <w:r w:rsidRPr="00D162A0">
              <w:rPr>
                <w:sz w:val="24"/>
              </w:rPr>
              <w:t>雙尾)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.000</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個數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24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23</w:t>
            </w:r>
          </w:p>
        </w:tc>
      </w:tr>
      <w:tr w:rsidR="0049577B" w:rsidRPr="00B40DC1" w:rsidTr="00D162A0">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r w:rsidRPr="00D162A0">
              <w:rPr>
                <w:sz w:val="24"/>
              </w:rPr>
              <w:t>下年度重大指標犯罪(重大暴力犯罪)(Bigcrimenext)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Pearson 相關</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.721</w:t>
            </w:r>
            <w:r w:rsidR="001E5891" w:rsidRPr="001E5891">
              <w:rPr>
                <w:rFonts w:hint="eastAsia"/>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.875</w:t>
            </w:r>
            <w:r w:rsidR="001E5891" w:rsidRPr="001E5891">
              <w:rPr>
                <w:rFonts w:hint="eastAsia"/>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.874</w:t>
            </w:r>
            <w:r w:rsidR="001E5891" w:rsidRPr="001E5891">
              <w:rPr>
                <w:rFonts w:hint="eastAsia"/>
                <w:sz w:val="20"/>
                <w:szCs w:val="20"/>
              </w:rPr>
              <w:t>＊＊</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顯著性</w:t>
            </w:r>
            <w:r w:rsidR="003C1792" w:rsidRPr="00D162A0">
              <w:rPr>
                <w:sz w:val="24"/>
              </w:rPr>
              <w:t>(</w:t>
            </w:r>
            <w:r w:rsidRPr="00D162A0">
              <w:rPr>
                <w:sz w:val="24"/>
              </w:rPr>
              <w:t>雙尾)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.000</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個數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24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23</w:t>
            </w:r>
          </w:p>
        </w:tc>
      </w:tr>
      <w:tr w:rsidR="0049577B" w:rsidRPr="00B40DC1" w:rsidTr="00D162A0">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r w:rsidRPr="00D162A0">
              <w:rPr>
                <w:sz w:val="24"/>
              </w:rPr>
              <w:t>下下年度重大指標犯罪(重大暴力犯罪)(Bigcrime2next)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Pearson 相關</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.776</w:t>
            </w:r>
            <w:r w:rsidR="001E5891" w:rsidRPr="001E5891">
              <w:rPr>
                <w:rFonts w:hint="eastAsia"/>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.692</w:t>
            </w:r>
            <w:r w:rsidR="001E5891" w:rsidRPr="001E5891">
              <w:rPr>
                <w:rFonts w:hint="eastAsia"/>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.874</w:t>
            </w:r>
            <w:r w:rsidR="001E5891" w:rsidRPr="001E5891">
              <w:rPr>
                <w:rFonts w:hint="eastAsia"/>
                <w:sz w:val="20"/>
                <w:szCs w:val="20"/>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w:t>
            </w: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顯著性</w:t>
            </w:r>
            <w:r w:rsidR="003C1792" w:rsidRPr="00D162A0">
              <w:rPr>
                <w:sz w:val="24"/>
              </w:rPr>
              <w:t>(</w:t>
            </w:r>
            <w:r w:rsidRPr="00D162A0">
              <w:rPr>
                <w:sz w:val="24"/>
              </w:rPr>
              <w:t>雙尾)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p>
        </w:tc>
      </w:tr>
      <w:tr w:rsidR="0049577B" w:rsidRPr="00B40DC1" w:rsidTr="00D162A0">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49577B" w:rsidP="00E56787">
            <w:pPr>
              <w:spacing w:line="240" w:lineRule="auto"/>
              <w:ind w:leftChars="0" w:left="0" w:rightChars="0" w:right="0"/>
              <w:rPr>
                <w:sz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個數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23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23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D162A0" w:rsidRDefault="0049577B" w:rsidP="00E56787">
            <w:pPr>
              <w:spacing w:line="240" w:lineRule="auto"/>
              <w:ind w:leftChars="0" w:left="0" w:rightChars="0" w:right="0"/>
              <w:jc w:val="center"/>
              <w:rPr>
                <w:sz w:val="24"/>
              </w:rPr>
            </w:pPr>
            <w:r w:rsidRPr="00D162A0">
              <w:rPr>
                <w:sz w:val="24"/>
              </w:rPr>
              <w:t>23</w:t>
            </w:r>
          </w:p>
        </w:tc>
      </w:tr>
      <w:tr w:rsidR="0049577B" w:rsidRPr="00B40DC1" w:rsidTr="00D162A0">
        <w:trPr>
          <w:cantSplit/>
        </w:trPr>
        <w:tc>
          <w:tcPr>
            <w:tcW w:w="9639" w:type="dxa"/>
            <w:gridSpan w:val="6"/>
            <w:tcBorders>
              <w:top w:val="single" w:sz="4" w:space="0" w:color="auto"/>
              <w:left w:val="single" w:sz="4" w:space="0" w:color="auto"/>
              <w:bottom w:val="single" w:sz="4" w:space="0" w:color="auto"/>
              <w:right w:val="single" w:sz="4" w:space="0" w:color="auto"/>
            </w:tcBorders>
            <w:shd w:val="clear" w:color="auto" w:fill="FFFFFF"/>
          </w:tcPr>
          <w:p w:rsidR="0049577B" w:rsidRPr="00D162A0" w:rsidRDefault="001E5891" w:rsidP="00E56787">
            <w:pPr>
              <w:spacing w:line="240" w:lineRule="auto"/>
              <w:ind w:leftChars="0" w:left="0" w:rightChars="0" w:right="0"/>
              <w:rPr>
                <w:sz w:val="24"/>
              </w:rPr>
            </w:pPr>
            <w:r w:rsidRPr="001E5891">
              <w:rPr>
                <w:rFonts w:hint="eastAsia"/>
                <w:sz w:val="20"/>
                <w:szCs w:val="20"/>
              </w:rPr>
              <w:t>＊＊</w:t>
            </w:r>
            <w:r w:rsidR="003C1792" w:rsidRPr="00D162A0">
              <w:rPr>
                <w:sz w:val="24"/>
              </w:rPr>
              <w:t>.</w:t>
            </w:r>
            <w:r w:rsidR="0049577B" w:rsidRPr="00D162A0">
              <w:rPr>
                <w:sz w:val="24"/>
              </w:rPr>
              <w:t>在顯著水準為0.01時</w:t>
            </w:r>
            <w:r w:rsidR="003C1792" w:rsidRPr="00D162A0">
              <w:rPr>
                <w:sz w:val="24"/>
              </w:rPr>
              <w:t>(</w:t>
            </w:r>
            <w:r w:rsidR="0049577B" w:rsidRPr="00D162A0">
              <w:rPr>
                <w:sz w:val="24"/>
              </w:rPr>
              <w:t>雙尾)，相關顯著。</w:t>
            </w:r>
          </w:p>
        </w:tc>
      </w:tr>
    </w:tbl>
    <w:p w:rsidR="0049577B" w:rsidRPr="00B40DC1" w:rsidRDefault="0049577B" w:rsidP="000D26BB"/>
    <w:p w:rsidR="0049577B" w:rsidRPr="00B40DC1" w:rsidRDefault="00664AD3" w:rsidP="00E56787">
      <w:pPr>
        <w:spacing w:line="240" w:lineRule="auto"/>
        <w:ind w:leftChars="0" w:left="0" w:rightChars="0" w:right="0"/>
      </w:pPr>
      <w:r>
        <w:t xml:space="preserve">　　</w:t>
      </w:r>
      <w:r w:rsidR="0049577B" w:rsidRPr="00B40DC1">
        <w:t>由下表---執行死刑與當年度重大指標犯罪(重大暴力犯罪)、下年度重大指標犯罪(重大暴力犯罪)、下下年度重大指標犯罪(重大暴力犯罪)</w:t>
      </w:r>
      <w:r w:rsidR="0049577B" w:rsidRPr="00871524">
        <w:rPr>
          <w:rStyle w:val="af7"/>
          <w:rFonts w:eastAsia="新細明體"/>
          <w:sz w:val="20"/>
        </w:rPr>
        <w:footnoteReference w:id="349"/>
      </w:r>
      <w:r w:rsidR="0049577B" w:rsidRPr="00B40DC1">
        <w:t>Pearson相關分析之統計數據結果一覽表之統計資料可得知，執行死刑與當年度重大指標犯罪(重大暴力犯罪)之Pearson相關係數，乃為0.329，未達顯著性(p=0.109&gt;0.05)，顯示執行死刑與當年度重大指標犯罪(重大暴力犯罪)兩者之間，未存有相關。</w:t>
      </w:r>
    </w:p>
    <w:p w:rsidR="0049577B" w:rsidRPr="00B40DC1" w:rsidRDefault="00664AD3" w:rsidP="00E56787">
      <w:pPr>
        <w:spacing w:line="240" w:lineRule="auto"/>
        <w:ind w:leftChars="0" w:left="0" w:rightChars="0" w:right="0"/>
      </w:pPr>
      <w:r>
        <w:t xml:space="preserve">　　</w:t>
      </w:r>
      <w:r w:rsidR="0049577B" w:rsidRPr="00B40DC1">
        <w:t>執行死刑與下年度重大指標犯罪(重大暴力犯罪)之Pearson相關係數，乃為0.376，未達顯著性，顯示執行死刑與下年度重大指標犯罪(重大暴力犯罪)兩者之間，亦未存有相關。</w:t>
      </w:r>
    </w:p>
    <w:p w:rsidR="0049577B" w:rsidRPr="00B40DC1" w:rsidRDefault="00664AD3" w:rsidP="00E56787">
      <w:pPr>
        <w:spacing w:line="240" w:lineRule="auto"/>
        <w:ind w:leftChars="0" w:left="0" w:rightChars="0" w:right="0"/>
      </w:pPr>
      <w:r>
        <w:t xml:space="preserve">　　</w:t>
      </w:r>
      <w:r w:rsidR="0049577B" w:rsidRPr="00B40DC1">
        <w:t>執行死刑與下下年度重大指標犯罪(重大暴力犯罪)之Pearson相關係數，乃為0.470，且已達顯著性，顯示執行死刑與下下年度重大指標犯罪(重大暴力犯罪)兩者之間，存有高度之正相關。執行死刑次數愈多，下下年度重大指標犯罪(重大暴力犯罪)之數量亦會愈多，兩者呈現正向之互動性。</w:t>
      </w:r>
    </w:p>
    <w:p w:rsidR="0049577B" w:rsidRPr="00B40DC1" w:rsidRDefault="00664AD3" w:rsidP="00E56787">
      <w:pPr>
        <w:spacing w:line="240" w:lineRule="auto"/>
        <w:ind w:leftChars="0" w:left="0" w:rightChars="0" w:right="0"/>
      </w:pPr>
      <w:r>
        <w:t xml:space="preserve">　　</w:t>
      </w:r>
      <w:r w:rsidR="0049577B" w:rsidRPr="00B40DC1">
        <w:t>一般社會大眾咸認為，執行死刑與下下年度重大指標犯罪(重大暴力犯罪)兩者之間，存有高度之負相關。執行死刑次數愈多，下下年度重大指標犯罪(重大暴力犯罪)之數量就會愈少，兩者呈現負向之互動性，這僅是一種心理上之預期效應，未經科學實證檢驗。本書運用統計分析之技術，經科學實證檢驗，得到之結論，乃為執行死刑與下下年度重大指標犯罪(重大暴力犯罪)兩者之間，存有高度之正相關，而非存有高度之負相關。容本書再強調一次，所謂有高度之正相關，指執行死刑次數愈多，下下年度重大指標犯罪(重大暴力犯罪)之數量亦會愈多，下下年度重大指標犯罪(重大暴力犯罪)會愈來愈嚴重，社會治安會愈來愈差。</w:t>
      </w:r>
    </w:p>
    <w:p w:rsidR="0049577B" w:rsidRPr="00B40DC1" w:rsidRDefault="00E56787" w:rsidP="00E56787">
      <w:pPr>
        <w:spacing w:line="240" w:lineRule="auto"/>
        <w:ind w:leftChars="0" w:left="0" w:rightChars="0" w:right="0"/>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D162A0">
      <w:pPr>
        <w:pStyle w:val="4"/>
        <w:rPr>
          <w:lang w:eastAsia="zh-TW"/>
        </w:rPr>
      </w:pPr>
      <w:r w:rsidRPr="00B40DC1">
        <w:rPr>
          <w:lang w:eastAsia="zh-TW"/>
        </w:rPr>
        <w:t>表67、執行死刑與當年度重大指標犯罪(重大暴力犯罪)、下年度重大指標犯罪(重大暴力犯罪)、下下年度重大指標犯罪(重大暴力犯罪)</w:t>
      </w:r>
      <w:r w:rsidRPr="00871524">
        <w:rPr>
          <w:rStyle w:val="af7"/>
          <w:rFonts w:eastAsia="新細明體"/>
          <w:sz w:val="20"/>
        </w:rPr>
        <w:footnoteReference w:id="350"/>
      </w:r>
      <w:r w:rsidRPr="00B40DC1">
        <w:rPr>
          <w:lang w:eastAsia="zh-TW"/>
        </w:rPr>
        <w:t>Pearson相關分析之統計數據結果一覽表</w:t>
      </w:r>
      <w:r w:rsidRPr="00871524">
        <w:rPr>
          <w:rStyle w:val="af7"/>
          <w:rFonts w:eastAsia="新細明體"/>
          <w:sz w:val="20"/>
        </w:rPr>
        <w:footnoteReference w:id="351"/>
      </w:r>
    </w:p>
    <w:tbl>
      <w:tblPr>
        <w:tblW w:w="10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1281"/>
        <w:gridCol w:w="1735"/>
        <w:gridCol w:w="1735"/>
        <w:gridCol w:w="1735"/>
        <w:gridCol w:w="1735"/>
      </w:tblGrid>
      <w:tr w:rsidR="0049577B" w:rsidRPr="00B40DC1" w:rsidTr="009214BE">
        <w:trPr>
          <w:cantSplit/>
          <w:tblHeader/>
        </w:trPr>
        <w:tc>
          <w:tcPr>
            <w:tcW w:w="3261" w:type="dxa"/>
            <w:gridSpan w:val="2"/>
            <w:tcBorders>
              <w:top w:val="single" w:sz="4" w:space="0" w:color="auto"/>
              <w:left w:val="single" w:sz="4" w:space="0" w:color="auto"/>
              <w:bottom w:val="single" w:sz="4" w:space="0" w:color="auto"/>
              <w:right w:val="single" w:sz="4" w:space="0" w:color="auto"/>
            </w:tcBorders>
            <w:shd w:val="clear" w:color="auto" w:fill="EFFDFF"/>
            <w:vAlign w:val="center"/>
          </w:tcPr>
          <w:p w:rsidR="0049577B" w:rsidRPr="00BF13FB" w:rsidRDefault="0049577B" w:rsidP="009214BE">
            <w:pPr>
              <w:spacing w:line="240" w:lineRule="auto"/>
              <w:ind w:leftChars="0" w:left="0" w:rightChars="0" w:right="0"/>
              <w:jc w:val="center"/>
              <w:rPr>
                <w:sz w:val="24"/>
              </w:rPr>
            </w:pPr>
          </w:p>
        </w:tc>
        <w:tc>
          <w:tcPr>
            <w:tcW w:w="1735" w:type="dxa"/>
            <w:tcBorders>
              <w:top w:val="single" w:sz="4" w:space="0" w:color="auto"/>
              <w:left w:val="single" w:sz="4" w:space="0" w:color="auto"/>
              <w:bottom w:val="single" w:sz="4" w:space="0" w:color="auto"/>
              <w:right w:val="single" w:sz="4" w:space="0" w:color="auto"/>
            </w:tcBorders>
            <w:shd w:val="clear" w:color="auto" w:fill="EFFDFF"/>
            <w:vAlign w:val="center"/>
          </w:tcPr>
          <w:p w:rsidR="0049577B" w:rsidRPr="00BF13FB" w:rsidRDefault="0049577B" w:rsidP="009214BE">
            <w:pPr>
              <w:spacing w:line="240" w:lineRule="auto"/>
              <w:ind w:leftChars="0" w:left="0" w:rightChars="0" w:right="0"/>
              <w:jc w:val="center"/>
              <w:rPr>
                <w:sz w:val="24"/>
              </w:rPr>
            </w:pPr>
            <w:r w:rsidRPr="00BF13FB">
              <w:rPr>
                <w:sz w:val="24"/>
              </w:rPr>
              <w:t>死刑執行人數</w:t>
            </w:r>
          </w:p>
        </w:tc>
        <w:tc>
          <w:tcPr>
            <w:tcW w:w="1735" w:type="dxa"/>
            <w:tcBorders>
              <w:top w:val="single" w:sz="4" w:space="0" w:color="auto"/>
              <w:left w:val="single" w:sz="4" w:space="0" w:color="auto"/>
              <w:bottom w:val="single" w:sz="4" w:space="0" w:color="auto"/>
              <w:right w:val="single" w:sz="4" w:space="0" w:color="auto"/>
            </w:tcBorders>
            <w:shd w:val="clear" w:color="auto" w:fill="EFFDFF"/>
            <w:vAlign w:val="center"/>
          </w:tcPr>
          <w:p w:rsidR="0049577B" w:rsidRPr="00BF13FB" w:rsidRDefault="0049577B" w:rsidP="009214BE">
            <w:pPr>
              <w:spacing w:line="240" w:lineRule="auto"/>
              <w:ind w:leftChars="0" w:left="0" w:rightChars="0" w:right="0"/>
              <w:jc w:val="center"/>
              <w:rPr>
                <w:sz w:val="24"/>
              </w:rPr>
            </w:pPr>
            <w:r w:rsidRPr="00BF13FB">
              <w:rPr>
                <w:sz w:val="24"/>
              </w:rPr>
              <w:t>當年度重大指標犯罪(重大暴力犯罪)(Bigcrime)</w:t>
            </w:r>
          </w:p>
        </w:tc>
        <w:tc>
          <w:tcPr>
            <w:tcW w:w="1735" w:type="dxa"/>
            <w:tcBorders>
              <w:top w:val="single" w:sz="4" w:space="0" w:color="auto"/>
              <w:left w:val="single" w:sz="4" w:space="0" w:color="auto"/>
              <w:bottom w:val="single" w:sz="4" w:space="0" w:color="auto"/>
              <w:right w:val="single" w:sz="4" w:space="0" w:color="auto"/>
            </w:tcBorders>
            <w:shd w:val="clear" w:color="auto" w:fill="EFFDFF"/>
            <w:vAlign w:val="center"/>
          </w:tcPr>
          <w:p w:rsidR="0049577B" w:rsidRPr="00BF13FB" w:rsidRDefault="0049577B" w:rsidP="009214BE">
            <w:pPr>
              <w:spacing w:line="240" w:lineRule="auto"/>
              <w:ind w:leftChars="0" w:left="0" w:rightChars="0" w:right="0"/>
              <w:jc w:val="center"/>
              <w:rPr>
                <w:sz w:val="24"/>
              </w:rPr>
            </w:pPr>
            <w:r w:rsidRPr="00BF13FB">
              <w:rPr>
                <w:sz w:val="24"/>
              </w:rPr>
              <w:t>下年度重大指標犯罪(重大暴力犯罪)(Bigcrimenext)</w:t>
            </w:r>
          </w:p>
        </w:tc>
        <w:tc>
          <w:tcPr>
            <w:tcW w:w="1735" w:type="dxa"/>
            <w:tcBorders>
              <w:top w:val="single" w:sz="4" w:space="0" w:color="auto"/>
              <w:left w:val="single" w:sz="4" w:space="0" w:color="auto"/>
              <w:bottom w:val="single" w:sz="4" w:space="0" w:color="auto"/>
              <w:right w:val="single" w:sz="4" w:space="0" w:color="auto"/>
            </w:tcBorders>
            <w:shd w:val="clear" w:color="auto" w:fill="EFFDFF"/>
            <w:vAlign w:val="center"/>
          </w:tcPr>
          <w:p w:rsidR="0049577B" w:rsidRPr="00BF13FB" w:rsidRDefault="0049577B" w:rsidP="009214BE">
            <w:pPr>
              <w:spacing w:line="240" w:lineRule="auto"/>
              <w:ind w:leftChars="0" w:left="0" w:rightChars="0" w:right="0"/>
              <w:jc w:val="center"/>
              <w:rPr>
                <w:sz w:val="24"/>
              </w:rPr>
            </w:pPr>
            <w:r w:rsidRPr="00BF13FB">
              <w:rPr>
                <w:sz w:val="24"/>
              </w:rPr>
              <w:t>下下年度重大指標犯罪(重大暴力犯罪)(Bigcrime2next)</w:t>
            </w:r>
          </w:p>
        </w:tc>
      </w:tr>
      <w:tr w:rsidR="0049577B" w:rsidRPr="00B40DC1" w:rsidTr="009214BE">
        <w:trPr>
          <w:cantSplit/>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Pr>
                <w:sz w:val="24"/>
              </w:rPr>
            </w:pPr>
            <w:r w:rsidRPr="00BF13FB">
              <w:rPr>
                <w:sz w:val="24"/>
              </w:rPr>
              <w:t>死刑執行人數</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E5891" w:rsidRDefault="0049577B" w:rsidP="001E5891">
            <w:pPr>
              <w:spacing w:line="240" w:lineRule="auto"/>
              <w:ind w:leftChars="0" w:left="0" w:rightChars="0" w:right="0"/>
              <w:rPr>
                <w:sz w:val="24"/>
              </w:rPr>
            </w:pPr>
            <w:r w:rsidRPr="00BF13FB">
              <w:rPr>
                <w:sz w:val="24"/>
              </w:rPr>
              <w:t>Pearson</w:t>
            </w:r>
          </w:p>
          <w:p w:rsidR="0049577B" w:rsidRPr="00BF13FB" w:rsidRDefault="0049577B" w:rsidP="001E5891">
            <w:pPr>
              <w:spacing w:line="240" w:lineRule="auto"/>
              <w:ind w:leftChars="0" w:left="0" w:rightChars="0" w:right="0"/>
              <w:rPr>
                <w:sz w:val="24"/>
              </w:rPr>
            </w:pPr>
            <w:r w:rsidRPr="00BF13FB">
              <w:rPr>
                <w:sz w:val="24"/>
              </w:rPr>
              <w:t xml:space="preserve"> 相關</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1</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.329</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.376</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.470</w:t>
            </w:r>
            <w:r w:rsidR="001E5891" w:rsidRPr="001E5891">
              <w:rPr>
                <w:rFonts w:hint="eastAsia"/>
                <w:sz w:val="20"/>
                <w:szCs w:val="20"/>
              </w:rPr>
              <w:t>＊</w:t>
            </w:r>
          </w:p>
        </w:tc>
      </w:tr>
      <w:tr w:rsidR="0049577B" w:rsidRPr="00B40DC1" w:rsidTr="009214BE">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Pr>
                <w:sz w:val="24"/>
              </w:rPr>
            </w:pP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1E5891">
            <w:pPr>
              <w:spacing w:line="240" w:lineRule="auto"/>
              <w:ind w:leftChars="0" w:left="0" w:rightChars="0" w:right="0"/>
              <w:rPr>
                <w:sz w:val="24"/>
              </w:rPr>
            </w:pPr>
            <w:r w:rsidRPr="00BF13FB">
              <w:rPr>
                <w:sz w:val="24"/>
              </w:rPr>
              <w:t>顯著性</w:t>
            </w:r>
            <w:r w:rsidR="003C1792" w:rsidRPr="00BF13FB">
              <w:rPr>
                <w:sz w:val="24"/>
              </w:rPr>
              <w:t>(</w:t>
            </w:r>
            <w:r w:rsidRPr="00BF13FB">
              <w:rPr>
                <w:sz w:val="24"/>
              </w:rPr>
              <w:t>雙尾)</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.109</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.070</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.024</w:t>
            </w:r>
          </w:p>
        </w:tc>
      </w:tr>
      <w:tr w:rsidR="0049577B" w:rsidRPr="00B40DC1" w:rsidTr="009214BE">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Pr>
                <w:sz w:val="24"/>
              </w:rPr>
            </w:pP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1E5891">
            <w:pPr>
              <w:spacing w:line="240" w:lineRule="auto"/>
              <w:ind w:leftChars="0" w:left="0" w:rightChars="0" w:right="0"/>
              <w:rPr>
                <w:sz w:val="24"/>
              </w:rPr>
            </w:pPr>
            <w:r w:rsidRPr="00BF13FB">
              <w:rPr>
                <w:sz w:val="24"/>
              </w:rPr>
              <w:t>個數</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25</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25</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24</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23</w:t>
            </w:r>
          </w:p>
        </w:tc>
      </w:tr>
      <w:tr w:rsidR="0049577B" w:rsidRPr="00B40DC1" w:rsidTr="009214BE">
        <w:trPr>
          <w:cantSplit/>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Pr>
                <w:sz w:val="24"/>
              </w:rPr>
            </w:pPr>
            <w:r w:rsidRPr="00BF13FB">
              <w:rPr>
                <w:sz w:val="24"/>
              </w:rPr>
              <w:t>當年度重大指標犯罪(重大暴力犯罪)(Bigcrime)</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E5891" w:rsidRDefault="0049577B" w:rsidP="001E5891">
            <w:pPr>
              <w:spacing w:line="240" w:lineRule="auto"/>
              <w:ind w:leftChars="0" w:left="0" w:rightChars="0" w:right="0"/>
              <w:rPr>
                <w:sz w:val="24"/>
              </w:rPr>
            </w:pPr>
            <w:r w:rsidRPr="00BF13FB">
              <w:rPr>
                <w:sz w:val="24"/>
              </w:rPr>
              <w:t>Pearson</w:t>
            </w:r>
          </w:p>
          <w:p w:rsidR="0049577B" w:rsidRPr="00BF13FB" w:rsidRDefault="0049577B" w:rsidP="001E5891">
            <w:pPr>
              <w:spacing w:line="240" w:lineRule="auto"/>
              <w:ind w:leftChars="0" w:left="0" w:rightChars="0" w:right="0"/>
              <w:rPr>
                <w:sz w:val="24"/>
              </w:rPr>
            </w:pPr>
            <w:r w:rsidRPr="00BF13FB">
              <w:rPr>
                <w:sz w:val="24"/>
              </w:rPr>
              <w:t xml:space="preserve"> 相關</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.329</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1</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.875</w:t>
            </w:r>
            <w:r w:rsidR="001E5891" w:rsidRPr="001E5891">
              <w:rPr>
                <w:rFonts w:hint="eastAsia"/>
                <w:sz w:val="20"/>
                <w:szCs w:val="20"/>
              </w:rPr>
              <w:t>＊＊</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.692</w:t>
            </w:r>
            <w:r w:rsidR="001E5891" w:rsidRPr="001E5891">
              <w:rPr>
                <w:rFonts w:hint="eastAsia"/>
                <w:sz w:val="20"/>
                <w:szCs w:val="20"/>
              </w:rPr>
              <w:t>＊＊</w:t>
            </w:r>
          </w:p>
        </w:tc>
      </w:tr>
      <w:tr w:rsidR="0049577B" w:rsidRPr="00B40DC1" w:rsidTr="009214BE">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Pr>
                <w:sz w:val="24"/>
              </w:rPr>
            </w:pP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E5891" w:rsidRDefault="0049577B" w:rsidP="001E5891">
            <w:pPr>
              <w:spacing w:line="240" w:lineRule="auto"/>
              <w:ind w:leftChars="0" w:left="0" w:rightChars="0" w:right="0"/>
              <w:rPr>
                <w:sz w:val="24"/>
              </w:rPr>
            </w:pPr>
            <w:r w:rsidRPr="00BF13FB">
              <w:rPr>
                <w:sz w:val="24"/>
              </w:rPr>
              <w:t>顯著性</w:t>
            </w:r>
          </w:p>
          <w:p w:rsidR="0049577B" w:rsidRPr="00BF13FB" w:rsidRDefault="003C1792" w:rsidP="001E5891">
            <w:pPr>
              <w:spacing w:line="240" w:lineRule="auto"/>
              <w:ind w:leftChars="0" w:left="0" w:rightChars="0" w:right="0"/>
              <w:rPr>
                <w:sz w:val="24"/>
              </w:rPr>
            </w:pPr>
            <w:r w:rsidRPr="00BF13FB">
              <w:rPr>
                <w:sz w:val="24"/>
              </w:rPr>
              <w:t>(</w:t>
            </w:r>
            <w:r w:rsidR="0049577B" w:rsidRPr="00BF13FB">
              <w:rPr>
                <w:sz w:val="24"/>
              </w:rPr>
              <w:t>雙尾)</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.109</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.000</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.000</w:t>
            </w:r>
          </w:p>
        </w:tc>
      </w:tr>
      <w:tr w:rsidR="0049577B" w:rsidRPr="00B40DC1" w:rsidTr="009214BE">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Pr>
                <w:sz w:val="24"/>
              </w:rPr>
            </w:pP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1E5891">
            <w:pPr>
              <w:spacing w:line="240" w:lineRule="auto"/>
              <w:ind w:leftChars="0" w:left="0" w:rightChars="0" w:right="0"/>
              <w:rPr>
                <w:sz w:val="24"/>
              </w:rPr>
            </w:pPr>
            <w:r w:rsidRPr="00BF13FB">
              <w:rPr>
                <w:sz w:val="24"/>
              </w:rPr>
              <w:t>個數</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25</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25</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24</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23</w:t>
            </w:r>
          </w:p>
        </w:tc>
      </w:tr>
      <w:tr w:rsidR="0049577B" w:rsidRPr="00B40DC1" w:rsidTr="009214BE">
        <w:trPr>
          <w:cantSplit/>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Pr>
                <w:sz w:val="24"/>
              </w:rPr>
            </w:pPr>
            <w:r w:rsidRPr="00BF13FB">
              <w:rPr>
                <w:sz w:val="24"/>
              </w:rPr>
              <w:t>下年度重大指標犯罪(重大暴力犯罪)(Bigcrimenext)</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E5891" w:rsidRDefault="0049577B" w:rsidP="001E5891">
            <w:pPr>
              <w:spacing w:line="240" w:lineRule="auto"/>
              <w:ind w:leftChars="0" w:left="0" w:rightChars="0" w:right="0"/>
              <w:rPr>
                <w:sz w:val="24"/>
              </w:rPr>
            </w:pPr>
            <w:r w:rsidRPr="00BF13FB">
              <w:rPr>
                <w:sz w:val="24"/>
              </w:rPr>
              <w:t>Pearson</w:t>
            </w:r>
          </w:p>
          <w:p w:rsidR="0049577B" w:rsidRPr="00BF13FB" w:rsidRDefault="0049577B" w:rsidP="001E5891">
            <w:pPr>
              <w:spacing w:line="240" w:lineRule="auto"/>
              <w:ind w:leftChars="0" w:left="0" w:rightChars="0" w:right="0"/>
              <w:rPr>
                <w:sz w:val="24"/>
              </w:rPr>
            </w:pPr>
            <w:r w:rsidRPr="00BF13FB">
              <w:rPr>
                <w:sz w:val="24"/>
              </w:rPr>
              <w:t xml:space="preserve"> 相關</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.376</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.875</w:t>
            </w:r>
            <w:r w:rsidR="001E5891" w:rsidRPr="001E5891">
              <w:rPr>
                <w:rFonts w:hint="eastAsia"/>
                <w:sz w:val="20"/>
                <w:szCs w:val="20"/>
              </w:rPr>
              <w:t>＊＊</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1</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.874</w:t>
            </w:r>
            <w:r w:rsidR="001E5891" w:rsidRPr="001E5891">
              <w:rPr>
                <w:rFonts w:hint="eastAsia"/>
                <w:sz w:val="20"/>
                <w:szCs w:val="20"/>
              </w:rPr>
              <w:t>＊＊</w:t>
            </w:r>
          </w:p>
        </w:tc>
      </w:tr>
      <w:tr w:rsidR="0049577B" w:rsidRPr="00B40DC1" w:rsidTr="009214BE">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ight="0"/>
              <w:rPr>
                <w:sz w:val="24"/>
              </w:rPr>
            </w:pP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E5891" w:rsidRDefault="0049577B" w:rsidP="001E5891">
            <w:pPr>
              <w:spacing w:line="240" w:lineRule="auto"/>
              <w:ind w:leftChars="0" w:left="0" w:rightChars="0" w:right="0"/>
              <w:rPr>
                <w:sz w:val="24"/>
              </w:rPr>
            </w:pPr>
            <w:r w:rsidRPr="00BF13FB">
              <w:rPr>
                <w:sz w:val="24"/>
              </w:rPr>
              <w:t>顯著性</w:t>
            </w:r>
          </w:p>
          <w:p w:rsidR="0049577B" w:rsidRPr="00BF13FB" w:rsidRDefault="003C1792" w:rsidP="001E5891">
            <w:pPr>
              <w:spacing w:line="240" w:lineRule="auto"/>
              <w:ind w:leftChars="0" w:left="0" w:rightChars="0" w:right="0"/>
              <w:rPr>
                <w:sz w:val="24"/>
              </w:rPr>
            </w:pPr>
            <w:r w:rsidRPr="00BF13FB">
              <w:rPr>
                <w:sz w:val="24"/>
              </w:rPr>
              <w:t>(</w:t>
            </w:r>
            <w:r w:rsidR="0049577B" w:rsidRPr="00BF13FB">
              <w:rPr>
                <w:sz w:val="24"/>
              </w:rPr>
              <w:t>雙尾)</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.070</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.000</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.000</w:t>
            </w:r>
          </w:p>
        </w:tc>
      </w:tr>
      <w:tr w:rsidR="0049577B" w:rsidRPr="00B40DC1" w:rsidTr="009214BE">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ight="0"/>
              <w:rPr>
                <w:sz w:val="24"/>
              </w:rPr>
            </w:pP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1E5891">
            <w:pPr>
              <w:spacing w:line="240" w:lineRule="auto"/>
              <w:ind w:leftChars="0" w:left="0" w:rightChars="0" w:right="0"/>
              <w:rPr>
                <w:sz w:val="24"/>
              </w:rPr>
            </w:pPr>
            <w:r w:rsidRPr="00BF13FB">
              <w:rPr>
                <w:sz w:val="24"/>
              </w:rPr>
              <w:t>個數</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24</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24</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24</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23</w:t>
            </w:r>
          </w:p>
        </w:tc>
      </w:tr>
      <w:tr w:rsidR="0049577B" w:rsidRPr="00B40DC1" w:rsidTr="009214BE">
        <w:trPr>
          <w:cantSplit/>
        </w:trPr>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ight="0"/>
              <w:rPr>
                <w:sz w:val="24"/>
              </w:rPr>
            </w:pPr>
            <w:r w:rsidRPr="00BF13FB">
              <w:rPr>
                <w:sz w:val="24"/>
              </w:rPr>
              <w:t>下下年度重大指標犯罪(重大暴力犯罪)(Bigcrime2next)</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E5891" w:rsidRDefault="0049577B" w:rsidP="001E5891">
            <w:pPr>
              <w:spacing w:line="240" w:lineRule="auto"/>
              <w:ind w:leftChars="0" w:left="0" w:rightChars="0" w:right="0"/>
              <w:rPr>
                <w:sz w:val="24"/>
              </w:rPr>
            </w:pPr>
            <w:r w:rsidRPr="00BF13FB">
              <w:rPr>
                <w:sz w:val="24"/>
              </w:rPr>
              <w:t>Pearson</w:t>
            </w:r>
          </w:p>
          <w:p w:rsidR="0049577B" w:rsidRPr="00BF13FB" w:rsidRDefault="0049577B" w:rsidP="001E5891">
            <w:pPr>
              <w:spacing w:line="240" w:lineRule="auto"/>
              <w:ind w:leftChars="0" w:left="0" w:rightChars="0" w:right="0"/>
              <w:rPr>
                <w:sz w:val="24"/>
              </w:rPr>
            </w:pPr>
            <w:r w:rsidRPr="00BF13FB">
              <w:rPr>
                <w:sz w:val="24"/>
              </w:rPr>
              <w:t xml:space="preserve"> 相關</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.470</w:t>
            </w:r>
            <w:r w:rsidR="001E5891" w:rsidRPr="001E5891">
              <w:rPr>
                <w:rFonts w:hint="eastAsia"/>
                <w:sz w:val="20"/>
                <w:szCs w:val="20"/>
              </w:rPr>
              <w:t>＊</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.692</w:t>
            </w:r>
            <w:r w:rsidR="001E5891" w:rsidRPr="001E5891">
              <w:rPr>
                <w:rFonts w:hint="eastAsia"/>
                <w:sz w:val="20"/>
                <w:szCs w:val="20"/>
              </w:rPr>
              <w:t>＊＊</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.874</w:t>
            </w:r>
            <w:r w:rsidR="001E5891" w:rsidRPr="001E5891">
              <w:rPr>
                <w:rFonts w:hint="eastAsia"/>
                <w:sz w:val="20"/>
                <w:szCs w:val="20"/>
              </w:rPr>
              <w:t>＊＊</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1</w:t>
            </w:r>
          </w:p>
        </w:tc>
      </w:tr>
      <w:tr w:rsidR="0049577B" w:rsidRPr="00B40DC1" w:rsidTr="009214BE">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ight="0"/>
              <w:rPr>
                <w:sz w:val="24"/>
              </w:rPr>
            </w:pP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E5891" w:rsidRDefault="0049577B" w:rsidP="001E5891">
            <w:pPr>
              <w:spacing w:line="240" w:lineRule="auto"/>
              <w:ind w:leftChars="0" w:left="0" w:rightChars="0" w:right="0"/>
              <w:rPr>
                <w:sz w:val="24"/>
              </w:rPr>
            </w:pPr>
            <w:r w:rsidRPr="00BF13FB">
              <w:rPr>
                <w:sz w:val="24"/>
              </w:rPr>
              <w:t>顯著性</w:t>
            </w:r>
          </w:p>
          <w:p w:rsidR="0049577B" w:rsidRPr="00BF13FB" w:rsidRDefault="003C1792" w:rsidP="001E5891">
            <w:pPr>
              <w:spacing w:line="240" w:lineRule="auto"/>
              <w:ind w:leftChars="0" w:left="0" w:rightChars="0" w:right="0"/>
              <w:rPr>
                <w:sz w:val="24"/>
              </w:rPr>
            </w:pPr>
            <w:r w:rsidRPr="00BF13FB">
              <w:rPr>
                <w:sz w:val="24"/>
              </w:rPr>
              <w:t>(</w:t>
            </w:r>
            <w:r w:rsidR="0049577B" w:rsidRPr="00BF13FB">
              <w:rPr>
                <w:sz w:val="24"/>
              </w:rPr>
              <w:t>雙尾)</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.024</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.000</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.000</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p>
        </w:tc>
      </w:tr>
      <w:tr w:rsidR="0049577B" w:rsidRPr="00B40DC1" w:rsidTr="009214BE">
        <w:trPr>
          <w:cantSplit/>
        </w:trPr>
        <w:tc>
          <w:tcPr>
            <w:tcW w:w="1980" w:type="dxa"/>
            <w:vMerge/>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9214BE">
            <w:pPr>
              <w:spacing w:line="240" w:lineRule="auto"/>
              <w:ind w:leftChars="0" w:left="0" w:rightChars="0" w:right="0"/>
              <w:rPr>
                <w:sz w:val="24"/>
              </w:rPr>
            </w:pP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49577B" w:rsidP="001E5891">
            <w:pPr>
              <w:spacing w:line="240" w:lineRule="auto"/>
              <w:ind w:leftChars="0" w:left="0" w:rightChars="0" w:right="0"/>
              <w:rPr>
                <w:sz w:val="24"/>
              </w:rPr>
            </w:pPr>
            <w:r w:rsidRPr="00BF13FB">
              <w:rPr>
                <w:sz w:val="24"/>
              </w:rPr>
              <w:t>個數</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23</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23</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23</w:t>
            </w:r>
          </w:p>
        </w:tc>
        <w:tc>
          <w:tcPr>
            <w:tcW w:w="1735" w:type="dxa"/>
            <w:tcBorders>
              <w:top w:val="single" w:sz="4" w:space="0" w:color="auto"/>
              <w:left w:val="single" w:sz="4" w:space="0" w:color="auto"/>
              <w:bottom w:val="single" w:sz="4" w:space="0" w:color="auto"/>
              <w:right w:val="single" w:sz="4" w:space="0" w:color="auto"/>
            </w:tcBorders>
            <w:shd w:val="clear" w:color="auto" w:fill="FFFFFF"/>
            <w:vAlign w:val="center"/>
          </w:tcPr>
          <w:p w:rsidR="0049577B" w:rsidRPr="00BF13FB" w:rsidRDefault="0049577B" w:rsidP="009214BE">
            <w:pPr>
              <w:spacing w:line="240" w:lineRule="auto"/>
              <w:ind w:leftChars="0" w:left="0" w:rightChars="0" w:right="0"/>
              <w:jc w:val="center"/>
              <w:rPr>
                <w:sz w:val="24"/>
              </w:rPr>
            </w:pPr>
            <w:r w:rsidRPr="00BF13FB">
              <w:rPr>
                <w:sz w:val="24"/>
              </w:rPr>
              <w:t>23</w:t>
            </w:r>
          </w:p>
        </w:tc>
      </w:tr>
      <w:tr w:rsidR="0049577B" w:rsidRPr="00B40DC1" w:rsidTr="009214BE">
        <w:trPr>
          <w:cantSplit/>
        </w:trPr>
        <w:tc>
          <w:tcPr>
            <w:tcW w:w="10201" w:type="dxa"/>
            <w:gridSpan w:val="6"/>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1E5891" w:rsidP="009214BE">
            <w:pPr>
              <w:spacing w:line="240" w:lineRule="auto"/>
              <w:ind w:leftChars="0" w:left="0" w:rightChars="0" w:right="0"/>
              <w:rPr>
                <w:sz w:val="24"/>
              </w:rPr>
            </w:pPr>
            <w:r w:rsidRPr="001E5891">
              <w:rPr>
                <w:rFonts w:hint="eastAsia"/>
                <w:sz w:val="20"/>
                <w:szCs w:val="20"/>
              </w:rPr>
              <w:t>＊</w:t>
            </w:r>
            <w:r w:rsidR="003C1792" w:rsidRPr="00BF13FB">
              <w:rPr>
                <w:sz w:val="24"/>
              </w:rPr>
              <w:t>.</w:t>
            </w:r>
            <w:r w:rsidR="0049577B" w:rsidRPr="00BF13FB">
              <w:rPr>
                <w:sz w:val="24"/>
              </w:rPr>
              <w:t>在顯著水準為0.05 時</w:t>
            </w:r>
            <w:r w:rsidR="003C1792" w:rsidRPr="00BF13FB">
              <w:rPr>
                <w:sz w:val="24"/>
              </w:rPr>
              <w:t>(</w:t>
            </w:r>
            <w:r w:rsidR="0049577B" w:rsidRPr="00BF13FB">
              <w:rPr>
                <w:sz w:val="24"/>
              </w:rPr>
              <w:t>雙尾)，相關顯著。</w:t>
            </w:r>
          </w:p>
        </w:tc>
      </w:tr>
      <w:tr w:rsidR="0049577B" w:rsidRPr="00B40DC1" w:rsidTr="009214BE">
        <w:trPr>
          <w:cantSplit/>
        </w:trPr>
        <w:tc>
          <w:tcPr>
            <w:tcW w:w="10201" w:type="dxa"/>
            <w:gridSpan w:val="6"/>
            <w:tcBorders>
              <w:top w:val="single" w:sz="4" w:space="0" w:color="auto"/>
              <w:left w:val="single" w:sz="4" w:space="0" w:color="auto"/>
              <w:bottom w:val="single" w:sz="4" w:space="0" w:color="auto"/>
              <w:right w:val="single" w:sz="4" w:space="0" w:color="auto"/>
            </w:tcBorders>
            <w:shd w:val="clear" w:color="auto" w:fill="FFFFFF"/>
          </w:tcPr>
          <w:p w:rsidR="0049577B" w:rsidRPr="00BF13FB" w:rsidRDefault="001E5891" w:rsidP="009214BE">
            <w:pPr>
              <w:spacing w:line="240" w:lineRule="auto"/>
              <w:ind w:leftChars="0" w:left="0" w:rightChars="0" w:right="0"/>
              <w:rPr>
                <w:sz w:val="24"/>
              </w:rPr>
            </w:pPr>
            <w:r w:rsidRPr="001E5891">
              <w:rPr>
                <w:rFonts w:hint="eastAsia"/>
                <w:sz w:val="20"/>
                <w:szCs w:val="20"/>
              </w:rPr>
              <w:t>＊＊</w:t>
            </w:r>
            <w:r w:rsidR="003C1792" w:rsidRPr="00BF13FB">
              <w:rPr>
                <w:sz w:val="24"/>
              </w:rPr>
              <w:t>.</w:t>
            </w:r>
            <w:r w:rsidR="0049577B" w:rsidRPr="00BF13FB">
              <w:rPr>
                <w:sz w:val="24"/>
              </w:rPr>
              <w:t>在顯著水準為0.01時</w:t>
            </w:r>
            <w:r w:rsidR="003C1792" w:rsidRPr="00BF13FB">
              <w:rPr>
                <w:sz w:val="24"/>
              </w:rPr>
              <w:t>(</w:t>
            </w:r>
            <w:r w:rsidR="0049577B" w:rsidRPr="00BF13FB">
              <w:rPr>
                <w:sz w:val="24"/>
              </w:rPr>
              <w:t>雙尾)，相關顯著。</w:t>
            </w:r>
          </w:p>
        </w:tc>
      </w:tr>
    </w:tbl>
    <w:p w:rsidR="0049577B" w:rsidRPr="00B40DC1" w:rsidRDefault="009214BE" w:rsidP="009214BE">
      <w:pPr>
        <w:spacing w:line="240" w:lineRule="auto"/>
        <w:ind w:leftChars="0" w:left="0" w:rightChars="0" w:right="0"/>
      </w:pPr>
      <w:r>
        <w:rPr>
          <w:rStyle w:val="st1"/>
        </w:rPr>
        <w:t xml:space="preserve">　　</w:t>
      </w:r>
      <w:r w:rsidR="0049577B" w:rsidRPr="00B40DC1">
        <w:rPr>
          <w:rStyle w:val="st1"/>
        </w:rPr>
        <w:t>Gottfredson, M</w:t>
      </w:r>
      <w:r w:rsidR="003C1792">
        <w:rPr>
          <w:rStyle w:val="st1"/>
        </w:rPr>
        <w:t>.</w:t>
      </w:r>
      <w:r w:rsidR="0049577B" w:rsidRPr="00B40DC1">
        <w:rPr>
          <w:rStyle w:val="st1"/>
        </w:rPr>
        <w:t>R., &amp; Hirschi, T.</w:t>
      </w:r>
      <w:r w:rsidR="003C1792">
        <w:rPr>
          <w:rStyle w:val="st1"/>
        </w:rPr>
        <w:t>(</w:t>
      </w:r>
      <w:r w:rsidR="0049577B" w:rsidRPr="00B40DC1">
        <w:rPr>
          <w:rStyle w:val="st1"/>
        </w:rPr>
        <w:t>1990)曾對</w:t>
      </w:r>
      <w:r w:rsidR="0049577B" w:rsidRPr="00B40DC1">
        <w:t>古典學派加以批判，古典學派認為國家可經由刑罰的明確性、嚴厲性與迅速性來達到控制犯罪的目的，但實證學派學者卻始終質疑法律對人類行為的影響力，因為在實證學派學者的眼中，絕大多數的犯罪行為皆超過刑罰制裁所能控制的範圍，因此根本沒有必要去強調政治制裁的功效</w:t>
      </w:r>
      <w:r w:rsidR="0049577B" w:rsidRPr="009214BE">
        <w:rPr>
          <w:rStyle w:val="af7"/>
          <w:rFonts w:eastAsia="新細明體"/>
          <w:sz w:val="20"/>
        </w:rPr>
        <w:footnoteReference w:id="352"/>
      </w:r>
      <w:r w:rsidR="0049577B" w:rsidRPr="00B40DC1">
        <w:t>。這點確實不能否認，過去古典學派過於強調嚴刑峻法(死刑)的正面效應，以致背離了民主自由社會的精神與價值，同時古典學派也誤解了人類在本質上有高度犯罪的傾向（因為人類天性是追求快樂的）。事實上，刑罰對國家而言，確實無太多存在的必要，因為學習的影響力及社會制裁的力量，均可發揮事先預防犯罪的功效</w:t>
      </w:r>
      <w:r w:rsidR="0049577B" w:rsidRPr="009214BE">
        <w:rPr>
          <w:rStyle w:val="af7"/>
          <w:rFonts w:eastAsia="新細明體"/>
          <w:sz w:val="20"/>
        </w:rPr>
        <w:footnoteReference w:id="353"/>
      </w:r>
      <w:r w:rsidR="0049577B" w:rsidRPr="00B40DC1">
        <w:t>。依據</w:t>
      </w:r>
      <w:r w:rsidR="0049577B" w:rsidRPr="00B40DC1">
        <w:rPr>
          <w:rStyle w:val="st1"/>
        </w:rPr>
        <w:t>Gottfredson, M</w:t>
      </w:r>
      <w:r w:rsidR="003C1792">
        <w:rPr>
          <w:rStyle w:val="st1"/>
        </w:rPr>
        <w:t>.</w:t>
      </w:r>
      <w:r w:rsidR="0049577B" w:rsidRPr="00B40DC1">
        <w:rPr>
          <w:rStyle w:val="st1"/>
        </w:rPr>
        <w:t>R., &amp; Hirschi, T.</w:t>
      </w:r>
      <w:r w:rsidR="003C1792">
        <w:rPr>
          <w:rStyle w:val="st1"/>
        </w:rPr>
        <w:t>(</w:t>
      </w:r>
      <w:r w:rsidR="0049577B" w:rsidRPr="00B40DC1">
        <w:rPr>
          <w:rStyle w:val="st1"/>
        </w:rPr>
        <w:t>1990)上述之觀點，死刑(</w:t>
      </w:r>
      <w:r w:rsidR="0049577B" w:rsidRPr="00B40DC1">
        <w:t>刑罰)對國家而言，確實無太多存在的必要。</w:t>
      </w:r>
    </w:p>
    <w:p w:rsidR="0049577B" w:rsidRPr="00B40DC1" w:rsidRDefault="009214BE" w:rsidP="009214BE">
      <w:pPr>
        <w:spacing w:line="240" w:lineRule="auto"/>
        <w:ind w:leftChars="0" w:left="0" w:rightChars="0" w:right="0"/>
      </w:pPr>
      <w:r>
        <w:rPr>
          <w:rStyle w:val="st1"/>
        </w:rPr>
        <w:t xml:space="preserve">　　</w:t>
      </w:r>
      <w:r w:rsidR="0049577B" w:rsidRPr="00B40DC1">
        <w:rPr>
          <w:rStyle w:val="st1"/>
        </w:rPr>
        <w:t>承上所述，Gottfredson, M</w:t>
      </w:r>
      <w:r w:rsidR="003C1792">
        <w:rPr>
          <w:rStyle w:val="st1"/>
        </w:rPr>
        <w:t>.</w:t>
      </w:r>
      <w:r w:rsidR="0049577B" w:rsidRPr="00B40DC1">
        <w:rPr>
          <w:rStyle w:val="st1"/>
        </w:rPr>
        <w:t>R., &amp; Hirschi, T.</w:t>
      </w:r>
      <w:r w:rsidR="003C1792">
        <w:rPr>
          <w:rStyle w:val="st1"/>
        </w:rPr>
        <w:t>(</w:t>
      </w:r>
      <w:r w:rsidR="0049577B" w:rsidRPr="00B40DC1">
        <w:rPr>
          <w:rStyle w:val="st1"/>
        </w:rPr>
        <w:t>1990)對</w:t>
      </w:r>
      <w:r w:rsidR="0049577B" w:rsidRPr="00B40DC1">
        <w:t>古典學派之認知如下</w:t>
      </w:r>
      <w:r w:rsidR="0049577B" w:rsidRPr="009214BE">
        <w:rPr>
          <w:rStyle w:val="af7"/>
          <w:rFonts w:eastAsia="新細明體"/>
          <w:sz w:val="20"/>
        </w:rPr>
        <w:footnoteReference w:id="354"/>
      </w:r>
      <w:r w:rsidR="0049577B" w:rsidRPr="00B40DC1">
        <w:t>：</w:t>
      </w:r>
    </w:p>
    <w:p w:rsidR="009214BE" w:rsidRPr="009214BE" w:rsidRDefault="009214BE" w:rsidP="009214BE">
      <w:pPr>
        <w:spacing w:line="240" w:lineRule="auto"/>
        <w:ind w:leftChars="0" w:left="0" w:rightChars="0" w:right="0"/>
      </w:pPr>
      <w:r w:rsidRPr="009214BE">
        <w:rPr>
          <w:rFonts w:hint="eastAsia"/>
        </w:rPr>
        <w:t xml:space="preserve">　　</w:t>
      </w:r>
      <w:r w:rsidRPr="009214BE">
        <w:t>1.純古典學派主張，人們之所以會犯罪，是沒有特定之傾向。人們共通性的傾向，僅僅就是追逐快樂。人們為何會犯罪？或不犯罪？其差異在於對制裁系統之理解與認知有差異所致。</w:t>
      </w:r>
    </w:p>
    <w:p w:rsidR="009214BE" w:rsidRPr="009214BE" w:rsidRDefault="009214BE" w:rsidP="009214BE">
      <w:pPr>
        <w:spacing w:line="240" w:lineRule="auto"/>
        <w:ind w:leftChars="0" w:left="0" w:rightChars="0" w:right="0"/>
      </w:pPr>
      <w:r w:rsidRPr="009214BE">
        <w:rPr>
          <w:rFonts w:hint="eastAsia"/>
        </w:rPr>
        <w:t xml:space="preserve">　　</w:t>
      </w:r>
      <w:r w:rsidRPr="009214BE">
        <w:t>2.例如，無神論者比有神論者較不關心死後有審判及有處罰之事。</w:t>
      </w:r>
    </w:p>
    <w:p w:rsidR="009214BE" w:rsidRPr="009214BE" w:rsidRDefault="009214BE" w:rsidP="009214BE">
      <w:pPr>
        <w:spacing w:line="240" w:lineRule="auto"/>
        <w:ind w:leftChars="0" w:left="0" w:rightChars="0" w:right="0"/>
      </w:pPr>
      <w:r w:rsidRPr="009214BE">
        <w:rPr>
          <w:rFonts w:hint="eastAsia"/>
        </w:rPr>
        <w:t xml:space="preserve">　　</w:t>
      </w:r>
      <w:r w:rsidRPr="009214BE">
        <w:t>3.古典理論就是今日之控制理論。</w:t>
      </w:r>
    </w:p>
    <w:p w:rsidR="009214BE" w:rsidRPr="009214BE" w:rsidRDefault="009214BE" w:rsidP="009214BE">
      <w:pPr>
        <w:spacing w:line="240" w:lineRule="auto"/>
        <w:ind w:leftChars="0" w:left="0" w:rightChars="0" w:right="0"/>
      </w:pPr>
      <w:r w:rsidRPr="009214BE">
        <w:rPr>
          <w:rFonts w:hint="eastAsia"/>
        </w:rPr>
        <w:t xml:space="preserve">　　</w:t>
      </w:r>
      <w:r w:rsidRPr="009214BE">
        <w:t>4.雖然，古典理論學者強調法律之制裁效果，然道德制裁效果之重要性是如此地明顯，以致於古典理論或可被吾人稱為未被發展之社會控制理論。</w:t>
      </w:r>
    </w:p>
    <w:p w:rsidR="009214BE" w:rsidRPr="009214BE" w:rsidRDefault="009214BE" w:rsidP="009214BE">
      <w:pPr>
        <w:spacing w:line="240" w:lineRule="auto"/>
        <w:ind w:leftChars="0" w:left="0" w:rightChars="0" w:right="0"/>
      </w:pPr>
      <w:r w:rsidRPr="009214BE">
        <w:rPr>
          <w:rFonts w:hint="eastAsia"/>
        </w:rPr>
        <w:t xml:space="preserve">　　</w:t>
      </w:r>
      <w:r w:rsidRPr="009214BE">
        <w:t>5.邊泌認為，法律上制裁之制約力量，大部分是來自於法律制裁與社會制裁的相互連接所產生之力量。</w:t>
      </w:r>
    </w:p>
    <w:p w:rsidR="009214BE" w:rsidRPr="009214BE" w:rsidRDefault="009214BE" w:rsidP="009214BE">
      <w:pPr>
        <w:spacing w:line="240" w:lineRule="auto"/>
        <w:ind w:leftChars="0" w:left="0" w:rightChars="0" w:right="0"/>
      </w:pPr>
      <w:r w:rsidRPr="009214BE">
        <w:rPr>
          <w:rFonts w:hint="eastAsia"/>
        </w:rPr>
        <w:t xml:space="preserve">　　</w:t>
      </w:r>
      <w:r w:rsidRPr="009214BE">
        <w:t>6.因為古典理論或控制理論認為犯罪者並沒有被社會動機（或動力motives）所抑制（制止、限制），他們（古典理論或控制理論）就被認為其是強調「反社會之人類本性」。</w:t>
      </w:r>
    </w:p>
    <w:p w:rsidR="009214BE" w:rsidRPr="009214BE" w:rsidRDefault="009214BE" w:rsidP="009214BE">
      <w:pPr>
        <w:spacing w:line="240" w:lineRule="auto"/>
        <w:ind w:leftChars="0" w:left="0" w:rightChars="0" w:right="0"/>
      </w:pPr>
      <w:r w:rsidRPr="009214BE">
        <w:rPr>
          <w:rFonts w:hint="eastAsia"/>
        </w:rPr>
        <w:t xml:space="preserve">　　</w:t>
      </w:r>
      <w:r w:rsidRPr="009214BE">
        <w:t>7.事實上，古典理論或控制理論認為只有人們在實施犯行時，犯罪才會顯現其反社會性。</w:t>
      </w:r>
    </w:p>
    <w:p w:rsidR="009214BE" w:rsidRPr="009214BE" w:rsidRDefault="009214BE" w:rsidP="009214BE">
      <w:pPr>
        <w:spacing w:line="240" w:lineRule="auto"/>
        <w:ind w:leftChars="0" w:left="0" w:rightChars="0" w:right="0"/>
      </w:pPr>
      <w:r w:rsidRPr="009214BE">
        <w:rPr>
          <w:rFonts w:hint="eastAsia"/>
        </w:rPr>
        <w:t xml:space="preserve">　　</w:t>
      </w:r>
      <w:r w:rsidRPr="009214BE">
        <w:t>8.控制理論主張犯罪行為人除了犯罪行為外，其不加犯罪性（諸如人格概念、攻擊性、外控性）於犯罪人之身上。</w:t>
      </w:r>
    </w:p>
    <w:p w:rsidR="009214BE" w:rsidRPr="009214BE" w:rsidRDefault="009214BE" w:rsidP="009214BE">
      <w:pPr>
        <w:spacing w:line="240" w:lineRule="auto"/>
        <w:ind w:leftChars="0" w:left="0" w:rightChars="0" w:right="0"/>
      </w:pPr>
      <w:r w:rsidRPr="009214BE">
        <w:rPr>
          <w:rFonts w:hint="eastAsia"/>
        </w:rPr>
        <w:t xml:space="preserve">　　</w:t>
      </w:r>
      <w:r w:rsidRPr="009214BE">
        <w:t>9.控制理論對以下之概念感到質疑：犯罪者有反社會性、心理及性格異常特性及犯罪職業化。</w:t>
      </w:r>
    </w:p>
    <w:p w:rsidR="009214BE" w:rsidRPr="009214BE" w:rsidRDefault="009214BE" w:rsidP="009214BE">
      <w:pPr>
        <w:spacing w:line="240" w:lineRule="auto"/>
        <w:ind w:leftChars="0" w:left="0" w:rightChars="0" w:right="0"/>
      </w:pPr>
      <w:r w:rsidRPr="009214BE">
        <w:rPr>
          <w:rFonts w:hint="eastAsia"/>
        </w:rPr>
        <w:t xml:space="preserve">　　</w:t>
      </w:r>
      <w:r w:rsidRPr="009214BE">
        <w:t>10.實證學派主張犯罪人有特殊之特質，故導致了犯罪。吾人高估了實證學派在犯罪人及非犯罪人之間所發現之重大差異性。</w:t>
      </w:r>
    </w:p>
    <w:p w:rsidR="0049577B" w:rsidRPr="009214BE" w:rsidRDefault="009214BE" w:rsidP="009214BE">
      <w:pPr>
        <w:spacing w:line="240" w:lineRule="auto"/>
        <w:ind w:leftChars="0" w:left="0" w:rightChars="0" w:right="0"/>
      </w:pPr>
      <w:r w:rsidRPr="009214BE">
        <w:rPr>
          <w:rFonts w:hint="eastAsia"/>
        </w:rPr>
        <w:t xml:space="preserve">　　</w:t>
      </w:r>
      <w:r w:rsidRPr="009214BE">
        <w:t>11.實證學派雖然在犯罪人及非犯罪人之間找到了個體穩定之差異性，但很多、重大的差異性，卻未被實證學派所找到。</w:t>
      </w:r>
    </w:p>
    <w:p w:rsidR="0049577B" w:rsidRPr="00B40DC1" w:rsidRDefault="00664AD3" w:rsidP="00E56787">
      <w:pPr>
        <w:spacing w:line="240" w:lineRule="auto"/>
        <w:ind w:leftChars="0" w:left="0" w:rightChars="0" w:right="0"/>
      </w:pPr>
      <w:r>
        <w:rPr>
          <w:rStyle w:val="st1"/>
        </w:rPr>
        <w:t xml:space="preserve">　　</w:t>
      </w:r>
      <w:r w:rsidR="0049577B" w:rsidRPr="00B40DC1">
        <w:rPr>
          <w:rStyle w:val="st1"/>
        </w:rPr>
        <w:t>Gottfredson, M</w:t>
      </w:r>
      <w:r w:rsidR="003C1792">
        <w:rPr>
          <w:rStyle w:val="st1"/>
        </w:rPr>
        <w:t>.</w:t>
      </w:r>
      <w:r w:rsidR="0049577B" w:rsidRPr="00B40DC1">
        <w:rPr>
          <w:rStyle w:val="st1"/>
        </w:rPr>
        <w:t>R., &amp; Hirschi, T.</w:t>
      </w:r>
      <w:r w:rsidR="003C1792">
        <w:rPr>
          <w:rStyle w:val="st1"/>
        </w:rPr>
        <w:t>(</w:t>
      </w:r>
      <w:r w:rsidR="0049577B" w:rsidRPr="00B40DC1">
        <w:rPr>
          <w:rStyle w:val="st1"/>
        </w:rPr>
        <w:t>1990)非常重視自我控制之培養，他們「不力倡死刑」。Gottfredson, M</w:t>
      </w:r>
      <w:r w:rsidR="003C1792">
        <w:rPr>
          <w:rStyle w:val="st1"/>
        </w:rPr>
        <w:t>.</w:t>
      </w:r>
      <w:r w:rsidR="0049577B" w:rsidRPr="00B40DC1">
        <w:rPr>
          <w:rStyle w:val="st1"/>
        </w:rPr>
        <w:t>R., &amp; Hirschi, T.</w:t>
      </w:r>
      <w:r w:rsidR="003C1792">
        <w:rPr>
          <w:rStyle w:val="st1"/>
        </w:rPr>
        <w:t>(</w:t>
      </w:r>
      <w:r w:rsidR="0049577B" w:rsidRPr="00B40DC1">
        <w:rPr>
          <w:rStyle w:val="st1"/>
        </w:rPr>
        <w:t>1990)認為</w:t>
      </w:r>
      <w:r w:rsidR="0049577B" w:rsidRPr="00B40DC1">
        <w:t>自我控制之概念如下</w:t>
      </w:r>
      <w:r w:rsidR="0049577B" w:rsidRPr="009214BE">
        <w:rPr>
          <w:rStyle w:val="af7"/>
          <w:rFonts w:eastAsia="新細明體"/>
          <w:sz w:val="20"/>
        </w:rPr>
        <w:footnoteReference w:id="355"/>
      </w:r>
      <w:r w:rsidR="0049577B" w:rsidRPr="00B40DC1">
        <w:t>：</w:t>
      </w:r>
    </w:p>
    <w:p w:rsidR="009214BE" w:rsidRDefault="009214BE" w:rsidP="00E56787">
      <w:pPr>
        <w:pStyle w:val="affffff5"/>
        <w:spacing w:line="240" w:lineRule="auto"/>
        <w:ind w:leftChars="0" w:left="0" w:rightChars="0" w:right="0"/>
      </w:pPr>
      <w:r>
        <w:rPr>
          <w:rFonts w:hint="eastAsia"/>
        </w:rPr>
        <w:t xml:space="preserve">　　</w:t>
      </w:r>
      <w:r>
        <w:t>1.第一種或可代替自我控制之概念是犯罪性（Criminality），但是，犯罪性是有很多之缺陷。</w:t>
      </w:r>
    </w:p>
    <w:p w:rsidR="009214BE" w:rsidRDefault="009214BE" w:rsidP="00E56787">
      <w:pPr>
        <w:pStyle w:val="affffff5"/>
        <w:spacing w:line="240" w:lineRule="auto"/>
        <w:ind w:leftChars="0" w:left="0" w:rightChars="0" w:right="0"/>
      </w:pPr>
      <w:r>
        <w:rPr>
          <w:rFonts w:hint="eastAsia"/>
        </w:rPr>
        <w:t xml:space="preserve">　　</w:t>
      </w:r>
      <w:r>
        <w:t>2.犯罪性之缺失，是其主張犯罪性與犯行間之因果關係或決定性之關係存在。</w:t>
      </w:r>
    </w:p>
    <w:p w:rsidR="009214BE" w:rsidRDefault="009214BE" w:rsidP="00E56787">
      <w:pPr>
        <w:pStyle w:val="affffff5"/>
        <w:spacing w:line="240" w:lineRule="auto"/>
        <w:ind w:leftChars="0" w:left="0" w:rightChars="0" w:right="0"/>
      </w:pPr>
      <w:r>
        <w:rPr>
          <w:rFonts w:hint="eastAsia"/>
        </w:rPr>
        <w:t xml:space="preserve">　　</w:t>
      </w:r>
      <w:r>
        <w:t>3.自我控制是說明人們受到約制不去犯罪在程度上之差異；犯罪性則是說明人們被迫去犯罪，其在程度上之差異性。</w:t>
      </w:r>
    </w:p>
    <w:p w:rsidR="009214BE" w:rsidRDefault="009214BE" w:rsidP="00E56787">
      <w:pPr>
        <w:pStyle w:val="affffff5"/>
        <w:spacing w:line="240" w:lineRule="auto"/>
        <w:ind w:leftChars="0" w:left="0" w:rightChars="0" w:right="0"/>
      </w:pPr>
      <w:r>
        <w:rPr>
          <w:rFonts w:hint="eastAsia"/>
        </w:rPr>
        <w:t xml:space="preserve">　　</w:t>
      </w:r>
      <w:r>
        <w:t>4.自我控制的概念與「犯罪人是不需一定要犯罪」之概念互相符合；犯罪性之概念則與「犯罪人是不需一定要犯罪」之概念不能互相符合一致。</w:t>
      </w:r>
    </w:p>
    <w:p w:rsidR="009214BE" w:rsidRDefault="009214BE" w:rsidP="00E56787">
      <w:pPr>
        <w:pStyle w:val="affffff5"/>
        <w:spacing w:line="240" w:lineRule="auto"/>
        <w:ind w:leftChars="0" w:left="0" w:rightChars="0" w:right="0"/>
      </w:pPr>
      <w:r>
        <w:rPr>
          <w:rFonts w:hint="eastAsia"/>
        </w:rPr>
        <w:t xml:space="preserve">　　</w:t>
      </w:r>
      <w:r>
        <w:t>5.低自我控制與犯罪人不需要特殊之能力、需求、刺激（或可譯為動機、誘發）是相容的；相反地，犯罪性被視為是一種特殊之傾向，犯罪行為是需要透由特殊之人才能完成的。</w:t>
      </w:r>
    </w:p>
    <w:p w:rsidR="009214BE" w:rsidRDefault="009214BE" w:rsidP="00E56787">
      <w:pPr>
        <w:pStyle w:val="affffff5"/>
        <w:spacing w:line="240" w:lineRule="auto"/>
        <w:ind w:leftChars="0" w:left="0" w:rightChars="0" w:right="0"/>
      </w:pPr>
      <w:r>
        <w:rPr>
          <w:rFonts w:hint="eastAsia"/>
        </w:rPr>
        <w:t xml:space="preserve">　　</w:t>
      </w:r>
      <w:r>
        <w:t>6.低自我控制會產生幾乎是大部份的任何偏差行為、犯行、刺激的或危險的行為；犯罪性則僅含蓋少量之犯行。</w:t>
      </w:r>
    </w:p>
    <w:p w:rsidR="009214BE" w:rsidRDefault="009214BE" w:rsidP="00E56787">
      <w:pPr>
        <w:pStyle w:val="affffff5"/>
        <w:spacing w:line="240" w:lineRule="auto"/>
        <w:ind w:leftChars="0" w:left="0" w:rightChars="0" w:right="0"/>
      </w:pPr>
      <w:r>
        <w:rPr>
          <w:rFonts w:hint="eastAsia"/>
        </w:rPr>
        <w:t xml:space="preserve">　　</w:t>
      </w:r>
      <w:r>
        <w:t>7.第二種或可代替自我控制之概念是道德良心；其比犯罪性更接近自我控制之概念，而且，很難去區分「自我控制」與「道德良心」兩者間之差異。</w:t>
      </w:r>
    </w:p>
    <w:p w:rsidR="009214BE" w:rsidRDefault="009214BE" w:rsidP="00E56787">
      <w:pPr>
        <w:pStyle w:val="affffff5"/>
        <w:spacing w:line="240" w:lineRule="auto"/>
        <w:ind w:leftChars="0" w:left="0" w:rightChars="0" w:right="0"/>
      </w:pPr>
      <w:r>
        <w:rPr>
          <w:rFonts w:hint="eastAsia"/>
        </w:rPr>
        <w:t xml:space="preserve">　　</w:t>
      </w:r>
      <w:r>
        <w:t>8.「道德良心」的概念，其缺失在於無法含蓋經由自然制裁（naturalsanctions）而不是經由社會制裁或道德制裁所約制的那些與犯罪概念相似之行為。</w:t>
      </w:r>
    </w:p>
    <w:p w:rsidR="009214BE" w:rsidRDefault="009214BE" w:rsidP="00E56787">
      <w:pPr>
        <w:pStyle w:val="affffff5"/>
        <w:spacing w:line="240" w:lineRule="auto"/>
        <w:ind w:leftChars="0" w:left="0" w:rightChars="0" w:right="0"/>
      </w:pPr>
      <w:r>
        <w:rPr>
          <w:rFonts w:hint="eastAsia"/>
        </w:rPr>
        <w:t xml:space="preserve">　　</w:t>
      </w:r>
      <w:r>
        <w:t>9.「道德良心」著重於人們對其行為後果的那份感覺，而非著重於人們願意或不願意去從事犯行之可能性（thelikelihood）。</w:t>
      </w:r>
    </w:p>
    <w:p w:rsidR="009214BE" w:rsidRPr="00B40DC1" w:rsidRDefault="009214BE" w:rsidP="00E56787">
      <w:pPr>
        <w:pStyle w:val="affffff5"/>
        <w:spacing w:line="240" w:lineRule="auto"/>
        <w:ind w:leftChars="0" w:left="0" w:rightChars="0" w:right="0"/>
      </w:pPr>
      <w:r>
        <w:rPr>
          <w:rFonts w:hint="eastAsia"/>
        </w:rPr>
        <w:t xml:space="preserve">　　</w:t>
      </w:r>
      <w:r>
        <w:t>10.Hirschi與Gottfredson假設：約制人們不去犯罪之自我控制，在人們成長到可能去從事犯行之前，自我控制即已經形成。</w:t>
      </w:r>
    </w:p>
    <w:p w:rsidR="0049577B" w:rsidRPr="00B40DC1" w:rsidRDefault="009214BE" w:rsidP="00E56787">
      <w:pPr>
        <w:spacing w:line="240" w:lineRule="auto"/>
        <w:ind w:leftChars="0" w:left="0" w:rightChars="0" w:right="0"/>
      </w:pPr>
      <w:r>
        <w:t xml:space="preserve">　　</w:t>
      </w:r>
      <w:r w:rsidR="0049577B" w:rsidRPr="00B40DC1">
        <w:t>在自我控制之構成要件部分，如下所述(</w:t>
      </w:r>
      <w:r w:rsidR="0049577B" w:rsidRPr="00B40DC1">
        <w:rPr>
          <w:rStyle w:val="st1"/>
        </w:rPr>
        <w:t>Gottfredson, &amp; Hirschi,1990</w:t>
      </w:r>
      <w:r w:rsidR="00587200">
        <w:rPr>
          <w:rStyle w:val="st1"/>
        </w:rPr>
        <w:t>)</w:t>
      </w:r>
      <w:r w:rsidR="0049577B" w:rsidRPr="009214BE">
        <w:rPr>
          <w:rStyle w:val="af7"/>
          <w:rFonts w:eastAsia="新細明體"/>
          <w:sz w:val="20"/>
        </w:rPr>
        <w:footnoteReference w:id="356"/>
      </w:r>
      <w:r w:rsidR="0049577B" w:rsidRPr="00B40DC1">
        <w:t>：</w:t>
      </w:r>
    </w:p>
    <w:p w:rsidR="009214BE" w:rsidRDefault="009214BE" w:rsidP="00E56787">
      <w:pPr>
        <w:spacing w:line="240" w:lineRule="auto"/>
        <w:ind w:leftChars="0" w:left="0" w:rightChars="0" w:right="0"/>
      </w:pPr>
      <w:r>
        <w:rPr>
          <w:rFonts w:hint="eastAsia"/>
        </w:rPr>
        <w:t xml:space="preserve">　　</w:t>
      </w:r>
      <w:r>
        <w:t>1.犯行提供了欲望的立即滿足。</w:t>
      </w:r>
    </w:p>
    <w:p w:rsidR="009214BE" w:rsidRDefault="009214BE" w:rsidP="00E56787">
      <w:pPr>
        <w:spacing w:line="240" w:lineRule="auto"/>
        <w:ind w:leftChars="0" w:left="0" w:rightChars="0" w:right="0"/>
      </w:pPr>
      <w:r>
        <w:rPr>
          <w:rFonts w:hint="eastAsia"/>
        </w:rPr>
        <w:t xml:space="preserve">　　</w:t>
      </w:r>
      <w:r>
        <w:t>2.低自我控制者傾向於對可觸覺到之刺激，立即做出反應。</w:t>
      </w:r>
    </w:p>
    <w:p w:rsidR="009214BE" w:rsidRDefault="009214BE" w:rsidP="00E56787">
      <w:pPr>
        <w:spacing w:line="240" w:lineRule="auto"/>
        <w:ind w:leftChars="0" w:left="0" w:rightChars="0" w:right="0"/>
      </w:pPr>
      <w:r>
        <w:rPr>
          <w:rFonts w:hint="eastAsia"/>
        </w:rPr>
        <w:t xml:space="preserve">　　</w:t>
      </w:r>
      <w:r>
        <w:t>3.低自我控制者有「就地、立即」的取向；高自我控制者則會延遲慾望之滿足。</w:t>
      </w:r>
    </w:p>
    <w:p w:rsidR="009214BE" w:rsidRDefault="009214BE" w:rsidP="00E56787">
      <w:pPr>
        <w:spacing w:line="240" w:lineRule="auto"/>
        <w:ind w:leftChars="0" w:left="0" w:rightChars="0" w:right="0"/>
      </w:pPr>
      <w:r>
        <w:rPr>
          <w:rFonts w:hint="eastAsia"/>
        </w:rPr>
        <w:t xml:space="preserve">　　</w:t>
      </w:r>
      <w:r>
        <w:t>4.低自我控制者傾向於缺乏勤奮性、執著性與堅持性。</w:t>
      </w:r>
    </w:p>
    <w:p w:rsidR="009214BE" w:rsidRDefault="009214BE" w:rsidP="00E56787">
      <w:pPr>
        <w:spacing w:line="240" w:lineRule="auto"/>
        <w:ind w:leftChars="0" w:left="0" w:rightChars="0" w:right="0"/>
      </w:pPr>
      <w:r>
        <w:rPr>
          <w:rFonts w:hint="eastAsia"/>
        </w:rPr>
        <w:t xml:space="preserve">　　</w:t>
      </w:r>
      <w:r>
        <w:t>5.低自我控制者傾向於好冒險性、好動性、身體取向性。</w:t>
      </w:r>
    </w:p>
    <w:p w:rsidR="009214BE" w:rsidRDefault="009214BE" w:rsidP="00E56787">
      <w:pPr>
        <w:spacing w:line="240" w:lineRule="auto"/>
        <w:ind w:leftChars="0" w:left="0" w:rightChars="0" w:right="0"/>
      </w:pPr>
      <w:r>
        <w:rPr>
          <w:rFonts w:hint="eastAsia"/>
        </w:rPr>
        <w:t xml:space="preserve">　　</w:t>
      </w:r>
      <w:r>
        <w:t>6.高自我控制者傾向於謹慎性、認知取向性、言辭取向性。</w:t>
      </w:r>
    </w:p>
    <w:p w:rsidR="009214BE" w:rsidRDefault="009214BE" w:rsidP="00E56787">
      <w:pPr>
        <w:spacing w:line="240" w:lineRule="auto"/>
        <w:ind w:leftChars="0" w:left="0" w:rightChars="0" w:right="0"/>
      </w:pPr>
      <w:r>
        <w:rPr>
          <w:rFonts w:hint="eastAsia"/>
        </w:rPr>
        <w:t xml:space="preserve">　　</w:t>
      </w:r>
      <w:r>
        <w:t>7.低自我控制者傾向於有不穩定婚姻、不穩定朋友情誼、不穩定工作，其對可長可久之職業，較不興趣或不願去準備。</w:t>
      </w:r>
    </w:p>
    <w:p w:rsidR="009214BE" w:rsidRDefault="009214BE" w:rsidP="00E56787">
      <w:pPr>
        <w:spacing w:line="240" w:lineRule="auto"/>
        <w:ind w:leftChars="0" w:left="0" w:rightChars="0" w:right="0"/>
      </w:pPr>
      <w:r>
        <w:rPr>
          <w:rFonts w:hint="eastAsia"/>
        </w:rPr>
        <w:t xml:space="preserve">　　</w:t>
      </w:r>
      <w:r>
        <w:t>8.犯罪提供了極少的長期利益，故犯罪並不等於一種工作或職業。</w:t>
      </w:r>
    </w:p>
    <w:p w:rsidR="009214BE" w:rsidRDefault="009214BE" w:rsidP="00E56787">
      <w:pPr>
        <w:spacing w:line="240" w:lineRule="auto"/>
        <w:ind w:leftChars="0" w:left="0" w:rightChars="0" w:right="0"/>
      </w:pPr>
      <w:r>
        <w:rPr>
          <w:rFonts w:hint="eastAsia"/>
        </w:rPr>
        <w:t xml:space="preserve">　　</w:t>
      </w:r>
      <w:r>
        <w:t>9.犯罪妨害、抵觸了下列需要長期之責任與承諾：工作、婚姻、家庭、朋友。</w:t>
      </w:r>
    </w:p>
    <w:p w:rsidR="009214BE" w:rsidRDefault="009214BE" w:rsidP="00E56787">
      <w:pPr>
        <w:spacing w:line="240" w:lineRule="auto"/>
        <w:ind w:leftChars="0" w:left="0" w:rightChars="0" w:right="0"/>
      </w:pPr>
      <w:r>
        <w:rPr>
          <w:rFonts w:hint="eastAsia"/>
        </w:rPr>
        <w:t xml:space="preserve">　　</w:t>
      </w:r>
      <w:r>
        <w:t>10.犯罪需面很少的（幾乎是沒有）技巧與計劃。</w:t>
      </w:r>
    </w:p>
    <w:p w:rsidR="009214BE" w:rsidRDefault="009214BE" w:rsidP="00E56787">
      <w:pPr>
        <w:spacing w:line="240" w:lineRule="auto"/>
        <w:ind w:leftChars="0" w:left="0" w:rightChars="0" w:right="0"/>
      </w:pPr>
      <w:r>
        <w:rPr>
          <w:rFonts w:hint="eastAsia"/>
        </w:rPr>
        <w:t xml:space="preserve">　　</w:t>
      </w:r>
      <w:r>
        <w:t>11.低自我控制者不需要擁有或不珍惜屬於認知上或理論上之技巧。</w:t>
      </w:r>
    </w:p>
    <w:p w:rsidR="009214BE" w:rsidRDefault="009214BE" w:rsidP="00E56787">
      <w:pPr>
        <w:spacing w:line="240" w:lineRule="auto"/>
        <w:ind w:leftChars="0" w:left="0" w:rightChars="0" w:right="0"/>
      </w:pPr>
      <w:r>
        <w:rPr>
          <w:rFonts w:hint="eastAsia"/>
        </w:rPr>
        <w:t xml:space="preserve">　　</w:t>
      </w:r>
      <w:r>
        <w:t>12.就大部份犯罪而言，其所需之操作性技巧（manual</w:t>
      </w:r>
      <w:r w:rsidR="00871524">
        <w:t xml:space="preserve"> </w:t>
      </w:r>
      <w:r>
        <w:t>skills）是屬於最低限度之層次。</w:t>
      </w:r>
    </w:p>
    <w:p w:rsidR="009214BE" w:rsidRDefault="009214BE" w:rsidP="00E56787">
      <w:pPr>
        <w:spacing w:line="240" w:lineRule="auto"/>
        <w:ind w:leftChars="0" w:left="0" w:rightChars="0" w:right="0"/>
      </w:pPr>
      <w:r>
        <w:rPr>
          <w:rFonts w:hint="eastAsia"/>
        </w:rPr>
        <w:t xml:space="preserve">　　</w:t>
      </w:r>
      <w:r>
        <w:t>13.低自我控制者並不擁有透過訓練或實習所得到之操作性技巧（manual</w:t>
      </w:r>
      <w:r w:rsidR="00871524">
        <w:t xml:space="preserve"> </w:t>
      </w:r>
      <w:r>
        <w:t>skills）。</w:t>
      </w:r>
    </w:p>
    <w:p w:rsidR="009214BE" w:rsidRDefault="009214BE" w:rsidP="00E56787">
      <w:pPr>
        <w:spacing w:line="240" w:lineRule="auto"/>
        <w:ind w:leftChars="0" w:left="0" w:rightChars="0" w:right="0"/>
      </w:pPr>
      <w:r>
        <w:rPr>
          <w:rFonts w:hint="eastAsia"/>
        </w:rPr>
        <w:t xml:space="preserve">　　</w:t>
      </w:r>
      <w:r>
        <w:t>14.低自我控制者是以自我為中心的、冷漠的、對他人之感受與需求是不具有感應性的。</w:t>
      </w:r>
    </w:p>
    <w:p w:rsidR="009214BE" w:rsidRDefault="009214BE" w:rsidP="00E56787">
      <w:pPr>
        <w:spacing w:line="240" w:lineRule="auto"/>
        <w:ind w:leftChars="0" w:left="0" w:rightChars="0" w:right="0"/>
      </w:pPr>
      <w:r>
        <w:rPr>
          <w:rFonts w:hint="eastAsia"/>
        </w:rPr>
        <w:t xml:space="preserve">　　</w:t>
      </w:r>
      <w:r>
        <w:t>15.然而，並不就意味著說，低自我控制者就是不友善的或反社會性的，他們也可能會對具有魅力（charm）或寬大、慷慨、佈施（generosity）的行為，發現到立即的、舒適的報酬。</w:t>
      </w:r>
    </w:p>
    <w:p w:rsidR="009214BE" w:rsidRDefault="009214BE" w:rsidP="00E56787">
      <w:pPr>
        <w:spacing w:line="240" w:lineRule="auto"/>
        <w:ind w:leftChars="0" w:left="0" w:rightChars="0" w:right="0"/>
      </w:pPr>
      <w:r>
        <w:rPr>
          <w:rFonts w:hint="eastAsia"/>
        </w:rPr>
        <w:t xml:space="preserve">　　</w:t>
      </w:r>
      <w:r>
        <w:t>16.低自我控制者也會追逐不是犯行之行為：諸如抽煙、喝酒、吸食毒品、賭博、有正式婚姻外之小孩（有合法婚姻外之小孩）、非法性行為。</w:t>
      </w:r>
    </w:p>
    <w:p w:rsidR="009214BE" w:rsidRDefault="009214BE" w:rsidP="00E56787">
      <w:pPr>
        <w:spacing w:line="240" w:lineRule="auto"/>
        <w:ind w:leftChars="0" w:left="0" w:rightChars="0" w:right="0"/>
      </w:pPr>
      <w:r>
        <w:rPr>
          <w:rFonts w:hint="eastAsia"/>
        </w:rPr>
        <w:t xml:space="preserve">　　</w:t>
      </w:r>
      <w:r>
        <w:t>17.低自我控制者對衝突之容忍力非常的低，而且，很少有能力透過言辭表達之方式，而非透過身體力量之方式，對衝突加以反應。</w:t>
      </w:r>
    </w:p>
    <w:p w:rsidR="009214BE" w:rsidRDefault="009214BE" w:rsidP="00E56787">
      <w:pPr>
        <w:spacing w:line="240" w:lineRule="auto"/>
        <w:ind w:leftChars="0" w:left="0" w:rightChars="0" w:right="0"/>
      </w:pPr>
      <w:r>
        <w:rPr>
          <w:rFonts w:hint="eastAsia"/>
        </w:rPr>
        <w:t xml:space="preserve">　　</w:t>
      </w:r>
      <w:r>
        <w:t>18.低自我控制者不會容忍身體上之痛苦，也不會對身體之不適，不去加以注意。</w:t>
      </w:r>
    </w:p>
    <w:p w:rsidR="009214BE" w:rsidRDefault="009214BE" w:rsidP="00E56787">
      <w:pPr>
        <w:spacing w:line="240" w:lineRule="auto"/>
        <w:ind w:leftChars="0" w:left="0" w:rightChars="0" w:right="0"/>
      </w:pPr>
      <w:r>
        <w:rPr>
          <w:rFonts w:hint="eastAsia"/>
        </w:rPr>
        <w:t xml:space="preserve">　　</w:t>
      </w:r>
      <w:r>
        <w:t>19.不論自我控制之層級高低如何？人們忍耐身體上之痛苦或不重視於身體之不適者，其較可能會去從事犯行。</w:t>
      </w:r>
    </w:p>
    <w:p w:rsidR="009214BE" w:rsidRDefault="009214BE" w:rsidP="00E56787">
      <w:pPr>
        <w:spacing w:line="240" w:lineRule="auto"/>
        <w:ind w:leftChars="0" w:left="0" w:rightChars="0" w:right="0"/>
      </w:pPr>
      <w:r>
        <w:rPr>
          <w:rFonts w:hint="eastAsia"/>
        </w:rPr>
        <w:t xml:space="preserve">　　</w:t>
      </w:r>
      <w:r>
        <w:t>20.就任何之犯行而言，刑事制裁之危險性是很少的，但仍要視犯行之種類而定。</w:t>
      </w:r>
    </w:p>
    <w:p w:rsidR="009214BE" w:rsidRDefault="009214BE" w:rsidP="00E56787">
      <w:pPr>
        <w:spacing w:line="240" w:lineRule="auto"/>
        <w:ind w:leftChars="0" w:left="0" w:rightChars="0" w:right="0"/>
      </w:pPr>
      <w:r>
        <w:rPr>
          <w:rFonts w:hint="eastAsia"/>
        </w:rPr>
        <w:t xml:space="preserve">　　</w:t>
      </w:r>
      <w:r>
        <w:t>21.Hirschi與Gottfredson認為低自我控制者易於具有衝動性、不具感應性、以身體為取向（相對於以心智取向）、好冒險性、短視近利、非以言辭表達為取向，故其易於從事犯行及與犯行相類似之行為。上述這些特性，在他們成長到能為其犯行負責之年齡之前，就可被鑑識出來；而且，這些特性，是終其一生的。這些特性，似乎是可以合理的被考量其具有穩定性，並有助於對犯罪之解釋。</w:t>
      </w:r>
    </w:p>
    <w:p w:rsidR="0049577B" w:rsidRPr="00B40DC1" w:rsidRDefault="009214BE" w:rsidP="00E56787">
      <w:pPr>
        <w:spacing w:line="240" w:lineRule="auto"/>
        <w:ind w:leftChars="0" w:left="0" w:rightChars="0" w:right="0"/>
      </w:pPr>
      <w:r>
        <w:t xml:space="preserve">　　</w:t>
      </w:r>
      <w:r w:rsidR="0049577B" w:rsidRPr="00B40DC1">
        <w:t>在低自我控制的諸多外在表徵(manifestations)之部分，如下所述</w:t>
      </w:r>
      <w:r w:rsidR="0049577B" w:rsidRPr="009214BE">
        <w:rPr>
          <w:rStyle w:val="af7"/>
          <w:rFonts w:eastAsia="新細明體"/>
          <w:sz w:val="20"/>
        </w:rPr>
        <w:footnoteReference w:id="357"/>
      </w:r>
      <w:r w:rsidR="0049577B" w:rsidRPr="00B40DC1">
        <w:t>：</w:t>
      </w:r>
    </w:p>
    <w:p w:rsidR="009214BE" w:rsidRDefault="009214BE" w:rsidP="00E56787">
      <w:pPr>
        <w:spacing w:line="240" w:lineRule="auto"/>
        <w:ind w:leftChars="0" w:left="0" w:rightChars="0" w:right="0"/>
      </w:pPr>
      <w:r>
        <w:rPr>
          <w:rFonts w:hint="eastAsia"/>
        </w:rPr>
        <w:t xml:space="preserve">　　</w:t>
      </w:r>
      <w:r>
        <w:t>1.犯罪並非是低自我控制自然的或必需的結果。</w:t>
      </w:r>
    </w:p>
    <w:p w:rsidR="009214BE" w:rsidRDefault="009214BE" w:rsidP="00E56787">
      <w:pPr>
        <w:spacing w:line="240" w:lineRule="auto"/>
        <w:ind w:leftChars="0" w:left="0" w:rightChars="0" w:right="0"/>
      </w:pPr>
      <w:r>
        <w:rPr>
          <w:rFonts w:hint="eastAsia"/>
        </w:rPr>
        <w:t xml:space="preserve">　　</w:t>
      </w:r>
      <w:r>
        <w:t>2.很多與犯罪類似的非犯罪行為，諸如意外、抽煙、喝酒等，也是低自我控制的外在表徵。</w:t>
      </w:r>
    </w:p>
    <w:p w:rsidR="009214BE" w:rsidRDefault="009214BE" w:rsidP="00E56787">
      <w:pPr>
        <w:spacing w:line="240" w:lineRule="auto"/>
        <w:ind w:leftChars="0" w:left="0" w:rightChars="0" w:right="0"/>
      </w:pPr>
      <w:r>
        <w:rPr>
          <w:rFonts w:hint="eastAsia"/>
        </w:rPr>
        <w:t xml:space="preserve">　　</w:t>
      </w:r>
      <w:r>
        <w:t>3.沒有特殊的行為、類型化的犯罪、固定型態的偏差行為，是獨特地被缺乏自我控制所引起。</w:t>
      </w:r>
    </w:p>
    <w:p w:rsidR="009214BE" w:rsidRDefault="009214BE" w:rsidP="00E56787">
      <w:pPr>
        <w:spacing w:line="240" w:lineRule="auto"/>
        <w:ind w:leftChars="0" w:left="0" w:rightChars="0" w:right="0"/>
      </w:pPr>
      <w:r>
        <w:rPr>
          <w:rFonts w:hint="eastAsia"/>
        </w:rPr>
        <w:t xml:space="preserve">　　</w:t>
      </w:r>
      <w:r>
        <w:t>4.犯罪行為與其相類似之行為，係由低自我控制所產生的。</w:t>
      </w:r>
    </w:p>
    <w:p w:rsidR="009214BE" w:rsidRDefault="009214BE" w:rsidP="00E56787">
      <w:pPr>
        <w:spacing w:line="240" w:lineRule="auto"/>
        <w:ind w:leftChars="0" w:left="0" w:rightChars="0" w:right="0"/>
      </w:pPr>
      <w:r>
        <w:rPr>
          <w:rFonts w:hint="eastAsia"/>
        </w:rPr>
        <w:t xml:space="preserve">　　</w:t>
      </w:r>
      <w:r>
        <w:t>5.犯罪行為與非犯罪行為均是低自我控制的外在表徵。</w:t>
      </w:r>
    </w:p>
    <w:p w:rsidR="009214BE" w:rsidRDefault="009214BE" w:rsidP="00E56787">
      <w:pPr>
        <w:spacing w:line="240" w:lineRule="auto"/>
        <w:ind w:leftChars="0" w:left="0" w:rightChars="0" w:right="0"/>
      </w:pPr>
      <w:r>
        <w:rPr>
          <w:rFonts w:hint="eastAsia"/>
        </w:rPr>
        <w:t xml:space="preserve">　　</w:t>
      </w:r>
      <w:r>
        <w:t>6.犯罪人所從事之犯行，具有多變化性。</w:t>
      </w:r>
    </w:p>
    <w:p w:rsidR="009214BE" w:rsidRDefault="009214BE" w:rsidP="00E56787">
      <w:pPr>
        <w:spacing w:line="240" w:lineRule="auto"/>
        <w:ind w:leftChars="0" w:left="0" w:rightChars="0" w:right="0"/>
      </w:pPr>
      <w:r>
        <w:rPr>
          <w:rFonts w:hint="eastAsia"/>
        </w:rPr>
        <w:t xml:space="preserve">　　</w:t>
      </w:r>
      <w:r>
        <w:t>7.研究結果支持偏差行為具多變性。</w:t>
      </w:r>
    </w:p>
    <w:p w:rsidR="009214BE" w:rsidRDefault="009214BE" w:rsidP="00E56787">
      <w:pPr>
        <w:spacing w:line="240" w:lineRule="auto"/>
        <w:ind w:leftChars="0" w:left="0" w:rightChars="0" w:right="0"/>
      </w:pPr>
      <w:r>
        <w:rPr>
          <w:rFonts w:hint="eastAsia"/>
        </w:rPr>
        <w:t xml:space="preserve">　　</w:t>
      </w:r>
      <w:r>
        <w:t>8.低自我控制外在表徵的變化性（可轉換性）是廣大的、巨大的（immense）。</w:t>
      </w:r>
    </w:p>
    <w:p w:rsidR="009214BE" w:rsidRDefault="009214BE" w:rsidP="00E56787">
      <w:pPr>
        <w:spacing w:line="240" w:lineRule="auto"/>
        <w:ind w:leftChars="0" w:left="0" w:rightChars="0" w:right="0"/>
      </w:pPr>
      <w:r>
        <w:rPr>
          <w:rFonts w:hint="eastAsia"/>
        </w:rPr>
        <w:t xml:space="preserve">　　</w:t>
      </w:r>
      <w:r>
        <w:t>9.沒有令人可信的證據來支持犯罪專業化與專精化。</w:t>
      </w:r>
    </w:p>
    <w:p w:rsidR="009214BE" w:rsidRDefault="009214BE" w:rsidP="00E56787">
      <w:pPr>
        <w:spacing w:line="240" w:lineRule="auto"/>
        <w:ind w:leftChars="0" w:left="0" w:rightChars="0" w:right="0"/>
      </w:pPr>
      <w:r>
        <w:rPr>
          <w:rFonts w:hint="eastAsia"/>
        </w:rPr>
        <w:t xml:space="preserve">　　</w:t>
      </w:r>
      <w:r>
        <w:t>10.事實上，從很多研究顯示，犯罪人所從事犯罪行為的多變化性，是壓倒性的被證實。</w:t>
      </w:r>
    </w:p>
    <w:p w:rsidR="009214BE" w:rsidRDefault="009214BE" w:rsidP="00E56787">
      <w:pPr>
        <w:spacing w:line="240" w:lineRule="auto"/>
        <w:ind w:leftChars="0" w:left="0" w:rightChars="0" w:right="0"/>
      </w:pPr>
      <w:r>
        <w:rPr>
          <w:rFonts w:hint="eastAsia"/>
        </w:rPr>
        <w:t xml:space="preserve">　　</w:t>
      </w:r>
      <w:r>
        <w:t>11.Hirschi與Gottfredson認為犯罪人的犯行是變化多端的，其沒有很強的傾向去排除其他的犯行，而去追逐一種特別化、特殊化的或類型化之犯行。</w:t>
      </w:r>
    </w:p>
    <w:p w:rsidR="009214BE" w:rsidRDefault="009214BE" w:rsidP="00E56787">
      <w:pPr>
        <w:spacing w:line="240" w:lineRule="auto"/>
        <w:ind w:leftChars="0" w:left="0" w:rightChars="0" w:right="0"/>
      </w:pPr>
      <w:r>
        <w:rPr>
          <w:rFonts w:hint="eastAsia"/>
        </w:rPr>
        <w:t xml:space="preserve">　　</w:t>
      </w:r>
      <w:r>
        <w:t>12.Hirschi與Gottfredson認為整個犯罪學的各個門派均在追逐犯行經歷或犯罪人生涯的類型化、連續化（系列化）、持續化、增強化、起始點及其停止。上述概念之所以會苟延殘喘下來，是因為政治家之興趣所致，以及執法機關認定有「犯罪化職業」或「職業的犯罪人」存在所致。</w:t>
      </w:r>
    </w:p>
    <w:p w:rsidR="009214BE" w:rsidRDefault="009214BE" w:rsidP="00E56787">
      <w:pPr>
        <w:spacing w:line="240" w:lineRule="auto"/>
        <w:ind w:leftChars="0" w:left="0" w:rightChars="0" w:right="0"/>
      </w:pPr>
      <w:r>
        <w:rPr>
          <w:rFonts w:hint="eastAsia"/>
        </w:rPr>
        <w:t xml:space="preserve">　　</w:t>
      </w:r>
      <w:r>
        <w:t>13.為回應犯罪之特徵是簡單易行的、輕鬆的。故所以會有明顯的專門化犯罪（specialize），是因為有重覆的機會，使得犯罪人以一種輕鬆方式完成犯行。</w:t>
      </w:r>
    </w:p>
    <w:p w:rsidR="009214BE" w:rsidRDefault="009214BE" w:rsidP="00E56787">
      <w:pPr>
        <w:spacing w:line="240" w:lineRule="auto"/>
        <w:ind w:leftChars="0" w:left="0" w:rightChars="0" w:right="0"/>
      </w:pPr>
      <w:r>
        <w:rPr>
          <w:rFonts w:hint="eastAsia"/>
        </w:rPr>
        <w:t xml:space="preserve">　　</w:t>
      </w:r>
      <w:r>
        <w:t>14.因為方便及機會兩個因素，使得犯行順其自然成為特殊的犯罪化職業。亦因為方便及機會兩個因素，使得人們較喜歡從事於某種類型化之竊盜犯行。</w:t>
      </w:r>
    </w:p>
    <w:p w:rsidR="009214BE" w:rsidRDefault="009214BE" w:rsidP="00E56787">
      <w:pPr>
        <w:spacing w:line="240" w:lineRule="auto"/>
        <w:ind w:leftChars="0" w:left="0" w:rightChars="0" w:right="0"/>
      </w:pPr>
      <w:r>
        <w:rPr>
          <w:rFonts w:hint="eastAsia"/>
        </w:rPr>
        <w:t xml:space="preserve">　　</w:t>
      </w:r>
      <w:r>
        <w:t>15.低自我控制的4種共通性特徵：</w:t>
      </w:r>
    </w:p>
    <w:p w:rsidR="009214BE" w:rsidRDefault="009214BE" w:rsidP="00E56787">
      <w:pPr>
        <w:spacing w:line="240" w:lineRule="auto"/>
        <w:ind w:leftChars="0" w:left="0" w:rightChars="0" w:right="0"/>
      </w:pPr>
      <w:r>
        <w:rPr>
          <w:rFonts w:hint="eastAsia"/>
        </w:rPr>
        <w:t xml:space="preserve">　　（</w:t>
      </w:r>
      <w:r>
        <w:t>1）個體差異的基本穩定性是終其一生的。（2）、犯罪人所從事的犯行的種類，是有非常大的變化性（variability）。（3）、犯行與非犯行在概念上的或因果關係上的相等（equivalence）。（4）不論是犯行或非犯行，無法預測其會從事特定化型態之偏差行為。</w:t>
      </w:r>
    </w:p>
    <w:p w:rsidR="009214BE" w:rsidRDefault="009214BE" w:rsidP="00E56787">
      <w:pPr>
        <w:spacing w:line="240" w:lineRule="auto"/>
        <w:ind w:leftChars="0" w:left="0" w:rightChars="0" w:right="0"/>
      </w:pPr>
      <w:r>
        <w:rPr>
          <w:rFonts w:hint="eastAsia"/>
        </w:rPr>
        <w:t xml:space="preserve">　　</w:t>
      </w:r>
      <w:r>
        <w:t>16.Hirschi與Gottfredson兩位作者認為：因某些特定行為之結果，而有反社會人格之概念；此種概念是太過於實證主義化或太過於決定論取向；此會導致因反社會人格之故，而必須從事某種行為。</w:t>
      </w:r>
    </w:p>
    <w:p w:rsidR="009214BE" w:rsidRDefault="009214BE" w:rsidP="00E56787">
      <w:pPr>
        <w:spacing w:line="240" w:lineRule="auto"/>
        <w:ind w:leftChars="0" w:left="0" w:rightChars="0" w:right="0"/>
      </w:pPr>
      <w:r>
        <w:rPr>
          <w:rFonts w:hint="eastAsia"/>
        </w:rPr>
        <w:t xml:space="preserve">　　</w:t>
      </w:r>
      <w:r>
        <w:t>17.Hirschi與Gottfredson兩位作者認為：但低自我控制有問題時，是較容易會從事犯行，但並不主張之所以會犯罪，係因為個體有低自我控制所導致。</w:t>
      </w:r>
    </w:p>
    <w:p w:rsidR="003C1792" w:rsidRPr="00185C4E" w:rsidRDefault="009214BE" w:rsidP="00E56787">
      <w:pPr>
        <w:spacing w:line="240" w:lineRule="auto"/>
        <w:ind w:leftChars="0" w:left="0" w:rightChars="0" w:right="0"/>
      </w:pPr>
      <w:r w:rsidRPr="00185C4E">
        <w:rPr>
          <w:rFonts w:hint="eastAsia"/>
        </w:rPr>
        <w:t xml:space="preserve">　　</w:t>
      </w:r>
      <w:r w:rsidRPr="00185C4E">
        <w:t>18.事實上，缺乏自我控制的人生品質，犯行是缺乏自我控制所造成的後果中，最不嚴重的結果。</w:t>
      </w:r>
    </w:p>
    <w:p w:rsidR="0049577B" w:rsidRPr="00185C4E" w:rsidRDefault="00664AD3" w:rsidP="00E56787">
      <w:pPr>
        <w:spacing w:line="240" w:lineRule="auto"/>
        <w:ind w:leftChars="0" w:left="0" w:rightChars="0" w:right="0"/>
      </w:pPr>
      <w:r w:rsidRPr="00185C4E">
        <w:t xml:space="preserve">　　</w:t>
      </w:r>
      <w:r w:rsidR="0049577B" w:rsidRPr="00185C4E">
        <w:t>在自我控制之成因之部分，如下所述</w:t>
      </w:r>
      <w:r w:rsidR="0049577B" w:rsidRPr="00185C4E">
        <w:rPr>
          <w:rStyle w:val="af7"/>
          <w:rFonts w:eastAsia="新細明體"/>
        </w:rPr>
        <w:footnoteReference w:id="358"/>
      </w:r>
      <w:r w:rsidR="0049577B" w:rsidRPr="00185C4E">
        <w:t>：</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1.低自我控制不是從訓練、監督或社會化中所產生的。</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2.低自我控制易於表現出其缺乏教養、紀律與訓練。</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3.自我控制之定義就是考量行為後果之影響因素。</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4.衝動的或短視近利者，無法去考量、計算行為負面的或痛苦的結果；不具感應性者很少去考量負面後果；智力較低者，亦復如是。</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5.Hirschi與Gottfredson兩位作者不贊同天生犯罪人之看法，或人生來就有犯罪性之基因，或任何類似的論調。事實上，作者很明顯地在第3章反對如此之論調。</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6.不論個體特性如何？有效的社會化總是有可能的。</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7.在較晚時期所出現影響犯罪行為之個體特質，大部份是無效的或不完全的社會化所造成之後果。</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8.為了某些較長遠之目標，能夠延遲立即性滿足的能力與意願，被視為是訓練的結果。</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9.許多父母之行為是可用來壓制小孩衝動性行為，使得小孩能夠考慮到行為之長遠後果。</w:t>
      </w:r>
    </w:p>
    <w:p w:rsidR="0049577B"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10.對他人需求及感覺之感應性，就被認為是訓練之結果。</w:t>
      </w:r>
    </w:p>
    <w:p w:rsidR="0049577B" w:rsidRPr="00185C4E" w:rsidRDefault="00664AD3" w:rsidP="00E56787">
      <w:pPr>
        <w:spacing w:line="240" w:lineRule="auto"/>
        <w:ind w:leftChars="0" w:left="0" w:rightChars="0" w:right="0"/>
      </w:pPr>
      <w:r w:rsidRPr="00185C4E">
        <w:t xml:space="preserve">　　</w:t>
      </w:r>
      <w:r w:rsidR="0049577B" w:rsidRPr="00185C4E">
        <w:t>在小孩的養育與自我控制之部分，如下所述</w:t>
      </w:r>
      <w:r w:rsidR="0049577B" w:rsidRPr="00185C4E">
        <w:rPr>
          <w:rStyle w:val="af7"/>
          <w:rFonts w:eastAsia="新細明體"/>
        </w:rPr>
        <w:footnoteReference w:id="359"/>
      </w:r>
      <w:r w:rsidR="0049577B" w:rsidRPr="00185C4E">
        <w:t>：</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1.小孩教養的無效性，是低自我控制最主要之成因。</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2.偏差行為少年的家庭，是缺乏紀律、監督、情愛。</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3.偏差行為少年的父母，其本身是差勁的（poor），諸如酗酒、無法監督、管教小孩、父母本身有不尋常之刑案紀錄。</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4.教導小孩自我控制的最低標準，係為：</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1）、監視小孩之行為。（2）、小孩若有偏差行為，要能察覺出來。（3）、就偏差行為加以處罰。如何讓上述機制能夠運作？就是對小孩加以關愛與投資。</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5.對小孩有關愛之父母，其會注意小孩之行為，若發現小孩作錯事，就糾正其行為。如此，小孩會延遲滿足、注重他人之需求與利益、考量他人之需求、小孩會較獨立、會較有意願接受約束、較不會使用力量或暴力去達成其所欲求之目標。</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6.家庭之功能，若有以下任何一個步驟有問題，就會造成低自我控制：</w:t>
      </w:r>
    </w:p>
    <w:p w:rsidR="009214BE"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1）、父母不關愛小孩。（2）父母無法監視（監督）小孩之行為。（3）、無法發現小孩之錯誤行為。（4）父母無法處罰小孩。</w:t>
      </w:r>
    </w:p>
    <w:p w:rsidR="0049577B" w:rsidRPr="00185C4E" w:rsidRDefault="009214BE" w:rsidP="00E56787">
      <w:pPr>
        <w:pStyle w:val="affffff5"/>
        <w:spacing w:line="240" w:lineRule="auto"/>
        <w:ind w:leftChars="0" w:left="0" w:rightChars="0" w:right="0"/>
        <w:rPr>
          <w:sz w:val="26"/>
        </w:rPr>
      </w:pPr>
      <w:r w:rsidRPr="00185C4E">
        <w:rPr>
          <w:rFonts w:hint="eastAsia"/>
          <w:sz w:val="26"/>
        </w:rPr>
        <w:t xml:space="preserve">　　</w:t>
      </w:r>
      <w:r w:rsidRPr="00185C4E">
        <w:rPr>
          <w:sz w:val="26"/>
        </w:rPr>
        <w:t>7.在有問題家庭之小孩，很多事情都是錯誤的。諸如：有偷竊行為小孩之父母，不去追究該偷竊行為；父母不處罰錯誤的行為；父母亦不在乎及不關注於小孩錯誤之行為。</w:t>
      </w:r>
    </w:p>
    <w:p w:rsidR="0049577B" w:rsidRPr="00185C4E" w:rsidRDefault="009214BE" w:rsidP="00E56787">
      <w:pPr>
        <w:spacing w:line="240" w:lineRule="auto"/>
        <w:ind w:leftChars="0" w:left="0" w:rightChars="0" w:right="0"/>
      </w:pPr>
      <w:r w:rsidRPr="00185C4E">
        <w:t xml:space="preserve">　　</w:t>
      </w:r>
      <w:r w:rsidR="0049577B" w:rsidRPr="00185C4E">
        <w:t>有關於父母對小孩之關愛之部分，如下所述</w:t>
      </w:r>
      <w:r w:rsidR="0049577B" w:rsidRPr="00185C4E">
        <w:rPr>
          <w:rStyle w:val="af7"/>
          <w:rFonts w:eastAsia="新細明體"/>
        </w:rPr>
        <w:footnoteReference w:id="360"/>
      </w:r>
      <w:r w:rsidR="0049577B" w:rsidRPr="00185C4E">
        <w:t>：</w:t>
      </w:r>
    </w:p>
    <w:p w:rsidR="009214BE" w:rsidRDefault="009214BE" w:rsidP="00E56787">
      <w:pPr>
        <w:spacing w:line="240" w:lineRule="auto"/>
        <w:ind w:leftChars="0" w:left="0" w:rightChars="0" w:right="0"/>
      </w:pPr>
      <w:r>
        <w:rPr>
          <w:rFonts w:hint="eastAsia"/>
        </w:rPr>
        <w:t xml:space="preserve">　　</w:t>
      </w:r>
      <w:r>
        <w:t>1.Hirschi與Gottfredson兩位作者主張：對成功教養小孩而言，父母對小孩的幸福與行為之關注，是必需的。</w:t>
      </w:r>
    </w:p>
    <w:p w:rsidR="009214BE" w:rsidRDefault="009214BE" w:rsidP="00E56787">
      <w:pPr>
        <w:spacing w:line="240" w:lineRule="auto"/>
        <w:ind w:leftChars="0" w:left="0" w:rightChars="0" w:right="0"/>
      </w:pPr>
      <w:r>
        <w:rPr>
          <w:rFonts w:hint="eastAsia"/>
        </w:rPr>
        <w:t xml:space="preserve">　　</w:t>
      </w:r>
      <w:r>
        <w:t>2.因為，所有之父母常是被認為：是關愛其小孩的，但是，就這點而言，證據顯示並非是如此。</w:t>
      </w:r>
    </w:p>
    <w:p w:rsidR="009214BE" w:rsidRDefault="009214BE" w:rsidP="00E56787">
      <w:pPr>
        <w:spacing w:line="240" w:lineRule="auto"/>
        <w:ind w:leftChars="0" w:left="0" w:rightChars="0" w:right="0"/>
      </w:pPr>
      <w:r>
        <w:rPr>
          <w:rFonts w:hint="eastAsia"/>
        </w:rPr>
        <w:t xml:space="preserve">　　</w:t>
      </w:r>
      <w:r>
        <w:t>3.Gluck報告指出：與偏差行為小孩的父親比較，沒有偏差行為小孩之父親，對其小孩之溫情程度，是2倍於偏差行為小孩之父親。而且，沒有偏差行為小孩之父親，對其小孩之敵意程度，是偏差行為小孩父親的五分之一倍。</w:t>
      </w:r>
    </w:p>
    <w:p w:rsidR="009214BE" w:rsidRDefault="009214BE" w:rsidP="00E56787">
      <w:pPr>
        <w:spacing w:line="240" w:lineRule="auto"/>
        <w:ind w:leftChars="0" w:left="0" w:rightChars="0" w:right="0"/>
      </w:pPr>
      <w:r>
        <w:rPr>
          <w:rFonts w:hint="eastAsia"/>
        </w:rPr>
        <w:t xml:space="preserve">　　</w:t>
      </w:r>
      <w:r>
        <w:t>4.繼父對其非親生之小孩，不願去表現出父親對小孩之那份情愛。</w:t>
      </w:r>
    </w:p>
    <w:p w:rsidR="0049577B" w:rsidRPr="00B40DC1" w:rsidRDefault="00664AD3" w:rsidP="00E56787">
      <w:pPr>
        <w:spacing w:line="240" w:lineRule="auto"/>
        <w:ind w:leftChars="0" w:left="0" w:rightChars="0" w:right="0"/>
      </w:pPr>
      <w:r>
        <w:t xml:space="preserve">　　</w:t>
      </w:r>
      <w:r w:rsidR="0049577B" w:rsidRPr="00B40DC1">
        <w:t>有關父母之監督之部分，如下所述</w:t>
      </w:r>
      <w:r w:rsidR="0049577B" w:rsidRPr="009214BE">
        <w:rPr>
          <w:rStyle w:val="af7"/>
          <w:rFonts w:eastAsia="新細明體"/>
          <w:sz w:val="20"/>
        </w:rPr>
        <w:footnoteReference w:id="361"/>
      </w:r>
      <w:r w:rsidR="0049577B" w:rsidRPr="00B40DC1">
        <w:t>：</w:t>
      </w:r>
    </w:p>
    <w:p w:rsidR="009214BE" w:rsidRPr="009214BE" w:rsidRDefault="009214BE" w:rsidP="00E56787">
      <w:pPr>
        <w:spacing w:line="240" w:lineRule="auto"/>
        <w:ind w:leftChars="0" w:left="0" w:rightChars="0" w:right="0"/>
      </w:pPr>
      <w:r w:rsidRPr="009214BE">
        <w:rPr>
          <w:rFonts w:hint="eastAsia"/>
        </w:rPr>
        <w:t xml:space="preserve">　　</w:t>
      </w:r>
      <w:r w:rsidRPr="009214BE">
        <w:t>1.社會控制與自我控制之關連，沒有比父母對小孩之監督更為直接。</w:t>
      </w:r>
    </w:p>
    <w:p w:rsidR="009214BE" w:rsidRPr="009214BE" w:rsidRDefault="009214BE" w:rsidP="00E56787">
      <w:pPr>
        <w:spacing w:line="240" w:lineRule="auto"/>
        <w:ind w:leftChars="0" w:left="0" w:rightChars="0" w:right="0"/>
      </w:pPr>
      <w:r w:rsidRPr="009214BE">
        <w:rPr>
          <w:rFonts w:hint="eastAsia"/>
        </w:rPr>
        <w:t xml:space="preserve">　　</w:t>
      </w:r>
      <w:r w:rsidRPr="009214BE">
        <w:t>2.父母可對小孩監督、防止犯罪或與犯罪相類似之行為；同時，訓練小孩避免去從事上述行為。</w:t>
      </w:r>
    </w:p>
    <w:p w:rsidR="009214BE" w:rsidRPr="009214BE" w:rsidRDefault="009214BE" w:rsidP="00E56787">
      <w:pPr>
        <w:spacing w:line="240" w:lineRule="auto"/>
        <w:ind w:leftChars="0" w:left="0" w:rightChars="0" w:right="0"/>
      </w:pPr>
      <w:r w:rsidRPr="009214BE">
        <w:rPr>
          <w:rFonts w:hint="eastAsia"/>
        </w:rPr>
        <w:t xml:space="preserve">　　</w:t>
      </w:r>
      <w:r w:rsidRPr="009214BE">
        <w:t>3.一般化犯罪理論認為：透過父母之監督，犯罪行為被防止有程度上之一些差異。</w:t>
      </w:r>
    </w:p>
    <w:p w:rsidR="009214BE" w:rsidRPr="009214BE" w:rsidRDefault="009214BE" w:rsidP="00E56787">
      <w:pPr>
        <w:spacing w:line="240" w:lineRule="auto"/>
        <w:ind w:leftChars="0" w:left="0" w:rightChars="0" w:right="0"/>
      </w:pPr>
      <w:r w:rsidRPr="009214BE">
        <w:rPr>
          <w:rFonts w:hint="eastAsia"/>
        </w:rPr>
        <w:t xml:space="preserve">　　</w:t>
      </w:r>
      <w:r w:rsidRPr="009214BE">
        <w:t>4.小孩在某種年齡與其他年齡相比較，其受到更嚴密之監視。</w:t>
      </w:r>
    </w:p>
    <w:p w:rsidR="009214BE" w:rsidRPr="009214BE" w:rsidRDefault="009214BE" w:rsidP="00E56787">
      <w:pPr>
        <w:spacing w:line="240" w:lineRule="auto"/>
        <w:ind w:leftChars="0" w:left="0" w:rightChars="0" w:right="0"/>
      </w:pPr>
      <w:r w:rsidRPr="009214BE">
        <w:rPr>
          <w:rFonts w:hint="eastAsia"/>
        </w:rPr>
        <w:t xml:space="preserve">　　</w:t>
      </w:r>
      <w:r w:rsidRPr="009214BE">
        <w:t>5.女孩與男孩受到更多之監督。</w:t>
      </w:r>
    </w:p>
    <w:p w:rsidR="0049577B" w:rsidRPr="00B40DC1" w:rsidRDefault="00664AD3" w:rsidP="00E56787">
      <w:pPr>
        <w:spacing w:line="240" w:lineRule="auto"/>
        <w:ind w:leftChars="0" w:left="0" w:rightChars="0" w:right="0"/>
      </w:pPr>
      <w:r>
        <w:t xml:space="preserve">　　</w:t>
      </w:r>
      <w:r w:rsidR="0049577B" w:rsidRPr="00B40DC1">
        <w:t>涉及父母對小孩偏差行為之認知之部分，如下所述</w:t>
      </w:r>
      <w:r w:rsidR="0049577B" w:rsidRPr="00871524">
        <w:rPr>
          <w:rStyle w:val="af7"/>
          <w:rFonts w:eastAsia="新細明體"/>
          <w:sz w:val="20"/>
        </w:rPr>
        <w:footnoteReference w:id="362"/>
      </w:r>
      <w:r w:rsidR="0049577B" w:rsidRPr="00B40DC1">
        <w:t>：</w:t>
      </w:r>
    </w:p>
    <w:p w:rsidR="009214BE" w:rsidRPr="009214BE" w:rsidRDefault="009214BE" w:rsidP="00E56787">
      <w:pPr>
        <w:spacing w:line="240" w:lineRule="auto"/>
        <w:ind w:leftChars="0" w:left="0" w:rightChars="0" w:right="0"/>
      </w:pPr>
      <w:r w:rsidRPr="009214BE">
        <w:rPr>
          <w:rFonts w:hint="eastAsia"/>
        </w:rPr>
        <w:t xml:space="preserve">　　</w:t>
      </w:r>
      <w:r w:rsidRPr="009214BE">
        <w:t>1.為了使監督能在自控上產生影響，監督者必須能夠察覺到小孩之偏差行為。</w:t>
      </w:r>
    </w:p>
    <w:p w:rsidR="009214BE" w:rsidRPr="009214BE" w:rsidRDefault="009214BE" w:rsidP="00E56787">
      <w:pPr>
        <w:spacing w:line="240" w:lineRule="auto"/>
        <w:ind w:leftChars="0" w:left="0" w:rightChars="0" w:right="0"/>
      </w:pPr>
      <w:r w:rsidRPr="009214BE">
        <w:rPr>
          <w:rFonts w:hint="eastAsia"/>
        </w:rPr>
        <w:t xml:space="preserve">　　</w:t>
      </w:r>
      <w:r w:rsidRPr="009214BE">
        <w:t>2.並不是所有之父母均能熟練於察覺小孩之低自我控制行為。</w:t>
      </w:r>
    </w:p>
    <w:p w:rsidR="009214BE" w:rsidRPr="009214BE" w:rsidRDefault="009214BE" w:rsidP="00E56787">
      <w:pPr>
        <w:spacing w:line="240" w:lineRule="auto"/>
        <w:ind w:leftChars="0" w:left="0" w:rightChars="0" w:right="0"/>
      </w:pPr>
      <w:r w:rsidRPr="009214BE">
        <w:rPr>
          <w:rFonts w:hint="eastAsia"/>
        </w:rPr>
        <w:t xml:space="preserve">　　</w:t>
      </w:r>
      <w:r w:rsidRPr="009214BE">
        <w:t>3.一些父母只要是小孩高興，就縱容小孩胡作非為，並未加以阻止。</w:t>
      </w:r>
    </w:p>
    <w:p w:rsidR="009214BE" w:rsidRPr="009214BE" w:rsidRDefault="009214BE" w:rsidP="00E56787">
      <w:pPr>
        <w:spacing w:line="240" w:lineRule="auto"/>
        <w:ind w:leftChars="0" w:left="0" w:rightChars="0" w:right="0"/>
      </w:pPr>
      <w:r w:rsidRPr="009214BE">
        <w:rPr>
          <w:rFonts w:hint="eastAsia"/>
        </w:rPr>
        <w:t xml:space="preserve">　　</w:t>
      </w:r>
      <w:r w:rsidRPr="009214BE">
        <w:t>4.在偏差行為之家庭中，缺乏一套行為標準。</w:t>
      </w:r>
    </w:p>
    <w:p w:rsidR="0049577B" w:rsidRPr="00B40DC1" w:rsidRDefault="00664AD3" w:rsidP="00E56787">
      <w:pPr>
        <w:spacing w:line="240" w:lineRule="auto"/>
        <w:ind w:leftChars="0" w:left="0" w:rightChars="0" w:right="0"/>
      </w:pPr>
      <w:r>
        <w:t xml:space="preserve">　　</w:t>
      </w:r>
      <w:r w:rsidR="0049577B" w:rsidRPr="00B40DC1">
        <w:t>有關於父母對小孩偏差行為之制裁之部分，如下所述</w:t>
      </w:r>
      <w:r w:rsidR="0049577B" w:rsidRPr="00871524">
        <w:rPr>
          <w:rStyle w:val="af7"/>
          <w:rFonts w:eastAsia="新細明體"/>
          <w:sz w:val="20"/>
        </w:rPr>
        <w:footnoteReference w:id="363"/>
      </w:r>
      <w:r w:rsidR="0049577B" w:rsidRPr="00B40DC1">
        <w:t>：</w:t>
      </w:r>
    </w:p>
    <w:p w:rsidR="009214BE" w:rsidRPr="009214BE" w:rsidRDefault="009214BE" w:rsidP="00E56787">
      <w:pPr>
        <w:spacing w:line="240" w:lineRule="auto"/>
        <w:ind w:leftChars="0" w:left="0" w:rightChars="0" w:right="0"/>
      </w:pPr>
      <w:r w:rsidRPr="009214BE">
        <w:rPr>
          <w:rFonts w:hint="eastAsia"/>
        </w:rPr>
        <w:t xml:space="preserve">　　</w:t>
      </w:r>
      <w:r w:rsidRPr="009214BE">
        <w:t>1.並非所有之小孩的照顧者能對偏差行為作有效之處罰。有些是過於嚴峻，有些則是過於寬鬆。</w:t>
      </w:r>
    </w:p>
    <w:p w:rsidR="0049577B" w:rsidRPr="009214BE" w:rsidRDefault="009214BE" w:rsidP="00E56787">
      <w:pPr>
        <w:spacing w:line="240" w:lineRule="auto"/>
        <w:ind w:leftChars="0" w:left="0" w:rightChars="0" w:right="0"/>
      </w:pPr>
      <w:r w:rsidRPr="009214BE">
        <w:rPr>
          <w:rFonts w:hint="eastAsia"/>
        </w:rPr>
        <w:t xml:space="preserve">　　</w:t>
      </w:r>
      <w:r w:rsidRPr="009214BE">
        <w:t>2.對良好行為之獎勵，是無法彌補對偏差行為未加以矯正所造成之缺憾。</w:t>
      </w:r>
    </w:p>
    <w:p w:rsidR="0049577B" w:rsidRPr="00B40DC1" w:rsidRDefault="00664AD3" w:rsidP="00E56787">
      <w:pPr>
        <w:spacing w:line="240" w:lineRule="auto"/>
        <w:ind w:leftChars="0" w:left="0" w:rightChars="0" w:right="0"/>
      </w:pPr>
      <w:r>
        <w:t xml:space="preserve">　　</w:t>
      </w:r>
      <w:r w:rsidR="0049577B" w:rsidRPr="00B40DC1">
        <w:t>涉及父母之犯罪性之部分，如下所述</w:t>
      </w:r>
      <w:r w:rsidR="0049577B" w:rsidRPr="00871524">
        <w:rPr>
          <w:rStyle w:val="af7"/>
          <w:rFonts w:eastAsia="新細明體"/>
          <w:sz w:val="20"/>
        </w:rPr>
        <w:footnoteReference w:id="364"/>
      </w:r>
      <w:r w:rsidR="0049577B" w:rsidRPr="00B40DC1">
        <w:t>：</w:t>
      </w:r>
    </w:p>
    <w:p w:rsidR="009214BE" w:rsidRPr="009214BE" w:rsidRDefault="009214BE" w:rsidP="00E56787">
      <w:pPr>
        <w:spacing w:line="240" w:lineRule="auto"/>
        <w:ind w:leftChars="0" w:left="0" w:rightChars="0" w:right="0"/>
      </w:pPr>
      <w:r w:rsidRPr="009214BE">
        <w:rPr>
          <w:rFonts w:hint="eastAsia"/>
        </w:rPr>
        <w:t xml:space="preserve">　　</w:t>
      </w:r>
      <w:r w:rsidRPr="009214BE">
        <w:t>1.Hirschi與Gottfredson兩位作者在此所要探討之重點在於父母的自我控制與其小孩自我控制間之關連性。</w:t>
      </w:r>
    </w:p>
    <w:p w:rsidR="009214BE" w:rsidRPr="009214BE" w:rsidRDefault="009214BE" w:rsidP="00E56787">
      <w:pPr>
        <w:spacing w:line="240" w:lineRule="auto"/>
        <w:ind w:leftChars="0" w:left="0" w:rightChars="0" w:right="0"/>
      </w:pPr>
      <w:r w:rsidRPr="009214BE">
        <w:rPr>
          <w:rFonts w:hint="eastAsia"/>
        </w:rPr>
        <w:t xml:space="preserve">　　</w:t>
      </w:r>
      <w:r w:rsidRPr="009214BE">
        <w:t>2.研究證實若父母缺乏自我控制，則無法有效地將其小孩社會化。</w:t>
      </w:r>
    </w:p>
    <w:p w:rsidR="009214BE" w:rsidRPr="009214BE" w:rsidRDefault="009214BE" w:rsidP="00E56787">
      <w:pPr>
        <w:spacing w:line="240" w:lineRule="auto"/>
        <w:ind w:leftChars="0" w:left="0" w:rightChars="0" w:right="0"/>
      </w:pPr>
      <w:r w:rsidRPr="009214BE">
        <w:rPr>
          <w:rFonts w:hint="eastAsia"/>
        </w:rPr>
        <w:t xml:space="preserve">　　</w:t>
      </w:r>
      <w:r w:rsidRPr="009214BE">
        <w:t>3.Hirschi與Gottfredson兩位作者不認為犯罪性、犯罪基因性、或其他類似之特性等，是會從上一代傳遺到下一代。</w:t>
      </w:r>
    </w:p>
    <w:p w:rsidR="009214BE" w:rsidRPr="009214BE" w:rsidRDefault="009214BE" w:rsidP="00E56787">
      <w:pPr>
        <w:spacing w:line="240" w:lineRule="auto"/>
        <w:ind w:leftChars="0" w:left="0" w:rightChars="0" w:right="0"/>
      </w:pPr>
      <w:r w:rsidRPr="009214BE">
        <w:rPr>
          <w:rFonts w:hint="eastAsia"/>
        </w:rPr>
        <w:t xml:space="preserve">　　</w:t>
      </w:r>
      <w:r w:rsidRPr="009214BE">
        <w:t>4.若父母本身沒有適當之社會化，則其結果將是更無法有效地將其小孩社會化。</w:t>
      </w:r>
    </w:p>
    <w:p w:rsidR="009214BE" w:rsidRPr="009214BE" w:rsidRDefault="009214BE" w:rsidP="00E56787">
      <w:pPr>
        <w:spacing w:line="240" w:lineRule="auto"/>
        <w:ind w:leftChars="0" w:left="0" w:rightChars="0" w:right="0"/>
      </w:pPr>
      <w:r w:rsidRPr="009214BE">
        <w:rPr>
          <w:rFonts w:hint="eastAsia"/>
        </w:rPr>
        <w:t xml:space="preserve">　　</w:t>
      </w:r>
      <w:r w:rsidRPr="009214BE">
        <w:t>5.West 及 Farrington 在其研究樣本中發現，低於5℅之家庭個數數量，即可解釋樣本一半之犯行。犯罪者之父母、兄弟、姐妹也是超乎尋常地易於犯罪。</w:t>
      </w:r>
    </w:p>
    <w:p w:rsidR="009214BE" w:rsidRPr="009214BE" w:rsidRDefault="009214BE" w:rsidP="00E56787">
      <w:pPr>
        <w:spacing w:line="240" w:lineRule="auto"/>
        <w:ind w:leftChars="0" w:left="0" w:rightChars="0" w:right="0"/>
      </w:pPr>
      <w:r w:rsidRPr="009214BE">
        <w:rPr>
          <w:rFonts w:hint="eastAsia"/>
        </w:rPr>
        <w:t xml:space="preserve">　　</w:t>
      </w:r>
      <w:r w:rsidRPr="009214BE">
        <w:t>6.假若犯罪是以短期報酬為導向，而教養小孩則是以長期報酬為導向，很難令人期待：缺乏自我控制之父母，會特別熟練於灌輸自我控制於其下一代之身上。</w:t>
      </w:r>
    </w:p>
    <w:p w:rsidR="009214BE" w:rsidRPr="009214BE" w:rsidRDefault="009214BE" w:rsidP="00E56787">
      <w:pPr>
        <w:spacing w:line="240" w:lineRule="auto"/>
        <w:ind w:leftChars="0" w:left="0" w:rightChars="0" w:right="0"/>
      </w:pPr>
      <w:r w:rsidRPr="009214BE">
        <w:rPr>
          <w:rFonts w:hint="eastAsia"/>
        </w:rPr>
        <w:t xml:space="preserve">　　</w:t>
      </w:r>
      <w:r w:rsidRPr="009214BE">
        <w:t>7.研究指出，有刑案紀錄之父母，對偏差少年之監督，常是不適當的、差勁的；有刑案紀錄之父母，對其小孩之處罰，易傾向於舒適性的（即不嚴格、輕鬆式的）、短視近利的、不具感應的。其處罰之手段，是咆哮、尖叫、痛打，並威脅小孩，但其對小孩之威脅，卻未被付諸實現。</w:t>
      </w:r>
    </w:p>
    <w:p w:rsidR="009214BE" w:rsidRPr="009214BE" w:rsidRDefault="009214BE" w:rsidP="00E56787">
      <w:pPr>
        <w:spacing w:line="240" w:lineRule="auto"/>
        <w:ind w:leftChars="0" w:left="0" w:rightChars="0" w:right="0"/>
      </w:pPr>
      <w:r w:rsidRPr="009214BE">
        <w:rPr>
          <w:rFonts w:hint="eastAsia"/>
        </w:rPr>
        <w:t xml:space="preserve">　　</w:t>
      </w:r>
      <w:r w:rsidRPr="009214BE">
        <w:t>8.有刑案紀錄之父母，無法有效地對其小孩教導自我控制之事實，無法解釋某些家庭犯罪性之集中化。最主要之原因是教導小孩之過程中，最重要之因素未被分析出來，即父母對偏差行為之認知與理解。</w:t>
      </w:r>
    </w:p>
    <w:p w:rsidR="009214BE" w:rsidRPr="009214BE" w:rsidRDefault="009214BE" w:rsidP="00E56787">
      <w:pPr>
        <w:spacing w:line="240" w:lineRule="auto"/>
        <w:ind w:leftChars="0" w:left="0" w:rightChars="0" w:right="0"/>
      </w:pPr>
      <w:r w:rsidRPr="009214BE">
        <w:rPr>
          <w:rFonts w:hint="eastAsia"/>
        </w:rPr>
        <w:t xml:space="preserve">　　</w:t>
      </w:r>
      <w:r w:rsidRPr="009214BE">
        <w:t>9.小孩在學校被懷疑有不當行為，一些父母站在小孩這邊，斥喝老師之不公正處置。明顯地，父母若無法看到小孩之偏差行為，則無法對其作糾正；有些，甚至是父母有意地如此作。</w:t>
      </w:r>
    </w:p>
    <w:p w:rsidR="009214BE" w:rsidRPr="009214BE" w:rsidRDefault="009214BE" w:rsidP="00E56787">
      <w:pPr>
        <w:spacing w:line="240" w:lineRule="auto"/>
        <w:ind w:leftChars="0" w:left="0" w:rightChars="0" w:right="0"/>
      </w:pPr>
      <w:r w:rsidRPr="009214BE">
        <w:rPr>
          <w:rFonts w:hint="eastAsia"/>
        </w:rPr>
        <w:t xml:space="preserve">　　</w:t>
      </w:r>
      <w:r w:rsidRPr="009214BE">
        <w:t>10.父母必須要知道那些行為是屬於低自我控制的，現代之父母並未特別留意到屬於低自我控制之行為。</w:t>
      </w:r>
    </w:p>
    <w:p w:rsidR="009214BE" w:rsidRPr="009214BE" w:rsidRDefault="009214BE" w:rsidP="00E56787">
      <w:pPr>
        <w:spacing w:line="240" w:lineRule="auto"/>
        <w:ind w:leftChars="0" w:left="0" w:rightChars="0" w:right="0"/>
      </w:pPr>
      <w:r w:rsidRPr="009214BE">
        <w:rPr>
          <w:rFonts w:hint="eastAsia"/>
        </w:rPr>
        <w:t xml:space="preserve">　　</w:t>
      </w:r>
      <w:r w:rsidRPr="009214BE">
        <w:t>11.很多有影響力之犯罪與偏差行為之社會科學理論，忽略或否定小孩下列行為與犯罪之關連性：與父母頂嘴、吼叫、推擠、固執己見、在家庭與學校之差勁（poor）表現。</w:t>
      </w:r>
    </w:p>
    <w:p w:rsidR="009214BE" w:rsidRPr="009214BE" w:rsidRDefault="009214BE" w:rsidP="00E56787">
      <w:pPr>
        <w:spacing w:line="240" w:lineRule="auto"/>
        <w:ind w:leftChars="0" w:left="0" w:rightChars="0" w:right="0"/>
      </w:pPr>
      <w:r w:rsidRPr="009214BE">
        <w:rPr>
          <w:rFonts w:hint="eastAsia"/>
        </w:rPr>
        <w:t xml:space="preserve">　　</w:t>
      </w:r>
      <w:r w:rsidRPr="009214BE">
        <w:t>12.父母對小孩之偏差行為之回應是有其差異性之存在；某些父母會企圖去糾正，某些則不會企圖去糾正小孩之偏差行為。</w:t>
      </w:r>
    </w:p>
    <w:p w:rsidR="009214BE" w:rsidRPr="009214BE" w:rsidRDefault="009214BE" w:rsidP="00E56787">
      <w:pPr>
        <w:spacing w:line="240" w:lineRule="auto"/>
        <w:ind w:leftChars="0" w:left="0" w:rightChars="0" w:right="0"/>
      </w:pPr>
      <w:r w:rsidRPr="009214BE">
        <w:rPr>
          <w:rFonts w:hint="eastAsia"/>
        </w:rPr>
        <w:t xml:space="preserve">　　</w:t>
      </w:r>
      <w:r w:rsidRPr="009214BE">
        <w:t>13.Hirschi與Gottfredson兩位作者並不主張：犯罪是由這些早期之不當行為所引起的。</w:t>
      </w:r>
    </w:p>
    <w:p w:rsidR="009214BE" w:rsidRPr="009214BE" w:rsidRDefault="009214BE" w:rsidP="00E56787">
      <w:pPr>
        <w:spacing w:line="240" w:lineRule="auto"/>
        <w:ind w:leftChars="0" w:left="0" w:rightChars="0" w:right="0"/>
      </w:pPr>
      <w:r w:rsidRPr="009214BE">
        <w:rPr>
          <w:rFonts w:hint="eastAsia"/>
        </w:rPr>
        <w:t xml:space="preserve">　　</w:t>
      </w:r>
      <w:r w:rsidRPr="009214BE">
        <w:t>14.Hirschi與Gottfredson兩位作者也不主張：犯罪是自發性地步隨在這些早期的低自我控制行為而發生的，因為犯罪之發生，除了低自我控制之外，尚有其他之因素。</w:t>
      </w:r>
    </w:p>
    <w:p w:rsidR="0049577B" w:rsidRPr="009214BE" w:rsidRDefault="009214BE" w:rsidP="00E56787">
      <w:pPr>
        <w:spacing w:line="240" w:lineRule="auto"/>
        <w:ind w:leftChars="0" w:left="0" w:rightChars="0" w:right="0"/>
      </w:pPr>
      <w:r w:rsidRPr="009214BE">
        <w:rPr>
          <w:rFonts w:hint="eastAsia"/>
        </w:rPr>
        <w:t xml:space="preserve">　　</w:t>
      </w:r>
      <w:r w:rsidRPr="009214BE">
        <w:t>15.Hirschi與Gottfredson兩位作者主張：低自我控制在預測低自我控制行為時，比預測低自我控制其他特殊化之表徵，諸如犯罪行為時，是更為有效。</w:t>
      </w:r>
    </w:p>
    <w:p w:rsidR="0049577B" w:rsidRPr="00B40DC1" w:rsidRDefault="00664AD3" w:rsidP="00E56787">
      <w:pPr>
        <w:spacing w:line="240" w:lineRule="auto"/>
        <w:ind w:leftChars="0" w:left="0" w:rightChars="0" w:right="0"/>
      </w:pPr>
      <w:r>
        <w:t xml:space="preserve">　　</w:t>
      </w:r>
      <w:r w:rsidR="0049577B" w:rsidRPr="00B40DC1">
        <w:t>涉及家庭之大小之部分，如下所述</w:t>
      </w:r>
      <w:r w:rsidR="0049577B" w:rsidRPr="00F64183">
        <w:rPr>
          <w:rStyle w:val="af7"/>
          <w:rFonts w:eastAsia="新細明體"/>
          <w:sz w:val="20"/>
        </w:rPr>
        <w:footnoteReference w:id="365"/>
      </w:r>
      <w:r w:rsidR="0049577B" w:rsidRPr="00B40DC1">
        <w:t>：</w:t>
      </w:r>
    </w:p>
    <w:p w:rsidR="0049577B" w:rsidRPr="00B40DC1" w:rsidRDefault="009214BE" w:rsidP="00E56787">
      <w:pPr>
        <w:spacing w:line="240" w:lineRule="auto"/>
        <w:ind w:leftChars="0" w:left="0" w:rightChars="0" w:right="0"/>
      </w:pPr>
      <w:r>
        <w:t xml:space="preserve">　　</w:t>
      </w:r>
      <w:r w:rsidR="0049577B" w:rsidRPr="00B40DC1">
        <w:t>Hirschi與Gottfredson兩位作者在此部份，介紹前人之研究結果，並加以整理，如下所述：</w:t>
      </w:r>
    </w:p>
    <w:p w:rsidR="009214BE" w:rsidRPr="009214BE" w:rsidRDefault="009214BE" w:rsidP="00E56787">
      <w:pPr>
        <w:spacing w:line="240" w:lineRule="auto"/>
        <w:ind w:leftChars="0" w:left="0" w:rightChars="0" w:right="0"/>
      </w:pPr>
      <w:r w:rsidRPr="009214BE">
        <w:rPr>
          <w:rFonts w:hint="eastAsia"/>
        </w:rPr>
        <w:t xml:space="preserve">　　</w:t>
      </w:r>
      <w:r w:rsidRPr="009214BE">
        <w:t>1.家庭之中，小孩數目愈多，這些小孩愈有可能成為偏差行為者。</w:t>
      </w:r>
    </w:p>
    <w:p w:rsidR="009214BE" w:rsidRPr="009214BE" w:rsidRDefault="009214BE" w:rsidP="00E56787">
      <w:pPr>
        <w:spacing w:line="240" w:lineRule="auto"/>
        <w:ind w:leftChars="0" w:left="0" w:rightChars="0" w:right="0"/>
      </w:pPr>
      <w:r w:rsidRPr="009214BE">
        <w:rPr>
          <w:rFonts w:hint="eastAsia"/>
        </w:rPr>
        <w:t xml:space="preserve">　　</w:t>
      </w:r>
      <w:r w:rsidRPr="009214BE">
        <w:t>2.父母對其數量眾多小孩之監督與處罰，是較為困難。</w:t>
      </w:r>
    </w:p>
    <w:p w:rsidR="009214BE" w:rsidRPr="009214BE" w:rsidRDefault="009214BE" w:rsidP="00E56787">
      <w:pPr>
        <w:spacing w:line="240" w:lineRule="auto"/>
        <w:ind w:leftChars="0" w:left="0" w:rightChars="0" w:right="0"/>
      </w:pPr>
      <w:r w:rsidRPr="009214BE">
        <w:rPr>
          <w:rFonts w:hint="eastAsia"/>
        </w:rPr>
        <w:t xml:space="preserve">　　</w:t>
      </w:r>
      <w:r w:rsidRPr="009214BE">
        <w:t>3.若小孩數目較多，則其與父母相處時間較少，而與其他小孩相處時間則增多。</w:t>
      </w:r>
    </w:p>
    <w:p w:rsidR="009214BE" w:rsidRPr="009214BE" w:rsidRDefault="009214BE" w:rsidP="00E56787">
      <w:pPr>
        <w:spacing w:line="240" w:lineRule="auto"/>
        <w:ind w:leftChars="0" w:left="0" w:rightChars="0" w:right="0"/>
      </w:pPr>
      <w:r w:rsidRPr="009214BE">
        <w:rPr>
          <w:rFonts w:hint="eastAsia"/>
        </w:rPr>
        <w:t xml:space="preserve">　　</w:t>
      </w:r>
      <w:r w:rsidRPr="009214BE">
        <w:t>4.小孩太多，會消耗了父母之時間與精力。</w:t>
      </w:r>
    </w:p>
    <w:p w:rsidR="0049577B" w:rsidRPr="00B40DC1" w:rsidRDefault="00664AD3" w:rsidP="00E56787">
      <w:pPr>
        <w:spacing w:line="240" w:lineRule="auto"/>
        <w:ind w:leftChars="0" w:left="0" w:rightChars="0" w:right="0"/>
      </w:pPr>
      <w:r>
        <w:t xml:space="preserve">　　</w:t>
      </w:r>
      <w:r w:rsidR="0049577B" w:rsidRPr="00B40DC1">
        <w:t>有關於單親家庭部分，如下所述</w:t>
      </w:r>
      <w:r w:rsidR="0049577B" w:rsidRPr="00F64183">
        <w:rPr>
          <w:rStyle w:val="af7"/>
          <w:rFonts w:eastAsia="新細明體"/>
          <w:sz w:val="20"/>
        </w:rPr>
        <w:footnoteReference w:id="366"/>
      </w:r>
      <w:r w:rsidR="0049577B" w:rsidRPr="00B40DC1">
        <w:t>：</w:t>
      </w:r>
    </w:p>
    <w:p w:rsidR="009214BE" w:rsidRPr="00F64183" w:rsidRDefault="009214BE" w:rsidP="00E56787">
      <w:pPr>
        <w:spacing w:line="240" w:lineRule="auto"/>
        <w:ind w:leftChars="0" w:left="0" w:rightChars="0" w:right="0"/>
      </w:pPr>
      <w:r w:rsidRPr="00F64183">
        <w:rPr>
          <w:rFonts w:hint="eastAsia"/>
        </w:rPr>
        <w:t xml:space="preserve">　　</w:t>
      </w:r>
      <w:r w:rsidRPr="00F64183">
        <w:t>1.單親父母對小孩之教養即已足夠，在父親或母親單獨代理雙親角色下，並未對小孩教養造成明顯之損失。</w:t>
      </w:r>
    </w:p>
    <w:p w:rsidR="009214BE" w:rsidRPr="00F64183" w:rsidRDefault="009214BE" w:rsidP="00E56787">
      <w:pPr>
        <w:spacing w:line="240" w:lineRule="auto"/>
        <w:ind w:leftChars="0" w:left="0" w:rightChars="0" w:right="0"/>
      </w:pPr>
      <w:r w:rsidRPr="00F64183">
        <w:rPr>
          <w:rFonts w:hint="eastAsia"/>
        </w:rPr>
        <w:t xml:space="preserve">　　</w:t>
      </w:r>
      <w:r w:rsidRPr="00F64183">
        <w:t>2.但是，其大前提必須是單親父母（通常是單親母親）必須維持其他雙親家庭基本上之功能。單親母親常常是在缺乏心理與社會之支持下，來維持雙親家庭之功能。結果，單親母親較無法監視與處罰其小孩。</w:t>
      </w:r>
    </w:p>
    <w:p w:rsidR="009214BE" w:rsidRPr="00B40DC1" w:rsidRDefault="009214BE" w:rsidP="00E56787">
      <w:pPr>
        <w:spacing w:line="240" w:lineRule="auto"/>
        <w:ind w:leftChars="0" w:left="0" w:rightChars="0" w:right="0"/>
      </w:pPr>
      <w:r w:rsidRPr="00F64183">
        <w:rPr>
          <w:rFonts w:hint="eastAsia"/>
        </w:rPr>
        <w:t xml:space="preserve">　　</w:t>
      </w:r>
      <w:r w:rsidRPr="00F64183">
        <w:t>3.研究指出，繼父或繼母對其前夫或前妻之小孩，較沒有投注父母之關愛，且常是虐待前夫或前妻之小孩。</w:t>
      </w:r>
    </w:p>
    <w:p w:rsidR="0049577B" w:rsidRPr="00B40DC1" w:rsidRDefault="00664AD3" w:rsidP="00E56787">
      <w:pPr>
        <w:spacing w:line="240" w:lineRule="auto"/>
        <w:ind w:leftChars="0" w:left="0" w:rightChars="0" w:right="0"/>
      </w:pPr>
      <w:r>
        <w:t xml:space="preserve">　　</w:t>
      </w:r>
      <w:r w:rsidR="0049577B" w:rsidRPr="00B40DC1">
        <w:t>涉及母親有在上班之情形部分，如下所述</w:t>
      </w:r>
      <w:r w:rsidR="0049577B" w:rsidRPr="00F64183">
        <w:rPr>
          <w:rStyle w:val="af7"/>
          <w:rFonts w:eastAsia="新細明體"/>
          <w:sz w:val="20"/>
        </w:rPr>
        <w:footnoteReference w:id="367"/>
      </w:r>
      <w:r w:rsidR="0049577B" w:rsidRPr="00B40DC1">
        <w:t>：</w:t>
      </w:r>
    </w:p>
    <w:p w:rsidR="00F64183" w:rsidRPr="00F64183" w:rsidRDefault="00F64183" w:rsidP="00E56787">
      <w:pPr>
        <w:spacing w:line="240" w:lineRule="auto"/>
        <w:ind w:leftChars="0" w:left="0" w:rightChars="0" w:right="0"/>
      </w:pPr>
      <w:r w:rsidRPr="00F64183">
        <w:rPr>
          <w:rFonts w:hint="eastAsia"/>
        </w:rPr>
        <w:t xml:space="preserve">　　</w:t>
      </w:r>
      <w:r w:rsidRPr="00F64183">
        <w:t>1.Sheldon 及 Glueck指出：假若就業母親能有效地監督其小孩，母親之就業對小孩之偏差行為，就沒有影響效果（no effect）。</w:t>
      </w:r>
    </w:p>
    <w:p w:rsidR="00F64183" w:rsidRPr="00F64183" w:rsidRDefault="00F64183" w:rsidP="00E56787">
      <w:pPr>
        <w:spacing w:line="240" w:lineRule="auto"/>
        <w:ind w:leftChars="0" w:left="0" w:rightChars="0" w:right="0"/>
      </w:pPr>
      <w:r w:rsidRPr="00F64183">
        <w:rPr>
          <w:rFonts w:hint="eastAsia"/>
        </w:rPr>
        <w:t xml:space="preserve">　　</w:t>
      </w:r>
      <w:r w:rsidRPr="00F64183">
        <w:t>2.研究結果指出，當母親之監督因素有被考量時，正常就業母親之小孩，是較不會成為偏差少年的。</w:t>
      </w:r>
    </w:p>
    <w:p w:rsidR="00F64183" w:rsidRPr="00F64183" w:rsidRDefault="00F64183" w:rsidP="00E56787">
      <w:pPr>
        <w:spacing w:line="240" w:lineRule="auto"/>
        <w:ind w:leftChars="0" w:left="0" w:rightChars="0" w:right="0"/>
      </w:pPr>
      <w:r w:rsidRPr="00F64183">
        <w:rPr>
          <w:rFonts w:hint="eastAsia"/>
        </w:rPr>
        <w:t xml:space="preserve">　　</w:t>
      </w:r>
      <w:r w:rsidRPr="00F64183">
        <w:t>3.然而，這並不意味著母親之就業，對小孩之偏差行為沒有影響。</w:t>
      </w:r>
    </w:p>
    <w:p w:rsidR="00F64183" w:rsidRPr="00F64183" w:rsidRDefault="00F64183" w:rsidP="00E56787">
      <w:pPr>
        <w:spacing w:line="240" w:lineRule="auto"/>
        <w:ind w:leftChars="0" w:left="0" w:rightChars="0" w:right="0"/>
      </w:pPr>
      <w:r w:rsidRPr="00F64183">
        <w:rPr>
          <w:rFonts w:hint="eastAsia"/>
        </w:rPr>
        <w:t xml:space="preserve">　　</w:t>
      </w:r>
      <w:r w:rsidRPr="00F64183">
        <w:t>4.在那些對小孩未加以監督之情況中，就業母親之小孩，是較易成為偏差少年的。</w:t>
      </w:r>
    </w:p>
    <w:p w:rsidR="00F64183" w:rsidRPr="00B40DC1" w:rsidRDefault="00F64183" w:rsidP="00E56787">
      <w:pPr>
        <w:spacing w:line="240" w:lineRule="auto"/>
        <w:ind w:leftChars="0" w:left="0" w:rightChars="0" w:right="0"/>
      </w:pPr>
      <w:r w:rsidRPr="00F64183">
        <w:rPr>
          <w:rFonts w:hint="eastAsia"/>
        </w:rPr>
        <w:t xml:space="preserve">　　</w:t>
      </w:r>
      <w:r w:rsidRPr="00F64183">
        <w:t>5.母親若不在家，對青少年就較沒有吸引力。另外，家中無人在家時，是預測竊盜之一種好指標。</w:t>
      </w:r>
    </w:p>
    <w:p w:rsidR="0049577B" w:rsidRPr="00B40DC1" w:rsidRDefault="00F64183" w:rsidP="00E56787">
      <w:pPr>
        <w:spacing w:line="240" w:lineRule="auto"/>
        <w:ind w:leftChars="0" w:left="0" w:rightChars="0" w:right="0"/>
      </w:pPr>
      <w:r>
        <w:t xml:space="preserve">　　</w:t>
      </w:r>
      <w:r w:rsidR="0049577B" w:rsidRPr="00B40DC1">
        <w:t>有關於家庭與其他社會機構對小孩社會化功能之差異性比較部分，如下所述</w:t>
      </w:r>
      <w:r w:rsidR="0049577B" w:rsidRPr="00F64183">
        <w:rPr>
          <w:rStyle w:val="af7"/>
          <w:rFonts w:eastAsia="新細明體"/>
          <w:sz w:val="20"/>
        </w:rPr>
        <w:footnoteReference w:id="368"/>
      </w:r>
      <w:r w:rsidR="0049577B" w:rsidRPr="00B40DC1">
        <w:t>：</w:t>
      </w:r>
    </w:p>
    <w:p w:rsidR="00F64183" w:rsidRPr="00F64183" w:rsidRDefault="00F64183" w:rsidP="00E56787">
      <w:pPr>
        <w:spacing w:line="240" w:lineRule="auto"/>
        <w:ind w:leftChars="0" w:left="0" w:rightChars="0" w:right="0"/>
      </w:pPr>
      <w:r w:rsidRPr="00F64183">
        <w:rPr>
          <w:rFonts w:hint="eastAsia"/>
        </w:rPr>
        <w:t xml:space="preserve">　　</w:t>
      </w:r>
      <w:r w:rsidRPr="00F64183">
        <w:t>1.大部份的人，是經由家庭來充份地完成社會化，並且，因其有被充份地社會化之故，而能不去從事犯罪行為。</w:t>
      </w:r>
    </w:p>
    <w:p w:rsidR="00F64183" w:rsidRPr="00F64183" w:rsidRDefault="00F64183" w:rsidP="00E56787">
      <w:pPr>
        <w:spacing w:line="240" w:lineRule="auto"/>
        <w:ind w:leftChars="0" w:left="0" w:rightChars="0" w:right="0"/>
      </w:pPr>
      <w:r w:rsidRPr="00F64183">
        <w:rPr>
          <w:rFonts w:hint="eastAsia"/>
        </w:rPr>
        <w:t xml:space="preserve">　　</w:t>
      </w:r>
      <w:r w:rsidRPr="00F64183">
        <w:t>2.那些未被家庭充份地完成社會化之人，最後，可透過其他制裁系統或機構學習到自我控制。在現代社會中，最主要之機構，就是學校。</w:t>
      </w:r>
    </w:p>
    <w:p w:rsidR="00F64183" w:rsidRPr="00F64183" w:rsidRDefault="00F64183" w:rsidP="00E56787">
      <w:pPr>
        <w:spacing w:line="240" w:lineRule="auto"/>
        <w:ind w:leftChars="0" w:left="0" w:rightChars="0" w:right="0"/>
      </w:pPr>
      <w:r w:rsidRPr="00F64183">
        <w:rPr>
          <w:rFonts w:hint="eastAsia"/>
        </w:rPr>
        <w:t xml:space="preserve">　　</w:t>
      </w:r>
      <w:r w:rsidRPr="00F64183">
        <w:t>3.然而，證據顯示，當今美國之社會，學校很難教導學生學習自我控制。最主要之原因，是因為缺乏家庭之合作與支持。而這些家庭，對其小孩之社會化，是失敗的。</w:t>
      </w:r>
    </w:p>
    <w:p w:rsidR="00F64183" w:rsidRPr="00F64183" w:rsidRDefault="00F64183" w:rsidP="00E56787">
      <w:pPr>
        <w:spacing w:line="240" w:lineRule="auto"/>
        <w:ind w:leftChars="0" w:left="0" w:rightChars="0" w:right="0"/>
      </w:pPr>
      <w:r w:rsidRPr="00F64183">
        <w:rPr>
          <w:rFonts w:hint="eastAsia"/>
        </w:rPr>
        <w:t xml:space="preserve">　　</w:t>
      </w:r>
      <w:r w:rsidRPr="00F64183">
        <w:t>4.Hirschi與Gottfredson兩位作者指出：自我控制之差異性，主要是可歸因於家庭對其小孩之社會化；後來之機構，很難去彌補家庭所造成之缺陷。</w:t>
      </w:r>
    </w:p>
    <w:p w:rsidR="0049577B" w:rsidRPr="00F64183" w:rsidRDefault="00F64183" w:rsidP="00E56787">
      <w:pPr>
        <w:spacing w:line="240" w:lineRule="auto"/>
        <w:ind w:leftChars="0" w:left="0" w:rightChars="0" w:right="0"/>
      </w:pPr>
      <w:r w:rsidRPr="00F64183">
        <w:rPr>
          <w:rFonts w:hint="eastAsia"/>
        </w:rPr>
        <w:t xml:space="preserve">　　</w:t>
      </w:r>
      <w:r w:rsidRPr="00F64183">
        <w:t>5.社會化一旦成功地被完成，大部份是很難再加以逆轉的（反轉的）。</w:t>
      </w:r>
    </w:p>
    <w:p w:rsidR="0049577B" w:rsidRPr="00B40DC1" w:rsidRDefault="00664AD3" w:rsidP="00E56787">
      <w:pPr>
        <w:spacing w:line="240" w:lineRule="auto"/>
        <w:ind w:leftChars="0" w:left="0" w:rightChars="0" w:right="0"/>
      </w:pPr>
      <w:r>
        <w:t xml:space="preserve">　　</w:t>
      </w:r>
      <w:r w:rsidR="0049577B" w:rsidRPr="00B40DC1">
        <w:t>涉及自我控制穩定性之問題部分，如下所述</w:t>
      </w:r>
      <w:r w:rsidR="0049577B" w:rsidRPr="00F64183">
        <w:rPr>
          <w:rStyle w:val="af7"/>
          <w:rFonts w:eastAsia="新細明體"/>
          <w:sz w:val="20"/>
        </w:rPr>
        <w:footnoteReference w:id="369"/>
      </w:r>
      <w:r w:rsidR="0049577B" w:rsidRPr="00B40DC1">
        <w:t>：</w:t>
      </w:r>
    </w:p>
    <w:p w:rsidR="00B277E1" w:rsidRDefault="00B277E1" w:rsidP="00E56787">
      <w:pPr>
        <w:spacing w:line="240" w:lineRule="auto"/>
        <w:ind w:leftChars="0" w:left="0" w:rightChars="0" w:right="0"/>
      </w:pPr>
      <w:r>
        <w:rPr>
          <w:rFonts w:hint="eastAsia"/>
        </w:rPr>
        <w:t xml:space="preserve">　　</w:t>
      </w:r>
      <w:r>
        <w:t>1.之所以會忽視低自我控制之穩定性，最主要理由是建立在個體尚有其他特質，且其他特質是穩定的，而且，能夠解釋個體在犯行之明顯穩定之差異。這個特質是什麼呢？就是所謂犯罪人格。</w:t>
      </w:r>
    </w:p>
    <w:p w:rsidR="00B277E1" w:rsidRDefault="00B277E1" w:rsidP="00E56787">
      <w:pPr>
        <w:spacing w:line="240" w:lineRule="auto"/>
        <w:ind w:leftChars="0" w:left="0" w:rightChars="0" w:right="0"/>
      </w:pPr>
      <w:r>
        <w:rPr>
          <w:rFonts w:hint="eastAsia"/>
        </w:rPr>
        <w:t xml:space="preserve">　　</w:t>
      </w:r>
      <w:r>
        <w:t>2.傳統之理論否定了人們從事犯行之原因具有穩定性，而且，建構了不去處理個體問題變項之理論。</w:t>
      </w:r>
    </w:p>
    <w:p w:rsidR="00B277E1" w:rsidRDefault="00B277E1" w:rsidP="00E56787">
      <w:pPr>
        <w:spacing w:line="240" w:lineRule="auto"/>
        <w:ind w:leftChars="0" w:left="0" w:rightChars="0" w:right="0"/>
      </w:pPr>
      <w:r>
        <w:rPr>
          <w:rFonts w:hint="eastAsia"/>
        </w:rPr>
        <w:t xml:space="preserve">　　</w:t>
      </w:r>
      <w:r>
        <w:t>3.這些傳統之理論，認為人們最初從事犯行之原因，與其往後生涯不斷從事犯行之原因，不是相同的。並且，認為不去從事犯行之原因，是具有特殊性的（unique）。</w:t>
      </w:r>
    </w:p>
    <w:p w:rsidR="00B277E1" w:rsidRDefault="00B277E1" w:rsidP="00E56787">
      <w:pPr>
        <w:spacing w:line="240" w:lineRule="auto"/>
        <w:ind w:leftChars="0" w:left="0" w:rightChars="0" w:right="0"/>
      </w:pPr>
      <w:r>
        <w:rPr>
          <w:rFonts w:hint="eastAsia"/>
        </w:rPr>
        <w:t xml:space="preserve">　　</w:t>
      </w:r>
      <w:r>
        <w:t>4.Hirschi與Gottfredson兩位作者認為：當代主流之犯罪理論，均未對從事犯行終其一生之穩定性差異，加以留意。</w:t>
      </w:r>
    </w:p>
    <w:p w:rsidR="00B277E1" w:rsidRPr="00B40DC1" w:rsidRDefault="00B277E1" w:rsidP="00E56787">
      <w:pPr>
        <w:spacing w:line="240" w:lineRule="auto"/>
        <w:ind w:leftChars="0" w:left="0" w:rightChars="0" w:right="0"/>
      </w:pPr>
      <w:r>
        <w:rPr>
          <w:rFonts w:hint="eastAsia"/>
        </w:rPr>
        <w:t xml:space="preserve">　　</w:t>
      </w:r>
      <w:r>
        <w:t>5.Hirschi與Gottfredson兩位作者認為：人們在早年所出現的可態從事犯行之差異性，會終其一生地保留這種穩定性。</w:t>
      </w:r>
    </w:p>
    <w:p w:rsidR="0049577B" w:rsidRDefault="00664AD3" w:rsidP="00E56787">
      <w:pPr>
        <w:spacing w:line="240" w:lineRule="auto"/>
        <w:ind w:leftChars="0" w:left="0" w:rightChars="0" w:right="0"/>
      </w:pPr>
      <w:r>
        <w:t xml:space="preserve">　　</w:t>
      </w:r>
      <w:r w:rsidR="0049577B" w:rsidRPr="00B40DC1">
        <w:t>有關於人格與犯罪性部分，如下所述</w:t>
      </w:r>
      <w:r w:rsidR="0049577B" w:rsidRPr="00B277E1">
        <w:rPr>
          <w:rStyle w:val="af7"/>
          <w:rFonts w:eastAsia="新細明體"/>
          <w:sz w:val="20"/>
        </w:rPr>
        <w:footnoteReference w:id="370"/>
      </w:r>
      <w:r w:rsidR="0049577B" w:rsidRPr="00B40DC1">
        <w:t>：</w:t>
      </w:r>
    </w:p>
    <w:p w:rsidR="00B277E1" w:rsidRDefault="00B277E1" w:rsidP="00E56787">
      <w:pPr>
        <w:spacing w:line="240" w:lineRule="auto"/>
        <w:ind w:leftChars="0" w:left="0" w:rightChars="0" w:right="0"/>
      </w:pPr>
      <w:r>
        <w:rPr>
          <w:rFonts w:hint="eastAsia"/>
        </w:rPr>
        <w:t xml:space="preserve">　　</w:t>
      </w:r>
      <w:r>
        <w:t>1、犯罪社會學家認為犯罪人與非犯罪人之間，沒有人格特質之差異。</w:t>
      </w:r>
    </w:p>
    <w:p w:rsidR="00B277E1" w:rsidRDefault="00B277E1" w:rsidP="00E56787">
      <w:pPr>
        <w:spacing w:line="240" w:lineRule="auto"/>
        <w:ind w:leftChars="0" w:left="0" w:rightChars="0" w:right="0"/>
      </w:pPr>
      <w:r>
        <w:rPr>
          <w:rFonts w:hint="eastAsia"/>
        </w:rPr>
        <w:t xml:space="preserve">　　</w:t>
      </w:r>
      <w:r>
        <w:t>2、犯罪心理學家認為犯罪人與非犯罪人之間，有很多人格特質之差異。</w:t>
      </w:r>
    </w:p>
    <w:p w:rsidR="00B277E1" w:rsidRDefault="00B277E1" w:rsidP="00E56787">
      <w:pPr>
        <w:spacing w:line="240" w:lineRule="auto"/>
        <w:ind w:leftChars="0" w:left="0" w:rightChars="0" w:right="0"/>
      </w:pPr>
      <w:r>
        <w:rPr>
          <w:rFonts w:hint="eastAsia"/>
        </w:rPr>
        <w:t xml:space="preserve">　　</w:t>
      </w:r>
      <w:r>
        <w:t>3、Hirschi與Gottfredson兩位作者認為：以上之看法均是錯誤的。</w:t>
      </w:r>
    </w:p>
    <w:p w:rsidR="00B277E1" w:rsidRDefault="00B277E1" w:rsidP="00E56787">
      <w:pPr>
        <w:spacing w:line="240" w:lineRule="auto"/>
        <w:ind w:leftChars="0" w:left="0" w:rightChars="0" w:right="0"/>
      </w:pPr>
      <w:r>
        <w:rPr>
          <w:rFonts w:hint="eastAsia"/>
        </w:rPr>
        <w:t xml:space="preserve">　　</w:t>
      </w:r>
      <w:r>
        <w:t>4、Wilson及 Herrnstein兩人於1985年指出，犯罪人與非犯罪人相比較，犯罪人在人格測</w:t>
      </w:r>
      <w:r w:rsidRPr="00B40DC1">
        <w:t>量</w:t>
      </w:r>
      <w:r w:rsidRPr="00B277E1">
        <w:rPr>
          <w:rStyle w:val="af7"/>
          <w:rFonts w:eastAsia="新細明體"/>
          <w:sz w:val="20"/>
        </w:rPr>
        <w:footnoteReference w:id="371"/>
      </w:r>
      <w:r w:rsidRPr="00B40DC1">
        <w:t>上</w:t>
      </w:r>
      <w:r>
        <w:t>，有較高之偏差行為的分數。</w:t>
      </w:r>
    </w:p>
    <w:p w:rsidR="00B277E1" w:rsidRDefault="00B277E1" w:rsidP="00E56787">
      <w:pPr>
        <w:spacing w:line="240" w:lineRule="auto"/>
        <w:ind w:leftChars="0" w:left="0" w:rightChars="0" w:right="0"/>
      </w:pPr>
      <w:r>
        <w:rPr>
          <w:rFonts w:hint="eastAsia"/>
        </w:rPr>
        <w:t xml:space="preserve">　　</w:t>
      </w:r>
      <w:r>
        <w:t>5、Hirschi與Gottfredson兩位作者破斥犯罪人會有犯罪人格之論點，其主張犯罪人格之測量，若不是測量犯罪本身，就是與低自我控制之概念無法作區分。</w:t>
      </w:r>
    </w:p>
    <w:p w:rsidR="00B277E1" w:rsidRDefault="00B277E1" w:rsidP="00E56787">
      <w:pPr>
        <w:spacing w:line="240" w:lineRule="auto"/>
        <w:ind w:leftChars="0" w:left="0" w:rightChars="0" w:right="0"/>
      </w:pPr>
      <w:r>
        <w:rPr>
          <w:rFonts w:hint="eastAsia"/>
        </w:rPr>
        <w:t xml:space="preserve">　　</w:t>
      </w:r>
      <w:r>
        <w:t>6、低自我控制是個體引起犯罪之主要特質。若是有人持與「低自我控制是個體引起犯罪之主要特質」這個看法相反之觀點，Hirschi與Gottfredson兩位作者認為：這類人所作之研究結果，是毫無價值的（producenothing）。</w:t>
      </w:r>
    </w:p>
    <w:p w:rsidR="00B277E1" w:rsidRDefault="00B277E1" w:rsidP="00E56787">
      <w:pPr>
        <w:spacing w:line="240" w:lineRule="auto"/>
        <w:ind w:leftChars="0" w:left="0" w:rightChars="0" w:right="0"/>
      </w:pPr>
      <w:r>
        <w:rPr>
          <w:rFonts w:hint="eastAsia"/>
        </w:rPr>
        <w:t xml:space="preserve">　　</w:t>
      </w:r>
      <w:r>
        <w:t>7、有高自我控制之人，在其生活之中，是較不會去從事犯罪行為，不論其是否有其他人格之特質。</w:t>
      </w:r>
    </w:p>
    <w:p w:rsidR="00B277E1" w:rsidRDefault="00B277E1" w:rsidP="00E56787">
      <w:pPr>
        <w:spacing w:line="240" w:lineRule="auto"/>
        <w:ind w:leftChars="0" w:left="0" w:rightChars="0" w:right="0"/>
      </w:pPr>
      <w:r>
        <w:rPr>
          <w:rFonts w:hint="eastAsia"/>
        </w:rPr>
        <w:t xml:space="preserve">　　</w:t>
      </w:r>
      <w:r>
        <w:t>8、在預測個體是否會從事犯行之特質上，唯一可長可久之個體人格特質是自我控制。</w:t>
      </w:r>
    </w:p>
    <w:p w:rsidR="00B277E1" w:rsidRDefault="00B277E1" w:rsidP="00E56787">
      <w:pPr>
        <w:spacing w:line="240" w:lineRule="auto"/>
        <w:ind w:leftChars="0" w:left="0" w:rightChars="0" w:right="0"/>
      </w:pPr>
      <w:r>
        <w:rPr>
          <w:rFonts w:hint="eastAsia"/>
        </w:rPr>
        <w:t xml:space="preserve">　　</w:t>
      </w:r>
      <w:r>
        <w:t>9、不論個體之其他人格特質，沒有發展很強之自我控制者，是很容易去從事犯行的。</w:t>
      </w:r>
    </w:p>
    <w:p w:rsidR="0049577B" w:rsidRPr="00B40DC1" w:rsidRDefault="00B277E1" w:rsidP="00E56787">
      <w:pPr>
        <w:spacing w:line="240" w:lineRule="auto"/>
        <w:ind w:leftChars="0" w:left="0" w:rightChars="0" w:right="0"/>
      </w:pPr>
      <w:r>
        <w:rPr>
          <w:rFonts w:hint="eastAsia"/>
        </w:rPr>
        <w:t xml:space="preserve">　　</w:t>
      </w:r>
      <w:r>
        <w:t>10、低自我控制之人，隨著年齡之增加，其愈來愈不會去從事犯行，這不完全可歸因於自我控制之增強，而是隨著年齡之增長所導致的。</w:t>
      </w:r>
    </w:p>
    <w:p w:rsidR="0049577B" w:rsidRPr="00B40DC1" w:rsidRDefault="00664AD3" w:rsidP="00E56787">
      <w:pPr>
        <w:spacing w:line="240" w:lineRule="auto"/>
        <w:ind w:leftChars="0" w:left="0" w:rightChars="0" w:right="0"/>
      </w:pPr>
      <w:r>
        <w:t xml:space="preserve">　　</w:t>
      </w:r>
      <w:r w:rsidR="0049577B" w:rsidRPr="00B40DC1">
        <w:t>涉及犯罪特性(criminality</w:t>
      </w:r>
      <w:r w:rsidR="00587200">
        <w:t>)</w:t>
      </w:r>
      <w:r w:rsidR="0049577B" w:rsidRPr="00B40DC1">
        <w:t>v.s</w:t>
      </w:r>
      <w:r w:rsidR="003C1792">
        <w:t>.</w:t>
      </w:r>
      <w:r w:rsidR="0049577B" w:rsidRPr="00B40DC1">
        <w:t>犯罪行為</w:t>
      </w:r>
      <w:r w:rsidR="003C1792">
        <w:t>(</w:t>
      </w:r>
      <w:r w:rsidR="0049577B" w:rsidRPr="00B40DC1">
        <w:t>crime</w:t>
      </w:r>
      <w:r w:rsidR="00587200">
        <w:t>)</w:t>
      </w:r>
      <w:r w:rsidR="0049577B" w:rsidRPr="00B40DC1">
        <w:t>部分，如下所述</w:t>
      </w:r>
      <w:r w:rsidR="0049577B" w:rsidRPr="00B277E1">
        <w:rPr>
          <w:rStyle w:val="af7"/>
          <w:rFonts w:eastAsia="新細明體"/>
          <w:sz w:val="20"/>
        </w:rPr>
        <w:footnoteReference w:id="372"/>
      </w:r>
      <w:r w:rsidR="0049577B" w:rsidRPr="00B40DC1">
        <w:t>：</w:t>
      </w:r>
    </w:p>
    <w:p w:rsidR="00B277E1" w:rsidRDefault="00B277E1" w:rsidP="00E56787">
      <w:pPr>
        <w:spacing w:line="240" w:lineRule="auto"/>
        <w:ind w:leftChars="0" w:left="0" w:rightChars="0" w:right="0"/>
      </w:pPr>
      <w:r>
        <w:rPr>
          <w:rFonts w:hint="eastAsia"/>
        </w:rPr>
        <w:t xml:space="preserve">　　</w:t>
      </w:r>
      <w:r>
        <w:t>1.因為犯罪是結合了立即的利益與長遠之成本代價，Hirschi與Gottfredson兩位作者不主張犯罪人會去追逐長遠之目標。</w:t>
      </w:r>
    </w:p>
    <w:p w:rsidR="00B277E1" w:rsidRDefault="00B277E1" w:rsidP="00E56787">
      <w:pPr>
        <w:spacing w:line="240" w:lineRule="auto"/>
        <w:ind w:leftChars="0" w:left="0" w:rightChars="0" w:right="0"/>
      </w:pPr>
      <w:r>
        <w:rPr>
          <w:rFonts w:hint="eastAsia"/>
        </w:rPr>
        <w:t xml:space="preserve">　　</w:t>
      </w:r>
      <w:r>
        <w:t>2.因為犯罪傾向於以快速與輕易方式去完成，Hirschi與Gottfredson兩位作者不主張犯罪人有深層之憤恨（厭惡），或是有長期之社會目標。</w:t>
      </w:r>
    </w:p>
    <w:p w:rsidR="00B277E1" w:rsidRDefault="00B277E1" w:rsidP="00E56787">
      <w:pPr>
        <w:spacing w:line="240" w:lineRule="auto"/>
        <w:ind w:leftChars="0" w:left="0" w:rightChars="0" w:right="0"/>
      </w:pPr>
      <w:r>
        <w:rPr>
          <w:rFonts w:hint="eastAsia"/>
        </w:rPr>
        <w:t xml:space="preserve">　　</w:t>
      </w:r>
      <w:r>
        <w:t>3.因為犯罪傾向於被害人與加害人之間有相似之特性，Hirschi與Gottfredson兩位作者不主張加害人會因階級或種族因素，而去痛毆階級或種族層面之敵人。</w:t>
      </w:r>
    </w:p>
    <w:p w:rsidR="00B277E1" w:rsidRDefault="00B277E1" w:rsidP="00E56787">
      <w:pPr>
        <w:spacing w:line="240" w:lineRule="auto"/>
        <w:ind w:leftChars="0" w:left="0" w:rightChars="0" w:right="0"/>
      </w:pPr>
      <w:r>
        <w:rPr>
          <w:rFonts w:hint="eastAsia"/>
        </w:rPr>
        <w:t xml:space="preserve">　　</w:t>
      </w:r>
      <w:r>
        <w:t>4.因為低自我控制之人不會喜愛作艱辛工作、遲延滿足或對某一種活動有堅持性，故Hirschi與Gottfredson兩位作者不主張犯罪是一種長期利益的、艱辛的、耗盡力氣的努力工作（打拼）。</w:t>
      </w:r>
    </w:p>
    <w:p w:rsidR="00B277E1" w:rsidRDefault="00B277E1" w:rsidP="00E56787">
      <w:pPr>
        <w:spacing w:line="240" w:lineRule="auto"/>
        <w:ind w:leftChars="0" w:left="0" w:rightChars="0" w:right="0"/>
      </w:pPr>
      <w:r>
        <w:rPr>
          <w:rFonts w:hint="eastAsia"/>
        </w:rPr>
        <w:t xml:space="preserve">　　</w:t>
      </w:r>
      <w:r>
        <w:t>5.因為低自我控制者會導致於在其行為表現上的不可預測性與不可信賴性，故Hirschi與Gottfredson兩位作者謹慎地避免犯罪是有組織性（organized）活動之概念。</w:t>
      </w:r>
    </w:p>
    <w:p w:rsidR="00B277E1" w:rsidRDefault="00B277E1" w:rsidP="00E56787">
      <w:pPr>
        <w:spacing w:line="240" w:lineRule="auto"/>
        <w:ind w:leftChars="0" w:left="0" w:rightChars="0" w:right="0"/>
      </w:pPr>
      <w:r>
        <w:rPr>
          <w:rFonts w:hint="eastAsia"/>
        </w:rPr>
        <w:t xml:space="preserve">　　</w:t>
      </w:r>
      <w:r>
        <w:t>6.因為低自我控制者在非犯罪行為之活動數量上，與犯罪行為一樣地多，故兩位作者避免偏差行為具有排他性（即低自我控制者除了犯罪行為之外，尚會從事與犯罪行為相類似之行為）。</w:t>
      </w:r>
    </w:p>
    <w:p w:rsidR="00B277E1" w:rsidRDefault="00B277E1" w:rsidP="00E56787">
      <w:pPr>
        <w:spacing w:line="240" w:lineRule="auto"/>
        <w:ind w:leftChars="0" w:left="0" w:rightChars="0" w:right="0"/>
      </w:pPr>
      <w:r>
        <w:rPr>
          <w:rFonts w:hint="eastAsia"/>
        </w:rPr>
        <w:t xml:space="preserve">　　</w:t>
      </w:r>
      <w:r>
        <w:t>7.我們（Hirschi與Gottfredson兩位作者）的自我控制理論可適用人之終生活動。</w:t>
      </w:r>
    </w:p>
    <w:p w:rsidR="00B277E1" w:rsidRDefault="00B277E1" w:rsidP="00E56787">
      <w:pPr>
        <w:spacing w:line="240" w:lineRule="auto"/>
        <w:ind w:leftChars="0" w:left="0" w:rightChars="0" w:right="0"/>
      </w:pPr>
      <w:r>
        <w:rPr>
          <w:rFonts w:hint="eastAsia"/>
        </w:rPr>
        <w:t xml:space="preserve">　　</w:t>
      </w:r>
      <w:r>
        <w:t>8.在人一生之早期，即在嬰兒與青少年時期，自我控制理論是社會化與社會控制的一種理論，其說明各種不同之偏差行為----逃學、在學校表現失敗之原因。該理論並使得人們在未來之歲月中，較不會去犯罪。</w:t>
      </w:r>
    </w:p>
    <w:p w:rsidR="00B277E1" w:rsidRDefault="00B277E1" w:rsidP="00E56787">
      <w:pPr>
        <w:spacing w:line="240" w:lineRule="auto"/>
        <w:ind w:leftChars="0" w:left="0" w:rightChars="0" w:right="0"/>
      </w:pPr>
      <w:r>
        <w:rPr>
          <w:rFonts w:hint="eastAsia"/>
        </w:rPr>
        <w:t xml:space="preserve">　　</w:t>
      </w:r>
      <w:r>
        <w:t>9.在青少年及成年之早年時期，社會化機構減少，自我控制理論集中於社會控制，說明了更多之偏差行為與犯行：曠課、退學、使用毒品、竊盜、傷害、意外事件、懷孕等。</w:t>
      </w:r>
    </w:p>
    <w:p w:rsidR="00B277E1" w:rsidRDefault="00B277E1" w:rsidP="00E56787">
      <w:pPr>
        <w:spacing w:line="240" w:lineRule="auto"/>
        <w:ind w:leftChars="0" w:left="0" w:rightChars="0" w:right="0"/>
      </w:pPr>
      <w:r>
        <w:rPr>
          <w:rFonts w:hint="eastAsia"/>
        </w:rPr>
        <w:t xml:space="preserve">　　</w:t>
      </w:r>
      <w:r>
        <w:t>10.到了成年時期，自然（生物上的、身體上的）控制逐漸扮演重要角色，偏差行為有下降、減少之傾向。由於偏差行為之減少，個體所觸犯犯行之多樣性（diversity）傾向於減少。</w:t>
      </w:r>
    </w:p>
    <w:p w:rsidR="0049577B" w:rsidRPr="00B40DC1" w:rsidRDefault="00B277E1" w:rsidP="00E56787">
      <w:pPr>
        <w:spacing w:line="240" w:lineRule="auto"/>
        <w:ind w:leftChars="0" w:left="0" w:rightChars="0" w:right="0"/>
      </w:pPr>
      <w:r>
        <w:rPr>
          <w:rFonts w:hint="eastAsia"/>
        </w:rPr>
        <w:t xml:space="preserve">　　</w:t>
      </w:r>
      <w:r>
        <w:t>11.早期所建立之自我控制差異性，可持續地解釋終其一生之犯行及其他低自我控制之許多行為。</w:t>
      </w:r>
    </w:p>
    <w:p w:rsidR="0049577B" w:rsidRPr="00B40DC1" w:rsidRDefault="00B277E1" w:rsidP="00E56787">
      <w:pPr>
        <w:spacing w:line="240" w:lineRule="auto"/>
        <w:ind w:leftChars="0" w:left="0" w:rightChars="0" w:right="0"/>
      </w:pPr>
      <w:r>
        <w:t xml:space="preserve">　　</w:t>
      </w:r>
      <w:r w:rsidR="0049577B" w:rsidRPr="00B40DC1">
        <w:t>有關於自我控制理論之適用範圍部分，如下所述</w:t>
      </w:r>
      <w:r w:rsidR="0049577B" w:rsidRPr="00664AD3">
        <w:rPr>
          <w:rStyle w:val="af7"/>
          <w:rFonts w:eastAsia="新細明體"/>
          <w:sz w:val="20"/>
        </w:rPr>
        <w:footnoteReference w:id="373"/>
      </w:r>
      <w:r w:rsidR="0049577B" w:rsidRPr="00B40DC1">
        <w:t>：</w:t>
      </w:r>
    </w:p>
    <w:p w:rsidR="00664AD3" w:rsidRDefault="00664AD3" w:rsidP="00E56787">
      <w:pPr>
        <w:spacing w:line="240" w:lineRule="auto"/>
        <w:ind w:leftChars="0" w:left="0" w:rightChars="0" w:right="0"/>
      </w:pPr>
      <w:r>
        <w:rPr>
          <w:rFonts w:hint="eastAsia"/>
        </w:rPr>
        <w:t xml:space="preserve">　　</w:t>
      </w:r>
      <w:r>
        <w:t>1.Wilson 及 Herrnstein主張：研究犯罪行為，應該限於重大刑案。因為這些掠奪性之街道犯罪，是被每個社會均視為犯行（即是自然惡、本體惡，非法定惡）。</w:t>
      </w:r>
    </w:p>
    <w:p w:rsidR="00664AD3" w:rsidRDefault="00664AD3" w:rsidP="00E56787">
      <w:pPr>
        <w:spacing w:line="240" w:lineRule="auto"/>
        <w:ind w:leftChars="0" w:left="0" w:rightChars="0" w:right="0"/>
      </w:pPr>
      <w:r>
        <w:rPr>
          <w:rFonts w:hint="eastAsia"/>
        </w:rPr>
        <w:t xml:space="preserve">　　</w:t>
      </w:r>
      <w:r>
        <w:t>2.然而，Hirschi與Gottfredson兩位作者卻質疑：有必要將犯罪局限於重大犯行嗎？區分重大性街頭刑案與其他犯罪行為之標準何在？</w:t>
      </w:r>
    </w:p>
    <w:p w:rsidR="00664AD3" w:rsidRDefault="00664AD3" w:rsidP="00E56787">
      <w:pPr>
        <w:spacing w:line="240" w:lineRule="auto"/>
        <w:ind w:leftChars="0" w:left="0" w:rightChars="0" w:right="0"/>
      </w:pPr>
      <w:r>
        <w:rPr>
          <w:rFonts w:hint="eastAsia"/>
        </w:rPr>
        <w:t xml:space="preserve">　　</w:t>
      </w:r>
      <w:r>
        <w:t>3.Wilson 及 Herrnstein質疑：會有能夠超越各種文化或解釋所有犯行之一般化（共通化）犯罪理論的存在嗎？有可能存在嗎？</w:t>
      </w:r>
    </w:p>
    <w:p w:rsidR="00664AD3" w:rsidRDefault="00664AD3" w:rsidP="00E56787">
      <w:pPr>
        <w:spacing w:line="240" w:lineRule="auto"/>
        <w:ind w:leftChars="0" w:left="0" w:rightChars="0" w:right="0"/>
      </w:pPr>
      <w:r>
        <w:rPr>
          <w:rFonts w:hint="eastAsia"/>
        </w:rPr>
        <w:t xml:space="preserve">　　</w:t>
      </w:r>
      <w:r>
        <w:t>4.Hirschi與Gottfredson兩位作者破斥Wilson 及 Herrnstein之論調，因為他們在先驗之結論中，就已經劃地自限了，認為犯罪理論應該窄化可解釋之範圍。而在設定犯罪理論可解釋之範圍時，Wilson 及 Herrnstein也沒有加以精確地解釋該範圍是依何種標準劃定的？為何如此劃定？</w:t>
      </w:r>
    </w:p>
    <w:p w:rsidR="00664AD3" w:rsidRDefault="00664AD3" w:rsidP="00E56787">
      <w:pPr>
        <w:spacing w:line="240" w:lineRule="auto"/>
        <w:ind w:leftChars="0" w:left="0" w:rightChars="0" w:right="0"/>
      </w:pPr>
      <w:r>
        <w:rPr>
          <w:rFonts w:hint="eastAsia"/>
        </w:rPr>
        <w:t xml:space="preserve">　　</w:t>
      </w:r>
      <w:r>
        <w:t>5.Hirschi與Gottfredson兩位作者認為犯罪理論所能解釋之範圍是需要加以驗證的（justification）。</w:t>
      </w:r>
    </w:p>
    <w:p w:rsidR="00664AD3" w:rsidRDefault="00664AD3" w:rsidP="00E56787">
      <w:pPr>
        <w:spacing w:line="240" w:lineRule="auto"/>
        <w:ind w:leftChars="0" w:left="0" w:rightChars="0" w:right="0"/>
      </w:pPr>
      <w:r>
        <w:rPr>
          <w:rFonts w:hint="eastAsia"/>
        </w:rPr>
        <w:t xml:space="preserve">　　</w:t>
      </w:r>
      <w:r>
        <w:t>6.Hirschi與Gottfredson兩位作者批評Wilson 及 Herrnstein對理論所能解釋之範圍缺乏驗證，故其將犯行之研究，局限於重大刑案之主張，是沒有學術理論為標準的。</w:t>
      </w:r>
    </w:p>
    <w:p w:rsidR="00664AD3" w:rsidRDefault="00664AD3" w:rsidP="00E56787">
      <w:pPr>
        <w:spacing w:line="240" w:lineRule="auto"/>
        <w:ind w:leftChars="0" w:left="0" w:rightChars="0" w:right="0"/>
      </w:pPr>
      <w:r>
        <w:rPr>
          <w:rFonts w:hint="eastAsia"/>
        </w:rPr>
        <w:t xml:space="preserve">　　</w:t>
      </w:r>
      <w:r>
        <w:t>7.Hirschi與Gottfredson兩位作者認為：將犯行之研究範圍局限於重大刑案，並未有理論上之根據。因為，重大或嚴重之標準，很難去評估。</w:t>
      </w:r>
    </w:p>
    <w:p w:rsidR="00664AD3" w:rsidRDefault="00664AD3" w:rsidP="00E56787">
      <w:pPr>
        <w:spacing w:line="240" w:lineRule="auto"/>
        <w:ind w:leftChars="0" w:left="0" w:rightChars="0" w:right="0"/>
      </w:pPr>
      <w:r>
        <w:rPr>
          <w:rFonts w:hint="eastAsia"/>
        </w:rPr>
        <w:t xml:space="preserve">　　</w:t>
      </w:r>
      <w:r>
        <w:t>8.就個案上而論，重大刑案可能會傾向於造成更大之損失，但是，整體而論，重大刑案所造成之損失，遠不如一般性（普通刑案）所造成之損失。</w:t>
      </w:r>
    </w:p>
    <w:p w:rsidR="00664AD3" w:rsidRDefault="00664AD3" w:rsidP="00E56787">
      <w:pPr>
        <w:spacing w:line="240" w:lineRule="auto"/>
        <w:ind w:leftChars="0" w:left="0" w:rightChars="0" w:right="0"/>
      </w:pPr>
      <w:r>
        <w:rPr>
          <w:rFonts w:hint="eastAsia"/>
        </w:rPr>
        <w:t xml:space="preserve">　　</w:t>
      </w:r>
      <w:r>
        <w:t>9.例如，海洛英所造成之傷害，可能較香煙或酒精更輕微。</w:t>
      </w:r>
    </w:p>
    <w:p w:rsidR="00664AD3" w:rsidRDefault="00664AD3" w:rsidP="00E56787">
      <w:pPr>
        <w:spacing w:line="240" w:lineRule="auto"/>
        <w:ind w:leftChars="0" w:left="0" w:rightChars="0" w:right="0"/>
      </w:pPr>
      <w:r>
        <w:rPr>
          <w:rFonts w:hint="eastAsia"/>
        </w:rPr>
        <w:t xml:space="preserve">　　</w:t>
      </w:r>
      <w:r>
        <w:t>10.降低對香煙之吸食，對解決嚴重問題所作之貢獻，遠大於降低對毒品之濫用。</w:t>
      </w:r>
    </w:p>
    <w:p w:rsidR="00664AD3" w:rsidRDefault="00664AD3" w:rsidP="00E56787">
      <w:pPr>
        <w:spacing w:line="240" w:lineRule="auto"/>
        <w:ind w:leftChars="0" w:left="0" w:rightChars="0" w:right="0"/>
      </w:pPr>
      <w:r>
        <w:rPr>
          <w:rFonts w:hint="eastAsia"/>
        </w:rPr>
        <w:t xml:space="preserve">　　</w:t>
      </w:r>
      <w:r>
        <w:t>11.Wilson 及 Herrnstein質疑：有可用以解釋所有犯行之共通化（general）犯罪理論存在之可能性。Hirschi與Gottfredson兩位作者，對於上述之質疑，不表認同。</w:t>
      </w:r>
    </w:p>
    <w:p w:rsidR="00664AD3" w:rsidRDefault="00664AD3" w:rsidP="00E56787">
      <w:pPr>
        <w:spacing w:line="240" w:lineRule="auto"/>
        <w:ind w:leftChars="0" w:left="0" w:rightChars="0" w:right="0"/>
      </w:pPr>
      <w:r>
        <w:rPr>
          <w:rFonts w:hint="eastAsia"/>
        </w:rPr>
        <w:t xml:space="preserve">　　</w:t>
      </w:r>
      <w:r>
        <w:t>12.Hirschi與Gottfredson兩位作者認為犯罪理論所能解釋之範圍，不應嚴重地被加以設限，除非這些設限能夠提出證據，證明這個犯罪理論在被設限之窄小領域之外，無法解釋犯罪行為（will not work）。</w:t>
      </w:r>
    </w:p>
    <w:p w:rsidR="0049577B" w:rsidRPr="00B40DC1" w:rsidRDefault="00664AD3" w:rsidP="00E56787">
      <w:pPr>
        <w:spacing w:line="240" w:lineRule="auto"/>
        <w:ind w:leftChars="0" w:left="0" w:rightChars="0" w:right="0"/>
      </w:pPr>
      <w:r>
        <w:rPr>
          <w:rFonts w:hint="eastAsia"/>
        </w:rPr>
        <w:t xml:space="preserve">　　</w:t>
      </w:r>
      <w:r>
        <w:t>13.Hirschi與Gottfredson意圖用其所主張之自我控制理論解釋全部的犯行及其他更多之行為（andmore），即要解釋所有之犯行、所有之時間；並且，在被自我控制理論所解釋之很多行為型態中，是並未由國家加以制裁的。</w:t>
      </w:r>
    </w:p>
    <w:p w:rsidR="00664AD3" w:rsidRDefault="00664AD3" w:rsidP="00E56787">
      <w:pPr>
        <w:spacing w:line="240" w:lineRule="auto"/>
        <w:ind w:leftChars="0" w:left="0" w:rightChars="0" w:right="0"/>
      </w:pPr>
      <w:r>
        <w:t xml:space="preserve">　　</w:t>
      </w:r>
      <w:r w:rsidR="0049577B" w:rsidRPr="00B40DC1">
        <w:t>涉及人類本性與社會部分，如下所述</w:t>
      </w:r>
      <w:r w:rsidR="0049577B" w:rsidRPr="00664AD3">
        <w:rPr>
          <w:rStyle w:val="af7"/>
          <w:rFonts w:eastAsia="新細明體"/>
          <w:sz w:val="20"/>
        </w:rPr>
        <w:footnoteReference w:id="374"/>
      </w:r>
      <w:r w:rsidR="0049577B" w:rsidRPr="00B40DC1">
        <w:t>：</w:t>
      </w:r>
    </w:p>
    <w:p w:rsidR="00664AD3" w:rsidRDefault="00664AD3" w:rsidP="00E56787">
      <w:pPr>
        <w:spacing w:line="240" w:lineRule="auto"/>
        <w:ind w:leftChars="0" w:left="0" w:rightChars="0" w:right="0"/>
      </w:pPr>
      <w:r>
        <w:rPr>
          <w:rFonts w:hint="eastAsia"/>
        </w:rPr>
        <w:t xml:space="preserve">　　</w:t>
      </w:r>
      <w:r>
        <w:t>1.Hirschi與Gottfredson認為人類是本能地追逐利益，除非是透過社會化。並且，人類為了達到利益之追逐，是不擇任何的手段。</w:t>
      </w:r>
    </w:p>
    <w:p w:rsidR="00664AD3" w:rsidRDefault="00664AD3" w:rsidP="00E56787">
      <w:pPr>
        <w:spacing w:line="240" w:lineRule="auto"/>
        <w:ind w:leftChars="0" w:left="0" w:rightChars="0" w:right="0"/>
      </w:pPr>
      <w:r>
        <w:rPr>
          <w:rFonts w:hint="eastAsia"/>
        </w:rPr>
        <w:t xml:space="preserve">　　</w:t>
      </w:r>
      <w:r>
        <w:t>2.在追逐利益這種觀點之下，Hirschi與Gottfredson認為人性不是善，也不是惡。</w:t>
      </w:r>
    </w:p>
    <w:p w:rsidR="00664AD3" w:rsidRDefault="00664AD3" w:rsidP="00E56787">
      <w:pPr>
        <w:spacing w:line="240" w:lineRule="auto"/>
        <w:ind w:leftChars="0" w:left="0" w:rightChars="0" w:right="0"/>
      </w:pPr>
      <w:r>
        <w:rPr>
          <w:rFonts w:hint="eastAsia"/>
        </w:rPr>
        <w:t xml:space="preserve">　　</w:t>
      </w:r>
      <w:r>
        <w:t>3.人們被期望其行為之外在表現，是可被預測的、可被期待的。</w:t>
      </w:r>
    </w:p>
    <w:p w:rsidR="00664AD3" w:rsidRDefault="00664AD3" w:rsidP="00E56787">
      <w:pPr>
        <w:spacing w:line="240" w:lineRule="auto"/>
        <w:ind w:leftChars="0" w:left="0" w:rightChars="0" w:right="0"/>
      </w:pPr>
      <w:r>
        <w:rPr>
          <w:rFonts w:hint="eastAsia"/>
        </w:rPr>
        <w:t xml:space="preserve">　　</w:t>
      </w:r>
      <w:r>
        <w:t>4.相反地，社會學家則認為人類本性傾向於追逐團體利益，並會特續地從事如此之行為，即人性是善的或社會化的。Hirschi與Gottfredson認為社會學家預測犯罪原因，與其假設卻是相反的。</w:t>
      </w:r>
    </w:p>
    <w:p w:rsidR="00664AD3" w:rsidRDefault="00664AD3" w:rsidP="00E56787">
      <w:pPr>
        <w:spacing w:line="240" w:lineRule="auto"/>
        <w:ind w:leftChars="0" w:left="0" w:rightChars="0" w:right="0"/>
      </w:pPr>
      <w:r>
        <w:rPr>
          <w:rFonts w:hint="eastAsia"/>
        </w:rPr>
        <w:t xml:space="preserve">　　</w:t>
      </w:r>
      <w:r>
        <w:t>5.另有些犯罪學家提倡整合理論，然而，對各種不同之觀點加以整合，通常僅是採用某一個假設，卻犧牲了其他之假設，或是拒絕提出假設。例如，大部份之社會學家在犯罪行為之假設，僅是採用了「社會行為」之假設，拒絕了「個體利益」之假設。</w:t>
      </w:r>
    </w:p>
    <w:p w:rsidR="00664AD3" w:rsidRDefault="00664AD3" w:rsidP="00E56787">
      <w:pPr>
        <w:spacing w:line="240" w:lineRule="auto"/>
        <w:ind w:leftChars="0" w:left="0" w:rightChars="0" w:right="0"/>
      </w:pPr>
      <w:r>
        <w:rPr>
          <w:rFonts w:hint="eastAsia"/>
        </w:rPr>
        <w:t xml:space="preserve">　　</w:t>
      </w:r>
      <w:r>
        <w:t>6.一些心理學家認為可採用無須假設（assumption-free）之心理學習理論，該理論主張其他之犯罪學理論，諸如緊張理論、文化差異理論、社會控制理論、理性選擇理論等，均可被心理學習理論所包含。Hirschi與Gottfredson批評此種論調，是廢棄了犯罪學家對犯罪行為理論化之責任。</w:t>
      </w:r>
    </w:p>
    <w:p w:rsidR="00664AD3" w:rsidRDefault="00664AD3" w:rsidP="00E56787">
      <w:pPr>
        <w:spacing w:line="240" w:lineRule="auto"/>
        <w:ind w:leftChars="0" w:left="0" w:rightChars="0" w:right="0"/>
      </w:pPr>
      <w:r>
        <w:rPr>
          <w:rFonts w:hint="eastAsia"/>
        </w:rPr>
        <w:t xml:space="preserve">　　</w:t>
      </w:r>
      <w:r>
        <w:t>7.Hirschi與Gottfredson主張緊張理論與文化差異理論兩者是不具相容性的。</w:t>
      </w:r>
    </w:p>
    <w:p w:rsidR="0049577B" w:rsidRPr="00B40DC1" w:rsidRDefault="00664AD3" w:rsidP="00E56787">
      <w:pPr>
        <w:spacing w:line="240" w:lineRule="auto"/>
        <w:ind w:leftChars="0" w:left="0" w:rightChars="0" w:right="0"/>
      </w:pPr>
      <w:r>
        <w:rPr>
          <w:rFonts w:hint="eastAsia"/>
        </w:rPr>
        <w:t xml:space="preserve">　　</w:t>
      </w:r>
      <w:r>
        <w:t>8.Hirschi與Gottfredson批評心理學習理論所主張之內容是空洞的、不足為道的（assert nothing）。因為，心理學習理論所能包含之緊張理論、文化差異理論、社會控制理論等，其前提假設是互相衝突予盾的。</w:t>
      </w:r>
    </w:p>
    <w:p w:rsidR="0049577B" w:rsidRDefault="00664AD3" w:rsidP="00E56787">
      <w:pPr>
        <w:spacing w:line="240" w:lineRule="auto"/>
        <w:ind w:leftChars="0" w:left="0" w:rightChars="0" w:right="0"/>
      </w:pPr>
      <w:r>
        <w:t xml:space="preserve">　　</w:t>
      </w:r>
      <w:r w:rsidR="0049577B" w:rsidRPr="00B40DC1">
        <w:t>有關於犯罪行為與犯罪性之實證考驗部分，如下所述</w:t>
      </w:r>
      <w:r w:rsidR="0049577B" w:rsidRPr="00664AD3">
        <w:rPr>
          <w:rStyle w:val="af7"/>
          <w:rFonts w:eastAsia="新細明體"/>
          <w:sz w:val="20"/>
        </w:rPr>
        <w:footnoteReference w:id="375"/>
      </w:r>
      <w:r w:rsidR="0049577B" w:rsidRPr="00B40DC1">
        <w:t>：</w:t>
      </w:r>
    </w:p>
    <w:p w:rsidR="00664AD3" w:rsidRDefault="00664AD3" w:rsidP="00E56787">
      <w:pPr>
        <w:spacing w:line="240" w:lineRule="auto"/>
        <w:ind w:leftChars="0" w:left="0" w:rightChars="0" w:right="0"/>
      </w:pPr>
      <w:r>
        <w:rPr>
          <w:rFonts w:hint="eastAsia"/>
        </w:rPr>
        <w:t xml:space="preserve">　　</w:t>
      </w:r>
      <w:r>
        <w:t>1.Hirschi與Gottfredson所倡之穩定性是主張高自我控制者，在所有之情境下，終其一生是較不會去犯罪的。</w:t>
      </w:r>
    </w:p>
    <w:p w:rsidR="00664AD3" w:rsidRDefault="00664AD3" w:rsidP="00E56787">
      <w:pPr>
        <w:spacing w:line="240" w:lineRule="auto"/>
        <w:ind w:leftChars="0" w:left="0" w:rightChars="0" w:right="0"/>
      </w:pPr>
      <w:r>
        <w:rPr>
          <w:rFonts w:hint="eastAsia"/>
        </w:rPr>
        <w:t xml:space="preserve">　　</w:t>
      </w:r>
      <w:r>
        <w:t>2.Hirschi與Gottfredson所倡之穩定性之概念是否定（deny）社會機構對個體而言，有能力去恢復（undo）個體先前之歲月，其所應有社會化；這種社會機構對個體有恢復（undo）社會化能力之主張，是其他理論之核心。</w:t>
      </w:r>
    </w:p>
    <w:p w:rsidR="00664AD3" w:rsidRDefault="00664AD3" w:rsidP="00E56787">
      <w:pPr>
        <w:spacing w:line="240" w:lineRule="auto"/>
        <w:ind w:leftChars="0" w:left="0" w:rightChars="0" w:right="0"/>
      </w:pPr>
      <w:r>
        <w:rPr>
          <w:rFonts w:hint="eastAsia"/>
        </w:rPr>
        <w:t xml:space="preserve">　　</w:t>
      </w:r>
      <w:r>
        <w:t>3.Hirschi與Gottfredson所倡之多變性（可轉變性），主張要鑑別低自我控制者之方法，是透過觀察其所從事之非犯罪行為。其他理論則主張：在各種不同型態之偏差行為中，是沒有關聯性存在，甚至有負關連性之存在。</w:t>
      </w:r>
    </w:p>
    <w:p w:rsidR="00664AD3" w:rsidRDefault="00664AD3" w:rsidP="00E56787">
      <w:pPr>
        <w:spacing w:line="240" w:lineRule="auto"/>
        <w:ind w:leftChars="0" w:left="0" w:rightChars="0" w:right="0"/>
      </w:pPr>
      <w:r>
        <w:rPr>
          <w:rFonts w:hint="eastAsia"/>
        </w:rPr>
        <w:t xml:space="preserve">　　</w:t>
      </w:r>
      <w:r>
        <w:t>4.上述之多變性（可轉變性）概念，同樣地，認為對犯罪之研究，亦可透過對低自我控制之非犯罪行為表徵（noncriminal manifestation），來加以研究。</w:t>
      </w:r>
    </w:p>
    <w:p w:rsidR="00664AD3" w:rsidRDefault="00664AD3" w:rsidP="00E56787">
      <w:pPr>
        <w:spacing w:line="240" w:lineRule="auto"/>
        <w:ind w:leftChars="0" w:left="0" w:rightChars="0" w:right="0"/>
      </w:pPr>
      <w:r>
        <w:rPr>
          <w:rFonts w:hint="eastAsia"/>
        </w:rPr>
        <w:t xml:space="preserve">　　</w:t>
      </w:r>
      <w:r>
        <w:t>5.複雜性及困難性之犯罪是罕見的，大部份之犯罪是簡單的。</w:t>
      </w:r>
    </w:p>
    <w:p w:rsidR="00664AD3" w:rsidRDefault="00664AD3" w:rsidP="00E56787">
      <w:pPr>
        <w:spacing w:line="240" w:lineRule="auto"/>
        <w:ind w:leftChars="0" w:left="0" w:rightChars="0" w:right="0"/>
      </w:pPr>
      <w:r>
        <w:rPr>
          <w:rFonts w:hint="eastAsia"/>
        </w:rPr>
        <w:t xml:space="preserve">　　</w:t>
      </w:r>
      <w:r>
        <w:t>6.Hirschi與Gottfredson認為可從透過人生早期任何階段之證據，來預測犯罪。然而，沒有任何之社會學或經濟學家理論承認前開之預測。</w:t>
      </w:r>
    </w:p>
    <w:p w:rsidR="00664AD3" w:rsidRDefault="00664AD3" w:rsidP="00E56787">
      <w:pPr>
        <w:spacing w:line="240" w:lineRule="auto"/>
        <w:ind w:leftChars="0" w:left="0" w:rightChars="0" w:right="0"/>
      </w:pPr>
      <w:r>
        <w:rPr>
          <w:rFonts w:hint="eastAsia"/>
        </w:rPr>
        <w:t xml:space="preserve">　　</w:t>
      </w:r>
      <w:r>
        <w:t>7.Hirschi與Gottfredson認為從人生早期任何階段之犯行中，是可以預測低自我控制的。</w:t>
      </w:r>
    </w:p>
    <w:p w:rsidR="0049577B" w:rsidRPr="00B40DC1" w:rsidRDefault="00664AD3" w:rsidP="00E56787">
      <w:pPr>
        <w:spacing w:line="240" w:lineRule="auto"/>
        <w:ind w:leftChars="0" w:left="0" w:rightChars="0" w:right="0"/>
      </w:pPr>
      <w:r>
        <w:rPr>
          <w:rFonts w:hint="eastAsia"/>
        </w:rPr>
        <w:t xml:space="preserve">　　</w:t>
      </w:r>
      <w:r>
        <w:t>8.很多犯罪之原因，事實上，是低自我控制之結果，即低自我控制之人們，在各種不同之環境下，造成了與犯罪有關連之結果。</w:t>
      </w:r>
    </w:p>
    <w:p w:rsidR="003C1792" w:rsidRDefault="00664AD3" w:rsidP="00E56787">
      <w:pPr>
        <w:spacing w:line="240" w:lineRule="auto"/>
        <w:ind w:leftChars="0" w:left="0" w:rightChars="0" w:right="0"/>
      </w:pPr>
      <w:r>
        <w:rPr>
          <w:rStyle w:val="st1"/>
        </w:rPr>
        <w:t xml:space="preserve">　　</w:t>
      </w:r>
      <w:r w:rsidR="0049577B" w:rsidRPr="00B40DC1">
        <w:rPr>
          <w:rStyle w:val="st1"/>
        </w:rPr>
        <w:t>Gottfredson, M</w:t>
      </w:r>
      <w:r w:rsidR="003C1792">
        <w:rPr>
          <w:rStyle w:val="st1"/>
        </w:rPr>
        <w:t>.</w:t>
      </w:r>
      <w:r w:rsidR="0049577B" w:rsidRPr="00B40DC1">
        <w:rPr>
          <w:rStyle w:val="st1"/>
        </w:rPr>
        <w:t>R., &amp; Hirschi, T.</w:t>
      </w:r>
      <w:r w:rsidR="003C1792">
        <w:rPr>
          <w:rStyle w:val="st1"/>
        </w:rPr>
        <w:t>(</w:t>
      </w:r>
      <w:r w:rsidR="0049577B" w:rsidRPr="00B40DC1">
        <w:rPr>
          <w:rStyle w:val="st1"/>
        </w:rPr>
        <w:t>1990)在其大作---一般化犯罪理論( A general theory of crime)中，非常重視自我控制之培養，他們不力倡死刑。</w:t>
      </w:r>
      <w:r w:rsidR="0049577B" w:rsidRPr="00B40DC1">
        <w:t>絕大多數的犯罪行為(重大指標犯罪)皆超過刑罰制裁(執行死刑)所能控制的範圍，此種論點，頗與本表---執行死刑與當年度重大指標犯罪(重大暴力犯罪)、下年度重大指標犯罪(重大暴力犯罪)、下下年度重大指標犯罪(重大暴力犯罪</w:t>
      </w:r>
      <w:r w:rsidR="00587200">
        <w:t>)</w:t>
      </w:r>
      <w:r w:rsidR="0049577B" w:rsidRPr="00B40DC1">
        <w:t xml:space="preserve">Pearson相關分析之統計數據結果一覽表之結論，不謀而合，亦即，執行死刑次數愈多(最嚴厲之刑罰制裁)，下下年度重大指標犯罪(重大暴力犯罪)之數量亦會愈多，下下年度重大指標犯罪(重大暴力犯罪)會愈來愈嚴重。 </w:t>
      </w:r>
    </w:p>
    <w:p w:rsidR="0049577B" w:rsidRPr="00B40DC1" w:rsidRDefault="00664AD3" w:rsidP="00E56787">
      <w:pPr>
        <w:spacing w:line="240" w:lineRule="auto"/>
        <w:ind w:leftChars="0" w:left="0" w:rightChars="0" w:right="0"/>
      </w:pPr>
      <w:r>
        <w:rPr>
          <w:rStyle w:val="st1"/>
        </w:rPr>
        <w:t xml:space="preserve">　　</w:t>
      </w:r>
      <w:r w:rsidR="0049577B" w:rsidRPr="00B40DC1">
        <w:rPr>
          <w:rStyle w:val="st1"/>
        </w:rPr>
        <w:t>Gottfredson, M</w:t>
      </w:r>
      <w:r w:rsidR="003C1792">
        <w:rPr>
          <w:rStyle w:val="st1"/>
        </w:rPr>
        <w:t>.</w:t>
      </w:r>
      <w:r w:rsidR="0049577B" w:rsidRPr="00B40DC1">
        <w:rPr>
          <w:rStyle w:val="st1"/>
        </w:rPr>
        <w:t>R., &amp; Hirschi, T.</w:t>
      </w:r>
      <w:r w:rsidR="003C1792">
        <w:rPr>
          <w:rStyle w:val="st1"/>
        </w:rPr>
        <w:t>(</w:t>
      </w:r>
      <w:r w:rsidR="0049577B" w:rsidRPr="00B40DC1">
        <w:rPr>
          <w:rStyle w:val="st1"/>
        </w:rPr>
        <w:t>1990)另外主張，</w:t>
      </w:r>
      <w:r w:rsidR="0049577B" w:rsidRPr="00B40DC1">
        <w:t>根本沒有必要去強調政治制裁的功效</w:t>
      </w:r>
      <w:r w:rsidR="0049577B" w:rsidRPr="00664AD3">
        <w:rPr>
          <w:rStyle w:val="af7"/>
          <w:rFonts w:eastAsia="新細明體"/>
          <w:sz w:val="20"/>
        </w:rPr>
        <w:footnoteReference w:id="376"/>
      </w:r>
      <w:r w:rsidR="0049577B" w:rsidRPr="00B40DC1">
        <w:t>，亦發人深省，作者認同</w:t>
      </w:r>
      <w:r w:rsidR="0049577B" w:rsidRPr="00B40DC1">
        <w:rPr>
          <w:rStyle w:val="st1"/>
        </w:rPr>
        <w:t>Gottfredson, M</w:t>
      </w:r>
      <w:r w:rsidR="003C1792">
        <w:rPr>
          <w:rStyle w:val="st1"/>
        </w:rPr>
        <w:t>.</w:t>
      </w:r>
      <w:r w:rsidR="0049577B" w:rsidRPr="00B40DC1">
        <w:rPr>
          <w:rStyle w:val="st1"/>
        </w:rPr>
        <w:t>R., &amp; Hirschi, T.</w:t>
      </w:r>
      <w:r w:rsidR="003C1792">
        <w:rPr>
          <w:rStyle w:val="st1"/>
        </w:rPr>
        <w:t>(</w:t>
      </w:r>
      <w:r w:rsidR="0049577B" w:rsidRPr="00B40DC1">
        <w:rPr>
          <w:rStyle w:val="st1"/>
        </w:rPr>
        <w:t>1990)之理論，</w:t>
      </w:r>
      <w:r w:rsidR="0049577B" w:rsidRPr="00B40DC1">
        <w:t>根本沒有必要去強調政治制裁----執行死刑的正向功效。主因在於，執行死刑，並「不會」有嚇阻重大犯罪之實質上功效。</w:t>
      </w:r>
    </w:p>
    <w:p w:rsidR="0049577B" w:rsidRDefault="00817A92" w:rsidP="00E56787">
      <w:pPr>
        <w:spacing w:line="240" w:lineRule="auto"/>
        <w:ind w:leftChars="0" w:left="0" w:rightChars="0" w:right="0"/>
        <w:rPr>
          <w:bCs/>
        </w:rPr>
      </w:pPr>
      <w:r>
        <w:t xml:space="preserve">　　</w:t>
      </w:r>
      <w:r w:rsidR="0049577B" w:rsidRPr="00B40DC1">
        <w:t>綜上之統計分析，執行死刑、無期徒刑均無法有效地嚇阻(</w:t>
      </w:r>
      <w:r w:rsidR="0049577B" w:rsidRPr="00B40DC1">
        <w:rPr>
          <w:bCs/>
        </w:rPr>
        <w:t>減少)下列各式之犯罪：</w:t>
      </w:r>
    </w:p>
    <w:p w:rsidR="00664AD3" w:rsidRDefault="00664AD3" w:rsidP="00E56787">
      <w:pPr>
        <w:spacing w:line="240" w:lineRule="auto"/>
        <w:ind w:leftChars="0" w:left="0" w:rightChars="0" w:right="0"/>
      </w:pPr>
      <w:r>
        <w:rPr>
          <w:rFonts w:hint="eastAsia"/>
        </w:rPr>
        <w:t xml:space="preserve">　　</w:t>
      </w:r>
      <w:r>
        <w:t>1.執行死刑、無期徒刑無法有效地嚇阻（減少）當年度刑案發生率之發生。</w:t>
      </w:r>
    </w:p>
    <w:p w:rsidR="00664AD3" w:rsidRDefault="00664AD3" w:rsidP="00E56787">
      <w:pPr>
        <w:spacing w:line="240" w:lineRule="auto"/>
        <w:ind w:leftChars="0" w:left="0" w:rightChars="0" w:right="0"/>
      </w:pPr>
      <w:r>
        <w:rPr>
          <w:rFonts w:hint="eastAsia"/>
        </w:rPr>
        <w:t xml:space="preserve">　　</w:t>
      </w:r>
      <w:r>
        <w:t>2.執行死刑、無期徒刑無法有效地嚇阻（減少）下年度刑案發生率。</w:t>
      </w:r>
    </w:p>
    <w:p w:rsidR="00664AD3" w:rsidRDefault="00664AD3" w:rsidP="00E56787">
      <w:pPr>
        <w:spacing w:line="240" w:lineRule="auto"/>
        <w:ind w:leftChars="0" w:left="0" w:rightChars="0" w:right="0"/>
      </w:pPr>
      <w:r>
        <w:rPr>
          <w:rFonts w:hint="eastAsia"/>
        </w:rPr>
        <w:t xml:space="preserve">　　</w:t>
      </w:r>
      <w:r>
        <w:t>3.執行死刑、無期徒刑無法有效地嚇阻（減少）當年度重傷害及故意殺人犯罪。</w:t>
      </w:r>
    </w:p>
    <w:p w:rsidR="00664AD3" w:rsidRDefault="00664AD3" w:rsidP="00E56787">
      <w:pPr>
        <w:spacing w:line="240" w:lineRule="auto"/>
        <w:ind w:leftChars="0" w:left="0" w:rightChars="0" w:right="0"/>
      </w:pPr>
      <w:r>
        <w:rPr>
          <w:rFonts w:hint="eastAsia"/>
        </w:rPr>
        <w:t xml:space="preserve">　　</w:t>
      </w:r>
      <w:r>
        <w:t>4.執行死刑、無期徒刑無法有效地嚇阻（減少）下年度重傷害及故意殺人犯罪。</w:t>
      </w:r>
    </w:p>
    <w:p w:rsidR="00664AD3" w:rsidRDefault="00664AD3" w:rsidP="00E56787">
      <w:pPr>
        <w:spacing w:line="240" w:lineRule="auto"/>
        <w:ind w:leftChars="0" w:left="0" w:rightChars="0" w:right="0"/>
      </w:pPr>
      <w:r>
        <w:rPr>
          <w:rFonts w:hint="eastAsia"/>
        </w:rPr>
        <w:t xml:space="preserve">　　</w:t>
      </w:r>
      <w:r>
        <w:t>5.執行死刑、無期徒刑無法有效地嚇阻（減少）下下年度重傷害及故意殺人犯罪。</w:t>
      </w:r>
    </w:p>
    <w:p w:rsidR="00664AD3" w:rsidRDefault="00664AD3" w:rsidP="00E56787">
      <w:pPr>
        <w:spacing w:line="240" w:lineRule="auto"/>
        <w:ind w:leftChars="0" w:left="0" w:rightChars="0" w:right="0"/>
      </w:pPr>
      <w:r>
        <w:rPr>
          <w:rFonts w:hint="eastAsia"/>
        </w:rPr>
        <w:t xml:space="preserve">　　</w:t>
      </w:r>
      <w:r>
        <w:t>6.執行死刑、無期徒刑無法有效地嚇阻（減少）當年度殺人犯罪被定罪人數，執行死刑、無期徒刑卻可有效地增加當年度殺人犯罪被定罪人數。</w:t>
      </w:r>
    </w:p>
    <w:p w:rsidR="00664AD3" w:rsidRDefault="00664AD3" w:rsidP="00E56787">
      <w:pPr>
        <w:spacing w:line="240" w:lineRule="auto"/>
        <w:ind w:leftChars="0" w:left="0" w:rightChars="0" w:right="0"/>
      </w:pPr>
      <w:r>
        <w:rPr>
          <w:rFonts w:hint="eastAsia"/>
        </w:rPr>
        <w:t xml:space="preserve">　　</w:t>
      </w:r>
      <w:r>
        <w:t>7.執行死刑、無期徒刑無法有效地嚇阻（減少）當年度擄人勒贖犯罪。</w:t>
      </w:r>
    </w:p>
    <w:p w:rsidR="00664AD3" w:rsidRDefault="00664AD3" w:rsidP="00E56787">
      <w:pPr>
        <w:spacing w:line="240" w:lineRule="auto"/>
        <w:ind w:leftChars="0" w:left="0" w:rightChars="0" w:right="0"/>
      </w:pPr>
      <w:r>
        <w:rPr>
          <w:rFonts w:hint="eastAsia"/>
        </w:rPr>
        <w:t xml:space="preserve">　　</w:t>
      </w:r>
      <w:r>
        <w:t>8.執行死刑、無期徒刑無法有效地嚇阻（減少）下年度擄人勒贖犯罪。</w:t>
      </w:r>
    </w:p>
    <w:p w:rsidR="00664AD3" w:rsidRDefault="00664AD3" w:rsidP="00E56787">
      <w:pPr>
        <w:spacing w:line="240" w:lineRule="auto"/>
        <w:ind w:leftChars="0" w:left="0" w:rightChars="0" w:right="0"/>
      </w:pPr>
      <w:r>
        <w:rPr>
          <w:rFonts w:hint="eastAsia"/>
        </w:rPr>
        <w:t xml:space="preserve">　　</w:t>
      </w:r>
      <w:r>
        <w:t>9.執行死刑、無期徒刑無法有效地嚇阻（減少）當年度重大恐嚇取財犯罪。</w:t>
      </w:r>
    </w:p>
    <w:p w:rsidR="00664AD3" w:rsidRDefault="00664AD3" w:rsidP="00E56787">
      <w:pPr>
        <w:spacing w:line="240" w:lineRule="auto"/>
        <w:ind w:leftChars="0" w:left="0" w:rightChars="0" w:right="0"/>
      </w:pPr>
      <w:r>
        <w:rPr>
          <w:rFonts w:hint="eastAsia"/>
        </w:rPr>
        <w:t xml:space="preserve">　　</w:t>
      </w:r>
      <w:r>
        <w:t>10.執行死刑、無期徒刑無法有效地嚇阻（減少）下年度重大恐嚇取財犯罪。</w:t>
      </w:r>
    </w:p>
    <w:p w:rsidR="00664AD3" w:rsidRDefault="00664AD3" w:rsidP="00E56787">
      <w:pPr>
        <w:spacing w:line="240" w:lineRule="auto"/>
        <w:ind w:leftChars="0" w:left="0" w:rightChars="0" w:right="0"/>
      </w:pPr>
      <w:r>
        <w:rPr>
          <w:rFonts w:hint="eastAsia"/>
        </w:rPr>
        <w:t xml:space="preserve">　　</w:t>
      </w:r>
      <w:r>
        <w:t>11.執行死刑、無期徒刑無法有效地嚇阻（減少）當年度強盜搶奪犯罪。</w:t>
      </w:r>
    </w:p>
    <w:p w:rsidR="00664AD3" w:rsidRDefault="00664AD3" w:rsidP="00E56787">
      <w:pPr>
        <w:spacing w:line="240" w:lineRule="auto"/>
        <w:ind w:leftChars="0" w:left="0" w:rightChars="0" w:right="0"/>
      </w:pPr>
      <w:r>
        <w:rPr>
          <w:rFonts w:hint="eastAsia"/>
        </w:rPr>
        <w:t xml:space="preserve">　　</w:t>
      </w:r>
      <w:r>
        <w:t>12.執行死刑、無期徒刑無法有效地嚇阻（減少）下年度強盜搶奪犯罪。</w:t>
      </w:r>
    </w:p>
    <w:p w:rsidR="00664AD3" w:rsidRDefault="00664AD3" w:rsidP="00E56787">
      <w:pPr>
        <w:spacing w:line="240" w:lineRule="auto"/>
        <w:ind w:leftChars="0" w:left="0" w:rightChars="0" w:right="0"/>
      </w:pPr>
      <w:r>
        <w:rPr>
          <w:rFonts w:hint="eastAsia"/>
        </w:rPr>
        <w:t xml:space="preserve">　　</w:t>
      </w:r>
      <w:r>
        <w:t>13.執行死刑、無期徒刑無法有效地嚇阻（減少）當年度強制性交犯罪。</w:t>
      </w:r>
    </w:p>
    <w:p w:rsidR="00664AD3" w:rsidRDefault="00664AD3" w:rsidP="00E56787">
      <w:pPr>
        <w:spacing w:line="240" w:lineRule="auto"/>
        <w:ind w:leftChars="0" w:left="0" w:rightChars="0" w:right="0"/>
      </w:pPr>
      <w:r>
        <w:rPr>
          <w:rFonts w:hint="eastAsia"/>
        </w:rPr>
        <w:t xml:space="preserve">　　</w:t>
      </w:r>
      <w:r>
        <w:t>14.執行死刑、無期徒刑無法有效地嚇阻（減少）下年度強制性交犯罪。</w:t>
      </w:r>
    </w:p>
    <w:p w:rsidR="00664AD3" w:rsidRDefault="00664AD3" w:rsidP="00E56787">
      <w:pPr>
        <w:spacing w:line="240" w:lineRule="auto"/>
        <w:ind w:leftChars="0" w:left="0" w:rightChars="0" w:right="0"/>
      </w:pPr>
      <w:r>
        <w:rPr>
          <w:rFonts w:hint="eastAsia"/>
        </w:rPr>
        <w:t xml:space="preserve">　　</w:t>
      </w:r>
      <w:r>
        <w:t>15.執行死刑、無期徒刑無法有效地嚇阻（減少）當年度竊盜犯罪。</w:t>
      </w:r>
    </w:p>
    <w:p w:rsidR="00664AD3" w:rsidRDefault="00664AD3" w:rsidP="00E56787">
      <w:pPr>
        <w:spacing w:line="240" w:lineRule="auto"/>
        <w:ind w:leftChars="0" w:left="0" w:rightChars="0" w:right="0"/>
      </w:pPr>
      <w:r>
        <w:rPr>
          <w:rFonts w:hint="eastAsia"/>
        </w:rPr>
        <w:t xml:space="preserve">　　</w:t>
      </w:r>
      <w:r>
        <w:t>16.執行死刑、無期徒刑無法有效地嚇阻（減少）下年度竊盜犯罪。</w:t>
      </w:r>
    </w:p>
    <w:p w:rsidR="00664AD3" w:rsidRDefault="00664AD3" w:rsidP="00E56787">
      <w:pPr>
        <w:spacing w:line="240" w:lineRule="auto"/>
        <w:ind w:leftChars="0" w:left="0" w:rightChars="0" w:right="0"/>
      </w:pPr>
      <w:r>
        <w:rPr>
          <w:rFonts w:hint="eastAsia"/>
        </w:rPr>
        <w:t xml:space="preserve">　　</w:t>
      </w:r>
      <w:r>
        <w:t>17.執行死刑、無期徒刑無法有效地嚇阻（減少）當年度刑案發生件數。</w:t>
      </w:r>
    </w:p>
    <w:p w:rsidR="00664AD3" w:rsidRDefault="00664AD3" w:rsidP="00E56787">
      <w:pPr>
        <w:spacing w:line="240" w:lineRule="auto"/>
        <w:ind w:leftChars="0" w:left="0" w:rightChars="0" w:right="0"/>
      </w:pPr>
      <w:r>
        <w:rPr>
          <w:rFonts w:hint="eastAsia"/>
        </w:rPr>
        <w:t xml:space="preserve">　　</w:t>
      </w:r>
      <w:r>
        <w:t>18.執行死刑、無期徒刑無法有效地嚇阻（減少）當年度被法院定罪總人數。</w:t>
      </w:r>
    </w:p>
    <w:p w:rsidR="00664AD3" w:rsidRDefault="00664AD3" w:rsidP="00E56787">
      <w:pPr>
        <w:spacing w:line="240" w:lineRule="auto"/>
        <w:ind w:leftChars="0" w:left="0" w:rightChars="0" w:right="0"/>
      </w:pPr>
      <w:r>
        <w:rPr>
          <w:rFonts w:hint="eastAsia"/>
        </w:rPr>
        <w:t xml:space="preserve">　　</w:t>
      </w:r>
      <w:r>
        <w:t>19.執行死刑、無期徒刑無法有效地嚇阻（減少）當年度毒品犯罪被法院定罪人數。</w:t>
      </w:r>
    </w:p>
    <w:p w:rsidR="00664AD3" w:rsidRDefault="00664AD3" w:rsidP="00E56787">
      <w:pPr>
        <w:spacing w:line="240" w:lineRule="auto"/>
        <w:ind w:leftChars="0" w:left="0" w:rightChars="0" w:right="0"/>
      </w:pPr>
      <w:r>
        <w:rPr>
          <w:rFonts w:hint="eastAsia"/>
        </w:rPr>
        <w:t xml:space="preserve">　　</w:t>
      </w:r>
      <w:r>
        <w:t>20.執行死刑、無期徒刑無法有效地嚇阻（減少）當年度毒品累（再）犯罪被法院定罪比率。</w:t>
      </w:r>
    </w:p>
    <w:p w:rsidR="00664AD3" w:rsidRDefault="00664AD3" w:rsidP="00E56787">
      <w:pPr>
        <w:spacing w:line="240" w:lineRule="auto"/>
        <w:ind w:leftChars="0" w:left="0" w:rightChars="0" w:right="0"/>
      </w:pPr>
      <w:r>
        <w:rPr>
          <w:rFonts w:hint="eastAsia"/>
        </w:rPr>
        <w:t xml:space="preserve">　　</w:t>
      </w:r>
      <w:r>
        <w:t>21.執行死刑、無期徒刑無法有效地嚇阻（減少）當年度因竊盜犯罪被法院定罪人數。</w:t>
      </w:r>
    </w:p>
    <w:p w:rsidR="00664AD3" w:rsidRDefault="00664AD3" w:rsidP="00E56787">
      <w:pPr>
        <w:spacing w:line="240" w:lineRule="auto"/>
        <w:ind w:leftChars="0" w:left="0" w:rightChars="0" w:right="0"/>
      </w:pPr>
      <w:r>
        <w:rPr>
          <w:rFonts w:hint="eastAsia"/>
        </w:rPr>
        <w:t xml:space="preserve">　　</w:t>
      </w:r>
      <w:r>
        <w:t>22.執行死刑、無期徒刑無法有效地嚇阻（減少）當年度因詐欺犯罪被法院定罪人數。</w:t>
      </w:r>
    </w:p>
    <w:p w:rsidR="00664AD3" w:rsidRDefault="00664AD3" w:rsidP="00E56787">
      <w:pPr>
        <w:spacing w:line="240" w:lineRule="auto"/>
        <w:ind w:leftChars="0" w:left="0" w:rightChars="0" w:right="0"/>
      </w:pPr>
      <w:r>
        <w:rPr>
          <w:rFonts w:hint="eastAsia"/>
        </w:rPr>
        <w:t xml:space="preserve">　　</w:t>
      </w:r>
      <w:r>
        <w:t>23.執行死刑、無期徒刑無法有效地嚇阻（減少）當年度因傷害犯罪被法院定罪人數。</w:t>
      </w:r>
    </w:p>
    <w:p w:rsidR="00664AD3" w:rsidRDefault="00664AD3" w:rsidP="00E56787">
      <w:pPr>
        <w:spacing w:line="240" w:lineRule="auto"/>
        <w:ind w:leftChars="0" w:left="0" w:rightChars="0" w:right="0"/>
      </w:pPr>
      <w:r>
        <w:rPr>
          <w:rFonts w:hint="eastAsia"/>
        </w:rPr>
        <w:t xml:space="preserve">　　</w:t>
      </w:r>
      <w:r>
        <w:t>24.執行死刑、無期徒刑無法有效地嚇阻（減少）當年度重大指標犯罪（故意殺人犯罪+重傷犯罪+重大恐嚇取財犯罪+擄人勒贖犯罪+強盜搶奪犯罪+強制性交犯罪）。</w:t>
      </w:r>
    </w:p>
    <w:p w:rsidR="00664AD3" w:rsidRDefault="00664AD3" w:rsidP="00E56787">
      <w:pPr>
        <w:spacing w:line="240" w:lineRule="auto"/>
        <w:ind w:leftChars="0" w:left="0" w:rightChars="0" w:right="0"/>
      </w:pPr>
      <w:r>
        <w:rPr>
          <w:rFonts w:hint="eastAsia"/>
        </w:rPr>
        <w:t xml:space="preserve">　　</w:t>
      </w:r>
      <w:r>
        <w:t>25.執行死刑、無期徒刑無法有效地嚇阻（減少）下年度重大指標犯罪（故意殺人犯罪+重傷犯罪+重大恐嚇取財犯罪+擄人勒贖犯罪+強盜搶奪犯罪+強制性交犯罪）。</w:t>
      </w:r>
    </w:p>
    <w:p w:rsidR="00664AD3" w:rsidRDefault="00664AD3" w:rsidP="00E56787">
      <w:pPr>
        <w:spacing w:line="240" w:lineRule="auto"/>
        <w:ind w:leftChars="0" w:left="0" w:rightChars="0" w:right="0"/>
      </w:pPr>
      <w:r>
        <w:rPr>
          <w:rFonts w:hint="eastAsia"/>
        </w:rPr>
        <w:t xml:space="preserve">　　</w:t>
      </w:r>
      <w:r>
        <w:t>26.執行死刑、無期徒刑無法有效地嚇阻（減少）下下年度重大指標犯罪（故意殺人犯罪+重傷犯罪+重大恐嚇取財犯罪+擄人勒贖犯罪+強盜搶奪犯罪+強制性交犯罪）。</w:t>
      </w:r>
    </w:p>
    <w:p w:rsidR="0049577B" w:rsidRPr="00B40DC1" w:rsidRDefault="00664AD3" w:rsidP="00E56787">
      <w:pPr>
        <w:spacing w:line="240" w:lineRule="auto"/>
        <w:ind w:leftChars="0" w:left="0" w:rightChars="0" w:right="0"/>
      </w:pPr>
      <w:r>
        <w:t xml:space="preserve">　　</w:t>
      </w:r>
      <w:r w:rsidR="0049577B" w:rsidRPr="00B40DC1">
        <w:t>但是，有一個例外情形，執行死刑、無期徒刑可有效地嚇阻(</w:t>
      </w:r>
      <w:r w:rsidR="0049577B" w:rsidRPr="00B40DC1">
        <w:rPr>
          <w:bCs/>
        </w:rPr>
        <w:t>減少)</w:t>
      </w:r>
      <w:r w:rsidR="0049577B" w:rsidRPr="00B40DC1">
        <w:t>當年度因公共危險犯罪被法院定罪人數。此種之統計結果，亦非穩定，假若使用強迫進入法之迴歸分析方式，則執行死刑、無期徒刑無法有效地嚇阻(</w:t>
      </w:r>
      <w:r w:rsidR="0049577B" w:rsidRPr="00B40DC1">
        <w:rPr>
          <w:bCs/>
        </w:rPr>
        <w:t>減少</w:t>
      </w:r>
      <w:r w:rsidR="00587200">
        <w:rPr>
          <w:bCs/>
        </w:rPr>
        <w:t>)</w:t>
      </w:r>
      <w:r w:rsidR="0049577B" w:rsidRPr="00B40DC1">
        <w:t>當年度因公共危險犯罪被法院定罪人數。反之，假若使用逐步迴歸進入法之迴歸分析方式，則執行死刑、無期徒刑卻可有效地嚇阻(</w:t>
      </w:r>
      <w:r w:rsidR="0049577B" w:rsidRPr="00B40DC1">
        <w:rPr>
          <w:bCs/>
        </w:rPr>
        <w:t>減少</w:t>
      </w:r>
      <w:r w:rsidR="00587200">
        <w:rPr>
          <w:bCs/>
        </w:rPr>
        <w:t>)</w:t>
      </w:r>
      <w:r w:rsidR="0049577B" w:rsidRPr="00B40DC1">
        <w:t>當年度因公共危險犯罪被法院定罪人數。是以，執行死刑、無期徒刑可否有效地嚇阻(</w:t>
      </w:r>
      <w:r w:rsidR="0049577B" w:rsidRPr="00B40DC1">
        <w:rPr>
          <w:bCs/>
        </w:rPr>
        <w:t>減少)</w:t>
      </w:r>
      <w:r w:rsidR="0049577B" w:rsidRPr="00B40DC1">
        <w:t>當年度因公共危險犯罪被法院定罪人數，尚待進一步確認。</w:t>
      </w:r>
    </w:p>
    <w:p w:rsidR="0049577B" w:rsidRPr="00B40DC1" w:rsidRDefault="00B277E1" w:rsidP="00E56787">
      <w:pPr>
        <w:spacing w:line="240" w:lineRule="auto"/>
        <w:ind w:leftChars="0" w:left="0" w:rightChars="0" w:right="0"/>
      </w:pPr>
      <w:r>
        <w:t xml:space="preserve">　　</w:t>
      </w:r>
      <w:r w:rsidR="0049577B" w:rsidRPr="00B40DC1">
        <w:t>倘若不討論執行死刑、無期徒刑可否有效地嚇阻(</w:t>
      </w:r>
      <w:r w:rsidR="0049577B" w:rsidRPr="00B40DC1">
        <w:rPr>
          <w:bCs/>
        </w:rPr>
        <w:t>減少)</w:t>
      </w:r>
      <w:r w:rsidR="0049577B" w:rsidRPr="00B40DC1">
        <w:t>當年度因公共危險犯罪被法院定罪人數？可以確定者，執行死刑、無期徒刑無法有效地嚇阻(</w:t>
      </w:r>
      <w:r w:rsidR="0049577B" w:rsidRPr="00B40DC1">
        <w:rPr>
          <w:bCs/>
        </w:rPr>
        <w:t>減少)絕大多數之</w:t>
      </w:r>
      <w:r w:rsidR="0049577B" w:rsidRPr="00B40DC1">
        <w:t>犯罪。更甚者，執行死刑、無期徒刑無法有效地嚇阻(</w:t>
      </w:r>
      <w:r w:rsidR="0049577B" w:rsidRPr="00B40DC1">
        <w:rPr>
          <w:bCs/>
        </w:rPr>
        <w:t>減少)</w:t>
      </w:r>
      <w:r w:rsidR="0049577B" w:rsidRPr="00B40DC1">
        <w:t>當年度殺人犯罪被定罪人數，執行死刑、無期徒刑卻可有效地「</w:t>
      </w:r>
      <w:r w:rsidR="0049577B" w:rsidRPr="00B40DC1">
        <w:rPr>
          <w:bCs/>
        </w:rPr>
        <w:t>增加」</w:t>
      </w:r>
      <w:r w:rsidR="0049577B" w:rsidRPr="00B40DC1">
        <w:t>當年度殺人犯罪被定罪人數(已達統計上之顯著水準)，無期徒刑「</w:t>
      </w:r>
      <w:r w:rsidR="0049577B" w:rsidRPr="00B40DC1">
        <w:rPr>
          <w:bCs/>
        </w:rPr>
        <w:t>增加」</w:t>
      </w:r>
      <w:r w:rsidR="0049577B" w:rsidRPr="00B40DC1">
        <w:t>當年度殺人犯罪被定罪人數(已達統計上之顯著水準)之力道，比執行死刑「更加強烈」</w:t>
      </w:r>
      <w:r w:rsidR="0049577B" w:rsidRPr="00B277E1">
        <w:rPr>
          <w:rStyle w:val="af7"/>
          <w:rFonts w:eastAsia="新細明體"/>
          <w:sz w:val="20"/>
        </w:rPr>
        <w:footnoteReference w:id="377"/>
      </w:r>
      <w:r w:rsidR="0049577B" w:rsidRPr="00B40DC1">
        <w:t>。</w:t>
      </w:r>
    </w:p>
    <w:p w:rsidR="003C1792" w:rsidRDefault="00B277E1" w:rsidP="00E56787">
      <w:pPr>
        <w:spacing w:line="240" w:lineRule="auto"/>
        <w:ind w:leftChars="0" w:left="0" w:rightChars="0" w:right="0"/>
      </w:pPr>
      <w:r>
        <w:t xml:space="preserve">　　</w:t>
      </w:r>
      <w:r w:rsidR="0049577B" w:rsidRPr="00B40DC1">
        <w:t>在此，作者擬再次引用許春金教授、吳景芳教授、李湧清教授、曾正一教授、許金標君、蔡田木教授之研究成果，與本書相互作比較，可發現兩個研究發現，幾乎是完全一模一樣。亦即，從1960年至2013年止，近約50年間，死刑無法嚇阻任何重大犯罪之發生。本書之另一個新的重大發現，即為無期徒刑亦是無法有效地嚇阻(</w:t>
      </w:r>
      <w:r w:rsidR="0049577B" w:rsidRPr="00B40DC1">
        <w:rPr>
          <w:bCs/>
        </w:rPr>
        <w:t>減少)</w:t>
      </w:r>
      <w:r w:rsidR="0049577B" w:rsidRPr="00B40DC1">
        <w:t>任何重大指標犯罪(故意殺人犯罪+重傷犯罪+重大恐嚇取財犯罪+擄人勒贖犯罪+強盜搶奪犯罪+強制性交犯罪)之發生。</w:t>
      </w:r>
    </w:p>
    <w:p w:rsidR="0049577B" w:rsidRPr="00B40DC1" w:rsidRDefault="00B277E1" w:rsidP="00E56787">
      <w:pPr>
        <w:spacing w:line="240" w:lineRule="auto"/>
        <w:ind w:leftChars="0" w:left="0" w:rightChars="0" w:right="0"/>
      </w:pPr>
      <w:r>
        <w:t xml:space="preserve">　　</w:t>
      </w:r>
      <w:r w:rsidR="0049577B" w:rsidRPr="00B40DC1">
        <w:t>根據許春金教授、吳景芳教授、李湧清教授、曾正一教授、許金標君、蔡田木教授等人之研究成果，在死刑之長期嚇阻效應之「同時模式」方面，針對「絶對數模式」部分而言，在「總體」上，同一年度之8個自變項中的「被執行死刑人數」的多寡，並「未」影響同一年度的總犯罪。亦即，執行死刑之機制，並不會對同一年度的總犯罪率造成影響力。在「個體效應」方面，當同一年度，因殺人犯罪而被法務部執行死刑人數愈多時，同一年度內，殺人犯罪率則會愈高。亦即，在同一年度內因殺人而被執行死刑人數愈多，愈會衝高同一年度內的殺人犯罪率。</w:t>
      </w:r>
    </w:p>
    <w:p w:rsidR="0049577B" w:rsidRPr="00B40DC1" w:rsidRDefault="00814432" w:rsidP="00E56787">
      <w:pPr>
        <w:spacing w:line="240" w:lineRule="auto"/>
        <w:ind w:leftChars="0" w:left="0" w:rightChars="0" w:right="0"/>
      </w:pPr>
      <w:r>
        <w:t xml:space="preserve">　　</w:t>
      </w:r>
      <w:r w:rsidR="0049577B" w:rsidRPr="00B40DC1">
        <w:t>在強制性交犯罪率方面，因強制性交被執行死刑之人數，對於同一年度內之強制性交犯罪率，並無作用力。在暴力性財產方面，因暴力性財產犯罪被執行死刑之人數，對於同一年度內之暴力性財產犯罪率，並無作用力；亦即，無抑制效果。就擄人勒贖犯罪而論，因「擄人勒贖被執行死刑人數」之自變項，對於同一年度內之擄人勒贖犯罪率，並無統計上之作用力。是以，在「同時模式」中之「絶對數模式」部分，所得到之重大結論，係因殺人犯罪而被執行死刑之機制，不僅無法抑制殺人犯罪率，更甚者，會促長殺人犯罪率。</w:t>
      </w:r>
    </w:p>
    <w:p w:rsidR="0049577B" w:rsidRPr="00B40DC1" w:rsidRDefault="00814432" w:rsidP="00E56787">
      <w:pPr>
        <w:spacing w:line="240" w:lineRule="auto"/>
        <w:ind w:leftChars="0" w:left="0" w:rightChars="0" w:right="0"/>
      </w:pPr>
      <w:r>
        <w:t xml:space="preserve">　　</w:t>
      </w:r>
      <w:r w:rsidR="0049577B" w:rsidRPr="00B40DC1">
        <w:t>換言之，死刑無法嚇阻殺人犯罪；死刑之機制，會促發殺人犯罪之發生。死刑之機制，對於抑制殺人犯罪而言，完全沒有任何實質的嚇阻作用力，反而是有負向的作用力。在「同時模式」中之「相對數模式」方面，所得到之重大結論，則亦為死刑之機制，會助長殺人犯罪率。死刑之機制，完全無法抑制殺人犯罪率。再者，死刑之機制，對於「總犯罪率」、「強制性交犯罪率」、「暴力性財產犯罪率」與「擄人勒贖犯罪率」而論，均沒有統計上之作用力，亦即，沒有嚇阻與抑制效果。亦即，死刑對於上述之犯罪，無法發揮抑制力量。綜合「絶對數模式」與「相對數模式」之結果，本書發現，死刑會誘導、促進與提升殺人犯罪率。死刑對於殺人犯罪而論，未有任何實質性之嚇阻力道。</w:t>
      </w:r>
    </w:p>
    <w:p w:rsidR="0049577B" w:rsidRPr="00B40DC1" w:rsidRDefault="00E56787" w:rsidP="00E56787">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814432" w:rsidRDefault="0049577B" w:rsidP="00E736D6">
      <w:pPr>
        <w:pStyle w:val="4"/>
        <w:rPr>
          <w:lang w:eastAsia="zh-TW"/>
        </w:rPr>
      </w:pPr>
      <w:r w:rsidRPr="00814432">
        <w:rPr>
          <w:lang w:eastAsia="zh-TW"/>
        </w:rPr>
        <w:t>表68、我國執行死刑(自變項)對暴力犯罪(依變項)長期嚇阻效應綜合摘要表(同時模式)(1961~1990</w:t>
      </w:r>
      <w:r w:rsidR="00587200">
        <w:rPr>
          <w:lang w:eastAsia="zh-TW"/>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899"/>
        <w:gridCol w:w="899"/>
        <w:gridCol w:w="899"/>
        <w:gridCol w:w="2551"/>
        <w:gridCol w:w="3663"/>
      </w:tblGrid>
      <w:tr w:rsidR="0049577B" w:rsidRPr="00B40DC1" w:rsidTr="00814432">
        <w:trPr>
          <w:tblHeader/>
        </w:trPr>
        <w:tc>
          <w:tcPr>
            <w:tcW w:w="2697" w:type="dxa"/>
            <w:gridSpan w:val="3"/>
            <w:shd w:val="clear" w:color="auto" w:fill="FAF0FA"/>
          </w:tcPr>
          <w:p w:rsidR="0049577B" w:rsidRPr="00E56787" w:rsidRDefault="0049577B" w:rsidP="00B277E1">
            <w:pPr>
              <w:spacing w:line="240" w:lineRule="auto"/>
              <w:ind w:leftChars="0" w:left="0" w:rightChars="0" w:right="0"/>
              <w:jc w:val="center"/>
              <w:rPr>
                <w:b/>
                <w:sz w:val="24"/>
                <w:szCs w:val="24"/>
              </w:rPr>
            </w:pPr>
            <w:r w:rsidRPr="00E56787">
              <w:rPr>
                <w:b/>
                <w:sz w:val="24"/>
                <w:szCs w:val="24"/>
              </w:rPr>
              <w:t>模式說明</w:t>
            </w:r>
          </w:p>
        </w:tc>
        <w:tc>
          <w:tcPr>
            <w:tcW w:w="3450" w:type="dxa"/>
            <w:gridSpan w:val="2"/>
            <w:shd w:val="clear" w:color="auto" w:fill="FAF0FA"/>
          </w:tcPr>
          <w:p w:rsidR="0049577B" w:rsidRPr="00E56787" w:rsidRDefault="0049577B" w:rsidP="00B277E1">
            <w:pPr>
              <w:spacing w:line="240" w:lineRule="auto"/>
              <w:ind w:leftChars="0" w:left="0" w:rightChars="0" w:right="0"/>
              <w:jc w:val="center"/>
              <w:rPr>
                <w:b/>
                <w:sz w:val="24"/>
                <w:szCs w:val="24"/>
              </w:rPr>
            </w:pPr>
            <w:r w:rsidRPr="00E56787">
              <w:rPr>
                <w:b/>
                <w:sz w:val="24"/>
                <w:szCs w:val="24"/>
              </w:rPr>
              <w:t>模式目的</w:t>
            </w:r>
          </w:p>
        </w:tc>
        <w:tc>
          <w:tcPr>
            <w:tcW w:w="3663" w:type="dxa"/>
            <w:shd w:val="clear" w:color="auto" w:fill="FAF0FA"/>
          </w:tcPr>
          <w:p w:rsidR="0049577B" w:rsidRPr="00E56787" w:rsidRDefault="0049577B" w:rsidP="00B277E1">
            <w:pPr>
              <w:spacing w:line="240" w:lineRule="auto"/>
              <w:ind w:leftChars="0" w:left="0" w:rightChars="0" w:right="0"/>
              <w:jc w:val="center"/>
              <w:rPr>
                <w:b/>
                <w:sz w:val="24"/>
                <w:szCs w:val="24"/>
              </w:rPr>
            </w:pPr>
            <w:r w:rsidRPr="00E56787">
              <w:rPr>
                <w:b/>
                <w:sz w:val="24"/>
                <w:szCs w:val="24"/>
              </w:rPr>
              <w:t>研究發現</w:t>
            </w:r>
          </w:p>
        </w:tc>
      </w:tr>
      <w:tr w:rsidR="0049577B" w:rsidRPr="00B40DC1" w:rsidTr="00814432">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死刑之長期嚇阻效應</w:t>
            </w:r>
          </w:p>
        </w:tc>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同時模式</w:t>
            </w:r>
          </w:p>
        </w:tc>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絕對數模式</w:t>
            </w:r>
          </w:p>
        </w:tc>
        <w:tc>
          <w:tcPr>
            <w:tcW w:w="899"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總體</w:t>
            </w:r>
          </w:p>
        </w:tc>
        <w:tc>
          <w:tcPr>
            <w:tcW w:w="2551"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同年八個自變項對同年總犯罪率(依變項)之影響</w:t>
            </w:r>
          </w:p>
        </w:tc>
        <w:tc>
          <w:tcPr>
            <w:tcW w:w="366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被執行死刑人數(自變項)，未影響同年總犯罪率(依變項)</w:t>
            </w:r>
          </w:p>
        </w:tc>
      </w:tr>
      <w:tr w:rsidR="0049577B" w:rsidRPr="00B40DC1" w:rsidTr="00814432">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個體</w:t>
            </w:r>
          </w:p>
        </w:tc>
        <w:tc>
          <w:tcPr>
            <w:tcW w:w="2551"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同年八個自變項對同年殺人犯罪率(依變項)之影響</w:t>
            </w:r>
          </w:p>
        </w:tc>
        <w:tc>
          <w:tcPr>
            <w:tcW w:w="366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因殺人被執行死刑人數(自變項)愈多時，同年殺人犯罪率(依變項)愈高</w:t>
            </w:r>
          </w:p>
        </w:tc>
      </w:tr>
      <w:tr w:rsidR="0049577B" w:rsidRPr="00B40DC1" w:rsidTr="00814432">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551"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同年八個自變項對同年強制性交犯罪率(依變項)之影響</w:t>
            </w:r>
          </w:p>
        </w:tc>
        <w:tc>
          <w:tcPr>
            <w:tcW w:w="366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因強制性交被執行死刑人數(自變項)，未影響同年強制性交犯罪率(依變項)</w:t>
            </w:r>
          </w:p>
        </w:tc>
      </w:tr>
      <w:tr w:rsidR="0049577B" w:rsidRPr="00B40DC1" w:rsidTr="00814432">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551"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同年八個自變項對同年暴力性財產犯罪率之影響</w:t>
            </w:r>
          </w:p>
        </w:tc>
        <w:tc>
          <w:tcPr>
            <w:tcW w:w="366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因暴力性財產犯罪被執行死刑人數(自變項)，未影響同年暴力性財產犯罪率(依變項)</w:t>
            </w:r>
          </w:p>
        </w:tc>
      </w:tr>
      <w:tr w:rsidR="0049577B" w:rsidRPr="00B40DC1" w:rsidTr="00814432">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551"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同年八個自變項對同年擄人勒贖犯罪率(依變項)之影響</w:t>
            </w:r>
          </w:p>
        </w:tc>
        <w:tc>
          <w:tcPr>
            <w:tcW w:w="366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因擄人勒贖被執行死刑人數(自變項)，未影響同年擄人勒贖犯罪率(依變項)</w:t>
            </w:r>
          </w:p>
        </w:tc>
      </w:tr>
      <w:tr w:rsidR="0049577B" w:rsidRPr="00B40DC1" w:rsidTr="00814432">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相對數模式</w:t>
            </w:r>
          </w:p>
        </w:tc>
        <w:tc>
          <w:tcPr>
            <w:tcW w:w="899"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總體</w:t>
            </w:r>
          </w:p>
        </w:tc>
        <w:tc>
          <w:tcPr>
            <w:tcW w:w="2551"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同年八個自變項之變化，對同年總犯罪率變化(依變項)之影響</w:t>
            </w:r>
          </w:p>
        </w:tc>
        <w:tc>
          <w:tcPr>
            <w:tcW w:w="366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被執行死刑人數之變化(自變項)未影響同年總犯罪率之變化(依變項)</w:t>
            </w:r>
          </w:p>
        </w:tc>
      </w:tr>
      <w:tr w:rsidR="0049577B" w:rsidRPr="00B40DC1" w:rsidTr="00814432">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個體</w:t>
            </w:r>
          </w:p>
        </w:tc>
        <w:tc>
          <w:tcPr>
            <w:tcW w:w="2551"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同年八個自變項之變化，對同年殺人犯罪率變化(依變項)之影響</w:t>
            </w:r>
          </w:p>
        </w:tc>
        <w:tc>
          <w:tcPr>
            <w:tcW w:w="366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因殺人被執行死刑人數之變化(自變項)愈大時，同年殺人犯罪率之變化(依變項)也愈大；因殺人被執行死刑人數之變化(自變項)愈多時，同年殺人犯罪率之變化(依變項)也愈高</w:t>
            </w:r>
          </w:p>
        </w:tc>
      </w:tr>
      <w:tr w:rsidR="0049577B" w:rsidRPr="00B40DC1" w:rsidTr="00814432">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551"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同年八個自變項之變化，對同年強制性交犯罪率變化之影響</w:t>
            </w:r>
          </w:p>
        </w:tc>
        <w:tc>
          <w:tcPr>
            <w:tcW w:w="366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因強制性交被執行死刑人數之變化(自變項)，未影響同年強制性交犯罪率之變化(依變項)</w:t>
            </w:r>
          </w:p>
        </w:tc>
      </w:tr>
      <w:tr w:rsidR="0049577B" w:rsidRPr="00B40DC1" w:rsidTr="00814432">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551"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同年八個自變項之變化，對同年暴力性財產犯罪率變化(依變項)之影響</w:t>
            </w:r>
          </w:p>
        </w:tc>
        <w:tc>
          <w:tcPr>
            <w:tcW w:w="366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因暴力性財產犯罪被執行死刑人數之變化(自變項)，未影響同年暴力性財產犯罪率之變化(依變項)</w:t>
            </w:r>
          </w:p>
        </w:tc>
      </w:tr>
      <w:tr w:rsidR="0049577B" w:rsidRPr="00B40DC1" w:rsidTr="00814432">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551"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同年八個自變項之變化，對同年擄人勒贖犯罪率變化(依變項)之影響</w:t>
            </w:r>
          </w:p>
        </w:tc>
        <w:tc>
          <w:tcPr>
            <w:tcW w:w="366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因擄人勒贖被執行死刑人數之變化(自變項)，未影響同年擄人勒贖犯罪率之變化(依變項)</w:t>
            </w:r>
          </w:p>
        </w:tc>
      </w:tr>
    </w:tbl>
    <w:p w:rsidR="0049577B" w:rsidRPr="00B40DC1" w:rsidRDefault="00E736D6" w:rsidP="00B809D1">
      <w:pPr>
        <w:spacing w:line="240" w:lineRule="auto"/>
        <w:ind w:leftChars="0" w:left="0" w:rightChars="0" w:right="0"/>
      </w:pPr>
      <w:r>
        <w:t>【註】</w:t>
      </w:r>
      <w:r w:rsidR="0049577B" w:rsidRPr="00B40DC1">
        <w:t>本表格之資料來源，係為---許春金、吳景芳、李湧清、曾正一、許金標、蔡田木(1994)，死刑存廢之探討，台北：行政院研究發展考核委員會編印，頁107，並經由作者重新改寫與闡釋其統計實證數據之意義。</w:t>
      </w:r>
    </w:p>
    <w:p w:rsidR="0049577B" w:rsidRPr="00B40DC1" w:rsidRDefault="0049577B" w:rsidP="00B809D1">
      <w:pPr>
        <w:spacing w:line="240" w:lineRule="auto"/>
        <w:ind w:leftChars="0" w:left="0" w:rightChars="0" w:right="0"/>
      </w:pPr>
    </w:p>
    <w:p w:rsidR="0049577B" w:rsidRPr="00B40DC1" w:rsidRDefault="00814432" w:rsidP="00B277E1">
      <w:pPr>
        <w:spacing w:line="240" w:lineRule="auto"/>
        <w:ind w:leftChars="0" w:left="0" w:rightChars="0" w:right="0"/>
      </w:pPr>
      <w:r>
        <w:t xml:space="preserve">　　</w:t>
      </w:r>
      <w:r w:rsidR="0049577B" w:rsidRPr="00B40DC1">
        <w:t>於下述之「我國執行死刑對暴力犯罪長期嚇阻效應綜合摘要表（墮後模式）」之中，在死刑之長期嚇阻效應之「墮後模式」方面，針對「絶對數模式」部分而言，前一年被執行死刑之人數，對於後一年之「總犯罪率」、「殺人犯罪率」、「強制性交犯罪率」、「暴力性財產犯罪率」與「擄人勒贖犯罪率」，均未有統計上之作用力。</w:t>
      </w:r>
    </w:p>
    <w:p w:rsidR="003C1792" w:rsidRDefault="00814432" w:rsidP="00B277E1">
      <w:pPr>
        <w:spacing w:line="240" w:lineRule="auto"/>
        <w:ind w:leftChars="0" w:left="0" w:rightChars="0" w:right="0"/>
      </w:pPr>
      <w:r>
        <w:t xml:space="preserve">　　</w:t>
      </w:r>
      <w:r w:rsidR="0049577B" w:rsidRPr="00B40DC1">
        <w:t>換言之，死刑對於殺人犯罪率而言，並未產生統計上之負向抑制作用力，即此種之作用力，並未達到統計上之顯著水準；死刑對於「強制性交犯罪率」而言，並未產生統計上之負向抑制作用力，即此種之作用力，並未達到統計上之顯著水準。死刑對於「暴力性財產犯罪率」而言，並未產生統計上之負向抑制作用力，即此種之作用力，並未達到統計上之顯著水準。死刑對於「擄人勒贖犯罪率」而言，並未產生統計上之負向抑制作用力，即此種之作用力，並未達到統計上之顯著水準。死刑對於總整之犯罪率而論，並未發揮嚇阻與抑制之作用力。上述之重大結論之一，係死刑之機制，無法嚇阻殺人犯罪之發生。死刑對於嚇阻殺人犯罪之發生而論，係屬一種無用之機制。</w:t>
      </w:r>
    </w:p>
    <w:p w:rsidR="0049577B" w:rsidRPr="00B40DC1" w:rsidRDefault="00B277E1" w:rsidP="00B277E1">
      <w:pPr>
        <w:spacing w:line="240" w:lineRule="auto"/>
        <w:ind w:leftChars="0" w:left="0" w:rightChars="0" w:right="0"/>
      </w:pPr>
      <w:r>
        <w:t xml:space="preserve">　　</w:t>
      </w:r>
      <w:r w:rsidR="0049577B" w:rsidRPr="00B40DC1">
        <w:t>在「相對數模式」方面，前一年被執行死刑人數之變化，對於後一年「總犯罪率之變化」、「殺人犯罪率之變化」、「強制性交犯罪率之變化」、「暴力性財產犯罪率」與「擄人勒贖犯罪率之變化」，均未有統計上之作用力。亦即，死刑對於殺人犯罪而論，並無法產生嚇阻作用力。」</w:t>
      </w:r>
    </w:p>
    <w:p w:rsidR="0049577B" w:rsidRPr="00B40DC1" w:rsidRDefault="00814432" w:rsidP="00B277E1">
      <w:pPr>
        <w:spacing w:line="240" w:lineRule="auto"/>
        <w:ind w:leftChars="0" w:left="0" w:rightChars="0" w:right="0"/>
      </w:pPr>
      <w:r>
        <w:t xml:space="preserve">　　</w:t>
      </w:r>
      <w:r w:rsidR="0049577B" w:rsidRPr="00B40DC1">
        <w:t>綜上，就死刑之「長期性」嚇阻與抑制效應而言，可發現死刑會促長「同一年度內」之殺人犯罪；在墮後模式方面，死刑對於「後一年度」之殺人犯罪而言，則「無法」發揮嚇阻作用力。死刑對於抑制同一年度及下一年度之殺人犯罪而言，可謂毫無作用力。</w:t>
      </w:r>
    </w:p>
    <w:p w:rsidR="0049577B" w:rsidRPr="00B40DC1" w:rsidRDefault="00E56787" w:rsidP="00E56787">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E736D6">
      <w:pPr>
        <w:pStyle w:val="4"/>
        <w:rPr>
          <w:lang w:eastAsia="zh-TW"/>
        </w:rPr>
      </w:pPr>
      <w:r w:rsidRPr="00B40DC1">
        <w:rPr>
          <w:lang w:eastAsia="zh-TW"/>
        </w:rPr>
        <w:t>表69、我國執行死刑(自變項)對暴力犯罪(依變項)「長期嚇阻效應」綜合摘要表(墮後模式)</w:t>
      </w:r>
      <w:r w:rsidR="003C1792">
        <w:rPr>
          <w:lang w:eastAsia="zh-TW"/>
        </w:rPr>
        <w:t>(</w:t>
      </w:r>
      <w:r w:rsidRPr="00B40DC1">
        <w:rPr>
          <w:lang w:eastAsia="zh-TW"/>
        </w:rPr>
        <w:t>1961~1990)</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899"/>
        <w:gridCol w:w="899"/>
        <w:gridCol w:w="2693"/>
        <w:gridCol w:w="4420"/>
      </w:tblGrid>
      <w:tr w:rsidR="0049577B" w:rsidRPr="00B40DC1" w:rsidTr="00B277E1">
        <w:trPr>
          <w:tblHeader/>
        </w:trPr>
        <w:tc>
          <w:tcPr>
            <w:tcW w:w="1798" w:type="dxa"/>
            <w:gridSpan w:val="2"/>
            <w:shd w:val="clear" w:color="auto" w:fill="EFFDFF"/>
          </w:tcPr>
          <w:p w:rsidR="0049577B" w:rsidRPr="00E56787" w:rsidRDefault="0049577B" w:rsidP="00B277E1">
            <w:pPr>
              <w:spacing w:line="240" w:lineRule="auto"/>
              <w:ind w:leftChars="0" w:left="0" w:rightChars="0" w:right="0"/>
              <w:jc w:val="center"/>
              <w:rPr>
                <w:b/>
                <w:sz w:val="24"/>
                <w:szCs w:val="24"/>
              </w:rPr>
            </w:pPr>
            <w:r w:rsidRPr="00E56787">
              <w:rPr>
                <w:b/>
                <w:sz w:val="24"/>
                <w:szCs w:val="24"/>
              </w:rPr>
              <w:t>模式說明</w:t>
            </w:r>
          </w:p>
        </w:tc>
        <w:tc>
          <w:tcPr>
            <w:tcW w:w="3592" w:type="dxa"/>
            <w:gridSpan w:val="2"/>
            <w:shd w:val="clear" w:color="auto" w:fill="EFFDFF"/>
          </w:tcPr>
          <w:p w:rsidR="0049577B" w:rsidRPr="00E56787" w:rsidRDefault="0049577B" w:rsidP="00B277E1">
            <w:pPr>
              <w:spacing w:line="240" w:lineRule="auto"/>
              <w:ind w:leftChars="0" w:left="0" w:rightChars="0" w:right="0"/>
              <w:jc w:val="center"/>
              <w:rPr>
                <w:b/>
                <w:sz w:val="24"/>
                <w:szCs w:val="24"/>
              </w:rPr>
            </w:pPr>
            <w:r w:rsidRPr="00E56787">
              <w:rPr>
                <w:b/>
                <w:sz w:val="24"/>
                <w:szCs w:val="24"/>
              </w:rPr>
              <w:t>模式目的</w:t>
            </w:r>
          </w:p>
        </w:tc>
        <w:tc>
          <w:tcPr>
            <w:tcW w:w="4420" w:type="dxa"/>
            <w:shd w:val="clear" w:color="auto" w:fill="EFFDFF"/>
          </w:tcPr>
          <w:p w:rsidR="0049577B" w:rsidRPr="00E56787" w:rsidRDefault="0049577B" w:rsidP="00B277E1">
            <w:pPr>
              <w:spacing w:line="240" w:lineRule="auto"/>
              <w:ind w:leftChars="0" w:left="0" w:rightChars="0" w:right="0"/>
              <w:jc w:val="center"/>
              <w:rPr>
                <w:b/>
                <w:sz w:val="24"/>
                <w:szCs w:val="24"/>
              </w:rPr>
            </w:pPr>
            <w:r w:rsidRPr="00E56787">
              <w:rPr>
                <w:b/>
                <w:sz w:val="24"/>
                <w:szCs w:val="24"/>
              </w:rPr>
              <w:t>研究發現</w:t>
            </w:r>
          </w:p>
        </w:tc>
      </w:tr>
      <w:tr w:rsidR="0049577B" w:rsidRPr="00B40DC1" w:rsidTr="00B277E1">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墮後模式</w:t>
            </w:r>
          </w:p>
        </w:tc>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絕對數模式</w:t>
            </w:r>
          </w:p>
        </w:tc>
        <w:tc>
          <w:tcPr>
            <w:tcW w:w="899"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總體</w:t>
            </w:r>
          </w:p>
        </w:tc>
        <w:tc>
          <w:tcPr>
            <w:tcW w:w="269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前一年八個自變項對後一年總犯罪率(依變項)之影響</w:t>
            </w:r>
          </w:p>
        </w:tc>
        <w:tc>
          <w:tcPr>
            <w:tcW w:w="4420"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前一年被執行死刑人數(自變項)，未影響後一年總犯罪率(依變項)</w:t>
            </w:r>
          </w:p>
        </w:tc>
      </w:tr>
      <w:tr w:rsidR="0049577B" w:rsidRPr="00B40DC1" w:rsidTr="00B277E1">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個體</w:t>
            </w:r>
          </w:p>
        </w:tc>
        <w:tc>
          <w:tcPr>
            <w:tcW w:w="269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前一年八個自變項對後一年殺人犯罪率(依變項)之影響</w:t>
            </w:r>
          </w:p>
        </w:tc>
        <w:tc>
          <w:tcPr>
            <w:tcW w:w="4420"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前一年因殺人被執行死刑人數(自變項)，未影響後一年殺人犯罪率(依變項)</w:t>
            </w:r>
          </w:p>
        </w:tc>
      </w:tr>
      <w:tr w:rsidR="0049577B" w:rsidRPr="00B40DC1" w:rsidTr="00B277E1">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69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前一年八個自變項對後一年強制性交犯罪率(依變項)之影響</w:t>
            </w:r>
          </w:p>
        </w:tc>
        <w:tc>
          <w:tcPr>
            <w:tcW w:w="4420"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前一年因強制性交被執行死刑人數(自變項)，未影響後一年強制性交犯罪率(依變項)</w:t>
            </w:r>
          </w:p>
        </w:tc>
      </w:tr>
      <w:tr w:rsidR="0049577B" w:rsidRPr="00B40DC1" w:rsidTr="00B277E1">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69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前一年八個自變項對後一年暴力性財產犯罪率(依變項)之影響</w:t>
            </w:r>
          </w:p>
        </w:tc>
        <w:tc>
          <w:tcPr>
            <w:tcW w:w="4420"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前一年因暴力性財產犯罪被執行死刑人數(自變項)，未影響後一年暴力性財產犯罪率(依變項)</w:t>
            </w:r>
          </w:p>
        </w:tc>
      </w:tr>
      <w:tr w:rsidR="0049577B" w:rsidRPr="00B40DC1" w:rsidTr="00B277E1">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69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前一年八個自變項對後一年擄人勒贖犯罪率(依變項)之影響</w:t>
            </w:r>
          </w:p>
        </w:tc>
        <w:tc>
          <w:tcPr>
            <w:tcW w:w="4420"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前一年因擄人勒贖被執行死刑人數(自變項)，未影響後一年擄人勒贖犯罪率(依變項)</w:t>
            </w:r>
          </w:p>
        </w:tc>
      </w:tr>
      <w:tr w:rsidR="0049577B" w:rsidRPr="00B40DC1" w:rsidTr="00B277E1">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相對數模式</w:t>
            </w:r>
          </w:p>
        </w:tc>
        <w:tc>
          <w:tcPr>
            <w:tcW w:w="899"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總體</w:t>
            </w:r>
          </w:p>
        </w:tc>
        <w:tc>
          <w:tcPr>
            <w:tcW w:w="269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前一年八個自變項之變化，對後一年總犯罪率變化(依變項)之影響</w:t>
            </w:r>
          </w:p>
        </w:tc>
        <w:tc>
          <w:tcPr>
            <w:tcW w:w="4420"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前一年被執行死刑人數之變化(自變項)，未影響後一年總犯罪率之變化</w:t>
            </w:r>
          </w:p>
        </w:tc>
      </w:tr>
      <w:tr w:rsidR="0049577B" w:rsidRPr="00B40DC1" w:rsidTr="00B277E1">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val="restart"/>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個體</w:t>
            </w:r>
          </w:p>
        </w:tc>
        <w:tc>
          <w:tcPr>
            <w:tcW w:w="269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前一年八個自變項之變化，對後一年殺人犯罪率變化(依變項)之影響</w:t>
            </w:r>
          </w:p>
        </w:tc>
        <w:tc>
          <w:tcPr>
            <w:tcW w:w="4420"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前一年因殺人被執行死刑人數之變化(自變項)，未影響後一年殺人犯罪率之變化(依變項)</w:t>
            </w:r>
          </w:p>
        </w:tc>
      </w:tr>
      <w:tr w:rsidR="0049577B" w:rsidRPr="00B40DC1" w:rsidTr="00B277E1">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69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前一年八個自變項之變化，對後一年強制性交犯罪率變化(依變項)之影響</w:t>
            </w:r>
          </w:p>
        </w:tc>
        <w:tc>
          <w:tcPr>
            <w:tcW w:w="4420"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前一年因強制性交被執行死刑人數之變化(自變項)，未影響後一年強制性交犯罪率之變化(依變項)</w:t>
            </w:r>
          </w:p>
        </w:tc>
      </w:tr>
      <w:tr w:rsidR="0049577B" w:rsidRPr="00B40DC1" w:rsidTr="00B277E1">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69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前一年八個自變項之變化，對後一年暴力性財產犯罪率變化之影響</w:t>
            </w:r>
          </w:p>
        </w:tc>
        <w:tc>
          <w:tcPr>
            <w:tcW w:w="4420"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前一年因暴力性財產犯罪被執行死刑人數之變化(自變項)，未影響後一年暴力性財產犯罪率之變化(依變項)</w:t>
            </w:r>
          </w:p>
        </w:tc>
      </w:tr>
      <w:tr w:rsidR="0049577B" w:rsidRPr="00B40DC1" w:rsidTr="00B277E1">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899" w:type="dxa"/>
            <w:vMerge/>
            <w:shd w:val="clear" w:color="auto" w:fill="auto"/>
          </w:tcPr>
          <w:p w:rsidR="0049577B" w:rsidRPr="00B277E1" w:rsidRDefault="0049577B" w:rsidP="00B277E1">
            <w:pPr>
              <w:spacing w:line="240" w:lineRule="auto"/>
              <w:ind w:leftChars="0" w:left="0" w:rightChars="0" w:right="0"/>
              <w:rPr>
                <w:sz w:val="24"/>
                <w:szCs w:val="24"/>
              </w:rPr>
            </w:pPr>
          </w:p>
        </w:tc>
        <w:tc>
          <w:tcPr>
            <w:tcW w:w="2693"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前一年八個自變項之變化，對後一年擄人勒贖犯罪率變化(依變項)之影響</w:t>
            </w:r>
          </w:p>
        </w:tc>
        <w:tc>
          <w:tcPr>
            <w:tcW w:w="4420" w:type="dxa"/>
            <w:shd w:val="clear" w:color="auto" w:fill="auto"/>
          </w:tcPr>
          <w:p w:rsidR="0049577B" w:rsidRPr="00B277E1" w:rsidRDefault="0049577B" w:rsidP="00B277E1">
            <w:pPr>
              <w:spacing w:line="240" w:lineRule="auto"/>
              <w:ind w:leftChars="0" w:left="0" w:rightChars="0" w:right="0"/>
              <w:rPr>
                <w:sz w:val="24"/>
                <w:szCs w:val="24"/>
              </w:rPr>
            </w:pPr>
            <w:r w:rsidRPr="00B277E1">
              <w:rPr>
                <w:sz w:val="24"/>
                <w:szCs w:val="24"/>
              </w:rPr>
              <w:t>前一年因擄人勒贖被執行死刑人數之變化(自變項)，未影響後一年擄人勒贖犯罪率之變化(依變項)</w:t>
            </w:r>
          </w:p>
        </w:tc>
      </w:tr>
    </w:tbl>
    <w:p w:rsidR="0049577B" w:rsidRPr="00B40DC1" w:rsidRDefault="00E736D6" w:rsidP="00B277E1">
      <w:pPr>
        <w:spacing w:line="240" w:lineRule="auto"/>
        <w:ind w:leftChars="0" w:left="0" w:rightChars="0" w:right="0"/>
      </w:pPr>
      <w:r>
        <w:t>【註】</w:t>
      </w:r>
      <w:r w:rsidR="0049577B" w:rsidRPr="00B40DC1">
        <w:t>本表格之資料來源，係為---許春金、吳景芳、李湧清、曾正一、許金標、蔡田木(1994)，死刑存廢之探討，台北：行政院研究發展考核委員會編印，頁107，並經由作者重新改寫與闡釋其統計實證數據之意義。</w:t>
      </w:r>
    </w:p>
    <w:p w:rsidR="0049577B" w:rsidRPr="00B40DC1" w:rsidRDefault="0049577B" w:rsidP="000D26BB"/>
    <w:p w:rsidR="0049577B" w:rsidRPr="00B40DC1" w:rsidRDefault="00817A92" w:rsidP="00B277E1">
      <w:pPr>
        <w:spacing w:line="240" w:lineRule="auto"/>
        <w:ind w:leftChars="0" w:left="0" w:rightChars="0" w:right="0"/>
      </w:pPr>
      <w:r>
        <w:t xml:space="preserve">　　</w:t>
      </w:r>
      <w:r w:rsidR="0049577B" w:rsidRPr="00B40DC1">
        <w:t>換言之，死刑、無期徒刑在抗制重大指標犯罪方面，可謂是一種極其失敗的、極其無效的、聊備一格的、極其落後的、非常不文明的、極其無用的、極其浪費有限司法資源的、浪費受刑人青春歲月之頹廢型、仇恨型、浪費型、報復型、以牙還牙型、以暴制暴型之刑事政策。死刑、無期徒刑之功能，僅剩下報復、以牙還牙之仇恨型效益，實不足取。簡言之，本書贊成廢掉死刑、無期徒刑。</w:t>
      </w:r>
    </w:p>
    <w:p w:rsidR="0049577B" w:rsidRPr="00B40DC1" w:rsidRDefault="00817A92" w:rsidP="00B277E1">
      <w:pPr>
        <w:spacing w:line="240" w:lineRule="auto"/>
        <w:ind w:leftChars="0" w:left="0" w:rightChars="0" w:right="0"/>
      </w:pPr>
      <w:r>
        <w:t xml:space="preserve">　　</w:t>
      </w:r>
      <w:r w:rsidR="0049577B" w:rsidRPr="00B40DC1">
        <w:t>本書遂提出以下之理論：1、死刑、無期徒刑無法有效地嚇阻(</w:t>
      </w:r>
      <w:r w:rsidR="0049577B" w:rsidRPr="00B40DC1">
        <w:rPr>
          <w:bCs/>
        </w:rPr>
        <w:t>減少)絕大多數之</w:t>
      </w:r>
      <w:r w:rsidR="0049577B" w:rsidRPr="00B40DC1">
        <w:t>犯罪論；2、死刑、無期徒刑促進殺人犯罪論；3、無期徒刑「</w:t>
      </w:r>
      <w:r w:rsidR="0049577B" w:rsidRPr="00B40DC1">
        <w:rPr>
          <w:bCs/>
        </w:rPr>
        <w:t>增加」因</w:t>
      </w:r>
      <w:r w:rsidR="0049577B" w:rsidRPr="00B40DC1">
        <w:t>殺人犯罪而被法院加以定罪之力道，比執行死刑「更加強烈」論。在解決犯罪之議題上，死刑、無期徒刑是無用的，是無成效的，是無實益的。在抗制殺人犯罪之課題上，死刑、無期徒刑無異是提油救火，令殺人犯罪更加猖獗，本書贊成站在</w:t>
      </w:r>
      <w:hyperlink r:id="rId267" w:history="1">
        <w:r w:rsidR="00185C4E" w:rsidRPr="002D4379">
          <w:rPr>
            <w:rStyle w:val="a7"/>
            <w:rFonts w:cs="Times New Roman" w:hint="eastAsia"/>
            <w:lang w:eastAsia="zh-TW" w:bidi="ar-SA"/>
          </w:rPr>
          <w:t>憲法</w:t>
        </w:r>
      </w:hyperlink>
      <w:r w:rsidR="0049577B" w:rsidRPr="00B40DC1">
        <w:t>之高度，全面廢止死刑、無期徒刑。更甚者，無期徒刑之副作用---「</w:t>
      </w:r>
      <w:r w:rsidR="0049577B" w:rsidRPr="00B40DC1">
        <w:rPr>
          <w:bCs/>
        </w:rPr>
        <w:t>增加」</w:t>
      </w:r>
      <w:r w:rsidR="0049577B" w:rsidRPr="00B40DC1">
        <w:t>殺人犯罪之力道，較執行死刑更加強烈。無期徒刑可謂是成事不足，敗事足足有餘。</w:t>
      </w:r>
    </w:p>
    <w:p w:rsidR="0049577B" w:rsidRPr="00B40DC1" w:rsidRDefault="00AC6AC1" w:rsidP="00AC6AC1">
      <w:pPr>
        <w:jc w:val="right"/>
      </w:pPr>
      <w:r w:rsidRPr="00D45AD2">
        <w:rPr>
          <w:rFonts w:hint="eastAsia"/>
          <w:sz w:val="22"/>
        </w:rPr>
        <w:t>。。。。。。。。。。。。。。。。。。</w:t>
      </w:r>
      <w:hyperlink w:anchor="a目次1" w:history="1">
        <w:r>
          <w:rPr>
            <w:rStyle w:val="a7"/>
            <w:sz w:val="22"/>
            <w:lang w:eastAsia="zh-TW"/>
          </w:rPr>
          <w:t>回總目次</w:t>
        </w:r>
      </w:hyperlink>
      <w:r w:rsidRPr="00D45AD2">
        <w:rPr>
          <w:color w:val="808000"/>
          <w:sz w:val="22"/>
        </w:rPr>
        <w:t>〉〉</w:t>
      </w:r>
    </w:p>
    <w:p w:rsidR="0049577B" w:rsidRPr="00B40DC1" w:rsidRDefault="0049577B" w:rsidP="002F19DE">
      <w:pPr>
        <w:pStyle w:val="2"/>
      </w:pPr>
      <w:bookmarkStart w:id="50" w:name="_捌、建議"/>
      <w:bookmarkEnd w:id="50"/>
      <w:r w:rsidRPr="00B40DC1">
        <w:t>捌、建議</w:t>
      </w:r>
    </w:p>
    <w:p w:rsidR="0049577B" w:rsidRPr="00B40DC1" w:rsidRDefault="00B277E1" w:rsidP="00B277E1">
      <w:pPr>
        <w:spacing w:line="240" w:lineRule="auto"/>
        <w:ind w:leftChars="0" w:left="0" w:rightChars="0" w:right="0"/>
      </w:pPr>
      <w:r>
        <w:t xml:space="preserve">　　</w:t>
      </w:r>
      <w:r w:rsidR="0049577B" w:rsidRPr="00B40DC1">
        <w:t>對於外來人口之基本人權，本文認為，唯有積極地以「法制」加以保障之，渠等始有可能認同這個國家（台灣）與土地，進而融入我國，為我國作出貢獻。是以，對於外來人口之基本人權，筆者主張：宜建構本文所提及之優質之移民法制與政策，以非常積極之態度與機制，加以充分地保障之為佳。在探討本議題之時，我國國人會有一個思考上之盲點，容筆者加以點出，此盲點在於國與國之互惠原則，諸如：某一Ａ國對於我國國民之基本人權，諸如：生命權、身體權、自由權、遷徙自由權、財產權、人性尊嚴、家庭權…等等權利，並未充分保障之，遂有我國國人主張應以其人之道，還之於其人。</w:t>
      </w:r>
    </w:p>
    <w:p w:rsidR="0049577B" w:rsidRPr="00B40DC1" w:rsidRDefault="00B277E1" w:rsidP="00B277E1">
      <w:pPr>
        <w:spacing w:line="240" w:lineRule="auto"/>
        <w:ind w:leftChars="0" w:left="0" w:rightChars="0" w:right="0"/>
      </w:pPr>
      <w:r>
        <w:t xml:space="preserve">　　</w:t>
      </w:r>
      <w:r w:rsidR="0049577B" w:rsidRPr="00B40DC1">
        <w:t>本文認為，在此，不必然須使用「互惠原則」，吾人應跳脫此種心態，改採更高與更遠之眼光，亦即，我國如擬成為世界強國，絶對有必要須吸引外來高階專技人才與相關之外來人口來台，對於渠等之基本人權，假若我國充分保障之，渠等必能感受到台灣之善意環境，其較有意願留台，為我國貢獻所能。復次，從基本人權之角度出發，外來人口亦宜與本國國民享有相同之權利，均平等地享有之為妥適。</w:t>
      </w:r>
    </w:p>
    <w:p w:rsidR="0049577B" w:rsidRPr="00B40DC1" w:rsidRDefault="00AF69C2" w:rsidP="00B277E1">
      <w:pPr>
        <w:spacing w:line="240" w:lineRule="auto"/>
        <w:ind w:leftChars="0" w:left="0" w:rightChars="0" w:right="0"/>
      </w:pPr>
      <w:r>
        <w:t xml:space="preserve">　　</w:t>
      </w:r>
      <w:r w:rsidR="0049577B" w:rsidRPr="00B40DC1">
        <w:t>基此，本文提出以下涉及如何保障外來人口基本權利之建言，供作國人參考之用，期望（盼）能為外來人口打造出一個友善與優質之生活環境，令外來人口愛上這個國家與土地，願意為我國貢獻其所長令台灣逐步朝向世界強國之林邁進之。本文綜整以上之文獻之後，就</w:t>
      </w:r>
      <w:hyperlink r:id="rId268" w:history="1">
        <w:r w:rsidR="00185C4E" w:rsidRPr="002D4379">
          <w:rPr>
            <w:rStyle w:val="a7"/>
            <w:rFonts w:cs="Times New Roman" w:hint="eastAsia"/>
            <w:lang w:eastAsia="zh-TW" w:bidi="ar-SA"/>
          </w:rPr>
          <w:t>憲法</w:t>
        </w:r>
      </w:hyperlink>
      <w:r w:rsidR="0049577B" w:rsidRPr="00B40DC1">
        <w:t>之高度，提出以下之建言：</w:t>
      </w:r>
    </w:p>
    <w:p w:rsidR="00DA4C55" w:rsidRPr="00B277E1" w:rsidRDefault="00DA4C55" w:rsidP="00B277E1">
      <w:pPr>
        <w:spacing w:line="240" w:lineRule="auto"/>
        <w:ind w:leftChars="0" w:left="0" w:rightChars="0" w:right="0"/>
      </w:pPr>
      <w:r w:rsidRPr="00B277E1">
        <w:rPr>
          <w:rFonts w:hint="eastAsia"/>
        </w:rPr>
        <w:t xml:space="preserve">　　</w:t>
      </w:r>
      <w:r w:rsidRPr="00B277E1">
        <w:t>1.就</w:t>
      </w:r>
      <w:hyperlink r:id="rId269" w:history="1">
        <w:r w:rsidR="00185C4E" w:rsidRPr="002D4379">
          <w:rPr>
            <w:rStyle w:val="a7"/>
            <w:rFonts w:cs="Times New Roman" w:hint="eastAsia"/>
            <w:lang w:eastAsia="zh-TW" w:bidi="ar-SA"/>
          </w:rPr>
          <w:t>憲法</w:t>
        </w:r>
      </w:hyperlink>
      <w:r w:rsidRPr="00B277E1">
        <w:t>之高度，賦予並保障外來人口出入國、居留、遷徙自由、選擇住所自由及不遭受違法驅逐出國之權利；</w:t>
      </w:r>
    </w:p>
    <w:p w:rsidR="00DA4C55" w:rsidRPr="00B277E1" w:rsidRDefault="00DA4C55" w:rsidP="00B277E1">
      <w:pPr>
        <w:spacing w:line="240" w:lineRule="auto"/>
        <w:ind w:leftChars="0" w:left="0" w:rightChars="0" w:right="0"/>
      </w:pPr>
      <w:r w:rsidRPr="00B277E1">
        <w:rPr>
          <w:rFonts w:hint="eastAsia"/>
        </w:rPr>
        <w:t xml:space="preserve">　　</w:t>
      </w:r>
      <w:r w:rsidRPr="00B277E1">
        <w:t>2.</w:t>
      </w:r>
      <w:r w:rsidR="002D4379" w:rsidRPr="00B40DC1">
        <w:t>我國</w:t>
      </w:r>
      <w:hyperlink r:id="rId270" w:history="1">
        <w:r w:rsidR="002D4379" w:rsidRPr="002D4379">
          <w:rPr>
            <w:rStyle w:val="a7"/>
            <w:rFonts w:cs="Times New Roman" w:hint="eastAsia"/>
            <w:lang w:eastAsia="zh-TW" w:bidi="ar-SA"/>
          </w:rPr>
          <w:t>憲法</w:t>
        </w:r>
      </w:hyperlink>
      <w:r w:rsidRPr="00B277E1">
        <w:t>實宜賦予「外來人口」與本國人享有同等之人身自由保障；</w:t>
      </w:r>
    </w:p>
    <w:p w:rsidR="00DA4C55" w:rsidRPr="00B277E1" w:rsidRDefault="00DA4C55" w:rsidP="00B277E1">
      <w:pPr>
        <w:spacing w:line="240" w:lineRule="auto"/>
        <w:ind w:leftChars="0" w:left="0" w:rightChars="0" w:right="0"/>
      </w:pPr>
      <w:r w:rsidRPr="00B277E1">
        <w:rPr>
          <w:rFonts w:hint="eastAsia"/>
        </w:rPr>
        <w:t xml:space="preserve">　　</w:t>
      </w:r>
      <w:r w:rsidRPr="00B277E1">
        <w:t>3.</w:t>
      </w:r>
      <w:r w:rsidR="002D4379" w:rsidRPr="00B40DC1">
        <w:t>我國</w:t>
      </w:r>
      <w:hyperlink r:id="rId271" w:history="1">
        <w:r w:rsidR="002D4379" w:rsidRPr="002D4379">
          <w:rPr>
            <w:rStyle w:val="a7"/>
            <w:rFonts w:cs="Times New Roman" w:hint="eastAsia"/>
            <w:lang w:eastAsia="zh-TW" w:bidi="ar-SA"/>
          </w:rPr>
          <w:t>憲法</w:t>
        </w:r>
      </w:hyperlink>
      <w:r w:rsidRPr="00B277E1">
        <w:t>實宜賦予外來人口享有「政治上庇護權」（RIGHT OF ASYLUM）；</w:t>
      </w:r>
    </w:p>
    <w:p w:rsidR="00DA4C55" w:rsidRPr="00B277E1" w:rsidRDefault="00DA4C55" w:rsidP="00B277E1">
      <w:pPr>
        <w:spacing w:line="240" w:lineRule="auto"/>
        <w:ind w:leftChars="0" w:left="0" w:rightChars="0" w:right="0"/>
      </w:pPr>
      <w:r w:rsidRPr="00B277E1">
        <w:rPr>
          <w:rFonts w:hint="eastAsia"/>
        </w:rPr>
        <w:t xml:space="preserve">　　</w:t>
      </w:r>
      <w:r w:rsidRPr="00B277E1">
        <w:t>4.外國人所享有之權利與應盡之義務，宜於</w:t>
      </w:r>
      <w:hyperlink r:id="rId272" w:history="1">
        <w:r w:rsidR="00185C4E" w:rsidRPr="002D4379">
          <w:rPr>
            <w:rStyle w:val="a7"/>
            <w:rFonts w:cs="Times New Roman" w:hint="eastAsia"/>
            <w:lang w:eastAsia="zh-TW" w:bidi="ar-SA"/>
          </w:rPr>
          <w:t>憲法</w:t>
        </w:r>
      </w:hyperlink>
      <w:r w:rsidRPr="00B277E1">
        <w:t>之中，與本國公民作非常明確之切割，並明文規範之；</w:t>
      </w:r>
    </w:p>
    <w:p w:rsidR="00DA4C55" w:rsidRPr="00B277E1" w:rsidRDefault="00DA4C55" w:rsidP="00B277E1">
      <w:pPr>
        <w:spacing w:line="240" w:lineRule="auto"/>
        <w:ind w:leftChars="0" w:left="0" w:rightChars="0" w:right="0"/>
      </w:pPr>
      <w:r w:rsidRPr="00B277E1">
        <w:rPr>
          <w:rFonts w:hint="eastAsia"/>
        </w:rPr>
        <w:t xml:space="preserve">　　</w:t>
      </w:r>
      <w:r w:rsidRPr="00B277E1">
        <w:t>5.</w:t>
      </w:r>
      <w:hyperlink r:id="rId273" w:history="1">
        <w:r w:rsidR="005158D1" w:rsidRPr="002D4379">
          <w:rPr>
            <w:rStyle w:val="a7"/>
            <w:rFonts w:cs="Times New Roman" w:hint="eastAsia"/>
            <w:lang w:eastAsia="zh-TW" w:bidi="ar-SA"/>
          </w:rPr>
          <w:t>憲法</w:t>
        </w:r>
      </w:hyperlink>
      <w:r w:rsidRPr="00B277E1">
        <w:t>宜明文規範保障外國人工作權、工作條件及勞動基本權；</w:t>
      </w:r>
    </w:p>
    <w:p w:rsidR="00DA4C55" w:rsidRPr="00B277E1" w:rsidRDefault="00DA4C55" w:rsidP="00B277E1">
      <w:pPr>
        <w:spacing w:line="240" w:lineRule="auto"/>
        <w:ind w:leftChars="0" w:left="0" w:rightChars="0" w:right="0"/>
      </w:pPr>
      <w:r w:rsidRPr="00B277E1">
        <w:rPr>
          <w:rFonts w:hint="eastAsia"/>
        </w:rPr>
        <w:t xml:space="preserve">　　</w:t>
      </w:r>
      <w:r w:rsidRPr="00B277E1">
        <w:t>6</w:t>
      </w:r>
      <w:r w:rsidR="005158D1" w:rsidRPr="00B277E1">
        <w:t>.</w:t>
      </w:r>
      <w:hyperlink r:id="rId274" w:history="1">
        <w:r w:rsidR="005158D1" w:rsidRPr="002D4379">
          <w:rPr>
            <w:rStyle w:val="a7"/>
            <w:rFonts w:cs="Times New Roman" w:hint="eastAsia"/>
            <w:lang w:eastAsia="zh-TW" w:bidi="ar-SA"/>
          </w:rPr>
          <w:t>憲法</w:t>
        </w:r>
      </w:hyperlink>
      <w:r w:rsidRPr="00B277E1">
        <w:t>宜明文規範與保障已取得永久居留資格外國人享有政治上之選舉權與任公職權利；</w:t>
      </w:r>
    </w:p>
    <w:p w:rsidR="00DA4C55" w:rsidRPr="00B277E1" w:rsidRDefault="00DA4C55" w:rsidP="00B277E1">
      <w:pPr>
        <w:spacing w:line="240" w:lineRule="auto"/>
        <w:ind w:leftChars="0" w:left="0" w:rightChars="0" w:right="0"/>
      </w:pPr>
      <w:r w:rsidRPr="00B277E1">
        <w:rPr>
          <w:rFonts w:hint="eastAsia"/>
        </w:rPr>
        <w:t xml:space="preserve">　　</w:t>
      </w:r>
      <w:r w:rsidRPr="00B277E1">
        <w:t>7.由死刑、無期徒刑在嚇阻絕大多數之犯罪上，並無實際效用，故實宜認真地思考：宜站在</w:t>
      </w:r>
      <w:hyperlink r:id="rId275" w:history="1">
        <w:r w:rsidR="00185C4E" w:rsidRPr="002D4379">
          <w:rPr>
            <w:rStyle w:val="a7"/>
            <w:rFonts w:cs="Times New Roman" w:hint="eastAsia"/>
            <w:lang w:eastAsia="zh-TW" w:bidi="ar-SA"/>
          </w:rPr>
          <w:t>憲法</w:t>
        </w:r>
      </w:hyperlink>
      <w:r w:rsidRPr="00B277E1">
        <w:t>之高度上，</w:t>
      </w:r>
      <w:hyperlink r:id="rId276" w:history="1">
        <w:r w:rsidR="002B4816" w:rsidRPr="002D4379">
          <w:rPr>
            <w:rStyle w:val="a7"/>
            <w:rFonts w:cs="Times New Roman" w:hint="eastAsia"/>
            <w:lang w:eastAsia="zh-TW" w:bidi="ar-SA"/>
          </w:rPr>
          <w:t>憲法</w:t>
        </w:r>
      </w:hyperlink>
      <w:r w:rsidRPr="00B277E1">
        <w:t>之本文，宜明文廢止死刑、無期徒刑，俾利充份地保障外來人口及本國人民之生命權（含人身自由權）。</w:t>
      </w:r>
    </w:p>
    <w:p w:rsidR="0049577B" w:rsidRPr="00B40DC1" w:rsidRDefault="0049577B" w:rsidP="000D26BB"/>
    <w:p w:rsidR="0049577B" w:rsidRPr="00B40DC1" w:rsidRDefault="00D62154" w:rsidP="00D62154">
      <w:pPr>
        <w:jc w:val="right"/>
      </w:pPr>
      <w:r w:rsidRPr="00D45AD2">
        <w:rPr>
          <w:rFonts w:hint="eastAsia"/>
          <w:sz w:val="22"/>
        </w:rPr>
        <w:t>。。。。。。。。。。。。。。。。。。</w:t>
      </w:r>
      <w:hyperlink w:anchor="a目次2" w:history="1">
        <w:r>
          <w:rPr>
            <w:rStyle w:val="a7"/>
            <w:sz w:val="22"/>
            <w:lang w:eastAsia="zh-TW"/>
          </w:rPr>
          <w:t>回總目次</w:t>
        </w:r>
      </w:hyperlink>
      <w:r w:rsidRPr="00D45AD2">
        <w:rPr>
          <w:color w:val="808000"/>
          <w:sz w:val="22"/>
        </w:rPr>
        <w:t>〉〉</w:t>
      </w:r>
    </w:p>
    <w:p w:rsidR="003C1792" w:rsidRDefault="0049577B" w:rsidP="00B662A4">
      <w:pPr>
        <w:pStyle w:val="11"/>
      </w:pPr>
      <w:bookmarkStart w:id="51" w:name="_第二章_評點制技術移民政策之研究──以加拿大、紐西蘭與澳洲為核心"/>
      <w:bookmarkStart w:id="52" w:name="_第二章、評點制技術移民政策之研究──以加拿大、紐西蘭與澳洲為核心"/>
      <w:bookmarkEnd w:id="51"/>
      <w:bookmarkEnd w:id="52"/>
      <w:r w:rsidRPr="00B40DC1">
        <w:t>第二章</w:t>
      </w:r>
      <w:r w:rsidR="001B6AED" w:rsidRPr="001B6AED">
        <w:rPr>
          <w:rFonts w:hint="eastAsia"/>
        </w:rPr>
        <w:t>、</w:t>
      </w:r>
      <w:r w:rsidRPr="00B40DC1">
        <w:t>評點制技術移民政策之研究──以加拿大、紐西蘭與澳洲為核心</w:t>
      </w: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2"/>
      </w:tblGrid>
      <w:tr w:rsidR="0049577B" w:rsidRPr="00B40DC1" w:rsidTr="001B6AED">
        <w:tc>
          <w:tcPr>
            <w:tcW w:w="9472" w:type="dxa"/>
            <w:shd w:val="clear" w:color="auto" w:fill="auto"/>
          </w:tcPr>
          <w:p w:rsidR="0049577B" w:rsidRPr="0008714D" w:rsidRDefault="0049577B" w:rsidP="00AB30F1">
            <w:pPr>
              <w:spacing w:line="240" w:lineRule="auto"/>
              <w:ind w:leftChars="0" w:left="0" w:rightChars="0" w:right="0"/>
              <w:rPr>
                <w:color w:val="990000"/>
              </w:rPr>
            </w:pPr>
            <w:bookmarkStart w:id="53" w:name="a2"/>
            <w:bookmarkEnd w:id="53"/>
            <w:r w:rsidRPr="0008714D">
              <w:rPr>
                <w:color w:val="990000"/>
              </w:rPr>
              <w:t>要目</w:t>
            </w:r>
          </w:p>
          <w:p w:rsidR="0049577B" w:rsidRDefault="0049577B" w:rsidP="00AB30F1">
            <w:pPr>
              <w:spacing w:line="240" w:lineRule="auto"/>
              <w:ind w:leftChars="0" w:left="0" w:rightChars="0" w:right="0"/>
              <w:rPr>
                <w:rStyle w:val="a7"/>
                <w:rFonts w:cs="Times New Roman"/>
                <w:lang w:eastAsia="zh-TW" w:bidi="ar-SA"/>
              </w:rPr>
            </w:pPr>
            <w:r w:rsidRPr="0008714D">
              <w:rPr>
                <w:color w:val="990000"/>
              </w:rPr>
              <w:t>壹、</w:t>
            </w:r>
            <w:hyperlink w:anchor="_壹、研究動機與目的" w:history="1">
              <w:r w:rsidRPr="00B277E1">
                <w:rPr>
                  <w:rStyle w:val="a7"/>
                  <w:rFonts w:cs="Times New Roman"/>
                  <w:lang w:eastAsia="zh-TW" w:bidi="ar-SA"/>
                </w:rPr>
                <w:t>研究動機與目的</w:t>
              </w:r>
            </w:hyperlink>
          </w:p>
          <w:p w:rsidR="0008714D" w:rsidRDefault="0008714D" w:rsidP="00AB30F1">
            <w:pPr>
              <w:spacing w:line="240" w:lineRule="auto"/>
              <w:ind w:leftChars="0" w:left="0" w:rightChars="0" w:right="0"/>
              <w:rPr>
                <w:color w:val="990000"/>
                <w:kern w:val="36"/>
              </w:rPr>
            </w:pPr>
            <w:r w:rsidRPr="00496946">
              <w:rPr>
                <w:rFonts w:hint="eastAsia"/>
                <w:color w:val="990000"/>
                <w:kern w:val="36"/>
              </w:rPr>
              <w:t>貳、</w:t>
            </w:r>
            <w:hyperlink w:anchor="_貳、相關重要名詞之定義與界定" w:history="1">
              <w:r w:rsidRPr="00E30C8F">
                <w:rPr>
                  <w:rStyle w:val="a7"/>
                  <w:rFonts w:cs="Times New Roman" w:hint="eastAsia"/>
                  <w:kern w:val="36"/>
                  <w:lang w:eastAsia="zh-TW" w:bidi="ar-SA"/>
                </w:rPr>
                <w:t>相關重要名詞之定義與界定</w:t>
              </w:r>
            </w:hyperlink>
          </w:p>
          <w:p w:rsidR="0049577B" w:rsidRPr="00B40DC1" w:rsidRDefault="0008714D" w:rsidP="00AB30F1">
            <w:pPr>
              <w:spacing w:line="240" w:lineRule="auto"/>
              <w:ind w:leftChars="0" w:left="0" w:rightChars="0" w:right="0"/>
            </w:pPr>
            <w:r w:rsidRPr="00496946">
              <w:rPr>
                <w:rFonts w:hint="eastAsia"/>
                <w:color w:val="990000"/>
                <w:kern w:val="36"/>
              </w:rPr>
              <w:t>參、</w:t>
            </w:r>
            <w:hyperlink w:anchor="_參、加拿大評點制技術移民政策之剖析" w:history="1">
              <w:r w:rsidRPr="00394C1A">
                <w:rPr>
                  <w:rStyle w:val="a7"/>
                  <w:rFonts w:cs="Times New Roman" w:hint="eastAsia"/>
                  <w:kern w:val="36"/>
                  <w:lang w:eastAsia="zh-TW" w:bidi="ar-SA"/>
                </w:rPr>
                <w:t>加拿大評點制技術移民政策之剖析</w:t>
              </w:r>
            </w:hyperlink>
          </w:p>
          <w:p w:rsidR="0049577B" w:rsidRPr="00B40DC1" w:rsidRDefault="0008714D" w:rsidP="00AB30F1">
            <w:pPr>
              <w:spacing w:line="240" w:lineRule="auto"/>
              <w:ind w:leftChars="0" w:left="0" w:rightChars="0" w:right="0"/>
            </w:pPr>
            <w:r w:rsidRPr="00496946">
              <w:rPr>
                <w:rFonts w:hint="eastAsia"/>
                <w:color w:val="990000"/>
                <w:kern w:val="36"/>
              </w:rPr>
              <w:t>肆、</w:t>
            </w:r>
            <w:hyperlink w:anchor="_肆、紐西蘭評點制技術移民政策之剖析" w:history="1">
              <w:r w:rsidRPr="00394C1A">
                <w:rPr>
                  <w:rStyle w:val="a7"/>
                  <w:rFonts w:cs="Times New Roman" w:hint="eastAsia"/>
                  <w:kern w:val="36"/>
                  <w:lang w:eastAsia="zh-TW" w:bidi="ar-SA"/>
                </w:rPr>
                <w:t>紐西蘭評點制技術移民政策之剖析</w:t>
              </w:r>
            </w:hyperlink>
          </w:p>
          <w:p w:rsidR="0049577B" w:rsidRPr="00B40DC1" w:rsidRDefault="0008714D" w:rsidP="00AB30F1">
            <w:pPr>
              <w:spacing w:line="240" w:lineRule="auto"/>
              <w:ind w:leftChars="0" w:left="0" w:rightChars="0" w:right="0"/>
            </w:pPr>
            <w:r w:rsidRPr="00496946">
              <w:rPr>
                <w:rFonts w:hint="eastAsia"/>
                <w:color w:val="990000"/>
                <w:kern w:val="36"/>
              </w:rPr>
              <w:t>伍、</w:t>
            </w:r>
            <w:hyperlink w:anchor="_伍、澳洲評點制技術移民政策之剖析" w:history="1">
              <w:r w:rsidRPr="00394C1A">
                <w:rPr>
                  <w:rStyle w:val="a7"/>
                  <w:rFonts w:cs="Times New Roman" w:hint="eastAsia"/>
                  <w:kern w:val="36"/>
                  <w:lang w:eastAsia="zh-TW" w:bidi="ar-SA"/>
                </w:rPr>
                <w:t>澳洲評點制技術移民政策之剖析</w:t>
              </w:r>
            </w:hyperlink>
          </w:p>
          <w:p w:rsidR="0049577B" w:rsidRPr="00B40DC1" w:rsidRDefault="0008714D" w:rsidP="00AB30F1">
            <w:pPr>
              <w:spacing w:line="240" w:lineRule="auto"/>
              <w:ind w:leftChars="0" w:left="0" w:rightChars="0" w:right="0"/>
            </w:pPr>
            <w:r w:rsidRPr="00496946">
              <w:rPr>
                <w:rFonts w:hint="eastAsia"/>
                <w:color w:val="990000"/>
                <w:kern w:val="36"/>
              </w:rPr>
              <w:t>陸、</w:t>
            </w:r>
            <w:hyperlink w:anchor="_陸、加拿大、紐西蘭與澳洲之評點制技術移民政策之比較" w:history="1">
              <w:r w:rsidRPr="00394C1A">
                <w:rPr>
                  <w:rStyle w:val="a7"/>
                  <w:rFonts w:cs="Times New Roman" w:hint="eastAsia"/>
                  <w:kern w:val="36"/>
                  <w:lang w:eastAsia="zh-TW" w:bidi="ar-SA"/>
                </w:rPr>
                <w:t>加拿大、紐西蘭與澳洲之評點制技術移民政策之比較</w:t>
              </w:r>
            </w:hyperlink>
          </w:p>
          <w:p w:rsidR="0049577B" w:rsidRPr="0008714D" w:rsidRDefault="0008714D" w:rsidP="00AB30F1">
            <w:pPr>
              <w:spacing w:line="240" w:lineRule="auto"/>
              <w:ind w:leftChars="0" w:left="0" w:rightChars="0" w:right="0"/>
              <w:rPr>
                <w:color w:val="990000"/>
              </w:rPr>
            </w:pPr>
            <w:r w:rsidRPr="00587E93">
              <w:rPr>
                <w:rFonts w:hint="eastAsia"/>
                <w:color w:val="990000"/>
                <w:kern w:val="36"/>
              </w:rPr>
              <w:t>》</w:t>
            </w:r>
            <w:r w:rsidR="0049577B" w:rsidRPr="0008714D">
              <w:rPr>
                <w:color w:val="990000"/>
              </w:rPr>
              <w:t>一、</w:t>
            </w:r>
            <w:hyperlink w:anchor="_一、加拿大、紐西蘭及澳洲專技移民評點制之比較" w:history="1">
              <w:r w:rsidR="0049577B" w:rsidRPr="00AF69C2">
                <w:rPr>
                  <w:rStyle w:val="a7"/>
                  <w:rFonts w:cs="Times New Roman"/>
                  <w:lang w:eastAsia="zh-TW" w:bidi="ar-SA"/>
                </w:rPr>
                <w:t>加拿大、紐西蘭及澳洲專技移民評點制之比較</w:t>
              </w:r>
            </w:hyperlink>
          </w:p>
          <w:p w:rsidR="0049577B" w:rsidRPr="0008714D" w:rsidRDefault="0008714D" w:rsidP="00AB30F1">
            <w:pPr>
              <w:spacing w:line="240" w:lineRule="auto"/>
              <w:ind w:leftChars="0" w:left="0" w:rightChars="0" w:right="0"/>
              <w:rPr>
                <w:color w:val="990000"/>
              </w:rPr>
            </w:pPr>
            <w:r w:rsidRPr="0008714D">
              <w:rPr>
                <w:rFonts w:hint="eastAsia"/>
                <w:color w:val="990000"/>
                <w:kern w:val="36"/>
              </w:rPr>
              <w:t>》</w:t>
            </w:r>
            <w:r w:rsidR="0049577B" w:rsidRPr="0008714D">
              <w:rPr>
                <w:color w:val="990000"/>
              </w:rPr>
              <w:t>二、</w:t>
            </w:r>
            <w:hyperlink w:anchor="_二、評點制項目的探討" w:history="1">
              <w:r w:rsidR="0049577B" w:rsidRPr="00AF69C2">
                <w:rPr>
                  <w:rStyle w:val="a7"/>
                  <w:rFonts w:cs="Times New Roman"/>
                  <w:lang w:eastAsia="zh-TW" w:bidi="ar-SA"/>
                </w:rPr>
                <w:t>評點制項目的探討</w:t>
              </w:r>
            </w:hyperlink>
          </w:p>
          <w:p w:rsidR="0008714D" w:rsidRDefault="0008714D" w:rsidP="00AB30F1">
            <w:pPr>
              <w:spacing w:line="240" w:lineRule="auto"/>
              <w:ind w:leftChars="0" w:left="0" w:rightChars="0" w:right="0"/>
              <w:rPr>
                <w:color w:val="990000"/>
                <w:kern w:val="36"/>
              </w:rPr>
            </w:pPr>
            <w:r w:rsidRPr="00496946">
              <w:rPr>
                <w:rFonts w:hint="eastAsia"/>
                <w:color w:val="990000"/>
                <w:kern w:val="36"/>
              </w:rPr>
              <w:t>柒、</w:t>
            </w:r>
            <w:hyperlink w:anchor="_柒、加拿大、紐西蘭與澳洲之評點制技術移民政策之優點與缺點" w:history="1">
              <w:r w:rsidRPr="00394C1A">
                <w:rPr>
                  <w:rStyle w:val="a7"/>
                  <w:rFonts w:cs="Times New Roman" w:hint="eastAsia"/>
                  <w:kern w:val="36"/>
                  <w:lang w:eastAsia="zh-TW" w:bidi="ar-SA"/>
                </w:rPr>
                <w:t>加拿大、紐西蘭與澳洲之評點制技術移民政策之優點與缺點</w:t>
              </w:r>
            </w:hyperlink>
          </w:p>
          <w:p w:rsidR="0049577B" w:rsidRPr="00B40DC1" w:rsidRDefault="0008714D" w:rsidP="00AB30F1">
            <w:pPr>
              <w:spacing w:line="240" w:lineRule="auto"/>
              <w:ind w:leftChars="0" w:left="0" w:rightChars="0" w:right="0"/>
            </w:pPr>
            <w:r w:rsidRPr="00496946">
              <w:rPr>
                <w:rFonts w:hint="eastAsia"/>
                <w:color w:val="990000"/>
                <w:kern w:val="36"/>
              </w:rPr>
              <w:t>捌、</w:t>
            </w:r>
            <w:hyperlink w:anchor="_捌、加拿大、紐西蘭與澳洲之評點制技術移民政策對我國之啟示" w:history="1">
              <w:r w:rsidRPr="00394C1A">
                <w:rPr>
                  <w:rStyle w:val="a7"/>
                  <w:rFonts w:cs="Times New Roman" w:hint="eastAsia"/>
                  <w:kern w:val="36"/>
                  <w:lang w:eastAsia="zh-TW" w:bidi="ar-SA"/>
                </w:rPr>
                <w:t>加拿大、紐西蘭與澳洲之評點制技術移民政策對我國之啟示</w:t>
              </w:r>
            </w:hyperlink>
          </w:p>
          <w:p w:rsidR="0049577B" w:rsidRPr="00B40DC1" w:rsidRDefault="0008714D" w:rsidP="00AB30F1">
            <w:pPr>
              <w:spacing w:line="240" w:lineRule="auto"/>
              <w:ind w:leftChars="0" w:left="0" w:rightChars="0" w:right="0"/>
            </w:pPr>
            <w:r w:rsidRPr="00496946">
              <w:rPr>
                <w:rFonts w:hint="eastAsia"/>
                <w:color w:val="990000"/>
                <w:kern w:val="36"/>
              </w:rPr>
              <w:t>玖、</w:t>
            </w:r>
            <w:hyperlink w:anchor="_玖、結論與建議" w:history="1">
              <w:r w:rsidRPr="00394C1A">
                <w:rPr>
                  <w:rStyle w:val="a7"/>
                  <w:rFonts w:cs="Times New Roman" w:hint="eastAsia"/>
                  <w:kern w:val="36"/>
                  <w:lang w:eastAsia="zh-TW" w:bidi="ar-SA"/>
                </w:rPr>
                <w:t>結論與建議</w:t>
              </w:r>
            </w:hyperlink>
          </w:p>
          <w:p w:rsidR="0049577B" w:rsidRPr="0008714D" w:rsidRDefault="0008714D" w:rsidP="00AB30F1">
            <w:pPr>
              <w:spacing w:line="240" w:lineRule="auto"/>
              <w:ind w:leftChars="0" w:left="0" w:rightChars="0" w:right="0"/>
              <w:rPr>
                <w:color w:val="990000"/>
              </w:rPr>
            </w:pPr>
            <w:r w:rsidRPr="0008714D">
              <w:rPr>
                <w:rFonts w:hint="eastAsia"/>
                <w:color w:val="990000"/>
                <w:kern w:val="36"/>
              </w:rPr>
              <w:t>》</w:t>
            </w:r>
            <w:r w:rsidR="0049577B" w:rsidRPr="0008714D">
              <w:rPr>
                <w:color w:val="990000"/>
              </w:rPr>
              <w:t>一、</w:t>
            </w:r>
            <w:hyperlink w:anchor="_一、結論" w:history="1">
              <w:r w:rsidR="0049577B" w:rsidRPr="00AF69C2">
                <w:rPr>
                  <w:rStyle w:val="a7"/>
                  <w:rFonts w:cs="Times New Roman"/>
                  <w:lang w:eastAsia="zh-TW" w:bidi="ar-SA"/>
                </w:rPr>
                <w:t>結論</w:t>
              </w:r>
            </w:hyperlink>
          </w:p>
          <w:p w:rsidR="0049577B" w:rsidRPr="00B40DC1" w:rsidRDefault="0008714D" w:rsidP="00AB30F1">
            <w:pPr>
              <w:spacing w:line="240" w:lineRule="auto"/>
              <w:ind w:leftChars="0" w:left="0" w:rightChars="0" w:right="0"/>
            </w:pPr>
            <w:r w:rsidRPr="0008714D">
              <w:rPr>
                <w:rFonts w:hint="eastAsia"/>
                <w:color w:val="990000"/>
                <w:kern w:val="36"/>
              </w:rPr>
              <w:t>》</w:t>
            </w:r>
            <w:r w:rsidR="0049577B" w:rsidRPr="0008714D">
              <w:rPr>
                <w:color w:val="990000"/>
              </w:rPr>
              <w:t>二、</w:t>
            </w:r>
            <w:hyperlink w:anchor="_二、建議" w:history="1">
              <w:r w:rsidR="0049577B" w:rsidRPr="00AF69C2">
                <w:rPr>
                  <w:rStyle w:val="a7"/>
                  <w:rFonts w:cs="Times New Roman"/>
                  <w:lang w:eastAsia="zh-TW" w:bidi="ar-SA"/>
                </w:rPr>
                <w:t>建議</w:t>
              </w:r>
            </w:hyperlink>
          </w:p>
        </w:tc>
      </w:tr>
    </w:tbl>
    <w:p w:rsidR="0049577B" w:rsidRPr="00B40DC1" w:rsidRDefault="0049577B" w:rsidP="000D26BB"/>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49577B" w:rsidRPr="00B40DC1" w:rsidTr="001B6AED">
        <w:tc>
          <w:tcPr>
            <w:tcW w:w="9668" w:type="dxa"/>
            <w:shd w:val="clear" w:color="auto" w:fill="auto"/>
          </w:tcPr>
          <w:p w:rsidR="0049577B" w:rsidRPr="001B6AED" w:rsidRDefault="0049577B" w:rsidP="001B6AED">
            <w:pPr>
              <w:spacing w:line="240" w:lineRule="auto"/>
              <w:ind w:leftChars="0" w:left="0" w:rightChars="0" w:right="0"/>
              <w:jc w:val="center"/>
              <w:rPr>
                <w:b/>
              </w:rPr>
            </w:pPr>
            <w:r w:rsidRPr="001B6AED">
              <w:rPr>
                <w:b/>
              </w:rPr>
              <w:t>摘要</w:t>
            </w:r>
          </w:p>
          <w:p w:rsidR="0049577B" w:rsidRPr="00B40DC1" w:rsidRDefault="001B6AED" w:rsidP="001B6AED">
            <w:pPr>
              <w:spacing w:line="240" w:lineRule="auto"/>
              <w:ind w:leftChars="0" w:left="0" w:rightChars="0" w:right="0"/>
            </w:pPr>
            <w:r>
              <w:t xml:space="preserve">　　</w:t>
            </w:r>
            <w:r w:rsidR="0049577B" w:rsidRPr="00B40DC1">
              <w:t>由於現今交通便利及資訊發達等因素，促成國際化及全球化時代之來臨，並使國際人口移動更加頻繁。現今為「知識經濟」時代，如何吸引技術移民乃各國重要之議題，各國莫不隨時代脈動即時研修移民制度及法令，以利吸引更多專業技術移民至國內，一方面以補足國內因人口老化導致勞動力不足之現象，另一方面又能迅速提升國家競爭力。先進國家如星加坡、日本、韓國、英國、加拿大、紐西蘭及澳洲等，更設計出一套遴選出技術移民之機制</w:t>
            </w:r>
            <w:r w:rsidR="0049577B" w:rsidRPr="00B40DC1">
              <w:rPr>
                <w:spacing w:val="-8"/>
              </w:rPr>
              <w:t>─</w:t>
            </w:r>
            <w:r w:rsidR="0049577B" w:rsidRPr="00B40DC1">
              <w:t>─評點制，評點制為一套公平、客觀、透明、可量化及具有彈性之制度，其就移民年齡、教育程度、語言能力、工作經驗、在該國留學經驗及配偶條件等項目作計分之標準，所得分數愈高之申請者，愈早有機會成為移入國永久居留居民，甚至成為該國國民。本研究以技術移民政策評點制行之多年且成效彰顯之國家</w:t>
            </w:r>
            <w:r w:rsidR="0049577B" w:rsidRPr="00B40DC1">
              <w:rPr>
                <w:spacing w:val="-8"/>
              </w:rPr>
              <w:t>─</w:t>
            </w:r>
            <w:r w:rsidR="0049577B" w:rsidRPr="00B40DC1">
              <w:t>─加拿大、紐西蘭及澳洲作為探討之中心，作者欲研究其技術移民遴選機制</w:t>
            </w:r>
            <w:r w:rsidR="0049577B" w:rsidRPr="00B40DC1">
              <w:rPr>
                <w:spacing w:val="-8"/>
              </w:rPr>
              <w:t>─</w:t>
            </w:r>
            <w:r w:rsidR="0049577B" w:rsidRPr="00B40DC1">
              <w:t>─評點制如何運作，綜整渠等國家之先進作法，之後，兼論渠等國家之公平、客觀、透明、可量化及具有彈性之先進措施，對台灣之啟示，並提出以下之建議：1、我國評點制之機制，似可不限於僅適用於在臺畢業僑外生之工作許可配額，或可考量應用至其他職種與國家之外國專技人才；2、我國在篩選外國專技人才之審查機制方面，本文建議，或可考量進一步採用雙軌之方式，結合審查制與評點制，似可產生更佳、更公平、更客觀與更科學之篩選效果。期望我國能有效吸引更多優質之技術移民進入我國，且能迅速與大幅度地提升我國在國際社會之競爭力，創造更美好之國家。</w:t>
            </w:r>
          </w:p>
        </w:tc>
      </w:tr>
    </w:tbl>
    <w:p w:rsidR="0049577B" w:rsidRPr="001B6AED" w:rsidRDefault="001B6AED" w:rsidP="001B6AED">
      <w:r>
        <w:t>【關鍵詞】</w:t>
      </w:r>
      <w:r w:rsidR="0049577B" w:rsidRPr="001B6AED">
        <w:t>移民政策、技術移民、專技移民、評點制、評點制、永久居留</w:t>
      </w:r>
    </w:p>
    <w:p w:rsidR="0049577B" w:rsidRPr="00B40DC1" w:rsidRDefault="001C52C3" w:rsidP="001C52C3">
      <w:pPr>
        <w:pStyle w:val="affffffc"/>
        <w:spacing w:before="360"/>
        <w:ind w:left="1163" w:hanging="880"/>
        <w:jc w:val="right"/>
      </w:pPr>
      <w:r w:rsidRPr="00D45AD2">
        <w:rPr>
          <w:rFonts w:ascii="標楷體" w:eastAsia="標楷體" w:hAnsi="標楷體" w:hint="eastAsia"/>
        </w:rPr>
        <w:t>。。。。。。。。。。。。。。</w:t>
      </w:r>
      <w:hyperlink w:anchor="a2" w:history="1">
        <w:r>
          <w:rPr>
            <w:rStyle w:val="a7"/>
            <w:sz w:val="24"/>
            <w:lang w:eastAsia="zh-TW"/>
          </w:rPr>
          <w:t>回本章</w:t>
        </w:r>
      </w:hyperlink>
      <w:r w:rsidRPr="0008714D">
        <w:rPr>
          <w:rFonts w:ascii="標楷體" w:eastAsia="標楷體" w:hAnsi="標楷體"/>
          <w:color w:val="808000"/>
          <w:sz w:val="20"/>
        </w:rPr>
        <w:t>〉〉</w:t>
      </w:r>
      <w:hyperlink w:anchor="a目次2" w:history="1">
        <w:r>
          <w:rPr>
            <w:rStyle w:val="a7"/>
            <w:sz w:val="22"/>
            <w:lang w:eastAsia="zh-TW"/>
          </w:rPr>
          <w:t>回總目次</w:t>
        </w:r>
      </w:hyperlink>
      <w:r w:rsidRPr="00D45AD2">
        <w:rPr>
          <w:color w:val="808000"/>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0"/>
      </w:tblGrid>
      <w:tr w:rsidR="0049577B" w:rsidRPr="00B40DC1" w:rsidTr="00E56787">
        <w:tc>
          <w:tcPr>
            <w:tcW w:w="9810" w:type="dxa"/>
            <w:shd w:val="clear" w:color="auto" w:fill="auto"/>
          </w:tcPr>
          <w:p w:rsidR="0049577B" w:rsidRPr="001B6AED" w:rsidRDefault="0049577B" w:rsidP="001B6AED">
            <w:pPr>
              <w:spacing w:line="240" w:lineRule="auto"/>
              <w:ind w:leftChars="0" w:left="0" w:rightChars="0" w:right="0"/>
              <w:jc w:val="center"/>
              <w:rPr>
                <w:b/>
              </w:rPr>
            </w:pPr>
            <w:r w:rsidRPr="001B6AED">
              <w:rPr>
                <w:b/>
              </w:rPr>
              <w:t>A Study on the Point-Based System for the Skilled Immigration Policy in Canada, New Zealand, and Australia</w:t>
            </w:r>
            <w:r w:rsidR="0080033A" w:rsidRPr="001B6AED">
              <w:rPr>
                <w:rFonts w:hint="eastAsia"/>
                <w:b/>
                <w:color w:val="FFFFFF" w:themeColor="background1"/>
              </w:rPr>
              <w:t>*</w:t>
            </w:r>
          </w:p>
          <w:p w:rsidR="0049577B" w:rsidRPr="001B6AED" w:rsidRDefault="0049577B" w:rsidP="001B6AED">
            <w:pPr>
              <w:jc w:val="center"/>
              <w:rPr>
                <w:b/>
                <w:sz w:val="24"/>
                <w:szCs w:val="24"/>
              </w:rPr>
            </w:pPr>
            <w:r w:rsidRPr="001B6AED">
              <w:rPr>
                <w:b/>
                <w:sz w:val="24"/>
                <w:szCs w:val="24"/>
              </w:rPr>
              <w:t>Abstract</w:t>
            </w:r>
          </w:p>
          <w:p w:rsidR="0049577B" w:rsidRPr="00B40DC1" w:rsidRDefault="0080033A" w:rsidP="0080033A">
            <w:pPr>
              <w:pStyle w:val="abstract0"/>
              <w:autoSpaceDN/>
              <w:adjustRightInd/>
              <w:spacing w:line="240" w:lineRule="auto"/>
              <w:ind w:leftChars="0" w:left="0" w:rightChars="0" w:right="0" w:firstLineChars="0" w:firstLine="0"/>
            </w:pPr>
            <w:r>
              <w:rPr>
                <w:lang w:eastAsia="zh-CN"/>
              </w:rPr>
              <w:t xml:space="preserve">　　</w:t>
            </w:r>
            <w:r w:rsidR="0049577B" w:rsidRPr="00B40DC1">
              <w:rPr>
                <w:lang w:eastAsia="zh-CN"/>
              </w:rPr>
              <w:t>Due to fast transportation, widely accessible information and other modern-day attributes, internationalization and globalization have become a reality, and the migration of international population not only is made possible but happens more frequently</w:t>
            </w:r>
            <w:r w:rsidR="003C1792">
              <w:rPr>
                <w:lang w:eastAsia="zh-CN"/>
              </w:rPr>
              <w:t>.</w:t>
            </w:r>
            <w:r w:rsidR="0049577B" w:rsidRPr="00B40DC1">
              <w:rPr>
                <w:lang w:eastAsia="zh-CN"/>
              </w:rPr>
              <w:t>The world now exalts the knowledge-based economy, and how to attract skilled immigrants has become an important issue for the international community</w:t>
            </w:r>
            <w:r w:rsidR="003C1792">
              <w:rPr>
                <w:lang w:eastAsia="zh-CN"/>
              </w:rPr>
              <w:t>.</w:t>
            </w:r>
            <w:r w:rsidR="0049577B" w:rsidRPr="00B40DC1">
              <w:rPr>
                <w:lang w:eastAsia="zh-CN"/>
              </w:rPr>
              <w:t>Countries now amend immigration laws and policies in order to keep up with the trend and to draw more skilled immigrants</w:t>
            </w:r>
            <w:r w:rsidR="003C1792">
              <w:rPr>
                <w:lang w:eastAsia="zh-CN"/>
              </w:rPr>
              <w:t>.</w:t>
            </w:r>
            <w:r w:rsidR="0049577B" w:rsidRPr="00B40DC1">
              <w:t>C</w:t>
            </w:r>
            <w:r w:rsidR="0049577B" w:rsidRPr="00B40DC1">
              <w:rPr>
                <w:lang w:eastAsia="zh-CN"/>
              </w:rPr>
              <w:t>ountries not only can supply themselves with new labor force to fill the shortage caused by an a</w:t>
            </w:r>
            <w:r w:rsidR="0049577B" w:rsidRPr="00B40DC1">
              <w:t>ging</w:t>
            </w:r>
            <w:r w:rsidR="0049577B" w:rsidRPr="00B40DC1">
              <w:rPr>
                <w:lang w:eastAsia="zh-CN"/>
              </w:rPr>
              <w:t xml:space="preserve"> population and a low birth rate</w:t>
            </w:r>
            <w:r w:rsidR="0049577B" w:rsidRPr="00B40DC1">
              <w:t xml:space="preserve"> </w:t>
            </w:r>
            <w:r w:rsidR="0049577B" w:rsidRPr="00B40DC1">
              <w:rPr>
                <w:lang w:eastAsia="zh-CN"/>
              </w:rPr>
              <w:t xml:space="preserve">but also can quickly elevate their </w:t>
            </w:r>
            <w:r w:rsidR="0049577B" w:rsidRPr="00B40DC1">
              <w:rPr>
                <w:rStyle w:val="mceitemhidden"/>
                <w:rFonts w:eastAsia="標楷體"/>
                <w:sz w:val="24"/>
                <w:lang w:eastAsia="zh-CN"/>
              </w:rPr>
              <w:t>competitiveness</w:t>
            </w:r>
            <w:r w:rsidR="003C1792">
              <w:rPr>
                <w:lang w:eastAsia="zh-CN"/>
              </w:rPr>
              <w:t>.</w:t>
            </w:r>
            <w:r w:rsidR="0049577B" w:rsidRPr="00B40DC1">
              <w:rPr>
                <w:lang w:eastAsia="zh-CN"/>
              </w:rPr>
              <w:t>Developed countries, such as Singapore, Japan, Korea, the UK, Canada, New Zealand, Australia and many other countries, have adopted a skilled immigration selection mechanism—a point-based system</w:t>
            </w:r>
            <w:r w:rsidR="003C1792">
              <w:rPr>
                <w:lang w:eastAsia="zh-CN"/>
              </w:rPr>
              <w:t>.</w:t>
            </w:r>
            <w:r w:rsidR="0049577B" w:rsidRPr="00B40DC1">
              <w:rPr>
                <w:lang w:eastAsia="zh-CN"/>
              </w:rPr>
              <w:t>The system is a fair, objective, transparent, quantitative and flexible tool that evaluates skilled immigrants’ age, education level, language proficiency, work experience, years of schooling in the country they wish to migrate to and the qualifications of their spouses and etc</w:t>
            </w:r>
            <w:r w:rsidR="003C1792">
              <w:rPr>
                <w:lang w:eastAsia="zh-CN"/>
              </w:rPr>
              <w:t>.</w:t>
            </w:r>
            <w:r w:rsidR="0049577B" w:rsidRPr="00B40DC1">
              <w:rPr>
                <w:lang w:eastAsia="zh-CN"/>
              </w:rPr>
              <w:t>Candidates with more points have a better chance of becoming permanent residents or even citizens</w:t>
            </w:r>
            <w:r w:rsidR="003C1792">
              <w:rPr>
                <w:lang w:eastAsia="zh-CN"/>
              </w:rPr>
              <w:t>.</w:t>
            </w:r>
            <w:r w:rsidR="0049577B" w:rsidRPr="00B40DC1">
              <w:rPr>
                <w:lang w:eastAsia="zh-CN"/>
              </w:rPr>
              <w:t>The thesis draws references from Canada, New Zealand and Australia where the skilled immigration point-based system has been effectively in us</w:t>
            </w:r>
            <w:r w:rsidR="0049577B" w:rsidRPr="00B40DC1">
              <w:t>ing</w:t>
            </w:r>
            <w:r w:rsidR="0049577B" w:rsidRPr="00B40DC1">
              <w:rPr>
                <w:lang w:eastAsia="zh-CN"/>
              </w:rPr>
              <w:t xml:space="preserve"> for years in order to comprehend the skilled immigration selection mechanism and how the point-based system works</w:t>
            </w:r>
            <w:r w:rsidR="003C1792">
              <w:rPr>
                <w:lang w:eastAsia="zh-CN"/>
              </w:rPr>
              <w:t>.</w:t>
            </w:r>
            <w:r w:rsidR="0049577B" w:rsidRPr="00B40DC1">
              <w:rPr>
                <w:lang w:eastAsia="zh-CN"/>
              </w:rPr>
              <w:t xml:space="preserve">At the same time, the thesis </w:t>
            </w:r>
            <w:r w:rsidR="0049577B" w:rsidRPr="00B40DC1">
              <w:t xml:space="preserve">also </w:t>
            </w:r>
            <w:r w:rsidR="0049577B" w:rsidRPr="00B40DC1">
              <w:rPr>
                <w:lang w:eastAsia="zh-CN"/>
              </w:rPr>
              <w:t>explores whether the existing skilled immigration law, policies and complementary measures of Taiwan are appropriate and whether the point-based system can be adopted when it comes to selecting skilled immigrants</w:t>
            </w:r>
            <w:r w:rsidR="003C1792">
              <w:rPr>
                <w:lang w:eastAsia="zh-CN"/>
              </w:rPr>
              <w:t>.</w:t>
            </w:r>
            <w:r w:rsidR="0049577B" w:rsidRPr="00B40DC1">
              <w:rPr>
                <w:lang w:eastAsia="zh-CN"/>
              </w:rPr>
              <w:t>Taiwan is not similar to Canada, New Zealand and Australia</w:t>
            </w:r>
            <w:r w:rsidR="0049577B" w:rsidRPr="00B40DC1">
              <w:t>, and we can design the specific mechanism which is suitable for our nation</w:t>
            </w:r>
            <w:r w:rsidR="003C1792">
              <w:rPr>
                <w:lang w:eastAsia="zh-CN"/>
              </w:rPr>
              <w:t>.</w:t>
            </w:r>
            <w:r w:rsidR="0049577B" w:rsidRPr="00B40DC1">
              <w:rPr>
                <w:lang w:eastAsia="zh-CN"/>
              </w:rPr>
              <w:t>For example, at first, a dual-track system—a combination of the point-based system and a review committee that reviews the qualification of a permanent residency applicant</w:t>
            </w:r>
            <w:r w:rsidR="0049577B" w:rsidRPr="00B40DC1">
              <w:t xml:space="preserve"> perhaps </w:t>
            </w:r>
            <w:r w:rsidR="0049577B" w:rsidRPr="00B40DC1">
              <w:rPr>
                <w:lang w:eastAsia="zh-CN"/>
              </w:rPr>
              <w:t>can be adopted</w:t>
            </w:r>
            <w:r w:rsidR="003C1792">
              <w:rPr>
                <w:lang w:eastAsia="zh-CN"/>
              </w:rPr>
              <w:t>.</w:t>
            </w:r>
            <w:r w:rsidR="0049577B" w:rsidRPr="00B40DC1">
              <w:t>T</w:t>
            </w:r>
            <w:r w:rsidR="0049577B" w:rsidRPr="00B40DC1">
              <w:rPr>
                <w:lang w:eastAsia="zh-CN"/>
              </w:rPr>
              <w:t xml:space="preserve">he advantages of the point-based system </w:t>
            </w:r>
            <w:r w:rsidR="0049577B" w:rsidRPr="00B40DC1">
              <w:t xml:space="preserve">are </w:t>
            </w:r>
            <w:r w:rsidR="0049577B" w:rsidRPr="00B40DC1">
              <w:rPr>
                <w:lang w:eastAsia="zh-CN"/>
              </w:rPr>
              <w:t>fairness, objectiveness, transparency,</w:t>
            </w:r>
            <w:r w:rsidR="0049577B" w:rsidRPr="00B40DC1">
              <w:t xml:space="preserve"> and </w:t>
            </w:r>
            <w:r w:rsidR="0049577B" w:rsidRPr="00B40DC1">
              <w:rPr>
                <w:lang w:eastAsia="zh-CN"/>
              </w:rPr>
              <w:t>quantitativeness</w:t>
            </w:r>
            <w:r w:rsidR="003C1792">
              <w:rPr>
                <w:lang w:eastAsia="zh-CN"/>
              </w:rPr>
              <w:t>.</w:t>
            </w:r>
            <w:r w:rsidR="0049577B" w:rsidRPr="00B40DC1">
              <w:rPr>
                <w:lang w:eastAsia="zh-CN"/>
              </w:rPr>
              <w:t>In addition, the dual-track system can be tailor-made to meet the need of the state of Taiwan while leaving its common practice some flexibility</w:t>
            </w:r>
            <w:r w:rsidR="003C1792">
              <w:rPr>
                <w:lang w:eastAsia="zh-CN"/>
              </w:rPr>
              <w:t>.</w:t>
            </w:r>
            <w:r w:rsidR="0049577B" w:rsidRPr="00B40DC1">
              <w:rPr>
                <w:lang w:eastAsia="zh-CN"/>
              </w:rPr>
              <w:t xml:space="preserve">The hope </w:t>
            </w:r>
            <w:r w:rsidR="0049577B" w:rsidRPr="00B40DC1">
              <w:t xml:space="preserve">and aim </w:t>
            </w:r>
            <w:r w:rsidR="0049577B" w:rsidRPr="00B40DC1">
              <w:rPr>
                <w:lang w:eastAsia="zh-CN"/>
              </w:rPr>
              <w:t xml:space="preserve">of this thesis </w:t>
            </w:r>
            <w:r w:rsidR="0049577B" w:rsidRPr="00B40DC1">
              <w:t>want</w:t>
            </w:r>
            <w:r w:rsidR="0049577B" w:rsidRPr="00B40DC1">
              <w:rPr>
                <w:lang w:eastAsia="zh-CN"/>
              </w:rPr>
              <w:t xml:space="preserve"> to draw more skilled</w:t>
            </w:r>
            <w:r w:rsidR="0049577B" w:rsidRPr="00B40DC1">
              <w:t>, extinguished</w:t>
            </w:r>
            <w:r w:rsidR="0049577B" w:rsidRPr="00B40DC1">
              <w:rPr>
                <w:lang w:eastAsia="zh-CN"/>
              </w:rPr>
              <w:t xml:space="preserve"> </w:t>
            </w:r>
            <w:r w:rsidR="0049577B" w:rsidRPr="00B40DC1">
              <w:t xml:space="preserve">and excellent </w:t>
            </w:r>
            <w:r w:rsidR="0049577B" w:rsidRPr="00B40DC1">
              <w:rPr>
                <w:lang w:eastAsia="zh-CN"/>
              </w:rPr>
              <w:t>immigrants to Taiwan and to quickly elevate Taiwan’s competitiveness</w:t>
            </w:r>
            <w:r w:rsidR="0049577B" w:rsidRPr="00B40DC1">
              <w:t xml:space="preserve"> in the world, and let our nation become more better</w:t>
            </w:r>
            <w:r w:rsidR="0049577B" w:rsidRPr="00B40DC1">
              <w:rPr>
                <w:lang w:eastAsia="zh-CN"/>
              </w:rPr>
              <w:t>.</w:t>
            </w:r>
          </w:p>
        </w:tc>
      </w:tr>
    </w:tbl>
    <w:p w:rsidR="0080033A" w:rsidRPr="0080033A" w:rsidRDefault="00871524" w:rsidP="0080033A">
      <w:pPr>
        <w:spacing w:line="240" w:lineRule="auto"/>
        <w:ind w:leftChars="0" w:left="0" w:rightChars="0" w:right="0"/>
        <w:rPr>
          <w:sz w:val="24"/>
        </w:rPr>
      </w:pPr>
      <w:r w:rsidRPr="00871524">
        <w:rPr>
          <w:rFonts w:hint="eastAsia"/>
          <w:sz w:val="24"/>
        </w:rPr>
        <w:t>【</w:t>
      </w:r>
      <w:r w:rsidR="0080033A" w:rsidRPr="0080033A">
        <w:rPr>
          <w:sz w:val="24"/>
        </w:rPr>
        <w:t>Keywords</w:t>
      </w:r>
      <w:r w:rsidRPr="00871524">
        <w:rPr>
          <w:rFonts w:hint="eastAsia"/>
          <w:sz w:val="24"/>
        </w:rPr>
        <w:t>】</w:t>
      </w:r>
      <w:r w:rsidR="0080033A" w:rsidRPr="0080033A">
        <w:rPr>
          <w:sz w:val="24"/>
        </w:rPr>
        <w:t>immigration policy, high-skilled immigrants, high-skilled workers, point-based system, point system, permanent resident</w:t>
      </w:r>
    </w:p>
    <w:p w:rsidR="0049577B" w:rsidRPr="00BA2B9D" w:rsidRDefault="0008714D" w:rsidP="0008714D">
      <w:pPr>
        <w:pStyle w:val="key"/>
        <w:autoSpaceDN/>
        <w:adjustRightInd/>
        <w:spacing w:beforeLines="0" w:before="0" w:line="240" w:lineRule="auto"/>
        <w:ind w:leftChars="0" w:left="0" w:rightChars="0" w:right="0" w:firstLineChars="0" w:firstLine="0"/>
        <w:jc w:val="right"/>
        <w:rPr>
          <w:szCs w:val="22"/>
        </w:rPr>
      </w:pPr>
      <w:r w:rsidRPr="00BA2B9D">
        <w:rPr>
          <w:rFonts w:ascii="標楷體" w:eastAsia="標楷體" w:hAnsi="標楷體" w:hint="eastAsia"/>
          <w:szCs w:val="22"/>
        </w:rPr>
        <w:t>。。。。。。。。。。。。。。</w:t>
      </w:r>
      <w:hyperlink w:anchor="a2" w:history="1">
        <w:r w:rsidRPr="00BA2B9D">
          <w:rPr>
            <w:rStyle w:val="a7"/>
            <w:sz w:val="22"/>
            <w:szCs w:val="22"/>
            <w:lang w:eastAsia="zh-TW"/>
          </w:rPr>
          <w:t>回本章</w:t>
        </w:r>
      </w:hyperlink>
      <w:r w:rsidRPr="00BA2B9D">
        <w:rPr>
          <w:rFonts w:ascii="標楷體" w:eastAsia="標楷體" w:hAnsi="標楷體"/>
          <w:color w:val="808000"/>
          <w:szCs w:val="22"/>
        </w:rPr>
        <w:t>〉〉</w:t>
      </w:r>
      <w:hyperlink w:anchor="a目次2" w:history="1">
        <w:r w:rsidR="00E56787" w:rsidRPr="00BA2B9D">
          <w:rPr>
            <w:rStyle w:val="a7"/>
            <w:sz w:val="22"/>
            <w:szCs w:val="22"/>
            <w:lang w:eastAsia="zh-TW"/>
          </w:rPr>
          <w:t>回總目次</w:t>
        </w:r>
      </w:hyperlink>
      <w:r w:rsidR="00E56787" w:rsidRPr="00BA2B9D">
        <w:rPr>
          <w:color w:val="808000"/>
          <w:szCs w:val="22"/>
        </w:rPr>
        <w:t>〉〉</w:t>
      </w:r>
    </w:p>
    <w:p w:rsidR="003C1792" w:rsidRDefault="0049577B" w:rsidP="002F19DE">
      <w:pPr>
        <w:pStyle w:val="2"/>
      </w:pPr>
      <w:bookmarkStart w:id="54" w:name="_壹、研究動機與目的"/>
      <w:bookmarkEnd w:id="54"/>
      <w:r w:rsidRPr="00B40DC1">
        <w:t xml:space="preserve">壹、研究動機與目的 </w:t>
      </w:r>
    </w:p>
    <w:p w:rsidR="0049577B" w:rsidRPr="00B40DC1" w:rsidRDefault="00DA4C55" w:rsidP="001E5A9C">
      <w:pPr>
        <w:spacing w:line="240" w:lineRule="auto"/>
        <w:ind w:leftChars="0" w:left="0" w:rightChars="0" w:right="0"/>
      </w:pPr>
      <w:r>
        <w:t xml:space="preserve">　　</w:t>
      </w:r>
      <w:r w:rsidR="0049577B" w:rsidRPr="00B40DC1">
        <w:t>在各國搶技術人才大戰中，為遴選出符合國內需求之技術人才，先進國家如星加坡、日本、韓國、英國、加拿大、紐西蘭及澳洲等更設計出一套遴選出技術移民之機制</w:t>
      </w:r>
      <w:r w:rsidR="0049577B" w:rsidRPr="00B40DC1">
        <w:rPr>
          <w:spacing w:val="-10"/>
        </w:rPr>
        <w:t>─</w:t>
      </w:r>
      <w:r w:rsidR="0049577B" w:rsidRPr="00B40DC1">
        <w:t>─評點制。技術移民之評點制乃就移民年齡、教育程度、語言能力、工作經驗、在該國留學經驗及配偶條件等項目一一計分，評點制為一套公平、客觀、透明、可量化及具有彈性之工具，所得分數愈高之申請者，愈能早些有機會成為移入國永久居留居民，甚至成為該國國民。本研究以加拿大、紐西蘭及澳洲作探討，三個國家在技術移民政策行之多年，且有良好之成效，我國在擬訂吸引國外技術人才之同時，似亦可參酌本研究中三個國家之政策。</w:t>
      </w:r>
    </w:p>
    <w:p w:rsidR="0049577B" w:rsidRPr="00B40DC1" w:rsidRDefault="001E5A9C" w:rsidP="001E5A9C">
      <w:pPr>
        <w:spacing w:line="240" w:lineRule="auto"/>
        <w:ind w:leftChars="0" w:left="0" w:rightChars="0" w:right="0"/>
      </w:pPr>
      <w:r>
        <w:t xml:space="preserve">　　</w:t>
      </w:r>
      <w:r w:rsidR="0049577B" w:rsidRPr="00B40DC1">
        <w:t>目前技術移民「評點制」採行之國家有星加坡、日本、韓國、英國、加拿大、紐西蘭及澳洲等，且愈來愈多之國家，群起效尤，技術移民「評點制」之採取，漸漸成了國際趨勢。本研究將以技術移民「評點制」行之多年之國家加拿大、紐西蘭及澳洲作探討。本研究擬瞭解加拿大、紐西蘭及澳洲技術移民歷程及移民政策之思維模式為何?探討上述三國技術移民政策及其審核機制</w:t>
      </w:r>
      <w:r w:rsidR="0049577B" w:rsidRPr="00B40DC1">
        <w:rPr>
          <w:spacing w:val="-10"/>
        </w:rPr>
        <w:t>─</w:t>
      </w:r>
      <w:r w:rsidR="0049577B" w:rsidRPr="00B40DC1">
        <w:t>─評點制如何運作? 此外，並兼而探討我國目前移民之現行法律及配套措施是否適宜?是否能借鏡有移民歷史之國家加拿大、紐西蘭及澳洲之技術移民政策</w:t>
      </w:r>
      <w:r w:rsidR="0049577B" w:rsidRPr="00B40DC1">
        <w:rPr>
          <w:spacing w:val="-10"/>
        </w:rPr>
        <w:t>─</w:t>
      </w:r>
      <w:r w:rsidR="0049577B" w:rsidRPr="00B40DC1">
        <w:t>─評點制之實施以利吸引優秀技術移民? 本文綜整渠等國家之先進作法，之後，兼論渠等國家之公平、客觀、透明、可量化及具有彈性之先進措施，對台灣之啟示，之後，導出結論與建議。</w:t>
      </w:r>
    </w:p>
    <w:p w:rsidR="0049577B" w:rsidRPr="00B40DC1" w:rsidRDefault="00336DBD" w:rsidP="0008714D">
      <w:pPr>
        <w:jc w:val="right"/>
      </w:pPr>
      <w:r w:rsidRPr="0030350C">
        <w:rPr>
          <w:rFonts w:hint="eastAsia"/>
          <w:sz w:val="22"/>
          <w:szCs w:val="22"/>
        </w:rPr>
        <w:t>。。。。。。。。。。。。。。</w:t>
      </w:r>
      <w:hyperlink w:anchor="a2" w:history="1">
        <w:r w:rsidRPr="0030350C">
          <w:rPr>
            <w:rStyle w:val="a7"/>
            <w:sz w:val="22"/>
            <w:szCs w:val="22"/>
            <w:lang w:eastAsia="zh-TW"/>
          </w:rPr>
          <w:t>回本章</w:t>
        </w:r>
      </w:hyperlink>
      <w:r w:rsidRPr="0030350C">
        <w:rPr>
          <w:color w:val="808000"/>
          <w:sz w:val="22"/>
          <w:szCs w:val="22"/>
        </w:rPr>
        <w:t>〉〉</w:t>
      </w:r>
      <w:hyperlink w:anchor="a目次2" w:history="1">
        <w:r w:rsidRPr="0030350C">
          <w:rPr>
            <w:rStyle w:val="a7"/>
            <w:sz w:val="22"/>
            <w:szCs w:val="22"/>
            <w:lang w:eastAsia="zh-TW"/>
          </w:rPr>
          <w:t>回總目次</w:t>
        </w:r>
      </w:hyperlink>
      <w:r w:rsidRPr="0030350C">
        <w:rPr>
          <w:color w:val="808000"/>
          <w:sz w:val="22"/>
          <w:szCs w:val="22"/>
        </w:rPr>
        <w:t>〉〉</w:t>
      </w:r>
    </w:p>
    <w:p w:rsidR="003C1792" w:rsidRDefault="0049577B" w:rsidP="002F19DE">
      <w:pPr>
        <w:pStyle w:val="2"/>
      </w:pPr>
      <w:bookmarkStart w:id="55" w:name="_貳、相關重要名詞之定義與界定"/>
      <w:bookmarkEnd w:id="55"/>
      <w:r w:rsidRPr="00B40DC1">
        <w:t>貳、相關重要名詞之定義與界定</w:t>
      </w:r>
    </w:p>
    <w:p w:rsidR="0049577B" w:rsidRPr="007D602F" w:rsidRDefault="0049577B" w:rsidP="00EC0EE2">
      <w:pPr>
        <w:pStyle w:val="3"/>
        <w:rPr>
          <w:lang w:eastAsia="zh-TW"/>
        </w:rPr>
      </w:pPr>
      <w:r w:rsidRPr="007D602F">
        <w:rPr>
          <w:lang w:eastAsia="zh-TW"/>
        </w:rPr>
        <w:t>一、評點制定義</w:t>
      </w:r>
    </w:p>
    <w:p w:rsidR="0049577B" w:rsidRPr="007D602F" w:rsidRDefault="00DA4C55" w:rsidP="00321574">
      <w:pPr>
        <w:spacing w:line="240" w:lineRule="auto"/>
        <w:ind w:leftChars="0" w:left="0" w:rightChars="0" w:right="0"/>
      </w:pPr>
      <w:r>
        <w:t xml:space="preserve">　　</w:t>
      </w:r>
      <w:r w:rsidR="0049577B" w:rsidRPr="007D602F">
        <w:t>(一)在加拿大公民及移民部網站上，評點制之定義乃用來評估技術移民資格之指標，始能提出聯邦技術移民(FSW)，計分包括六項指標，技術移民申請者英語或法語能力、教育程度、工作經驗、年齡、就業邀請及適應性。技術移民申請者要先符合聯邦技術移民(FSW)計分資格，滿分為100分，至少要獲得67分，始有資格再進入「快速移民」(EE)線上自動計分篩選系統。「快速移民」(EE)系統中，分數愈高者，愈有機會獲選為擁有永久居留權之技術移民。</w:t>
      </w:r>
      <w:r w:rsidR="0049577B" w:rsidRPr="00E30C8F">
        <w:rPr>
          <w:rFonts w:ascii="Arial Unicode MS" w:eastAsia="新細明體" w:hAnsi="Arial Unicode MS"/>
          <w:color w:val="FF6600"/>
          <w:sz w:val="20"/>
        </w:rPr>
        <w:footnoteReference w:id="378"/>
      </w:r>
    </w:p>
    <w:p w:rsidR="0049577B" w:rsidRPr="007D602F" w:rsidRDefault="00DA4C55" w:rsidP="00321574">
      <w:pPr>
        <w:spacing w:line="240" w:lineRule="auto"/>
        <w:ind w:leftChars="0" w:left="0" w:rightChars="0" w:right="0"/>
      </w:pPr>
      <w:r>
        <w:t xml:space="preserve">　　</w:t>
      </w:r>
      <w:r w:rsidR="0049577B" w:rsidRPr="007D602F">
        <w:t>(二)在紐西蘭移民局網站上，評點制之定義乃用來評估技術移民資格之指標，計分之指標項目包括技能、年齡、教育程度、職業及工作經驗等，技術移民申請者需至少獲得100分以上，所提出之意向申請EOI(Expression of Interest)，始會被放入意向申請篩選機制之中，另外至少要獲得140分以上，紐西蘭移民局之系統，始會自動選取並由紐西蘭移民當局進行評估，是否有資格獲得技術移民工作簽證之邀請。</w:t>
      </w:r>
      <w:r w:rsidR="0049577B" w:rsidRPr="00871524">
        <w:rPr>
          <w:rFonts w:ascii="Arial Unicode MS" w:eastAsia="新細明體" w:hAnsi="Arial Unicode MS"/>
          <w:color w:val="FF6600"/>
          <w:sz w:val="20"/>
        </w:rPr>
        <w:footnoteReference w:id="379"/>
      </w:r>
    </w:p>
    <w:p w:rsidR="00E30C8F" w:rsidRPr="007D602F" w:rsidRDefault="00DA4C55" w:rsidP="001E5A9C">
      <w:pPr>
        <w:spacing w:line="240" w:lineRule="auto"/>
        <w:ind w:leftChars="0" w:left="0" w:rightChars="0" w:right="0"/>
      </w:pPr>
      <w:r>
        <w:t xml:space="preserve">　　</w:t>
      </w:r>
      <w:r w:rsidR="0049577B" w:rsidRPr="007D602F">
        <w:t>(三)在澳洲移民局網站上，對評點制之定義乃分數之核分。技術移民申請者若欲申請澳洲技術移民工作簽證，就需要通過Skill Select線上系統自動實施評點制。評點制之測試是用來幫助欲移民澳洲之技術移民辨識出技能及屬性。透過評點制之測試決定申請所能申請之工作簽證類別。評點制之項目包括技能、年齡、教育程度、英語能力、職業、澳洲之工作經驗和澳洲之留學經驗。技術移民申請者至少要得到60分以上始能提出意向申請(EOI,Expression of Interest)。</w:t>
      </w:r>
      <w:r w:rsidR="0049577B" w:rsidRPr="00E30C8F">
        <w:rPr>
          <w:rFonts w:ascii="Arial Unicode MS" w:eastAsia="新細明體" w:hAnsi="Arial Unicode MS"/>
          <w:color w:val="FF6600"/>
          <w:sz w:val="20"/>
        </w:rPr>
        <w:footnoteReference w:id="380"/>
      </w:r>
    </w:p>
    <w:p w:rsidR="0049577B" w:rsidRPr="00B40DC1" w:rsidRDefault="0049577B" w:rsidP="00EC0EE2">
      <w:pPr>
        <w:pStyle w:val="3"/>
        <w:rPr>
          <w:lang w:eastAsia="zh-TW"/>
        </w:rPr>
      </w:pPr>
      <w:r w:rsidRPr="00B40DC1">
        <w:rPr>
          <w:lang w:eastAsia="zh-TW"/>
        </w:rPr>
        <w:t>二、移民(migration)定義</w:t>
      </w:r>
      <w:r w:rsidRPr="00E30C8F">
        <w:rPr>
          <w:rStyle w:val="af7"/>
          <w:rFonts w:eastAsia="新細明體"/>
          <w:kern w:val="2"/>
          <w:sz w:val="20"/>
          <w:szCs w:val="24"/>
        </w:rPr>
        <w:footnoteReference w:id="381"/>
      </w:r>
    </w:p>
    <w:p w:rsidR="0049577B" w:rsidRDefault="001E5A9C" w:rsidP="00321574">
      <w:pPr>
        <w:spacing w:line="240" w:lineRule="auto"/>
        <w:ind w:leftChars="0" w:left="0" w:rightChars="0" w:right="0"/>
      </w:pPr>
      <w:r>
        <w:t xml:space="preserve">　　</w:t>
      </w:r>
      <w:r w:rsidR="0049577B" w:rsidRPr="00B40DC1">
        <w:t xml:space="preserve">大英簡明百科（Britannica Concise Encyclopedia）對於移民(migration)之定義，則為：「個人或團體住所之永久性改變(Permanent change of residence by an individual or group)，不包括游牧生活和流動勞工之遷移(excluding such movements as nomadism and migrant labor)。移徙可分為國內或國際(Migrations may be classed as internal or international)、自願或被強迫(and as voluntary or forced)。自願之移徙一般是為了追尋更好之生活(Voluntary migration is usually undertaken in search of a better life)；強迫性移徙包括戰爭期間之驅逐以及奴隸或囚犯之轉移(forced migrations include expulsions during war and transportation of slaves or prisoners)。最早之人類移徙是在約五萬年內，從非洲遷移至除了南極以外之各大陸(The earliest humans migrated from Africa to all the continents except Antarctica within about 50,000 years)。、……國內移徙，主要是從農村遷往市中心(Internal migrations have tended to be from rural areas to urban centers)。」 </w:t>
      </w:r>
      <w:r w:rsidR="0049577B" w:rsidRPr="001E5A9C">
        <w:rPr>
          <w:rStyle w:val="af7"/>
          <w:rFonts w:eastAsia="新細明體"/>
          <w:sz w:val="20"/>
        </w:rPr>
        <w:footnoteReference w:id="382"/>
      </w:r>
    </w:p>
    <w:p w:rsidR="0049577B" w:rsidRPr="00B40DC1" w:rsidRDefault="0049577B" w:rsidP="00EC0EE2">
      <w:pPr>
        <w:pStyle w:val="3"/>
        <w:rPr>
          <w:lang w:eastAsia="zh-TW"/>
        </w:rPr>
      </w:pPr>
      <w:r w:rsidRPr="00B40DC1">
        <w:rPr>
          <w:lang w:eastAsia="zh-TW"/>
        </w:rPr>
        <w:t>三、評點制技術移民政策之定義</w:t>
      </w:r>
    </w:p>
    <w:p w:rsidR="0049577B" w:rsidRPr="00B40DC1" w:rsidRDefault="001E5A9C" w:rsidP="00321574">
      <w:pPr>
        <w:spacing w:line="240" w:lineRule="auto"/>
        <w:ind w:leftChars="0" w:left="0" w:rightChars="0" w:right="0"/>
      </w:pPr>
      <w:r>
        <w:t xml:space="preserve">　　</w:t>
      </w:r>
      <w:r w:rsidR="0049577B" w:rsidRPr="00B40DC1">
        <w:t>有關評點制技術移民政策之定義，本文認為，乃指國家為達到吸引擁有高等教育程度，或需要至少是大學畢業之專門技術之職業者，由國外移入地主國(目的國)之終極目的，所須處理與解決之各式評估技術移民資格之指標課題，與涉及此一課題之相關各式移民問題，國家所採取之基本原則方針及策略。</w:t>
      </w:r>
    </w:p>
    <w:p w:rsidR="0049577B" w:rsidRPr="00B40DC1" w:rsidRDefault="00E56787" w:rsidP="00321574">
      <w:pPr>
        <w:jc w:val="right"/>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sz w:val="22"/>
        </w:rPr>
        <w:t>〉〉</w:t>
      </w:r>
    </w:p>
    <w:p w:rsidR="003C1792" w:rsidRDefault="0049577B" w:rsidP="002F19DE">
      <w:pPr>
        <w:pStyle w:val="2"/>
      </w:pPr>
      <w:bookmarkStart w:id="56" w:name="_參、加拿大評點制技術移民政策之剖析"/>
      <w:bookmarkEnd w:id="56"/>
      <w:r w:rsidRPr="00B40DC1">
        <w:t xml:space="preserve">參、加拿大評點制技術移民政策之剖析 </w:t>
      </w:r>
    </w:p>
    <w:p w:rsidR="003C1792" w:rsidRDefault="00EC0EE2" w:rsidP="00871524">
      <w:pPr>
        <w:spacing w:line="240" w:lineRule="auto"/>
        <w:ind w:leftChars="0" w:left="0" w:rightChars="0" w:right="0"/>
      </w:pPr>
      <w:r>
        <w:t xml:space="preserve">　　</w:t>
      </w:r>
      <w:r w:rsidR="0049577B" w:rsidRPr="00B40DC1">
        <w:t>加拿大技術移民為聯邦技術移民(</w:t>
      </w:r>
      <w:r w:rsidR="0049577B" w:rsidRPr="00B40DC1">
        <w:rPr>
          <w:lang w:val="fr-FR"/>
        </w:rPr>
        <w:t>Federal skilled workers，FSW))</w:t>
      </w:r>
      <w:r w:rsidR="0049577B" w:rsidRPr="00B40DC1">
        <w:t>。加拿大在</w:t>
      </w:r>
      <w:r w:rsidR="0049577B" w:rsidRPr="00B40DC1">
        <w:rPr>
          <w:lang w:val="fr-FR"/>
        </w:rPr>
        <w:t>1967</w:t>
      </w:r>
      <w:r w:rsidR="0049577B" w:rsidRPr="00B40DC1">
        <w:t>年已推行技術移民評點制</w:t>
      </w:r>
      <w:r w:rsidR="0049577B" w:rsidRPr="00B40DC1">
        <w:rPr>
          <w:lang w:val="fr-FR"/>
        </w:rPr>
        <w:t>，</w:t>
      </w:r>
      <w:r w:rsidR="0049577B" w:rsidRPr="00B40DC1">
        <w:t>是第一個實行評點制之國家。由於加拿大面積很大，每個省份可能需要之技能不同。加拿大政府亦列出一系列專業技術之需求類別，開放給有意移居加國之專業技術人才申請。申請者於提出申請時，必須證明過去10年內至少有1年以上之全職或同等兼職層級之相關工作經驗(每週工作時數須達30小時，一年工作時數需達1560小時)，並符合加拿大訂定之國家職業分類NOC(Canadian National Occupational Classification)</w:t>
      </w:r>
      <w:r w:rsidR="0049577B" w:rsidRPr="00EC0EE2">
        <w:rPr>
          <w:rStyle w:val="af7"/>
          <w:rFonts w:eastAsia="新細明體"/>
          <w:sz w:val="20"/>
        </w:rPr>
        <w:footnoteReference w:id="383"/>
      </w:r>
      <w:r w:rsidR="0049577B" w:rsidRPr="00B40DC1">
        <w:t>中屬於技術類型O之管理階級職業(managerial occupations)、技術階級A之專業職業(professionaloccupations)，或屬於技術階級B之專門職業與技術相關職業(technicaloccupations and skilled trades)，另語言能力須達加拿大語言標準CLB7級以上，方可提出申請。然當申請者真正成為加拿大居民後，並不強制要求在加國從事與申請時之工作相關。技術移民申請人要取得67分，始有資格申請，計分項目包括學歷、英語及法語能力、工作經驗、年齡、申請人是否已獲得雇主取錄。申請人之財政能力也在考慮範圍之內。</w:t>
      </w:r>
    </w:p>
    <w:p w:rsidR="0049577B" w:rsidRPr="00B40DC1" w:rsidRDefault="004501CB" w:rsidP="00871524">
      <w:pPr>
        <w:spacing w:line="240" w:lineRule="auto"/>
        <w:ind w:leftChars="0" w:left="0" w:rightChars="0" w:right="0"/>
      </w:pPr>
      <w:r>
        <w:t xml:space="preserve">　　</w:t>
      </w:r>
      <w:r w:rsidR="0049577B" w:rsidRPr="00B40DC1">
        <w:t>舊法令僅收件至2014年之年底，以下為加拿大技術移民之條件：</w:t>
      </w:r>
    </w:p>
    <w:p w:rsidR="0049577B" w:rsidRPr="00EC0EE2" w:rsidRDefault="00EC0EE2" w:rsidP="00871524">
      <w:pPr>
        <w:spacing w:line="240" w:lineRule="auto"/>
        <w:ind w:leftChars="0" w:left="0" w:rightChars="0" w:right="0"/>
      </w:pPr>
      <w:r>
        <w:t xml:space="preserve">　　</w:t>
      </w:r>
      <w:r w:rsidR="0049577B" w:rsidRPr="00EC0EE2">
        <w:t>(一)申請人之職業必須是50項職業需求名單之一(詳如下表)。</w:t>
      </w:r>
    </w:p>
    <w:p w:rsidR="0049577B" w:rsidRPr="00EC0EE2" w:rsidRDefault="00EC0EE2" w:rsidP="00871524">
      <w:pPr>
        <w:spacing w:line="240" w:lineRule="auto"/>
        <w:ind w:leftChars="0" w:left="0" w:rightChars="0" w:right="0"/>
      </w:pPr>
      <w:r>
        <w:t xml:space="preserve">　　</w:t>
      </w:r>
      <w:r w:rsidR="0049577B" w:rsidRPr="00EC0EE2">
        <w:t>(二)名額限制：全部職業類別合計僅收25,000件，每一種類別最多僅收1,000件，如額滿，系統即關閉不再受理。</w:t>
      </w:r>
    </w:p>
    <w:p w:rsidR="0049577B" w:rsidRPr="00EC0EE2" w:rsidRDefault="00EC0EE2" w:rsidP="00871524">
      <w:pPr>
        <w:spacing w:line="240" w:lineRule="auto"/>
        <w:ind w:leftChars="0" w:left="0" w:rightChars="0" w:right="0"/>
      </w:pPr>
      <w:r>
        <w:t xml:space="preserve">　　</w:t>
      </w:r>
      <w:r w:rsidR="0049577B" w:rsidRPr="00EC0EE2">
        <w:t>(三)教育程度鑑定(Educational Credential Assessment，簡稱ECA):送件前需在聯邦政府指定之4家指定機構進行學歷認證。以申請人在加拿大以外之國家取得之學歷對照加拿大教育系統，從申請者自身教育程度對應加拿大之教育系統。</w:t>
      </w:r>
    </w:p>
    <w:p w:rsidR="0049577B" w:rsidRDefault="00EC0EE2" w:rsidP="00871524">
      <w:pPr>
        <w:spacing w:line="240" w:lineRule="auto"/>
        <w:ind w:leftChars="0" w:left="0" w:rightChars="0" w:right="0"/>
      </w:pPr>
      <w:r>
        <w:t xml:space="preserve">　　</w:t>
      </w:r>
      <w:r w:rsidR="0049577B" w:rsidRPr="00EC0EE2">
        <w:t>(四)英文能力達到CLB 7級:對照IELTS(雅思)即聽說讀寫每項均要達到6級以上，6級雖仍可申請，但在英文能力該項分數為0分。</w:t>
      </w:r>
    </w:p>
    <w:p w:rsidR="00EC0EE2" w:rsidRPr="00EC0EE2" w:rsidRDefault="00485E45" w:rsidP="00485E45">
      <w:pPr>
        <w:spacing w:line="240" w:lineRule="auto"/>
        <w:ind w:leftChars="0" w:left="0" w:rightChars="0" w:right="0"/>
        <w:jc w:val="right"/>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rPr>
        <w:t>〉〉</w:t>
      </w:r>
    </w:p>
    <w:p w:rsidR="0049577B" w:rsidRPr="00B40DC1" w:rsidRDefault="0049577B" w:rsidP="00EC0EE2">
      <w:pPr>
        <w:pStyle w:val="4"/>
        <w:rPr>
          <w:lang w:eastAsia="zh-TW"/>
        </w:rPr>
      </w:pPr>
      <w:r w:rsidRPr="00B40DC1">
        <w:rPr>
          <w:lang w:eastAsia="zh-TW"/>
        </w:rPr>
        <w:t>表1</w:t>
      </w:r>
      <w:r w:rsidR="00AF69C2" w:rsidRPr="003F05BB">
        <w:rPr>
          <w:lang w:eastAsia="zh-TW"/>
        </w:rPr>
        <w:t>、</w:t>
      </w:r>
      <w:r w:rsidRPr="00B40DC1">
        <w:rPr>
          <w:lang w:eastAsia="zh-TW"/>
        </w:rPr>
        <w:t>2014年度職業需求名單</w:t>
      </w:r>
    </w:p>
    <w:tbl>
      <w:tblPr>
        <w:tblW w:w="9797" w:type="dxa"/>
        <w:tblInd w:w="11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3"/>
        <w:gridCol w:w="2835"/>
        <w:gridCol w:w="3236"/>
        <w:gridCol w:w="2883"/>
      </w:tblGrid>
      <w:tr w:rsidR="000260C3" w:rsidRPr="00B40DC1" w:rsidTr="00485E45">
        <w:trPr>
          <w:cantSplit/>
          <w:tblHeader/>
        </w:trPr>
        <w:tc>
          <w:tcPr>
            <w:tcW w:w="843" w:type="dxa"/>
            <w:tcBorders>
              <w:top w:val="single" w:sz="8" w:space="0" w:color="auto"/>
              <w:bottom w:val="single" w:sz="4" w:space="0" w:color="auto"/>
            </w:tcBorders>
            <w:shd w:val="clear" w:color="auto" w:fill="EFFDFF"/>
            <w:vAlign w:val="center"/>
          </w:tcPr>
          <w:p w:rsidR="000260C3" w:rsidRPr="000260C3" w:rsidRDefault="000260C3" w:rsidP="00485E45">
            <w:pPr>
              <w:spacing w:line="240" w:lineRule="auto"/>
              <w:ind w:leftChars="0" w:left="0" w:rightChars="0" w:right="0"/>
              <w:jc w:val="center"/>
              <w:rPr>
                <w:sz w:val="24"/>
                <w:szCs w:val="24"/>
              </w:rPr>
            </w:pPr>
            <w:r w:rsidRPr="000260C3">
              <w:rPr>
                <w:sz w:val="24"/>
                <w:szCs w:val="24"/>
              </w:rPr>
              <w:t>NOC Code</w:t>
            </w:r>
          </w:p>
          <w:p w:rsidR="000260C3" w:rsidRPr="000260C3" w:rsidRDefault="000260C3" w:rsidP="00485E45">
            <w:pPr>
              <w:spacing w:line="240" w:lineRule="auto"/>
              <w:ind w:leftChars="0" w:left="0" w:rightChars="0" w:right="0"/>
              <w:jc w:val="center"/>
              <w:rPr>
                <w:sz w:val="24"/>
                <w:szCs w:val="24"/>
              </w:rPr>
            </w:pPr>
            <w:r w:rsidRPr="000260C3">
              <w:rPr>
                <w:sz w:val="24"/>
                <w:szCs w:val="24"/>
              </w:rPr>
              <w:t>NOC代碼</w:t>
            </w:r>
          </w:p>
        </w:tc>
        <w:tc>
          <w:tcPr>
            <w:tcW w:w="2835" w:type="dxa"/>
            <w:tcBorders>
              <w:top w:val="single" w:sz="8" w:space="0" w:color="auto"/>
              <w:bottom w:val="single" w:sz="4" w:space="0" w:color="auto"/>
            </w:tcBorders>
            <w:shd w:val="clear" w:color="auto" w:fill="EFFDFF"/>
            <w:vAlign w:val="center"/>
          </w:tcPr>
          <w:p w:rsidR="000260C3" w:rsidRPr="000260C3" w:rsidRDefault="000260C3" w:rsidP="00485E45">
            <w:pPr>
              <w:spacing w:line="240" w:lineRule="auto"/>
              <w:ind w:leftChars="0" w:left="0" w:rightChars="0" w:right="0"/>
              <w:jc w:val="center"/>
              <w:rPr>
                <w:sz w:val="24"/>
                <w:szCs w:val="24"/>
              </w:rPr>
            </w:pPr>
            <w:r w:rsidRPr="000260C3">
              <w:rPr>
                <w:sz w:val="24"/>
                <w:szCs w:val="24"/>
              </w:rPr>
              <w:t>Eligible Occupation(by National Occupational Classification 【NOC】 Code)符合職業類別</w:t>
            </w:r>
          </w:p>
        </w:tc>
        <w:tc>
          <w:tcPr>
            <w:tcW w:w="3236" w:type="dxa"/>
            <w:tcBorders>
              <w:top w:val="single" w:sz="8" w:space="0" w:color="auto"/>
              <w:bottom w:val="single" w:sz="4" w:space="0" w:color="auto"/>
            </w:tcBorders>
            <w:shd w:val="clear" w:color="auto" w:fill="EFFDFF"/>
            <w:vAlign w:val="center"/>
          </w:tcPr>
          <w:p w:rsidR="000260C3" w:rsidRPr="000260C3" w:rsidRDefault="000260C3" w:rsidP="00485E45">
            <w:pPr>
              <w:spacing w:line="240" w:lineRule="auto"/>
              <w:ind w:leftChars="0" w:left="0" w:rightChars="0" w:right="0"/>
              <w:jc w:val="center"/>
              <w:rPr>
                <w:sz w:val="24"/>
                <w:szCs w:val="24"/>
              </w:rPr>
            </w:pPr>
            <w:r w:rsidRPr="000260C3">
              <w:rPr>
                <w:sz w:val="24"/>
                <w:szCs w:val="24"/>
              </w:rPr>
              <w:t>Number of complete applications counted towards the 1,000 sub-cap</w:t>
            </w:r>
          </w:p>
          <w:p w:rsidR="000260C3" w:rsidRPr="000260C3" w:rsidRDefault="000260C3" w:rsidP="00485E45">
            <w:pPr>
              <w:spacing w:line="240" w:lineRule="auto"/>
              <w:ind w:leftChars="0" w:left="0" w:rightChars="0" w:right="0"/>
              <w:jc w:val="center"/>
              <w:rPr>
                <w:sz w:val="24"/>
                <w:szCs w:val="24"/>
              </w:rPr>
            </w:pPr>
            <w:r w:rsidRPr="000260C3">
              <w:rPr>
                <w:sz w:val="24"/>
                <w:szCs w:val="24"/>
              </w:rPr>
              <w:t>每個職業最多1,000個配額(以下顯示之數字為已符合資格之申請人數)</w:t>
            </w:r>
          </w:p>
        </w:tc>
        <w:tc>
          <w:tcPr>
            <w:tcW w:w="2883" w:type="dxa"/>
            <w:tcBorders>
              <w:top w:val="single" w:sz="8" w:space="0" w:color="auto"/>
              <w:bottom w:val="single" w:sz="4" w:space="0" w:color="auto"/>
            </w:tcBorders>
            <w:shd w:val="clear" w:color="auto" w:fill="EFFDFF"/>
            <w:vAlign w:val="center"/>
          </w:tcPr>
          <w:p w:rsidR="000260C3" w:rsidRPr="000260C3" w:rsidRDefault="000260C3" w:rsidP="00485E45">
            <w:pPr>
              <w:spacing w:line="240" w:lineRule="auto"/>
              <w:ind w:leftChars="0" w:left="0" w:rightChars="0" w:right="0"/>
              <w:jc w:val="center"/>
              <w:rPr>
                <w:sz w:val="24"/>
                <w:szCs w:val="24"/>
              </w:rPr>
            </w:pPr>
            <w:r w:rsidRPr="000260C3">
              <w:rPr>
                <w:sz w:val="24"/>
                <w:szCs w:val="24"/>
              </w:rPr>
              <w:t>職業中文名稱</w:t>
            </w:r>
          </w:p>
        </w:tc>
      </w:tr>
      <w:tr w:rsidR="000260C3" w:rsidRPr="00B40DC1" w:rsidTr="00871524">
        <w:tc>
          <w:tcPr>
            <w:tcW w:w="843" w:type="dxa"/>
            <w:tcBorders>
              <w:top w:val="single" w:sz="4" w:space="0" w:color="auto"/>
            </w:tcBorders>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0013</w:t>
            </w:r>
          </w:p>
        </w:tc>
        <w:tc>
          <w:tcPr>
            <w:tcW w:w="2835" w:type="dxa"/>
            <w:tcBorders>
              <w:top w:val="single" w:sz="4" w:space="0" w:color="auto"/>
            </w:tcBorders>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Senior managers – financial, communications and other business services</w:t>
            </w:r>
          </w:p>
        </w:tc>
        <w:tc>
          <w:tcPr>
            <w:tcW w:w="3236" w:type="dxa"/>
            <w:tcBorders>
              <w:top w:val="single" w:sz="4" w:space="0" w:color="auto"/>
            </w:tcBorders>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45</w:t>
            </w:r>
          </w:p>
        </w:tc>
        <w:tc>
          <w:tcPr>
            <w:tcW w:w="2883" w:type="dxa"/>
            <w:tcBorders>
              <w:top w:val="single" w:sz="4" w:space="0" w:color="auto"/>
            </w:tcBorders>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高級經理－金融、通訊及其他商業服務</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0015</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Senior managers – trade, broadcasting and other services, n.e.c.</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15</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高級經理－貿易廣播、廣播等服務、NEC</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0111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Financial managers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148</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財務經理</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0112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Human resources managers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44</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人力資源經理</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0113</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Purchasing managers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64</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採購經理</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0121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Insurance, real estate and financial brokerage managers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23</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保險、地產及金融經纃經理</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0311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Managers in health care</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21</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醫療保健經理</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0711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Construction managers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24</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施工管理人員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0712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Home building and renovation managers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4</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房屋建築及裝修經理</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0811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Managers in natural resources production and fishing</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天然資源生產及漁業經理</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0911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Manufacturing managers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72</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生產經理</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1111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Financial auditors and accountants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169</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財務審計師及會計</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1112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Financial and investment analysts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741</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金融投資分析師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1113</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Securities agents, investment dealers and brokers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證券代理商、投資商及經紀</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1114</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Other financial officers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63</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其他財務人員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1123</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Professional occupations in advertising, marketing and public relations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105</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廣告、行銷及公關專員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1212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Supervisors, finance and insurance office workers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52</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主管、金融及保險從業人員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1224</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Property administrators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5</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物業管理員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2113</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Geoscientists and oceanographers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15</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地球學家及海洋學家</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2131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Civil engineers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235</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土木工程師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2132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Mechanical engineers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376</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機械工程師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2133</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Electrical and electronics engineers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216</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電氣及電子工程師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2145</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Petroleum engineers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18</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石油工程師</w:t>
            </w:r>
          </w:p>
        </w:tc>
      </w:tr>
      <w:tr w:rsidR="000260C3" w:rsidRPr="00B40DC1" w:rsidTr="00871524">
        <w:trPr>
          <w:cantSplit/>
        </w:trPr>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2171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Information systems analysts and consultants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348</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資訊系統分析員及顧問</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2172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Database analysts and data administrators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73</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資料庫分析師及資料管理員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2173</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Software engineers and designers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425</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軟體工程師及設計師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2174</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Computer programmers and interactive media developers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1,000</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電腦程式員及互動媒體開發</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2232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Mechanical engineering technologists and technicians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10</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機械工程技術師及技術員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2234</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Construction estimators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5</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建設估價師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2241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Electrical and electronics engineering technologists and technicians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27</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電氣及電子工程技術師及技術人員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2243</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Industrial instrument technicians and mechanics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14</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工業儀器(錶)技術員及技術工</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2263</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Inspectors in public and environmental health and occupational health and safety</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67</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公眾、環境保護及職業保健專員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2281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Computer network technicians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242</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電腦網路技術員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3011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Nursing co-ordinators and supervisors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6</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護理聯絡員及主管</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3012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Registered nurses and registered psychiatric nurses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189</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有證照護士及精神科護士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3111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Specialist physicians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9</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專科醫師</w:t>
            </w:r>
          </w:p>
        </w:tc>
      </w:tr>
      <w:tr w:rsidR="000260C3" w:rsidRPr="00B40DC1" w:rsidTr="00871524">
        <w:trPr>
          <w:cantSplit/>
        </w:trPr>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3112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General practitioners and family physicians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11</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全科醫生及家庭醫生</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3132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Dietitians and nutritionists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營養師及營養學家</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3141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Audiologists and speech-language pathologists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5</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聽力矯治師及語言病理學家</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3142</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Physiotherapists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193</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物理治療師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3143</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Occupational Therapists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職業治療師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3214</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Respiratory therapists, clinical perfusionists and cardiopulmonary technologists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呼吸科治療師、臨床灌注師及心肺技師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3215</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Medical Radiation Technologists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4</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醫療放射技師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3216</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Medical Sonographers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8</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醫療超聲檢查師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3233</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Licensed practical nurses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12</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有執照護士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3234</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Paramedical occupations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2</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輔助醫務職業</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4011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University professors and lecturers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86</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大學教授及講師</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4151</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Psychologists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3</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心理學家</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4214</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Early childhood educators and assistants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8</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幼教老師及助教</w:t>
            </w:r>
          </w:p>
        </w:tc>
      </w:tr>
      <w:tr w:rsidR="000260C3" w:rsidRPr="00B40DC1" w:rsidTr="00871524">
        <w:tc>
          <w:tcPr>
            <w:tcW w:w="843"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5125</w:t>
            </w:r>
          </w:p>
        </w:tc>
        <w:tc>
          <w:tcPr>
            <w:tcW w:w="2835" w:type="dxa"/>
            <w:shd w:val="clear" w:color="auto" w:fill="auto"/>
            <w:vAlign w:val="center"/>
          </w:tcPr>
          <w:p w:rsidR="000260C3" w:rsidRPr="000260C3" w:rsidRDefault="000260C3" w:rsidP="000260C3">
            <w:pPr>
              <w:spacing w:line="240" w:lineRule="auto"/>
              <w:ind w:leftChars="0" w:left="0" w:rightChars="0" w:right="0"/>
              <w:rPr>
                <w:sz w:val="24"/>
                <w:szCs w:val="24"/>
              </w:rPr>
            </w:pPr>
            <w:r w:rsidRPr="000260C3">
              <w:rPr>
                <w:sz w:val="24"/>
                <w:szCs w:val="24"/>
              </w:rPr>
              <w:t>Translators, terminologists and interpreters</w:t>
            </w:r>
          </w:p>
        </w:tc>
        <w:tc>
          <w:tcPr>
            <w:tcW w:w="3236"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14</w:t>
            </w:r>
          </w:p>
        </w:tc>
        <w:tc>
          <w:tcPr>
            <w:tcW w:w="2883" w:type="dxa"/>
            <w:shd w:val="clear" w:color="auto" w:fill="auto"/>
            <w:vAlign w:val="center"/>
          </w:tcPr>
          <w:p w:rsidR="000260C3" w:rsidRPr="000260C3" w:rsidRDefault="000260C3" w:rsidP="00871524">
            <w:pPr>
              <w:spacing w:line="240" w:lineRule="auto"/>
              <w:ind w:leftChars="0" w:left="0" w:rightChars="0" w:right="0"/>
              <w:jc w:val="center"/>
              <w:rPr>
                <w:sz w:val="24"/>
                <w:szCs w:val="24"/>
              </w:rPr>
            </w:pPr>
            <w:r w:rsidRPr="000260C3">
              <w:rPr>
                <w:sz w:val="24"/>
                <w:szCs w:val="24"/>
              </w:rPr>
              <w:t>翻譯及口譯人員</w:t>
            </w:r>
          </w:p>
        </w:tc>
      </w:tr>
    </w:tbl>
    <w:p w:rsidR="0049577B" w:rsidRPr="00AF69C2" w:rsidRDefault="00871524" w:rsidP="00871524">
      <w:pPr>
        <w:spacing w:line="240" w:lineRule="auto"/>
        <w:ind w:leftChars="0" w:left="0" w:rightChars="0" w:right="0"/>
      </w:pPr>
      <w:r w:rsidRPr="00871524">
        <w:rPr>
          <w:rFonts w:hint="eastAsia"/>
        </w:rPr>
        <w:t>【</w:t>
      </w:r>
      <w:r w:rsidR="000260C3" w:rsidRPr="00AF69C2">
        <w:t>資料來源</w:t>
      </w:r>
      <w:r w:rsidRPr="00871524">
        <w:rPr>
          <w:rFonts w:hint="eastAsia"/>
        </w:rPr>
        <w:t>】</w:t>
      </w:r>
      <w:r w:rsidR="000260C3" w:rsidRPr="00AF69C2">
        <w:t>加拿大公民及移民部網站：</w:t>
      </w:r>
      <w:hyperlink r:id="rId277" w:history="1">
        <w:r w:rsidR="000260C3" w:rsidRPr="00AF69C2">
          <w:rPr>
            <w:rStyle w:val="a7"/>
            <w:lang w:eastAsia="zh-TW"/>
          </w:rPr>
          <w:t>http://www.cic.gc.ca/</w:t>
        </w:r>
      </w:hyperlink>
      <w:r w:rsidR="000260C3" w:rsidRPr="00AF69C2">
        <w:t>。</w:t>
      </w:r>
      <w:r w:rsidR="000260C3" w:rsidRPr="00AF69C2">
        <w:rPr>
          <w:rFonts w:ascii="Arial Unicode MS" w:eastAsia="新細明體" w:hAnsi="Arial Unicode MS"/>
          <w:color w:val="FF6600"/>
          <w:sz w:val="20"/>
        </w:rPr>
        <w:footnoteReference w:id="384"/>
      </w:r>
    </w:p>
    <w:p w:rsidR="000260C3" w:rsidRPr="00B40DC1" w:rsidRDefault="00871524" w:rsidP="00871524">
      <w:pPr>
        <w:pStyle w:val="afffffff9"/>
        <w:spacing w:before="180"/>
        <w:jc w:val="right"/>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rPr>
        <w:t>〉〉</w:t>
      </w:r>
    </w:p>
    <w:p w:rsidR="0049577B" w:rsidRPr="00B40DC1" w:rsidRDefault="0049577B" w:rsidP="00EC0EE2">
      <w:pPr>
        <w:pStyle w:val="4"/>
        <w:rPr>
          <w:lang w:eastAsia="zh-TW"/>
        </w:rPr>
      </w:pPr>
      <w:r w:rsidRPr="00B40DC1">
        <w:rPr>
          <w:lang w:eastAsia="zh-TW"/>
        </w:rPr>
        <w:t>表2</w:t>
      </w:r>
      <w:r w:rsidR="00AF69C2" w:rsidRPr="003F05BB">
        <w:rPr>
          <w:lang w:eastAsia="zh-TW"/>
        </w:rPr>
        <w:t>、</w:t>
      </w:r>
      <w:r w:rsidRPr="00B40DC1">
        <w:rPr>
          <w:lang w:eastAsia="zh-TW"/>
        </w:rPr>
        <w:t>加拿大共分六大評分項目</w:t>
      </w:r>
    </w:p>
    <w:tbl>
      <w:tblPr>
        <w:tblW w:w="4874"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8"/>
        <w:gridCol w:w="2183"/>
        <w:gridCol w:w="4067"/>
        <w:gridCol w:w="844"/>
      </w:tblGrid>
      <w:tr w:rsidR="0049577B" w:rsidRPr="00B40DC1" w:rsidTr="00AF69C2">
        <w:trPr>
          <w:tblHeader/>
        </w:trPr>
        <w:tc>
          <w:tcPr>
            <w:tcW w:w="1325" w:type="pct"/>
            <w:tcBorders>
              <w:top w:val="single" w:sz="8" w:space="0" w:color="auto"/>
              <w:bottom w:val="single" w:sz="4" w:space="0" w:color="auto"/>
            </w:tcBorders>
            <w:shd w:val="clear" w:color="auto" w:fill="FAF0FA"/>
            <w:tcMar>
              <w:top w:w="0" w:type="dxa"/>
              <w:left w:w="28" w:type="dxa"/>
              <w:bottom w:w="0" w:type="dxa"/>
              <w:right w:w="28" w:type="dxa"/>
            </w:tcMar>
            <w:vAlign w:val="center"/>
          </w:tcPr>
          <w:p w:rsidR="0049577B" w:rsidRPr="000152BE" w:rsidRDefault="0049577B" w:rsidP="00AF69C2">
            <w:pPr>
              <w:spacing w:line="240" w:lineRule="auto"/>
              <w:ind w:leftChars="0" w:left="0" w:rightChars="0" w:right="0"/>
              <w:jc w:val="center"/>
              <w:rPr>
                <w:b/>
                <w:sz w:val="24"/>
                <w:szCs w:val="24"/>
              </w:rPr>
            </w:pPr>
            <w:r w:rsidRPr="000152BE">
              <w:rPr>
                <w:b/>
                <w:sz w:val="24"/>
                <w:szCs w:val="24"/>
              </w:rPr>
              <w:t>項目內容</w:t>
            </w:r>
          </w:p>
        </w:tc>
        <w:tc>
          <w:tcPr>
            <w:tcW w:w="3238" w:type="pct"/>
            <w:gridSpan w:val="2"/>
            <w:tcBorders>
              <w:top w:val="single" w:sz="8" w:space="0" w:color="auto"/>
              <w:bottom w:val="single" w:sz="4" w:space="0" w:color="auto"/>
            </w:tcBorders>
            <w:shd w:val="clear" w:color="auto" w:fill="FAF0FA"/>
            <w:vAlign w:val="center"/>
          </w:tcPr>
          <w:p w:rsidR="0049577B" w:rsidRPr="000152BE" w:rsidRDefault="0049577B" w:rsidP="00AF69C2">
            <w:pPr>
              <w:spacing w:line="240" w:lineRule="auto"/>
              <w:ind w:leftChars="0" w:left="0" w:rightChars="0" w:right="0"/>
              <w:jc w:val="center"/>
              <w:rPr>
                <w:b/>
                <w:sz w:val="24"/>
                <w:szCs w:val="24"/>
              </w:rPr>
            </w:pPr>
            <w:r w:rsidRPr="000152BE">
              <w:rPr>
                <w:b/>
                <w:sz w:val="24"/>
                <w:szCs w:val="24"/>
              </w:rPr>
              <w:t>資格</w:t>
            </w:r>
          </w:p>
        </w:tc>
        <w:tc>
          <w:tcPr>
            <w:tcW w:w="437" w:type="pct"/>
            <w:tcBorders>
              <w:top w:val="single" w:sz="8" w:space="0" w:color="auto"/>
              <w:bottom w:val="single" w:sz="4" w:space="0" w:color="auto"/>
            </w:tcBorders>
            <w:shd w:val="clear" w:color="auto" w:fill="FAF0FA"/>
            <w:vAlign w:val="center"/>
          </w:tcPr>
          <w:p w:rsidR="0049577B" w:rsidRPr="000152BE" w:rsidRDefault="0049577B" w:rsidP="00AF69C2">
            <w:pPr>
              <w:spacing w:line="240" w:lineRule="auto"/>
              <w:ind w:leftChars="0" w:left="0" w:rightChars="0" w:right="0"/>
              <w:jc w:val="center"/>
              <w:rPr>
                <w:b/>
                <w:sz w:val="24"/>
                <w:szCs w:val="24"/>
              </w:rPr>
            </w:pPr>
            <w:r w:rsidRPr="000152BE">
              <w:rPr>
                <w:b/>
                <w:sz w:val="24"/>
                <w:szCs w:val="24"/>
              </w:rPr>
              <w:t>分數</w:t>
            </w:r>
          </w:p>
        </w:tc>
      </w:tr>
      <w:tr w:rsidR="0049577B" w:rsidRPr="00B40DC1" w:rsidTr="00AF69C2">
        <w:tc>
          <w:tcPr>
            <w:tcW w:w="1325" w:type="pct"/>
            <w:tcBorders>
              <w:top w:val="single" w:sz="4" w:space="0" w:color="auto"/>
            </w:tcBorders>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r w:rsidRPr="00AF69C2">
              <w:rPr>
                <w:sz w:val="24"/>
                <w:szCs w:val="24"/>
              </w:rPr>
              <w:t>1、申請者年齡Age</w:t>
            </w:r>
            <w:r w:rsidR="003C1792" w:rsidRPr="00AF69C2">
              <w:rPr>
                <w:sz w:val="24"/>
                <w:szCs w:val="24"/>
              </w:rPr>
              <w:t>(</w:t>
            </w:r>
            <w:r w:rsidRPr="00AF69C2">
              <w:rPr>
                <w:sz w:val="24"/>
                <w:szCs w:val="24"/>
              </w:rPr>
              <w:t>滿分12分)</w:t>
            </w:r>
          </w:p>
        </w:tc>
        <w:tc>
          <w:tcPr>
            <w:tcW w:w="3238" w:type="pct"/>
            <w:gridSpan w:val="2"/>
            <w:tcBorders>
              <w:top w:val="single" w:sz="4" w:space="0" w:color="auto"/>
            </w:tcBorders>
            <w:shd w:val="clear" w:color="auto" w:fill="auto"/>
            <w:vAlign w:val="center"/>
          </w:tcPr>
          <w:p w:rsidR="0049577B" w:rsidRPr="00AF69C2" w:rsidRDefault="0049577B" w:rsidP="00AF69C2">
            <w:pPr>
              <w:spacing w:line="240" w:lineRule="auto"/>
              <w:ind w:leftChars="0" w:left="142" w:rightChars="10" w:right="26"/>
              <w:rPr>
                <w:sz w:val="24"/>
                <w:szCs w:val="24"/>
              </w:rPr>
            </w:pPr>
            <w:r w:rsidRPr="00AF69C2">
              <w:rPr>
                <w:sz w:val="24"/>
                <w:szCs w:val="24"/>
              </w:rPr>
              <w:t>18至35歲者可獲滿分12分(年齡小於18歲為0分，大於35歲每差一歲扣1分，47以上則為0分</w:t>
            </w:r>
            <w:r w:rsidR="00587200">
              <w:rPr>
                <w:sz w:val="24"/>
                <w:szCs w:val="24"/>
              </w:rPr>
              <w:t>)</w:t>
            </w:r>
          </w:p>
        </w:tc>
        <w:tc>
          <w:tcPr>
            <w:tcW w:w="437" w:type="pct"/>
            <w:tcBorders>
              <w:top w:val="single" w:sz="4" w:space="0" w:color="auto"/>
            </w:tcBorders>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jc w:val="center"/>
              <w:rPr>
                <w:sz w:val="24"/>
                <w:szCs w:val="24"/>
              </w:rPr>
            </w:pPr>
            <w:r w:rsidRPr="00AF69C2">
              <w:rPr>
                <w:sz w:val="24"/>
                <w:szCs w:val="24"/>
              </w:rPr>
              <w:t>12</w:t>
            </w:r>
          </w:p>
        </w:tc>
      </w:tr>
      <w:tr w:rsidR="0049577B" w:rsidRPr="00B40DC1" w:rsidTr="00B40DC1">
        <w:tc>
          <w:tcPr>
            <w:tcW w:w="1325" w:type="pct"/>
            <w:vMerge w:val="restart"/>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r w:rsidRPr="00AF69C2">
              <w:rPr>
                <w:sz w:val="24"/>
                <w:szCs w:val="24"/>
              </w:rPr>
              <w:t>2、教育程度 Education</w:t>
            </w:r>
            <w:r w:rsidR="003C1792" w:rsidRPr="00AF69C2">
              <w:rPr>
                <w:sz w:val="24"/>
                <w:szCs w:val="24"/>
              </w:rPr>
              <w:t>(</w:t>
            </w:r>
            <w:r w:rsidRPr="00AF69C2">
              <w:rPr>
                <w:sz w:val="24"/>
                <w:szCs w:val="24"/>
              </w:rPr>
              <w:t>滿分為25分)</w:t>
            </w: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具加拿大博士學歷</w:t>
            </w:r>
          </w:p>
        </w:tc>
        <w:tc>
          <w:tcPr>
            <w:tcW w:w="437" w:type="pct"/>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jc w:val="center"/>
              <w:rPr>
                <w:sz w:val="24"/>
                <w:szCs w:val="24"/>
              </w:rPr>
            </w:pPr>
            <w:r w:rsidRPr="00AF69C2">
              <w:rPr>
                <w:sz w:val="24"/>
                <w:szCs w:val="24"/>
              </w:rPr>
              <w:t>25</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具加拿大碩士學歷，且申請之職業類別必須為NOC 2011技能等級A【專業職業(professional occupations)】，或由省機構所許可。</w:t>
            </w:r>
            <w:r w:rsidR="00E736D6" w:rsidRPr="00AF69C2">
              <w:rPr>
                <w:sz w:val="24"/>
                <w:szCs w:val="24"/>
              </w:rPr>
              <w:t>【註】</w:t>
            </w:r>
            <w:r w:rsidRPr="00AF69C2">
              <w:rPr>
                <w:sz w:val="24"/>
                <w:szCs w:val="24"/>
              </w:rPr>
              <w:t>學位課程必須在研究這些領域之一：醫學、獸醫學、牙醫學、足療、驗光、法律、整脊或藥劑。</w:t>
            </w:r>
          </w:p>
        </w:tc>
        <w:tc>
          <w:tcPr>
            <w:tcW w:w="437" w:type="pct"/>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jc w:val="center"/>
              <w:rPr>
                <w:sz w:val="24"/>
                <w:szCs w:val="24"/>
              </w:rPr>
            </w:pPr>
            <w:r w:rsidRPr="00AF69C2">
              <w:rPr>
                <w:sz w:val="24"/>
                <w:szCs w:val="24"/>
              </w:rPr>
              <w:t>23</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具加拿大雙學士學歷</w:t>
            </w:r>
          </w:p>
        </w:tc>
        <w:tc>
          <w:tcPr>
            <w:tcW w:w="437" w:type="pct"/>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jc w:val="center"/>
              <w:rPr>
                <w:sz w:val="24"/>
                <w:szCs w:val="24"/>
              </w:rPr>
            </w:pPr>
            <w:r w:rsidRPr="00AF69C2">
              <w:rPr>
                <w:sz w:val="24"/>
                <w:szCs w:val="24"/>
              </w:rPr>
              <w:t>22</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具加拿大3年以上之學士學歷</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21</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具加拿大2年以上之學士學歷</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19</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具加拿大1年之學士學歷</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15</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具加拿大高中學歷</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5</w:t>
            </w:r>
          </w:p>
        </w:tc>
      </w:tr>
      <w:tr w:rsidR="0049577B" w:rsidRPr="00B40DC1" w:rsidTr="00B40DC1">
        <w:tc>
          <w:tcPr>
            <w:tcW w:w="1325" w:type="pct"/>
            <w:vMerge w:val="restart"/>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r w:rsidRPr="00AF69C2">
              <w:rPr>
                <w:sz w:val="24"/>
                <w:szCs w:val="24"/>
              </w:rPr>
              <w:t>3、語言能力 Language Ability</w:t>
            </w:r>
            <w:r w:rsidR="003C1792" w:rsidRPr="00AF69C2">
              <w:rPr>
                <w:sz w:val="24"/>
                <w:szCs w:val="24"/>
              </w:rPr>
              <w:t>(</w:t>
            </w:r>
            <w:r w:rsidRPr="00AF69C2">
              <w:rPr>
                <w:sz w:val="24"/>
                <w:szCs w:val="24"/>
              </w:rPr>
              <w:t>滿分為28分)</w:t>
            </w:r>
          </w:p>
        </w:tc>
        <w:tc>
          <w:tcPr>
            <w:tcW w:w="1131" w:type="pct"/>
            <w:vMerge w:val="restart"/>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第一種官方語言- 英文</w:t>
            </w:r>
            <w:r w:rsidR="003C1792" w:rsidRPr="00AF69C2">
              <w:rPr>
                <w:sz w:val="24"/>
                <w:szCs w:val="24"/>
              </w:rPr>
              <w:t>(</w:t>
            </w:r>
            <w:r w:rsidRPr="00AF69C2">
              <w:rPr>
                <w:sz w:val="24"/>
                <w:szCs w:val="24"/>
              </w:rPr>
              <w:t>IELTS雅思)(共24分</w:t>
            </w:r>
            <w:r w:rsidR="00587200">
              <w:rPr>
                <w:sz w:val="24"/>
                <w:szCs w:val="24"/>
              </w:rPr>
              <w:t>)</w:t>
            </w:r>
          </w:p>
        </w:tc>
        <w:tc>
          <w:tcPr>
            <w:tcW w:w="2107" w:type="pct"/>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流利程度(說讀寫各項達7-9級以上及聽8-9級以上</w:t>
            </w:r>
            <w:r w:rsidR="00587200">
              <w:rPr>
                <w:sz w:val="24"/>
                <w:szCs w:val="24"/>
              </w:rPr>
              <w:t>)</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每項6</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1131" w:type="pct"/>
            <w:vMerge/>
            <w:shd w:val="clear" w:color="auto" w:fill="auto"/>
            <w:vAlign w:val="center"/>
          </w:tcPr>
          <w:p w:rsidR="0049577B" w:rsidRPr="00AF69C2" w:rsidRDefault="0049577B" w:rsidP="00AF69C2">
            <w:pPr>
              <w:spacing w:line="240" w:lineRule="auto"/>
              <w:ind w:leftChars="0" w:left="142" w:rightChars="0" w:right="0"/>
              <w:rPr>
                <w:sz w:val="24"/>
                <w:szCs w:val="24"/>
              </w:rPr>
            </w:pPr>
          </w:p>
        </w:tc>
        <w:tc>
          <w:tcPr>
            <w:tcW w:w="2107" w:type="pct"/>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中等程度(說讀寫各項達6.5級以上及聽7.5級以上</w:t>
            </w:r>
            <w:r w:rsidR="003C1792" w:rsidRPr="00AF69C2">
              <w:rPr>
                <w:sz w:val="24"/>
                <w:szCs w:val="24"/>
              </w:rPr>
              <w:t xml:space="preserve"> )</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每項5</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p>
        </w:tc>
        <w:tc>
          <w:tcPr>
            <w:tcW w:w="1131" w:type="pct"/>
            <w:vMerge/>
            <w:shd w:val="clear" w:color="auto" w:fill="auto"/>
            <w:vAlign w:val="center"/>
          </w:tcPr>
          <w:p w:rsidR="0049577B" w:rsidRPr="00AF69C2" w:rsidRDefault="0049577B" w:rsidP="00AF69C2">
            <w:pPr>
              <w:spacing w:line="240" w:lineRule="auto"/>
              <w:ind w:leftChars="0" w:left="142" w:rightChars="0" w:right="0"/>
              <w:rPr>
                <w:sz w:val="24"/>
                <w:szCs w:val="24"/>
              </w:rPr>
            </w:pPr>
          </w:p>
        </w:tc>
        <w:tc>
          <w:tcPr>
            <w:tcW w:w="2107" w:type="pct"/>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基本程度(說讀寫各項達6級以上、聽6-7級以上</w:t>
            </w:r>
            <w:r w:rsidR="00587200">
              <w:rPr>
                <w:sz w:val="24"/>
                <w:szCs w:val="24"/>
              </w:rPr>
              <w:t>)</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每項4</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p>
        </w:tc>
        <w:tc>
          <w:tcPr>
            <w:tcW w:w="1131" w:type="pct"/>
            <w:vMerge/>
            <w:shd w:val="clear" w:color="auto" w:fill="auto"/>
            <w:vAlign w:val="center"/>
          </w:tcPr>
          <w:p w:rsidR="0049577B" w:rsidRPr="00AF69C2" w:rsidRDefault="0049577B" w:rsidP="00AF69C2">
            <w:pPr>
              <w:spacing w:line="240" w:lineRule="auto"/>
              <w:ind w:leftChars="0" w:left="142" w:rightChars="0" w:right="0"/>
              <w:rPr>
                <w:sz w:val="24"/>
                <w:szCs w:val="24"/>
              </w:rPr>
            </w:pPr>
          </w:p>
        </w:tc>
        <w:tc>
          <w:tcPr>
            <w:tcW w:w="2107" w:type="pct"/>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困難程度(說讀寫未達6級、聽未達 6-7級</w:t>
            </w:r>
            <w:r w:rsidR="00587200">
              <w:rPr>
                <w:sz w:val="24"/>
                <w:szCs w:val="24"/>
              </w:rPr>
              <w:t>)</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0</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p>
        </w:tc>
        <w:tc>
          <w:tcPr>
            <w:tcW w:w="1131" w:type="pct"/>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第二種官方語言- 法文( 共4分</w:t>
            </w:r>
            <w:r w:rsidR="003C1792" w:rsidRPr="00AF69C2">
              <w:rPr>
                <w:sz w:val="24"/>
                <w:szCs w:val="24"/>
              </w:rPr>
              <w:t xml:space="preserve"> )</w:t>
            </w:r>
          </w:p>
        </w:tc>
        <w:tc>
          <w:tcPr>
            <w:tcW w:w="2107" w:type="pct"/>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流利程度(聽說寫各項能力達5-9級及讀4-9級</w:t>
            </w:r>
            <w:r w:rsidR="00587200">
              <w:rPr>
                <w:sz w:val="24"/>
                <w:szCs w:val="24"/>
              </w:rPr>
              <w:t>)</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總分4</w:t>
            </w:r>
          </w:p>
        </w:tc>
      </w:tr>
      <w:tr w:rsidR="0049577B" w:rsidRPr="00B40DC1" w:rsidTr="00B40DC1">
        <w:tc>
          <w:tcPr>
            <w:tcW w:w="1325" w:type="pct"/>
            <w:vMerge w:val="restart"/>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r w:rsidRPr="00AF69C2">
              <w:rPr>
                <w:sz w:val="24"/>
                <w:szCs w:val="24"/>
              </w:rPr>
              <w:t>4、(境內)工作經驗Work Experience</w:t>
            </w:r>
            <w:r w:rsidR="003C1792" w:rsidRPr="00AF69C2">
              <w:rPr>
                <w:sz w:val="24"/>
                <w:szCs w:val="24"/>
              </w:rPr>
              <w:t>(</w:t>
            </w:r>
            <w:r w:rsidRPr="00AF69C2">
              <w:rPr>
                <w:sz w:val="24"/>
                <w:szCs w:val="24"/>
              </w:rPr>
              <w:t xml:space="preserve">滿分為15分)累積經驗年數 </w:t>
            </w: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6年(含以上</w:t>
            </w:r>
            <w:r w:rsidR="00587200">
              <w:rPr>
                <w:sz w:val="24"/>
                <w:szCs w:val="24"/>
              </w:rPr>
              <w:t>)</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15</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 xml:space="preserve">4-5年 </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13</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 xml:space="preserve">2-3年 </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11</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 xml:space="preserve">1年 </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9</w:t>
            </w:r>
          </w:p>
        </w:tc>
      </w:tr>
      <w:tr w:rsidR="0049577B" w:rsidRPr="00B40DC1" w:rsidTr="00B40DC1">
        <w:tc>
          <w:tcPr>
            <w:tcW w:w="1325" w:type="pct"/>
            <w:vMerge w:val="restart"/>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r w:rsidRPr="00AF69C2">
              <w:rPr>
                <w:sz w:val="24"/>
                <w:szCs w:val="24"/>
              </w:rPr>
              <w:t>5、就業安排 Employment Arrangement</w:t>
            </w:r>
            <w:r w:rsidR="003C1792" w:rsidRPr="00AF69C2">
              <w:rPr>
                <w:sz w:val="24"/>
                <w:szCs w:val="24"/>
              </w:rPr>
              <w:t>(</w:t>
            </w:r>
            <w:r w:rsidRPr="00AF69C2">
              <w:rPr>
                <w:sz w:val="24"/>
                <w:szCs w:val="24"/>
              </w:rPr>
              <w:t>滿分為10分)</w:t>
            </w: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 xml:space="preserve">目前在加國持續工作：且這工作在提出技術移民申請時有12個月之有效期限，並您之雇主必須證明將來這工作聘僱仍是有效 </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10</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目前在加國持有HRSDC之確認信函或根據北美自由貿易協定NAFTA或國際公約Intra-Company Transferee之條件工作者：並您之雇主必須證明將來這工作聘僱仍是有效</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10</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 xml:space="preserve">目前沒有在加國工作者：必須有HRSDC之正式聘僱准許信函，且您之工作必須是符合境內執照許可規定，並您之雇主必須證明將來這工作聘僱仍是有效 </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10</w:t>
            </w:r>
          </w:p>
        </w:tc>
      </w:tr>
      <w:tr w:rsidR="0049577B" w:rsidRPr="00B40DC1" w:rsidTr="00B40DC1">
        <w:tc>
          <w:tcPr>
            <w:tcW w:w="1325" w:type="pct"/>
            <w:vMerge w:val="restart"/>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rPr>
                <w:sz w:val="24"/>
                <w:szCs w:val="24"/>
              </w:rPr>
            </w:pPr>
            <w:r w:rsidRPr="00AF69C2">
              <w:rPr>
                <w:sz w:val="24"/>
                <w:szCs w:val="24"/>
              </w:rPr>
              <w:t>6、個人適應能力 Adaptability</w:t>
            </w:r>
            <w:r w:rsidR="003C1792" w:rsidRPr="00AF69C2">
              <w:rPr>
                <w:sz w:val="24"/>
                <w:szCs w:val="24"/>
              </w:rPr>
              <w:t>(</w:t>
            </w:r>
            <w:r w:rsidRPr="00AF69C2">
              <w:rPr>
                <w:sz w:val="24"/>
                <w:szCs w:val="24"/>
              </w:rPr>
              <w:t>滿分為 10分</w:t>
            </w:r>
            <w:r w:rsidR="00587200">
              <w:rPr>
                <w:sz w:val="24"/>
                <w:szCs w:val="24"/>
              </w:rPr>
              <w:t>)</w:t>
            </w: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配偶之語言能力英語或法文均達CLB4級或以上</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5</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申請者在加拿大之中學或大學完成至少2年全時之課程，全時之課程指每週上課需達15小時以上</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5</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配偶在加拿大之中學或大學完成至少2年全時之課程，全時之課程指每週上課需達15小時以上</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5</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申請者至少在加拿大有1年或以上之全職工作，該全職工作需符合</w:t>
            </w:r>
            <w:r w:rsidRPr="00AF69C2">
              <w:rPr>
                <w:sz w:val="24"/>
                <w:szCs w:val="24"/>
              </w:rPr>
              <w:sym w:font="Wingdings" w:char="F081"/>
            </w:r>
            <w:r w:rsidRPr="00AF69C2">
              <w:rPr>
                <w:sz w:val="24"/>
                <w:szCs w:val="24"/>
              </w:rPr>
              <w:t>O型態技能【管理階級職業</w:t>
            </w:r>
          </w:p>
          <w:p w:rsidR="0049577B" w:rsidRPr="00AF69C2" w:rsidRDefault="0049577B" w:rsidP="00AF69C2">
            <w:pPr>
              <w:spacing w:line="240" w:lineRule="auto"/>
              <w:ind w:leftChars="0" w:left="142" w:rightChars="0" w:right="0"/>
              <w:rPr>
                <w:sz w:val="24"/>
                <w:szCs w:val="24"/>
              </w:rPr>
            </w:pPr>
            <w:r w:rsidRPr="00AF69C2">
              <w:rPr>
                <w:sz w:val="24"/>
                <w:szCs w:val="24"/>
              </w:rPr>
              <w:t>(managerial occupations)】或國家職業分類（NOC）中B【專門職業與技術類職業(technical occupations and skilled trades)】出之職業，及</w:t>
            </w:r>
            <w:r w:rsidRPr="00AF69C2">
              <w:rPr>
                <w:sz w:val="24"/>
                <w:szCs w:val="24"/>
              </w:rPr>
              <w:sym w:font="Wingdings" w:char="F082"/>
            </w:r>
            <w:r w:rsidRPr="00AF69C2">
              <w:rPr>
                <w:sz w:val="24"/>
                <w:szCs w:val="24"/>
              </w:rPr>
              <w:t>持有加拿大有效之工作許可證。</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5</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配偶持有加拿大有效之工作許可證並有1年或以上之全職工作</w:t>
            </w:r>
          </w:p>
        </w:tc>
        <w:tc>
          <w:tcPr>
            <w:tcW w:w="437" w:type="pct"/>
            <w:shd w:val="clear" w:color="auto" w:fill="auto"/>
            <w:tcMar>
              <w:top w:w="0" w:type="dxa"/>
              <w:left w:w="28" w:type="dxa"/>
              <w:bottom w:w="0" w:type="dxa"/>
              <w:right w:w="28" w:type="dxa"/>
            </w:tcMar>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5</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接受加拿大之就業安排</w:t>
            </w:r>
          </w:p>
        </w:tc>
        <w:tc>
          <w:tcPr>
            <w:tcW w:w="437" w:type="pct"/>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jc w:val="center"/>
              <w:rPr>
                <w:sz w:val="24"/>
                <w:szCs w:val="24"/>
              </w:rPr>
            </w:pPr>
            <w:r w:rsidRPr="00AF69C2">
              <w:rPr>
                <w:sz w:val="24"/>
                <w:szCs w:val="24"/>
              </w:rPr>
              <w:t>5</w:t>
            </w:r>
          </w:p>
        </w:tc>
      </w:tr>
      <w:tr w:rsidR="0049577B" w:rsidRPr="00B40DC1" w:rsidTr="00B40DC1">
        <w:tc>
          <w:tcPr>
            <w:tcW w:w="1325" w:type="pct"/>
            <w:vMerge/>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p>
        </w:tc>
        <w:tc>
          <w:tcPr>
            <w:tcW w:w="3238" w:type="pct"/>
            <w:gridSpan w:val="2"/>
            <w:shd w:val="clear" w:color="auto" w:fill="auto"/>
            <w:vAlign w:val="center"/>
          </w:tcPr>
          <w:p w:rsidR="0049577B" w:rsidRPr="00AF69C2" w:rsidRDefault="0049577B" w:rsidP="00AF69C2">
            <w:pPr>
              <w:spacing w:line="240" w:lineRule="auto"/>
              <w:ind w:leftChars="0" w:left="142" w:rightChars="0" w:right="0"/>
              <w:rPr>
                <w:sz w:val="24"/>
                <w:szCs w:val="24"/>
              </w:rPr>
            </w:pPr>
            <w:r w:rsidRPr="00AF69C2">
              <w:rPr>
                <w:sz w:val="24"/>
                <w:szCs w:val="24"/>
              </w:rPr>
              <w:t>申請人或配偶之親戚(親戚包括：父母、祖父母、子女、孫子女、兄弟姊妹、伯叔姑舅姨、甥姪兒女等)已滿18歲居住在加拿大且為加拿大永久居留居民或公民</w:t>
            </w:r>
          </w:p>
        </w:tc>
        <w:tc>
          <w:tcPr>
            <w:tcW w:w="437" w:type="pct"/>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142" w:rightChars="0" w:right="0"/>
              <w:jc w:val="center"/>
              <w:rPr>
                <w:sz w:val="24"/>
                <w:szCs w:val="24"/>
              </w:rPr>
            </w:pPr>
            <w:r w:rsidRPr="00AF69C2">
              <w:rPr>
                <w:sz w:val="24"/>
                <w:szCs w:val="24"/>
              </w:rPr>
              <w:t>5</w:t>
            </w:r>
          </w:p>
        </w:tc>
      </w:tr>
      <w:tr w:rsidR="0049577B" w:rsidRPr="00B40DC1" w:rsidTr="00B40DC1">
        <w:tc>
          <w:tcPr>
            <w:tcW w:w="5000" w:type="pct"/>
            <w:gridSpan w:val="4"/>
            <w:shd w:val="clear" w:color="auto" w:fill="auto"/>
            <w:tcMar>
              <w:top w:w="0" w:type="dxa"/>
              <w:left w:w="28" w:type="dxa"/>
              <w:bottom w:w="0" w:type="dxa"/>
              <w:right w:w="28" w:type="dxa"/>
            </w:tcMar>
            <w:vAlign w:val="center"/>
          </w:tcPr>
          <w:p w:rsidR="0049577B" w:rsidRPr="00AF69C2" w:rsidRDefault="0049577B" w:rsidP="00AF69C2">
            <w:pPr>
              <w:spacing w:line="240" w:lineRule="auto"/>
              <w:ind w:leftChars="0" w:left="0" w:rightChars="0" w:right="0"/>
              <w:rPr>
                <w:sz w:val="24"/>
                <w:szCs w:val="24"/>
              </w:rPr>
            </w:pPr>
            <w:r w:rsidRPr="00AF69C2">
              <w:rPr>
                <w:sz w:val="24"/>
                <w:szCs w:val="24"/>
              </w:rPr>
              <w:t>滿分為100分(100point grid)，最低門檻為67分</w:t>
            </w:r>
          </w:p>
        </w:tc>
      </w:tr>
      <w:tr w:rsidR="0049577B" w:rsidRPr="00B40DC1" w:rsidTr="00B40DC1">
        <w:tc>
          <w:tcPr>
            <w:tcW w:w="5000" w:type="pct"/>
            <w:gridSpan w:val="4"/>
            <w:shd w:val="clear" w:color="auto" w:fill="auto"/>
            <w:tcMar>
              <w:top w:w="0" w:type="dxa"/>
              <w:left w:w="28" w:type="dxa"/>
              <w:bottom w:w="0" w:type="dxa"/>
              <w:right w:w="28" w:type="dxa"/>
            </w:tcMar>
            <w:vAlign w:val="center"/>
          </w:tcPr>
          <w:p w:rsidR="0049577B" w:rsidRPr="00AF69C2" w:rsidRDefault="00817A92" w:rsidP="00AF69C2">
            <w:pPr>
              <w:spacing w:line="240" w:lineRule="auto"/>
              <w:ind w:leftChars="0" w:left="0" w:rightChars="0" w:right="0"/>
              <w:rPr>
                <w:sz w:val="24"/>
                <w:szCs w:val="24"/>
              </w:rPr>
            </w:pPr>
            <w:r w:rsidRPr="00AF69C2">
              <w:rPr>
                <w:sz w:val="24"/>
                <w:szCs w:val="24"/>
              </w:rPr>
              <w:t>【資料來源】</w:t>
            </w:r>
            <w:r w:rsidR="0049577B" w:rsidRPr="00AF69C2">
              <w:rPr>
                <w:sz w:val="24"/>
                <w:szCs w:val="24"/>
              </w:rPr>
              <w:t>作者整理自加拿大公民及移民部網站：</w:t>
            </w:r>
            <w:hyperlink r:id="rId278" w:history="1">
              <w:r w:rsidR="0049577B" w:rsidRPr="006B5D0A">
                <w:rPr>
                  <w:rStyle w:val="a7"/>
                  <w:lang w:eastAsia="zh-TW"/>
                </w:rPr>
                <w:t>http://www.cic.gc.ca/</w:t>
              </w:r>
            </w:hyperlink>
            <w:r w:rsidR="0049577B" w:rsidRPr="00AF69C2">
              <w:rPr>
                <w:sz w:val="24"/>
                <w:szCs w:val="24"/>
              </w:rPr>
              <w:t>。</w:t>
            </w:r>
            <w:r w:rsidR="0049577B" w:rsidRPr="00AF69C2">
              <w:rPr>
                <w:rFonts w:ascii="Arial Unicode MS" w:eastAsia="新細明體" w:hAnsi="Arial Unicode MS"/>
                <w:color w:val="FF6600"/>
                <w:sz w:val="20"/>
                <w:szCs w:val="24"/>
              </w:rPr>
              <w:footnoteReference w:id="385"/>
            </w:r>
          </w:p>
        </w:tc>
      </w:tr>
    </w:tbl>
    <w:p w:rsidR="0049577B" w:rsidRPr="00B40DC1" w:rsidRDefault="0049577B" w:rsidP="000D26BB"/>
    <w:p w:rsidR="0049577B" w:rsidRPr="00B40DC1" w:rsidRDefault="00AF69C2" w:rsidP="00871524">
      <w:pPr>
        <w:spacing w:line="240" w:lineRule="auto"/>
        <w:ind w:leftChars="0" w:left="0" w:rightChars="0" w:right="0"/>
      </w:pPr>
      <w:r>
        <w:t xml:space="preserve">　　</w:t>
      </w:r>
      <w:r w:rsidR="0049577B" w:rsidRPr="00B40DC1">
        <w:t>加拿大移民「快速移民」(Express Entry, EE)新政策已於2015年1月實施，加拿大公民及移民部於2014年5月1日重新開放三類型移民可申請，並有機會成為加拿大永久居民，此三類經濟類之技術移民分別為聯邦技術移民(Federal skilled workers，FSW)、熟練技  工(Skilled trades)及具備加拿大經驗類別者(Canadian Experience Class)。</w:t>
      </w:r>
    </w:p>
    <w:p w:rsidR="0049577B" w:rsidRPr="00B40DC1" w:rsidRDefault="00AF69C2" w:rsidP="00871524">
      <w:pPr>
        <w:spacing w:line="240" w:lineRule="auto"/>
        <w:ind w:leftChars="0" w:left="0" w:rightChars="0" w:right="0"/>
      </w:pPr>
      <w:r>
        <w:t xml:space="preserve">　　</w:t>
      </w:r>
      <w:r w:rsidR="0049577B" w:rsidRPr="00B40DC1">
        <w:t>聯邦技術移民(FSW)是屬於高技術移民，另加拿大政府亦開放熟練技工(Skilled trades)及加拿大經驗類別(Canadian Experience Class)，可申請永久居留。Skilled trades熟練技工</w:t>
      </w:r>
      <w:r w:rsidR="0049577B" w:rsidRPr="00871524">
        <w:rPr>
          <w:rStyle w:val="af7"/>
          <w:rFonts w:eastAsia="新細明體"/>
          <w:sz w:val="20"/>
        </w:rPr>
        <w:footnoteReference w:id="386"/>
      </w:r>
      <w:r w:rsidR="0049577B" w:rsidRPr="00B40DC1">
        <w:t>在加拿大之定位乃是次於聯邦技術移民(FSW)，是屬於工業技術之技工，但亦非指低術可隨時被取代之勞力工作者，其欲至加拿大工作必須有2位以上雇主願意擔保並雇用，且必須在魁北克省以外之省份工作。另在加拿大畢業後要有一年以上之工作經驗者始能申請加拿大經驗類別Canadian Experience Class</w:t>
      </w:r>
      <w:r w:rsidR="0049577B" w:rsidRPr="00871524">
        <w:rPr>
          <w:rStyle w:val="af7"/>
          <w:rFonts w:eastAsia="新細明體"/>
          <w:sz w:val="20"/>
        </w:rPr>
        <w:footnoteReference w:id="387"/>
      </w:r>
      <w:r w:rsidR="0049577B" w:rsidRPr="00B40DC1">
        <w:t>。由於熟練技工Skilled trades及加拿大經驗類別Canadian Experience Class不在本研究探討對象之內，在此不再深入探究。</w:t>
      </w:r>
    </w:p>
    <w:p w:rsidR="0049577B" w:rsidRPr="00B40DC1" w:rsidRDefault="00AF69C2" w:rsidP="00871524">
      <w:pPr>
        <w:spacing w:line="240" w:lineRule="auto"/>
        <w:ind w:leftChars="0" w:left="0" w:rightChars="0" w:right="0"/>
      </w:pPr>
      <w:r>
        <w:t xml:space="preserve">　　</w:t>
      </w:r>
      <w:r w:rsidR="0049577B" w:rsidRPr="00B40DC1">
        <w:t>「快速移民」(Express Entry,EE)新政策下，加拿大聯邦技術移民(FSW)申請者須先符合原先聯邦技術移民之標準，在符合資格後始有資格進入「快速移民」(EE)篩選池中。另熟練技工Skilled trades及加拿大經驗類別者(Canadian Experience Class)亦需經過第一階段篩選，但非評點制之篩選，在符合資格後始有資格進入「快速移民」(Express Entry,EE)篩選池中。按照目前加拿大公民及移民部所遴選出來，將給予永久居留權之經濟性技術移民，就得先經過兩輪制度之篩選始有機會成為加拿大永久居留居民。</w:t>
      </w:r>
    </w:p>
    <w:p w:rsidR="0049577B" w:rsidRDefault="00AF69C2" w:rsidP="00871524">
      <w:pPr>
        <w:spacing w:line="240" w:lineRule="auto"/>
        <w:ind w:leftChars="0" w:left="0" w:rightChars="0" w:right="0"/>
      </w:pPr>
      <w:r>
        <w:t xml:space="preserve">　　</w:t>
      </w:r>
      <w:r w:rsidR="0049577B" w:rsidRPr="00B40DC1">
        <w:t>加拿大公民及移民部部長克里斯</w:t>
      </w:r>
      <w:r w:rsidR="0049577B" w:rsidRPr="00B40DC1">
        <w:rPr>
          <w:rFonts w:cs="新細明體" w:hint="eastAsia"/>
        </w:rPr>
        <w:t>‧</w:t>
      </w:r>
      <w:r w:rsidR="0049577B" w:rsidRPr="00B40DC1">
        <w:t>亞歷山大於2015年4月17日指示公民及移民部應遵循移民和難民保護法規範，尊重「快速移民」(Express Entry,EE)之移民系統制度下，所遴選出來之申請者，並給予永久居留權。加拿大公民及移民部於2015年4月18日0時00分00秒由「快速移民」移民系統遴選出符合賦予永久居留權之第715位申請者，其在「快速移民」移民系統所獲得之分數為453分(總分為1200分)。</w:t>
      </w:r>
      <w:r w:rsidR="0049577B" w:rsidRPr="00871524">
        <w:rPr>
          <w:rStyle w:val="af7"/>
          <w:rFonts w:eastAsia="新細明體"/>
          <w:sz w:val="20"/>
        </w:rPr>
        <w:footnoteReference w:id="388"/>
      </w:r>
    </w:p>
    <w:p w:rsidR="00871524" w:rsidRPr="00B40DC1" w:rsidRDefault="00871524" w:rsidP="00871524">
      <w:pPr>
        <w:spacing w:line="240" w:lineRule="auto"/>
        <w:ind w:leftChars="0" w:left="0" w:rightChars="0" w:right="0"/>
        <w:jc w:val="right"/>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sz w:val="22"/>
        </w:rPr>
        <w:t>〉〉</w:t>
      </w:r>
    </w:p>
    <w:p w:rsidR="0049577B" w:rsidRPr="00AF69C2" w:rsidRDefault="0049577B" w:rsidP="00E6315D">
      <w:pPr>
        <w:pStyle w:val="4"/>
      </w:pPr>
      <w:r w:rsidRPr="00AF69C2">
        <w:t>表3</w:t>
      </w:r>
      <w:r w:rsidR="00AF69C2">
        <w:rPr>
          <w:rFonts w:ascii="新細明體" w:eastAsia="新細明體" w:hAnsi="新細明體" w:hint="eastAsia"/>
        </w:rPr>
        <w:t>、</w:t>
      </w:r>
      <w:r w:rsidRPr="00AF69C2">
        <w:t>加拿大快速移民(Express Entry)計分系統表</w:t>
      </w:r>
    </w:p>
    <w:tbl>
      <w:tblPr>
        <w:tblW w:w="9947"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717"/>
        <w:gridCol w:w="1339"/>
        <w:gridCol w:w="1071"/>
        <w:gridCol w:w="2693"/>
        <w:gridCol w:w="2127"/>
      </w:tblGrid>
      <w:tr w:rsidR="0049577B" w:rsidRPr="00AF69C2" w:rsidTr="00AF69C2">
        <w:trPr>
          <w:trHeight w:val="255"/>
        </w:trPr>
        <w:tc>
          <w:tcPr>
            <w:tcW w:w="9947" w:type="dxa"/>
            <w:gridSpan w:val="5"/>
            <w:tcBorders>
              <w:top w:val="single" w:sz="8" w:space="0" w:color="auto"/>
              <w:bottom w:val="single" w:sz="4" w:space="0" w:color="auto"/>
            </w:tcBorders>
            <w:shd w:val="clear" w:color="auto" w:fill="EFFDFF"/>
            <w:vAlign w:val="center"/>
          </w:tcPr>
          <w:p w:rsidR="0049577B" w:rsidRPr="00AF69C2" w:rsidRDefault="0049577B" w:rsidP="00AF69C2">
            <w:pPr>
              <w:spacing w:line="240" w:lineRule="auto"/>
              <w:ind w:leftChars="0" w:left="0" w:rightChars="0" w:right="0"/>
              <w:jc w:val="center"/>
              <w:rPr>
                <w:sz w:val="24"/>
                <w:szCs w:val="24"/>
              </w:rPr>
            </w:pPr>
            <w:r w:rsidRPr="00AF69C2">
              <w:rPr>
                <w:sz w:val="24"/>
                <w:szCs w:val="24"/>
              </w:rPr>
              <w:t>A：CRS-核心因素</w:t>
            </w:r>
          </w:p>
        </w:tc>
      </w:tr>
      <w:tr w:rsidR="0049577B" w:rsidRPr="00AF69C2" w:rsidTr="00871524">
        <w:trPr>
          <w:trHeight w:val="255"/>
        </w:trPr>
        <w:tc>
          <w:tcPr>
            <w:tcW w:w="2717" w:type="dxa"/>
            <w:tcBorders>
              <w:top w:val="single" w:sz="4" w:space="0" w:color="auto"/>
            </w:tcBorders>
            <w:shd w:val="clear" w:color="auto" w:fill="auto"/>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計分項目</w:t>
            </w:r>
          </w:p>
        </w:tc>
        <w:tc>
          <w:tcPr>
            <w:tcW w:w="2410" w:type="dxa"/>
            <w:gridSpan w:val="2"/>
            <w:tcBorders>
              <w:top w:val="single" w:sz="4" w:space="0" w:color="auto"/>
            </w:tcBorders>
            <w:shd w:val="clear" w:color="auto" w:fill="auto"/>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資格</w:t>
            </w:r>
          </w:p>
        </w:tc>
        <w:tc>
          <w:tcPr>
            <w:tcW w:w="2693" w:type="dxa"/>
            <w:tcBorders>
              <w:top w:val="single" w:sz="4" w:space="0" w:color="auto"/>
            </w:tcBorders>
            <w:shd w:val="clear" w:color="auto" w:fill="auto"/>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有配偶或同居伴侶者-最高460分</w:t>
            </w:r>
          </w:p>
        </w:tc>
        <w:tc>
          <w:tcPr>
            <w:tcW w:w="2127" w:type="dxa"/>
            <w:tcBorders>
              <w:top w:val="single" w:sz="4" w:space="0" w:color="auto"/>
            </w:tcBorders>
            <w:shd w:val="clear" w:color="auto" w:fill="auto"/>
            <w:vAlign w:val="center"/>
          </w:tcPr>
          <w:p w:rsidR="0049577B" w:rsidRPr="00AF69C2" w:rsidRDefault="0049577B" w:rsidP="000152BE">
            <w:pPr>
              <w:spacing w:line="240" w:lineRule="auto"/>
              <w:ind w:leftChars="0" w:left="0" w:rightChars="0" w:right="0"/>
              <w:jc w:val="center"/>
              <w:rPr>
                <w:sz w:val="24"/>
                <w:szCs w:val="24"/>
              </w:rPr>
            </w:pPr>
            <w:r w:rsidRPr="00AF69C2">
              <w:rPr>
                <w:sz w:val="24"/>
                <w:szCs w:val="24"/>
              </w:rPr>
              <w:t>單身者-500分</w:t>
            </w:r>
          </w:p>
        </w:tc>
      </w:tr>
      <w:tr w:rsidR="0049577B" w:rsidRPr="00AF69C2" w:rsidTr="00871524">
        <w:trPr>
          <w:trHeight w:val="255"/>
        </w:trPr>
        <w:tc>
          <w:tcPr>
            <w:tcW w:w="2717" w:type="dxa"/>
            <w:vMerge w:val="restart"/>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1、申請者年齡Age</w:t>
            </w:r>
            <w:r w:rsidR="003C1792" w:rsidRPr="00AF69C2">
              <w:rPr>
                <w:sz w:val="24"/>
                <w:szCs w:val="24"/>
              </w:rPr>
              <w:t>(</w:t>
            </w:r>
            <w:r w:rsidRPr="00AF69C2">
              <w:rPr>
                <w:sz w:val="24"/>
                <w:szCs w:val="24"/>
              </w:rPr>
              <w:t>已婚最高100分/單身最高110分)</w:t>
            </w: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17歲以下</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18歲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99</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19歲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105</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20–29歲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100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110</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30歲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105</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31歲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99</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32歲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85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94</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33歲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80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88</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34歲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75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83</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35歲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70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77</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36歲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65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72</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37歲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60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66</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38歲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61</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39歲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55</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40歲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50</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41歲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39</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42歲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28</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43歲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17</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44歲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6</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45歲以上</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r>
      <w:tr w:rsidR="0049577B" w:rsidRPr="00AF69C2" w:rsidTr="00871524">
        <w:trPr>
          <w:trHeight w:val="255"/>
        </w:trPr>
        <w:tc>
          <w:tcPr>
            <w:tcW w:w="2717" w:type="dxa"/>
            <w:vMerge w:val="restart"/>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2、教育程度 Education</w:t>
            </w:r>
            <w:r w:rsidR="003C1792" w:rsidRPr="00AF69C2">
              <w:rPr>
                <w:sz w:val="24"/>
                <w:szCs w:val="24"/>
              </w:rPr>
              <w:t>(</w:t>
            </w:r>
            <w:r w:rsidRPr="00AF69C2">
              <w:rPr>
                <w:sz w:val="24"/>
                <w:szCs w:val="24"/>
              </w:rPr>
              <w:t>已婚最高140分/單身最高150分)</w:t>
            </w: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初中以下</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高中文憑</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28</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30</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一年專科教育（Certificate）</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84</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90</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二年專科教育（College Diploma）</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91</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98</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大學學士文憑，或三年或以專科教育（College Diploma/Degree）</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112</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120</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兩個或以上大學學士文憑，且其中一個需修業至少3年以上</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119</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128</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碩士文憑，或專業學位需持有執業執照，且科系限制需為以下之一：醫學系、獸醫學、牙醫系、足部醫療、視力檢測、法律系、脊椎按摩療法或藥學系</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126</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135</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博士</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140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150</w:t>
            </w:r>
          </w:p>
        </w:tc>
      </w:tr>
      <w:tr w:rsidR="0049577B" w:rsidRPr="00AF69C2" w:rsidTr="00871524">
        <w:trPr>
          <w:trHeight w:val="255"/>
        </w:trPr>
        <w:tc>
          <w:tcPr>
            <w:tcW w:w="2717" w:type="dxa"/>
            <w:vMerge w:val="restart"/>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3、語言能力Language Ability</w:t>
            </w:r>
            <w:r w:rsidR="003C1792" w:rsidRPr="00AF69C2">
              <w:rPr>
                <w:sz w:val="24"/>
                <w:szCs w:val="24"/>
              </w:rPr>
              <w:t>(</w:t>
            </w:r>
            <w:r w:rsidRPr="00AF69C2">
              <w:rPr>
                <w:sz w:val="24"/>
                <w:szCs w:val="24"/>
              </w:rPr>
              <w:t>第一語言已緍最高128分及單身最高136分/第二語言已婚最高22分及單身最高24分)</w:t>
            </w: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第ㄧ語言（英語）</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有配偶或同居伴侶者最高128分</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單身最高136分</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4以下</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0分/項</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0分/項</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4-5級</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6分/聽說讀寫每項能力達</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6分/聽說讀寫每項能力達</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6級</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8分/聽說讀寫每項能力達</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9分/聽說讀寫每項能力達</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7級</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16分/聽說讀寫每項能力達</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17分/聽說讀寫每項能力達</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8級</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22分/聽說讀寫每項能力達</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23分/聽說讀寫每項能力達</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9級</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29分/聽說讀寫每項能力達</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31分/聽說讀寫每項能力達</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10級以上</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32分/聽說讀寫每項能力達</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34分/聽說讀寫每項能力達</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第二語言（法語）</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已婚最高22分</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單身最高24分</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4以下</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0分/項</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0分/項</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5-6級</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1分/聽說讀寫每項能力達</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1分/聽說讀寫每項能力達</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7-8級</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3分/聽說讀寫每項能力達</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3分/聽說讀寫每項能力達</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CLB 9級以上</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5.5分/聽說讀寫每項能力達</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6分/聽說讀寫每項能力達</w:t>
            </w:r>
          </w:p>
        </w:tc>
      </w:tr>
      <w:tr w:rsidR="0049577B" w:rsidRPr="00AF69C2" w:rsidTr="00871524">
        <w:trPr>
          <w:trHeight w:val="255"/>
        </w:trPr>
        <w:tc>
          <w:tcPr>
            <w:tcW w:w="2717" w:type="dxa"/>
            <w:vMerge w:val="restart"/>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4、加拿大工作經驗Work Experience</w:t>
            </w:r>
            <w:r w:rsidR="003C1792" w:rsidRPr="00AF69C2">
              <w:rPr>
                <w:sz w:val="24"/>
                <w:szCs w:val="24"/>
              </w:rPr>
              <w:t>(</w:t>
            </w:r>
            <w:r w:rsidRPr="00AF69C2">
              <w:rPr>
                <w:sz w:val="24"/>
                <w:szCs w:val="24"/>
              </w:rPr>
              <w:t>已婚最高70分/單身最高80分)</w:t>
            </w: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未滿一年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 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40</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 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46</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53</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 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56</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64</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 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63</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72</w:t>
            </w:r>
          </w:p>
        </w:tc>
      </w:tr>
      <w:tr w:rsidR="0049577B" w:rsidRPr="00AF69C2" w:rsidTr="00871524">
        <w:trPr>
          <w:trHeight w:val="255"/>
        </w:trPr>
        <w:tc>
          <w:tcPr>
            <w:tcW w:w="2717" w:type="dxa"/>
            <w:vMerge/>
            <w:tcBorders>
              <w:bottom w:val="single" w:sz="4" w:space="0" w:color="auto"/>
            </w:tcBorders>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tcBorders>
              <w:bottom w:val="single" w:sz="4" w:space="0" w:color="auto"/>
            </w:tcBorders>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 年以上</w:t>
            </w:r>
          </w:p>
        </w:tc>
        <w:tc>
          <w:tcPr>
            <w:tcW w:w="2693" w:type="dxa"/>
            <w:tcBorders>
              <w:bottom w:val="single" w:sz="4" w:space="0" w:color="auto"/>
            </w:tcBorders>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70</w:t>
            </w:r>
          </w:p>
        </w:tc>
        <w:tc>
          <w:tcPr>
            <w:tcW w:w="2127" w:type="dxa"/>
            <w:tcBorders>
              <w:bottom w:val="single" w:sz="4" w:space="0" w:color="auto"/>
            </w:tcBorders>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80</w:t>
            </w:r>
          </w:p>
        </w:tc>
      </w:tr>
      <w:tr w:rsidR="0049577B" w:rsidRPr="00AF69C2" w:rsidTr="00AF69C2">
        <w:trPr>
          <w:trHeight w:val="255"/>
        </w:trPr>
        <w:tc>
          <w:tcPr>
            <w:tcW w:w="9947" w:type="dxa"/>
            <w:gridSpan w:val="5"/>
            <w:tcBorders>
              <w:top w:val="single" w:sz="4" w:space="0" w:color="auto"/>
              <w:bottom w:val="single" w:sz="4" w:space="0" w:color="auto"/>
            </w:tcBorders>
            <w:shd w:val="clear" w:color="auto" w:fill="EFFDFF"/>
            <w:vAlign w:val="center"/>
          </w:tcPr>
          <w:p w:rsidR="0049577B" w:rsidRPr="00AF69C2" w:rsidRDefault="0049577B" w:rsidP="00AF69C2">
            <w:pPr>
              <w:spacing w:line="240" w:lineRule="auto"/>
              <w:ind w:leftChars="0" w:left="0" w:rightChars="0" w:right="0"/>
              <w:rPr>
                <w:sz w:val="24"/>
                <w:szCs w:val="24"/>
              </w:rPr>
            </w:pPr>
            <w:r w:rsidRPr="00AF69C2">
              <w:rPr>
                <w:sz w:val="24"/>
                <w:szCs w:val="24"/>
              </w:rPr>
              <w:t>B：CRS-配偶因素(如適用)</w:t>
            </w:r>
          </w:p>
        </w:tc>
      </w:tr>
      <w:tr w:rsidR="0049577B" w:rsidRPr="00AF69C2" w:rsidTr="00871524">
        <w:trPr>
          <w:trHeight w:val="255"/>
        </w:trPr>
        <w:tc>
          <w:tcPr>
            <w:tcW w:w="2717" w:type="dxa"/>
            <w:tcBorders>
              <w:top w:val="single" w:sz="4" w:space="0" w:color="auto"/>
            </w:tcBorders>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計分項目</w:t>
            </w:r>
          </w:p>
        </w:tc>
        <w:tc>
          <w:tcPr>
            <w:tcW w:w="2410" w:type="dxa"/>
            <w:gridSpan w:val="2"/>
            <w:tcBorders>
              <w:top w:val="single" w:sz="4" w:space="0" w:color="auto"/>
            </w:tcBorders>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資格</w:t>
            </w:r>
          </w:p>
        </w:tc>
        <w:tc>
          <w:tcPr>
            <w:tcW w:w="2693" w:type="dxa"/>
            <w:tcBorders>
              <w:top w:val="single" w:sz="4" w:space="0" w:color="auto"/>
            </w:tcBorders>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有配偶或同居伴侶者-最高40分</w:t>
            </w:r>
          </w:p>
        </w:tc>
        <w:tc>
          <w:tcPr>
            <w:tcW w:w="2127" w:type="dxa"/>
            <w:tcBorders>
              <w:top w:val="single" w:sz="4" w:space="0" w:color="auto"/>
            </w:tcBorders>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單身者-不適用</w:t>
            </w:r>
          </w:p>
        </w:tc>
      </w:tr>
      <w:tr w:rsidR="0049577B" w:rsidRPr="00AF69C2" w:rsidTr="00871524">
        <w:trPr>
          <w:trHeight w:val="255"/>
        </w:trPr>
        <w:tc>
          <w:tcPr>
            <w:tcW w:w="2717" w:type="dxa"/>
            <w:vMerge w:val="restart"/>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1、教育程度(最高10分。</w:t>
            </w:r>
            <w:r w:rsidR="00E736D6" w:rsidRPr="00AF69C2">
              <w:rPr>
                <w:sz w:val="24"/>
                <w:szCs w:val="24"/>
              </w:rPr>
              <w:t>【註】</w:t>
            </w:r>
            <w:r w:rsidRPr="00AF69C2">
              <w:rPr>
                <w:sz w:val="24"/>
                <w:szCs w:val="24"/>
              </w:rPr>
              <w:t>非加拿大文憑需先經過學歷認證)</w:t>
            </w: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初中以下</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高中文憑</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一年專科教育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6</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二年專科教育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7</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大學學士文憑，或三年以上專科教育</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8</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擁有兩個以上大學學士文憑，且其中一個需修業至少3年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碩士文憑，或或專業學位需持有執業執照，且科系限制需為以下之一：醫學系、獸醫學、牙醫系、足部醫療、視力檢測、法律系、脊椎按摩療法或藥學系</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博士</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val="restart"/>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2、第一官方語言能力計分方式(最高20分)</w:t>
            </w: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CLB 4以下</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聽說讀寫每項能力達CLB 5-6級</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聽說讀寫每項能力達CLB 7-8級</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聽說讀寫每項能力達CLB 9級以上</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val="restart"/>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3、加拿大工作經驗(最高10分)</w:t>
            </w: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未滿一年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7</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3年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8</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4年</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9</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5年以上</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10</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不適用</w:t>
            </w:r>
          </w:p>
        </w:tc>
      </w:tr>
      <w:tr w:rsidR="0049577B" w:rsidRPr="00AF69C2" w:rsidTr="00871524">
        <w:trPr>
          <w:trHeight w:val="255"/>
        </w:trPr>
        <w:tc>
          <w:tcPr>
            <w:tcW w:w="9947" w:type="dxa"/>
            <w:gridSpan w:val="5"/>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C：CRS-技術適用性(以下五項評分中，1+2總分最高為50分，3+4總分最高為50分，此類別所有項目總分最多加100分)</w:t>
            </w:r>
          </w:p>
        </w:tc>
      </w:tr>
      <w:tr w:rsidR="0049577B" w:rsidRPr="00AF69C2" w:rsidTr="00871524">
        <w:trPr>
          <w:trHeight w:val="255"/>
        </w:trPr>
        <w:tc>
          <w:tcPr>
            <w:tcW w:w="2717" w:type="dxa"/>
            <w:vMerge w:val="restart"/>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1、教育程度-擁有優異之官方語言能力及專科學歷(滿分為50分)</w:t>
            </w: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計分項目</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第一官方語言聽說讀寫皆達CLB7級或以上，且至少一項達CLB9級以上</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第一官方語言聽說讀寫皆達CLB9級以上</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一年以上專科教育學歷(CLB達3、4、5級)</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13</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25</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擁有兩個以上專科教育學歷，且其中一個是3年以上之課程（CLB達levels 6、7、8）</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50</w:t>
            </w:r>
          </w:p>
        </w:tc>
      </w:tr>
      <w:tr w:rsidR="0049577B" w:rsidRPr="00AF69C2" w:rsidTr="00871524">
        <w:trPr>
          <w:trHeight w:val="255"/>
        </w:trPr>
        <w:tc>
          <w:tcPr>
            <w:tcW w:w="2717" w:type="dxa"/>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計分項目</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教育程度+一年加拿大工作經驗</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教育程度+兩年以上加拿大工作經驗</w:t>
            </w:r>
          </w:p>
        </w:tc>
      </w:tr>
      <w:tr w:rsidR="0049577B" w:rsidRPr="00AF69C2" w:rsidTr="00871524">
        <w:trPr>
          <w:trHeight w:val="255"/>
        </w:trPr>
        <w:tc>
          <w:tcPr>
            <w:tcW w:w="2717" w:type="dxa"/>
            <w:vMerge w:val="restart"/>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2、工作經驗-擁有加拿大工作經驗及專科學歷(滿分為50分)</w:t>
            </w: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一年以上專科教育學歷(CLB達3、4、5級)</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13</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25</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擁有兩個以上專科教育學歷，且其中一個是3年以上之課程（CLB達levels 6、7、8）</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50</w:t>
            </w:r>
          </w:p>
        </w:tc>
      </w:tr>
      <w:tr w:rsidR="0049577B" w:rsidRPr="00AF69C2" w:rsidTr="00871524">
        <w:trPr>
          <w:trHeight w:val="255"/>
        </w:trPr>
        <w:tc>
          <w:tcPr>
            <w:tcW w:w="2717" w:type="dxa"/>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評分項目</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擁有海外工作經驗+第一官方語言聽說讀寫皆達CLB7級或以上，且至少一項達CLB9級以上</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擁有海外工作經驗+第一官方語言聽說讀寫皆達CLB9級以上</w:t>
            </w:r>
          </w:p>
        </w:tc>
      </w:tr>
      <w:tr w:rsidR="0049577B" w:rsidRPr="00AF69C2" w:rsidTr="00871524">
        <w:trPr>
          <w:trHeight w:val="255"/>
        </w:trPr>
        <w:tc>
          <w:tcPr>
            <w:tcW w:w="2717" w:type="dxa"/>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3、海外工作經驗(滿分為50分)</w:t>
            </w: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1-2年海外工作經驗</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13</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25</w:t>
            </w:r>
          </w:p>
        </w:tc>
      </w:tr>
      <w:tr w:rsidR="0049577B" w:rsidRPr="00AF69C2" w:rsidTr="00871524">
        <w:trPr>
          <w:trHeight w:val="255"/>
        </w:trPr>
        <w:tc>
          <w:tcPr>
            <w:tcW w:w="2717" w:type="dxa"/>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3年以上海外工作經驗</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50</w:t>
            </w:r>
          </w:p>
        </w:tc>
      </w:tr>
      <w:tr w:rsidR="0049577B" w:rsidRPr="00AF69C2" w:rsidTr="00871524">
        <w:trPr>
          <w:trHeight w:val="255"/>
        </w:trPr>
        <w:tc>
          <w:tcPr>
            <w:tcW w:w="2717" w:type="dxa"/>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評分項目</w:t>
            </w:r>
          </w:p>
        </w:tc>
        <w:tc>
          <w:tcPr>
            <w:tcW w:w="2693"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擁有海外工作經驗+一年加拿大工作經驗</w:t>
            </w:r>
          </w:p>
        </w:tc>
        <w:tc>
          <w:tcPr>
            <w:tcW w:w="2127" w:type="dxa"/>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擁有海外工作經驗+兩年以上加拿大工作經驗</w:t>
            </w:r>
          </w:p>
        </w:tc>
      </w:tr>
      <w:tr w:rsidR="0049577B" w:rsidRPr="00AF69C2" w:rsidTr="00871524">
        <w:trPr>
          <w:trHeight w:val="255"/>
        </w:trPr>
        <w:tc>
          <w:tcPr>
            <w:tcW w:w="2717" w:type="dxa"/>
            <w:vMerge w:val="restart"/>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4、海外工作經驗(滿分為50分)</w:t>
            </w: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1-2年海外工作經驗</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13</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25</w:t>
            </w:r>
          </w:p>
        </w:tc>
      </w:tr>
      <w:tr w:rsidR="0049577B" w:rsidRPr="00AF69C2" w:rsidTr="00871524">
        <w:trPr>
          <w:trHeight w:val="255"/>
        </w:trPr>
        <w:tc>
          <w:tcPr>
            <w:tcW w:w="2717" w:type="dxa"/>
            <w:vMerge/>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5467C0">
            <w:pPr>
              <w:spacing w:line="240" w:lineRule="auto"/>
              <w:ind w:leftChars="0" w:left="0" w:rightChars="0" w:right="0"/>
              <w:jc w:val="left"/>
              <w:rPr>
                <w:sz w:val="24"/>
                <w:szCs w:val="24"/>
              </w:rPr>
            </w:pPr>
            <w:r w:rsidRPr="00AF69C2">
              <w:rPr>
                <w:sz w:val="24"/>
                <w:szCs w:val="24"/>
              </w:rPr>
              <w:t>3年以上海外工作經驗</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50</w:t>
            </w:r>
          </w:p>
        </w:tc>
      </w:tr>
      <w:tr w:rsidR="0049577B" w:rsidRPr="00AF69C2" w:rsidTr="00871524">
        <w:trPr>
          <w:trHeight w:val="255"/>
        </w:trPr>
        <w:tc>
          <w:tcPr>
            <w:tcW w:w="2717" w:type="dxa"/>
            <w:shd w:val="clear" w:color="auto" w:fill="auto"/>
            <w:vAlign w:val="center"/>
          </w:tcPr>
          <w:p w:rsidR="0049577B" w:rsidRPr="00AF69C2" w:rsidRDefault="0049577B" w:rsidP="00AF69C2">
            <w:pPr>
              <w:spacing w:line="240" w:lineRule="auto"/>
              <w:ind w:leftChars="0" w:left="0" w:rightChars="0" w:right="0"/>
              <w:rPr>
                <w:sz w:val="24"/>
                <w:szCs w:val="24"/>
              </w:rPr>
            </w:pP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評分項目</w:t>
            </w:r>
          </w:p>
        </w:tc>
        <w:tc>
          <w:tcPr>
            <w:tcW w:w="2693" w:type="dxa"/>
            <w:shd w:val="clear" w:color="auto" w:fill="auto"/>
            <w:vAlign w:val="center"/>
          </w:tcPr>
          <w:p w:rsidR="0049577B" w:rsidRPr="00AF69C2" w:rsidRDefault="0049577B" w:rsidP="005467C0">
            <w:pPr>
              <w:spacing w:line="240" w:lineRule="auto"/>
              <w:ind w:leftChars="0" w:left="0" w:rightChars="0" w:right="0"/>
              <w:rPr>
                <w:sz w:val="24"/>
                <w:szCs w:val="24"/>
              </w:rPr>
            </w:pPr>
            <w:r w:rsidRPr="00AF69C2">
              <w:rPr>
                <w:sz w:val="24"/>
                <w:szCs w:val="24"/>
              </w:rPr>
              <w:t>擁有一張合格證照+第一官方語言聽說讀寫皆達CLB5級或以上，且至少一項達CLB7級以上</w:t>
            </w:r>
          </w:p>
        </w:tc>
        <w:tc>
          <w:tcPr>
            <w:tcW w:w="2127" w:type="dxa"/>
            <w:shd w:val="clear" w:color="auto" w:fill="auto"/>
            <w:vAlign w:val="center"/>
          </w:tcPr>
          <w:p w:rsidR="0049577B" w:rsidRPr="00AF69C2" w:rsidRDefault="0049577B" w:rsidP="005467C0">
            <w:pPr>
              <w:spacing w:line="240" w:lineRule="auto"/>
              <w:ind w:leftChars="0" w:left="0" w:rightChars="0" w:right="0"/>
              <w:rPr>
                <w:sz w:val="24"/>
                <w:szCs w:val="24"/>
              </w:rPr>
            </w:pPr>
            <w:r w:rsidRPr="00AF69C2">
              <w:rPr>
                <w:sz w:val="24"/>
                <w:szCs w:val="24"/>
              </w:rPr>
              <w:t>擁有一張合格證照+第一官方語言聽說讀寫皆達CLB7級以上</w:t>
            </w:r>
          </w:p>
        </w:tc>
      </w:tr>
      <w:tr w:rsidR="0049577B" w:rsidRPr="00AF69C2" w:rsidTr="00871524">
        <w:trPr>
          <w:trHeight w:val="255"/>
        </w:trPr>
        <w:tc>
          <w:tcPr>
            <w:tcW w:w="2717" w:type="dxa"/>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5、技工職業證書及官方語言加分，擁有一定官方語言能力及證照</w:t>
            </w:r>
          </w:p>
        </w:tc>
        <w:tc>
          <w:tcPr>
            <w:tcW w:w="2410" w:type="dxa"/>
            <w:gridSpan w:val="2"/>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一張合格證照</w:t>
            </w:r>
          </w:p>
        </w:tc>
        <w:tc>
          <w:tcPr>
            <w:tcW w:w="2693"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25</w:t>
            </w:r>
          </w:p>
        </w:tc>
        <w:tc>
          <w:tcPr>
            <w:tcW w:w="2127" w:type="dxa"/>
            <w:shd w:val="clear" w:color="auto" w:fill="auto"/>
            <w:vAlign w:val="center"/>
          </w:tcPr>
          <w:p w:rsidR="0049577B" w:rsidRPr="00AF69C2" w:rsidRDefault="0049577B" w:rsidP="00871524">
            <w:pPr>
              <w:spacing w:line="240" w:lineRule="auto"/>
              <w:ind w:leftChars="0" w:left="0" w:rightChars="0" w:right="0"/>
              <w:jc w:val="center"/>
              <w:rPr>
                <w:sz w:val="24"/>
                <w:szCs w:val="24"/>
              </w:rPr>
            </w:pPr>
            <w:r w:rsidRPr="00AF69C2">
              <w:rPr>
                <w:sz w:val="24"/>
                <w:szCs w:val="24"/>
              </w:rPr>
              <w:t>50</w:t>
            </w:r>
          </w:p>
        </w:tc>
      </w:tr>
      <w:tr w:rsidR="0049577B" w:rsidRPr="00AF69C2" w:rsidTr="00AF69C2">
        <w:trPr>
          <w:trHeight w:val="255"/>
        </w:trPr>
        <w:tc>
          <w:tcPr>
            <w:tcW w:w="9947" w:type="dxa"/>
            <w:gridSpan w:val="5"/>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合計A+B+C=最高600分</w:t>
            </w:r>
          </w:p>
        </w:tc>
      </w:tr>
      <w:tr w:rsidR="0049577B" w:rsidRPr="00AF69C2" w:rsidTr="00AF69C2">
        <w:trPr>
          <w:trHeight w:val="255"/>
        </w:trPr>
        <w:tc>
          <w:tcPr>
            <w:tcW w:w="9947" w:type="dxa"/>
            <w:gridSpan w:val="5"/>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D：額外加分</w:t>
            </w:r>
          </w:p>
        </w:tc>
      </w:tr>
      <w:tr w:rsidR="0049577B" w:rsidRPr="00AF69C2" w:rsidTr="0071030F">
        <w:trPr>
          <w:trHeight w:val="255"/>
        </w:trPr>
        <w:tc>
          <w:tcPr>
            <w:tcW w:w="4056" w:type="dxa"/>
            <w:gridSpan w:val="2"/>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加分項目</w:t>
            </w:r>
          </w:p>
        </w:tc>
        <w:tc>
          <w:tcPr>
            <w:tcW w:w="5891" w:type="dxa"/>
            <w:gridSpan w:val="3"/>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計分</w:t>
            </w:r>
          </w:p>
        </w:tc>
      </w:tr>
      <w:tr w:rsidR="0049577B" w:rsidRPr="00AF69C2" w:rsidTr="0071030F">
        <w:trPr>
          <w:trHeight w:val="255"/>
        </w:trPr>
        <w:tc>
          <w:tcPr>
            <w:tcW w:w="4056" w:type="dxa"/>
            <w:gridSpan w:val="2"/>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持有工作許可</w:t>
            </w:r>
          </w:p>
        </w:tc>
        <w:tc>
          <w:tcPr>
            <w:tcW w:w="5891" w:type="dxa"/>
            <w:gridSpan w:val="3"/>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600分</w:t>
            </w:r>
          </w:p>
        </w:tc>
      </w:tr>
      <w:tr w:rsidR="0049577B" w:rsidRPr="00AF69C2" w:rsidTr="0071030F">
        <w:trPr>
          <w:trHeight w:val="255"/>
        </w:trPr>
        <w:tc>
          <w:tcPr>
            <w:tcW w:w="4056" w:type="dxa"/>
            <w:gridSpan w:val="2"/>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省或地區提名</w:t>
            </w:r>
          </w:p>
        </w:tc>
        <w:tc>
          <w:tcPr>
            <w:tcW w:w="5891" w:type="dxa"/>
            <w:gridSpan w:val="3"/>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600分</w:t>
            </w:r>
          </w:p>
        </w:tc>
      </w:tr>
      <w:tr w:rsidR="0049577B" w:rsidRPr="00AF69C2" w:rsidTr="00AF69C2">
        <w:trPr>
          <w:trHeight w:val="255"/>
        </w:trPr>
        <w:tc>
          <w:tcPr>
            <w:tcW w:w="9947" w:type="dxa"/>
            <w:gridSpan w:val="5"/>
            <w:shd w:val="clear" w:color="auto" w:fill="auto"/>
            <w:vAlign w:val="center"/>
          </w:tcPr>
          <w:p w:rsidR="0049577B" w:rsidRPr="00AF69C2" w:rsidRDefault="0049577B" w:rsidP="00AF69C2">
            <w:pPr>
              <w:spacing w:line="240" w:lineRule="auto"/>
              <w:ind w:leftChars="0" w:left="0" w:rightChars="0" w:right="0"/>
              <w:rPr>
                <w:sz w:val="24"/>
                <w:szCs w:val="24"/>
              </w:rPr>
            </w:pPr>
            <w:r w:rsidRPr="00AF69C2">
              <w:rPr>
                <w:sz w:val="24"/>
                <w:szCs w:val="24"/>
              </w:rPr>
              <w:t>總計A+B+C+D=滿分1200分</w:t>
            </w:r>
          </w:p>
        </w:tc>
      </w:tr>
      <w:tr w:rsidR="0049577B" w:rsidRPr="00AF69C2" w:rsidTr="00AF69C2">
        <w:trPr>
          <w:trHeight w:val="255"/>
        </w:trPr>
        <w:tc>
          <w:tcPr>
            <w:tcW w:w="9947" w:type="dxa"/>
            <w:gridSpan w:val="5"/>
            <w:shd w:val="clear" w:color="auto" w:fill="auto"/>
            <w:vAlign w:val="center"/>
          </w:tcPr>
          <w:p w:rsidR="0049577B" w:rsidRPr="00AF69C2" w:rsidRDefault="00817A92" w:rsidP="00AF69C2">
            <w:pPr>
              <w:spacing w:line="240" w:lineRule="auto"/>
              <w:ind w:leftChars="0" w:left="0" w:rightChars="0" w:right="0"/>
              <w:rPr>
                <w:sz w:val="24"/>
                <w:szCs w:val="24"/>
              </w:rPr>
            </w:pPr>
            <w:r w:rsidRPr="00AF69C2">
              <w:rPr>
                <w:sz w:val="24"/>
                <w:szCs w:val="24"/>
              </w:rPr>
              <w:t>【資料來源】</w:t>
            </w:r>
            <w:r w:rsidR="0049577B" w:rsidRPr="00AF69C2">
              <w:rPr>
                <w:sz w:val="24"/>
                <w:szCs w:val="24"/>
              </w:rPr>
              <w:t>作者整理自加拿大公民及移民部網站：</w:t>
            </w:r>
            <w:hyperlink r:id="rId279" w:history="1">
              <w:r w:rsidR="0049577B" w:rsidRPr="006B5D0A">
                <w:rPr>
                  <w:rStyle w:val="a7"/>
                  <w:lang w:eastAsia="zh-TW"/>
                </w:rPr>
                <w:t>http://www.cic.gc.ca/</w:t>
              </w:r>
            </w:hyperlink>
            <w:r w:rsidR="0049577B" w:rsidRPr="00AF69C2">
              <w:rPr>
                <w:sz w:val="24"/>
                <w:szCs w:val="24"/>
              </w:rPr>
              <w:t>。</w:t>
            </w:r>
            <w:r w:rsidR="0049577B" w:rsidRPr="00AF69C2">
              <w:rPr>
                <w:rFonts w:ascii="Arial Unicode MS" w:eastAsia="新細明體" w:hAnsi="Arial Unicode MS"/>
                <w:color w:val="FF6600"/>
                <w:sz w:val="20"/>
                <w:szCs w:val="24"/>
              </w:rPr>
              <w:footnoteReference w:id="389"/>
            </w:r>
          </w:p>
        </w:tc>
      </w:tr>
    </w:tbl>
    <w:p w:rsidR="0049577B" w:rsidRDefault="0049577B" w:rsidP="00AF69C2">
      <w:pPr>
        <w:ind w:leftChars="0"/>
      </w:pPr>
    </w:p>
    <w:p w:rsidR="00321574" w:rsidRPr="00AF69C2" w:rsidRDefault="00E56787" w:rsidP="00321574">
      <w:pPr>
        <w:ind w:leftChars="0"/>
        <w:jc w:val="right"/>
      </w:pPr>
      <w:r w:rsidRPr="00D45AD2">
        <w:rPr>
          <w:rFonts w:hint="eastAsia"/>
        </w:rPr>
        <w:t>。。。。。。。。。。。。。。</w:t>
      </w:r>
      <w:hyperlink w:anchor="a2" w:history="1">
        <w:r w:rsidRPr="004501CB">
          <w:rPr>
            <w:rStyle w:val="a7"/>
            <w:sz w:val="22"/>
            <w:szCs w:val="22"/>
            <w:lang w:eastAsia="zh-TW"/>
          </w:rPr>
          <w:t>回本章</w:t>
        </w:r>
      </w:hyperlink>
      <w:r w:rsidRPr="004501CB">
        <w:rPr>
          <w:color w:val="808000"/>
          <w:sz w:val="22"/>
          <w:szCs w:val="22"/>
        </w:rPr>
        <w:t>〉〉</w:t>
      </w:r>
      <w:hyperlink w:anchor="a目次2" w:history="1">
        <w:r w:rsidRPr="004501CB">
          <w:rPr>
            <w:rStyle w:val="a7"/>
            <w:sz w:val="22"/>
            <w:szCs w:val="22"/>
            <w:lang w:eastAsia="zh-TW"/>
          </w:rPr>
          <w:t>回總目次</w:t>
        </w:r>
      </w:hyperlink>
      <w:r w:rsidRPr="004501CB">
        <w:rPr>
          <w:color w:val="808000"/>
          <w:sz w:val="22"/>
          <w:szCs w:val="22"/>
        </w:rPr>
        <w:t>〉〉</w:t>
      </w:r>
    </w:p>
    <w:p w:rsidR="0049577B" w:rsidRPr="00B40DC1" w:rsidRDefault="0049577B" w:rsidP="002F19DE">
      <w:pPr>
        <w:pStyle w:val="2"/>
      </w:pPr>
      <w:bookmarkStart w:id="57" w:name="_肆、紐西蘭評點制技術移民政策之剖析"/>
      <w:bookmarkEnd w:id="57"/>
      <w:r w:rsidRPr="00B40DC1">
        <w:t>肆、紐西蘭評點制技術移民政策之剖析</w:t>
      </w:r>
    </w:p>
    <w:p w:rsidR="00871524" w:rsidRDefault="00FF6603" w:rsidP="00871524">
      <w:pPr>
        <w:spacing w:line="240" w:lineRule="auto"/>
        <w:ind w:leftChars="0" w:left="0" w:rightChars="0" w:right="0"/>
      </w:pPr>
      <w:r>
        <w:t xml:space="preserve">　　</w:t>
      </w:r>
      <w:r w:rsidR="0049577B" w:rsidRPr="00B40DC1">
        <w:t>紐西蘭技術移民申請者，可在紐西蘭移民局網站線上申請，只要申請者在線上提出意向申請「Expression of Interest」(EOI)後，該系統會依申請者各項條件自動計分並自動遴選符合紐西蘭設定條件之系統。從</w:t>
      </w:r>
      <w:smartTag w:uri="urn:schemas-microsoft-com:office:smarttags" w:element="chsdate">
        <w:smartTagPr>
          <w:attr w:name="IsROCDate" w:val="False"/>
          <w:attr w:name="IsLunarDate" w:val="False"/>
          <w:attr w:name="Day" w:val="21"/>
          <w:attr w:name="Month" w:val="12"/>
          <w:attr w:name="Year" w:val="2005"/>
        </w:smartTagPr>
        <w:r w:rsidR="0049577B" w:rsidRPr="00B40DC1">
          <w:t>2005年12月21日</w:t>
        </w:r>
      </w:smartTag>
      <w:r w:rsidR="0049577B" w:rsidRPr="00B40DC1">
        <w:t>迄今所提出技術移民申請之申請者，只要符合基本分100分，均會繼續將申請案保留在該系統內，該系統早期乃由紐西蘭勞動部所設計。</w:t>
      </w:r>
      <w:r w:rsidR="0049577B" w:rsidRPr="00893AB9">
        <w:rPr>
          <w:rStyle w:val="af7"/>
          <w:rFonts w:eastAsia="新細明體"/>
          <w:sz w:val="20"/>
        </w:rPr>
        <w:footnoteReference w:id="390"/>
      </w:r>
      <w:r w:rsidR="0049577B" w:rsidRPr="00B40DC1">
        <w:t>技術移民類別之簽證Skilled Migrant Category(SMC)乃是一個求職簽證，紐西蘭技術移民又稱技術移民Skilled Migrant。紐西蘭技術類移民之目的在吸引各種人才、提升人力資源及加強國際聯繫。本類移民係以計分法來評定申請人，且申請人得具備IELTS平均達到6.5級之英語能力始有資格提出線上意向申請(EOI)，且由該系統自動計分，計分項目包括申請者年齡、是否有近親為紐西蘭公民或永久居留之居民、境內及境外工作經驗及學歷資格等，申請者至少需要獲得100分始能有權進入意向申請(EOI)篩選池裡，另外至少要獲得140分以上，紐西蘭移民局之系統始會自動選取並由紐西蘭移民當局進行評估，系統每兩週會進行一次篩選，並會有官方統計資料EOI selections and New Zealand Residence Programme Fact Sheets</w:t>
      </w:r>
      <w:r w:rsidR="0049577B" w:rsidRPr="00893AB9">
        <w:rPr>
          <w:rStyle w:val="af7"/>
          <w:rFonts w:eastAsia="新細明體"/>
          <w:sz w:val="20"/>
        </w:rPr>
        <w:footnoteReference w:id="391"/>
      </w:r>
      <w:r w:rsidR="0049577B" w:rsidRPr="00B40DC1">
        <w:t>，包括100-140分之申請者有幾位，140以上之申請者有幾位，及符合條件之申請者其狀態之統計(包括是否在紐西蘭境內及是否已申請到工作)。</w:t>
      </w:r>
    </w:p>
    <w:p w:rsidR="00871524" w:rsidRDefault="00893AB9" w:rsidP="00871524">
      <w:pPr>
        <w:spacing w:line="240" w:lineRule="auto"/>
        <w:ind w:leftChars="0" w:left="0" w:rightChars="0" w:right="0"/>
      </w:pPr>
      <w:r>
        <w:t xml:space="preserve">　　</w:t>
      </w:r>
      <w:r w:rsidR="0049577B" w:rsidRPr="00B40DC1">
        <w:t>當申請案進入評估後，申請人先前提交之資料將被視為是可靠，申請人將收到紐西蘭移民當局會發出（ITA）之邀請，當申請人收到該邀請後，就得提出健康證明、警察刑事紀錄證明、語言證明及技能相關證明等。紐西蘭移民局收到申請者相關文件後會開始進行各方面評估以確保申請者是符合各方面條件，並確保評點制是有效度，之後或許還會對申請者進行面談。如果紐西蘭移民局認為申請者是有能力及有潛力，則會發給長達9個月Skilled Migrant Category(SMC)簽證以幫助申請者尋找工作。如果在這段期間申請者能在紐西蘭境內找到與其技能背景相關之工作並有一定程度貢獻，申請者之居留將會被許可。SMC簽證並不是工作及居留之保證，但之後若經紐西蘭移民局認可，申請者則能成為紐西蘭永久居居。</w:t>
      </w:r>
      <w:r w:rsidR="0049577B" w:rsidRPr="00893AB9">
        <w:rPr>
          <w:rStyle w:val="af7"/>
          <w:rFonts w:eastAsia="新細明體"/>
          <w:sz w:val="20"/>
        </w:rPr>
        <w:footnoteReference w:id="392"/>
      </w:r>
    </w:p>
    <w:p w:rsidR="0049577B" w:rsidRPr="00893AB9" w:rsidRDefault="0049577B" w:rsidP="00871524">
      <w:pPr>
        <w:spacing w:line="240" w:lineRule="auto"/>
        <w:ind w:leftChars="0" w:left="0" w:rightChars="0" w:right="0"/>
        <w:rPr>
          <w:rFonts w:ascii="Arial Unicode MS" w:eastAsia="新細明體" w:hAnsi="Arial Unicode MS"/>
          <w:color w:val="FF6600"/>
          <w:sz w:val="20"/>
        </w:rPr>
      </w:pPr>
      <w:r w:rsidRPr="00B40DC1">
        <w:t>紐西蘭移民局網站除了有提供多項技能短缺名單，包括長期需求技能工作名單及短期需求技能工作名單，還有線上檢核系統，為幫助申請者檢核自己從事之職業是否為紐西蘭需要且願意接受移民之職業類別。若申請者從事之職業是在技術職業或需求列表之一，且申請者之資格及經驗和紐西蘭移民局設定之條件相符，申請者會更容易得到在紐西蘭之工作及居留簽證。</w:t>
      </w:r>
      <w:r w:rsidRPr="00893AB9">
        <w:rPr>
          <w:rStyle w:val="af7"/>
          <w:rFonts w:eastAsia="新細明體"/>
          <w:sz w:val="20"/>
        </w:rPr>
        <w:footnoteReference w:id="393"/>
      </w:r>
    </w:p>
    <w:p w:rsidR="0049577B" w:rsidRPr="00893AB9" w:rsidRDefault="00871524" w:rsidP="00871524">
      <w:pPr>
        <w:pStyle w:val="afffffff9"/>
        <w:spacing w:before="180"/>
        <w:jc w:val="right"/>
        <w:rPr>
          <w:rFonts w:ascii="Arial Unicode MS" w:eastAsia="新細明體" w:hAnsi="Arial Unicode MS"/>
          <w:color w:val="FF6600"/>
          <w:sz w:val="20"/>
        </w:rPr>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rPr>
        <w:t>〉〉</w:t>
      </w:r>
    </w:p>
    <w:p w:rsidR="0049577B" w:rsidRPr="00893AB9" w:rsidRDefault="0049577B" w:rsidP="00EC0EE2">
      <w:pPr>
        <w:pStyle w:val="4"/>
        <w:rPr>
          <w:lang w:eastAsia="zh-TW"/>
        </w:rPr>
      </w:pPr>
      <w:r w:rsidRPr="00893AB9">
        <w:rPr>
          <w:lang w:eastAsia="zh-TW"/>
        </w:rPr>
        <w:t>表4</w:t>
      </w:r>
      <w:r w:rsidR="00871524">
        <w:rPr>
          <w:rFonts w:ascii="新細明體" w:eastAsia="新細明體" w:hAnsi="新細明體" w:hint="eastAsia"/>
          <w:lang w:eastAsia="zh-TW"/>
        </w:rPr>
        <w:t>、</w:t>
      </w:r>
      <w:r w:rsidRPr="00893AB9">
        <w:rPr>
          <w:lang w:eastAsia="zh-TW"/>
        </w:rPr>
        <w:t>紐西蘭技術移民類別評分表</w:t>
      </w:r>
    </w:p>
    <w:tbl>
      <w:tblPr>
        <w:tblW w:w="486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59"/>
        <w:gridCol w:w="1218"/>
        <w:gridCol w:w="1923"/>
        <w:gridCol w:w="3989"/>
        <w:gridCol w:w="846"/>
      </w:tblGrid>
      <w:tr w:rsidR="0049577B" w:rsidRPr="00893AB9" w:rsidTr="00871524">
        <w:trPr>
          <w:trHeight w:val="255"/>
          <w:tblHeader/>
          <w:jc w:val="center"/>
        </w:trPr>
        <w:tc>
          <w:tcPr>
            <w:tcW w:w="1493" w:type="pct"/>
            <w:gridSpan w:val="2"/>
            <w:tcBorders>
              <w:top w:val="single" w:sz="8" w:space="0" w:color="auto"/>
              <w:bottom w:val="single" w:sz="4" w:space="0" w:color="auto"/>
            </w:tcBorders>
            <w:shd w:val="clear" w:color="auto" w:fill="FAF0FA"/>
            <w:tcMar>
              <w:top w:w="0" w:type="dxa"/>
              <w:left w:w="28" w:type="dxa"/>
              <w:bottom w:w="0" w:type="dxa"/>
              <w:right w:w="28" w:type="dxa"/>
            </w:tcMar>
            <w:vAlign w:val="center"/>
          </w:tcPr>
          <w:p w:rsidR="0049577B" w:rsidRPr="00893AB9" w:rsidRDefault="0049577B" w:rsidP="00871524">
            <w:pPr>
              <w:pStyle w:val="afffffffa"/>
              <w:autoSpaceDN/>
              <w:adjustRightInd/>
              <w:spacing w:line="240" w:lineRule="auto"/>
              <w:ind w:leftChars="0" w:left="0" w:rightChars="0" w:right="0"/>
              <w:jc w:val="center"/>
              <w:rPr>
                <w:sz w:val="24"/>
                <w:szCs w:val="24"/>
              </w:rPr>
            </w:pPr>
            <w:r w:rsidRPr="00893AB9">
              <w:rPr>
                <w:sz w:val="24"/>
                <w:szCs w:val="24"/>
              </w:rPr>
              <w:t>項目內容</w:t>
            </w:r>
          </w:p>
        </w:tc>
        <w:tc>
          <w:tcPr>
            <w:tcW w:w="3068" w:type="pct"/>
            <w:gridSpan w:val="2"/>
            <w:tcBorders>
              <w:top w:val="single" w:sz="8" w:space="0" w:color="auto"/>
              <w:bottom w:val="single" w:sz="4" w:space="0" w:color="auto"/>
            </w:tcBorders>
            <w:shd w:val="clear" w:color="auto" w:fill="FAF0FA"/>
            <w:vAlign w:val="center"/>
          </w:tcPr>
          <w:p w:rsidR="0049577B" w:rsidRPr="00893AB9" w:rsidRDefault="0049577B" w:rsidP="00871524">
            <w:pPr>
              <w:pStyle w:val="afffffffa"/>
              <w:autoSpaceDN/>
              <w:adjustRightInd/>
              <w:spacing w:line="240" w:lineRule="auto"/>
              <w:ind w:leftChars="0" w:left="0" w:rightChars="0" w:right="0"/>
              <w:jc w:val="center"/>
              <w:rPr>
                <w:sz w:val="24"/>
                <w:szCs w:val="24"/>
              </w:rPr>
            </w:pPr>
            <w:r w:rsidRPr="00893AB9">
              <w:rPr>
                <w:sz w:val="24"/>
                <w:szCs w:val="24"/>
              </w:rPr>
              <w:t>資格</w:t>
            </w:r>
          </w:p>
        </w:tc>
        <w:tc>
          <w:tcPr>
            <w:tcW w:w="439" w:type="pct"/>
            <w:tcBorders>
              <w:top w:val="single" w:sz="8" w:space="0" w:color="auto"/>
              <w:bottom w:val="single" w:sz="4" w:space="0" w:color="auto"/>
            </w:tcBorders>
            <w:shd w:val="clear" w:color="auto" w:fill="FAF0FA"/>
            <w:vAlign w:val="center"/>
          </w:tcPr>
          <w:p w:rsidR="0049577B" w:rsidRPr="00893AB9" w:rsidRDefault="0049577B" w:rsidP="00871524">
            <w:pPr>
              <w:pStyle w:val="afffffffa"/>
              <w:autoSpaceDN/>
              <w:adjustRightInd/>
              <w:spacing w:line="240" w:lineRule="auto"/>
              <w:ind w:leftChars="0" w:left="0" w:rightChars="0" w:right="0"/>
              <w:jc w:val="center"/>
              <w:rPr>
                <w:sz w:val="24"/>
                <w:szCs w:val="24"/>
              </w:rPr>
            </w:pPr>
            <w:r w:rsidRPr="00893AB9">
              <w:rPr>
                <w:sz w:val="24"/>
                <w:szCs w:val="24"/>
              </w:rPr>
              <w:t>分數</w:t>
            </w:r>
          </w:p>
        </w:tc>
      </w:tr>
      <w:tr w:rsidR="0049577B" w:rsidRPr="00893AB9" w:rsidTr="00871524">
        <w:trPr>
          <w:trHeight w:val="255"/>
          <w:jc w:val="center"/>
        </w:trPr>
        <w:tc>
          <w:tcPr>
            <w:tcW w:w="1493" w:type="pct"/>
            <w:gridSpan w:val="2"/>
            <w:vMerge w:val="restart"/>
            <w:tcBorders>
              <w:top w:val="single" w:sz="4" w:space="0" w:color="auto"/>
            </w:tcBorders>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1、申請者年齡(20至55歲)</w:t>
            </w:r>
          </w:p>
        </w:tc>
        <w:tc>
          <w:tcPr>
            <w:tcW w:w="3068" w:type="pct"/>
            <w:gridSpan w:val="2"/>
            <w:tcBorders>
              <w:top w:val="single" w:sz="4" w:space="0" w:color="auto"/>
            </w:tcBorders>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20至29歲</w:t>
            </w:r>
          </w:p>
        </w:tc>
        <w:tc>
          <w:tcPr>
            <w:tcW w:w="439" w:type="pct"/>
            <w:tcBorders>
              <w:top w:val="single" w:sz="4" w:space="0" w:color="auto"/>
            </w:tcBorders>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30</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30至39歲</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25</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40至44歲</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20</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45至49歲</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10</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50至55歲</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5</w:t>
            </w:r>
          </w:p>
        </w:tc>
      </w:tr>
      <w:tr w:rsidR="0049577B" w:rsidRPr="00893AB9" w:rsidTr="00B40DC1">
        <w:trPr>
          <w:trHeight w:val="255"/>
          <w:jc w:val="center"/>
        </w:trPr>
        <w:tc>
          <w:tcPr>
            <w:tcW w:w="1493" w:type="pct"/>
            <w:gridSpan w:val="2"/>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2、近親</w:t>
            </w: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紐西蘭近親(成年申請者或其配偶之近親，包含父母、成年之兄弟姊妹及成年之子女)為紐西蘭公民或永久居留居民加分</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10</w:t>
            </w:r>
          </w:p>
        </w:tc>
      </w:tr>
      <w:tr w:rsidR="0049577B" w:rsidRPr="00893AB9" w:rsidTr="00B40DC1">
        <w:trPr>
          <w:trHeight w:val="255"/>
          <w:jc w:val="center"/>
        </w:trPr>
        <w:tc>
          <w:tcPr>
            <w:tcW w:w="861" w:type="pct"/>
            <w:vMerge w:val="restar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3、技術工作</w:t>
            </w:r>
          </w:p>
        </w:tc>
        <w:tc>
          <w:tcPr>
            <w:tcW w:w="632" w:type="pct"/>
            <w:vMerge w:val="restart"/>
            <w:shd w:val="clear" w:color="auto" w:fill="auto"/>
            <w:vAlign w:val="center"/>
          </w:tcPr>
          <w:p w:rsidR="0049577B" w:rsidRPr="00893AB9" w:rsidRDefault="0049577B" w:rsidP="00893AB9">
            <w:pPr>
              <w:pStyle w:val="afffffffa"/>
              <w:ind w:leftChars="96" w:left="250" w:right="-39"/>
              <w:rPr>
                <w:sz w:val="24"/>
                <w:szCs w:val="24"/>
                <w:lang w:eastAsia="zh-TW"/>
              </w:rPr>
            </w:pPr>
            <w:r w:rsidRPr="00893AB9">
              <w:rPr>
                <w:sz w:val="24"/>
                <w:szCs w:val="24"/>
              </w:rPr>
              <w:t>基本</w:t>
            </w:r>
          </w:p>
          <w:p w:rsidR="0049577B" w:rsidRPr="00893AB9" w:rsidRDefault="0049577B" w:rsidP="00893AB9">
            <w:pPr>
              <w:pStyle w:val="afffffffa"/>
              <w:ind w:leftChars="96" w:left="250" w:right="-39"/>
              <w:rPr>
                <w:sz w:val="24"/>
                <w:szCs w:val="24"/>
              </w:rPr>
            </w:pPr>
            <w:r w:rsidRPr="00893AB9">
              <w:rPr>
                <w:sz w:val="24"/>
                <w:szCs w:val="24"/>
              </w:rPr>
              <w:t>分數</w:t>
            </w: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獲得紐西蘭工作邀請</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50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已經在紐西蘭工作少於12個月(至少3個月)</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50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已經在紐西蘭從事技能工作超過12個月(持續中)</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60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val="restart"/>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加分</w:t>
            </w: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工作屬於未來將發展領域</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10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技術短缺領域之行業</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10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在奧克蘭以外地區工作</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10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配偶已經在紐西蘭工作或者獲得紐西蘭僱主提供就業邀請</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20</w:t>
            </w:r>
          </w:p>
        </w:tc>
      </w:tr>
      <w:tr w:rsidR="0049577B" w:rsidRPr="00893AB9" w:rsidTr="00B40DC1">
        <w:trPr>
          <w:trHeight w:val="255"/>
          <w:jc w:val="center"/>
        </w:trPr>
        <w:tc>
          <w:tcPr>
            <w:tcW w:w="861" w:type="pct"/>
            <w:vMerge w:val="restar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4、工作經驗</w:t>
            </w:r>
          </w:p>
        </w:tc>
        <w:tc>
          <w:tcPr>
            <w:tcW w:w="632" w:type="pct"/>
            <w:vMerge w:val="restart"/>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(境外)申請技術移民類別</w:t>
            </w: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2年</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10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4年</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15</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6年</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20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8年</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25</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3068" w:type="pct"/>
            <w:gridSpan w:val="2"/>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10年</w:t>
            </w:r>
          </w:p>
        </w:tc>
        <w:tc>
          <w:tcPr>
            <w:tcW w:w="439" w:type="pc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30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val="restart"/>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加分</w:t>
            </w:r>
          </w:p>
        </w:tc>
        <w:tc>
          <w:tcPr>
            <w:tcW w:w="998" w:type="pct"/>
            <w:vMerge w:val="restart"/>
            <w:shd w:val="clear" w:color="auto" w:fill="auto"/>
            <w:vAlign w:val="center"/>
          </w:tcPr>
          <w:p w:rsidR="0049577B" w:rsidRPr="00893AB9" w:rsidRDefault="0049577B" w:rsidP="00871524">
            <w:pPr>
              <w:pStyle w:val="afffffffa"/>
              <w:autoSpaceDN/>
              <w:adjustRightInd/>
              <w:spacing w:line="240" w:lineRule="auto"/>
              <w:ind w:leftChars="0" w:left="0" w:rightChars="0" w:right="0"/>
              <w:rPr>
                <w:sz w:val="24"/>
                <w:szCs w:val="24"/>
              </w:rPr>
            </w:pPr>
            <w:r w:rsidRPr="00893AB9">
              <w:rPr>
                <w:sz w:val="24"/>
                <w:szCs w:val="24"/>
              </w:rPr>
              <w:t>境內工作經驗</w:t>
            </w: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1年</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5</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vAlign w:val="center"/>
          </w:tcPr>
          <w:p w:rsidR="0049577B" w:rsidRPr="00893AB9" w:rsidRDefault="0049577B" w:rsidP="00871524">
            <w:pPr>
              <w:pStyle w:val="afffffffa"/>
              <w:autoSpaceDN/>
              <w:adjustRightInd/>
              <w:spacing w:line="240" w:lineRule="auto"/>
              <w:ind w:leftChars="0" w:left="0" w:rightChars="0" w:right="0"/>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2年</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vAlign w:val="center"/>
          </w:tcPr>
          <w:p w:rsidR="0049577B" w:rsidRPr="00893AB9" w:rsidRDefault="0049577B" w:rsidP="00871524">
            <w:pPr>
              <w:pStyle w:val="afffffffa"/>
              <w:autoSpaceDN/>
              <w:adjustRightInd/>
              <w:spacing w:line="240" w:lineRule="auto"/>
              <w:ind w:leftChars="0" w:left="0" w:rightChars="0" w:right="0"/>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3年或3年以上</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15</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998" w:type="pct"/>
            <w:vMerge w:val="restart"/>
            <w:shd w:val="clear" w:color="auto" w:fill="auto"/>
            <w:vAlign w:val="center"/>
          </w:tcPr>
          <w:p w:rsidR="0049577B" w:rsidRPr="00893AB9" w:rsidRDefault="0049577B" w:rsidP="00871524">
            <w:pPr>
              <w:pStyle w:val="afffffffa"/>
              <w:autoSpaceDN/>
              <w:adjustRightInd/>
              <w:spacing w:line="240" w:lineRule="auto"/>
              <w:ind w:leftChars="0" w:left="0" w:rightChars="0" w:right="0"/>
              <w:rPr>
                <w:sz w:val="24"/>
                <w:szCs w:val="24"/>
              </w:rPr>
            </w:pPr>
            <w:r w:rsidRPr="00893AB9">
              <w:rPr>
                <w:sz w:val="24"/>
                <w:szCs w:val="24"/>
              </w:rPr>
              <w:t>在未來將重點發展領域方面之工作經驗</w:t>
            </w: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2-5年工作經驗</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vAlign w:val="center"/>
          </w:tcPr>
          <w:p w:rsidR="0049577B" w:rsidRPr="00893AB9" w:rsidRDefault="0049577B" w:rsidP="00871524">
            <w:pPr>
              <w:pStyle w:val="afffffffa"/>
              <w:autoSpaceDN/>
              <w:adjustRightInd/>
              <w:spacing w:line="240" w:lineRule="auto"/>
              <w:ind w:leftChars="0" w:left="0" w:rightChars="0" w:right="0"/>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6年或6年以上之工作經驗</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15</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998" w:type="pct"/>
            <w:vMerge w:val="restart"/>
            <w:shd w:val="clear" w:color="auto" w:fill="auto"/>
            <w:vAlign w:val="center"/>
          </w:tcPr>
          <w:p w:rsidR="0049577B" w:rsidRPr="00893AB9" w:rsidRDefault="0049577B" w:rsidP="00871524">
            <w:pPr>
              <w:pStyle w:val="afffffffa"/>
              <w:autoSpaceDN/>
              <w:adjustRightInd/>
              <w:spacing w:line="240" w:lineRule="auto"/>
              <w:ind w:leftChars="0" w:left="0" w:rightChars="0" w:right="0"/>
              <w:rPr>
                <w:sz w:val="24"/>
                <w:szCs w:val="24"/>
              </w:rPr>
            </w:pPr>
            <w:r w:rsidRPr="00893AB9">
              <w:rPr>
                <w:sz w:val="24"/>
                <w:szCs w:val="24"/>
              </w:rPr>
              <w:t>在技術短缺領域之工作經驗</w:t>
            </w: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2-5年工作經驗</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10</w:t>
            </w:r>
          </w:p>
        </w:tc>
      </w:tr>
      <w:tr w:rsidR="0049577B" w:rsidRPr="00893AB9" w:rsidTr="00B40DC1">
        <w:trPr>
          <w:trHeight w:val="255"/>
          <w:jc w:val="center"/>
        </w:trPr>
        <w:tc>
          <w:tcPr>
            <w:tcW w:w="861"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632" w:type="pct"/>
            <w:vMerge/>
            <w:shd w:val="clear" w:color="auto" w:fill="auto"/>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vAlign w:val="center"/>
          </w:tcPr>
          <w:p w:rsidR="0049577B" w:rsidRPr="00893AB9" w:rsidRDefault="0049577B" w:rsidP="00893AB9">
            <w:pPr>
              <w:pStyle w:val="afffffffa"/>
              <w:ind w:leftChars="96" w:left="250" w:right="-39"/>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6年或6年以上之工作經驗</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15</w:t>
            </w:r>
          </w:p>
        </w:tc>
      </w:tr>
      <w:tr w:rsidR="0049577B" w:rsidRPr="00893AB9" w:rsidTr="00B40DC1">
        <w:trPr>
          <w:trHeight w:val="255"/>
          <w:jc w:val="center"/>
        </w:trPr>
        <w:tc>
          <w:tcPr>
            <w:tcW w:w="1493" w:type="pct"/>
            <w:gridSpan w:val="2"/>
            <w:vMerge w:val="restar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0" w:rightChars="0" w:right="0"/>
              <w:rPr>
                <w:sz w:val="24"/>
                <w:szCs w:val="24"/>
              </w:rPr>
            </w:pPr>
            <w:r w:rsidRPr="00893AB9">
              <w:rPr>
                <w:bCs/>
                <w:sz w:val="24"/>
                <w:szCs w:val="24"/>
              </w:rPr>
              <w:t>5、學歷資格：</w:t>
            </w:r>
            <w:r w:rsidRPr="00893AB9">
              <w:rPr>
                <w:sz w:val="24"/>
                <w:szCs w:val="24"/>
              </w:rPr>
              <w:t>擁有紐西蘭認可之學歷。若無法確認學歷是否認可可以申請NZQA評估</w:t>
            </w:r>
          </w:p>
        </w:tc>
        <w:tc>
          <w:tcPr>
            <w:tcW w:w="998" w:type="pct"/>
            <w:vMerge w:val="restart"/>
            <w:shd w:val="clear" w:color="auto" w:fill="auto"/>
            <w:vAlign w:val="center"/>
          </w:tcPr>
          <w:p w:rsidR="0049577B" w:rsidRPr="00893AB9" w:rsidRDefault="0049577B" w:rsidP="00893AB9">
            <w:pPr>
              <w:pStyle w:val="afffffffa"/>
              <w:ind w:leftChars="96" w:left="250" w:right="-39"/>
              <w:rPr>
                <w:sz w:val="24"/>
                <w:szCs w:val="24"/>
              </w:rPr>
            </w:pPr>
            <w:r w:rsidRPr="00893AB9">
              <w:rPr>
                <w:sz w:val="24"/>
                <w:szCs w:val="24"/>
              </w:rPr>
              <w:t>一般學歷</w:t>
            </w: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認可之4-6級基本學歷(例如技術資格、文憑)</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40</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vAlign w:val="center"/>
          </w:tcPr>
          <w:p w:rsidR="0049577B" w:rsidRPr="00893AB9" w:rsidRDefault="0049577B" w:rsidP="00893AB9">
            <w:pPr>
              <w:pStyle w:val="afffffffa"/>
              <w:ind w:leftChars="96" w:left="250" w:right="-39"/>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認可之7或8級基本學歷(例如：學士學位、榮譽學士學位)</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50</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vAlign w:val="center"/>
          </w:tcPr>
          <w:p w:rsidR="0049577B" w:rsidRPr="00893AB9" w:rsidRDefault="0049577B" w:rsidP="00893AB9">
            <w:pPr>
              <w:pStyle w:val="afffffffa"/>
              <w:ind w:leftChars="96" w:left="250" w:right="-39"/>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認可之9或10級學士後學歷(碩士、博士學位)</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60</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998" w:type="pct"/>
            <w:vMerge w:val="restart"/>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r w:rsidRPr="00893AB9">
              <w:rPr>
                <w:sz w:val="24"/>
                <w:szCs w:val="24"/>
              </w:rPr>
              <w:t>加分</w:t>
            </w: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在紐西蘭全時就讀至少2年，並完成紐西蘭認可之學士學歷</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10</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在紐西蘭全時就讀至少1年，並完成紐西蘭認可之學士後學歷</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10</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在紐西蘭全時就讀至少2年，並完成紐西蘭認可之學士後學歷</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15</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未來確定發展領域之學歷</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10</w:t>
            </w:r>
          </w:p>
        </w:tc>
      </w:tr>
      <w:tr w:rsidR="0049577B" w:rsidRPr="00893AB9" w:rsidTr="00B40DC1">
        <w:trPr>
          <w:trHeight w:val="255"/>
          <w:jc w:val="center"/>
        </w:trPr>
        <w:tc>
          <w:tcPr>
            <w:tcW w:w="1493" w:type="pct"/>
            <w:gridSpan w:val="2"/>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技術短缺行業類別之學歷</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10</w:t>
            </w:r>
          </w:p>
        </w:tc>
      </w:tr>
      <w:tr w:rsidR="0049577B" w:rsidRPr="00893AB9" w:rsidTr="00B40DC1">
        <w:trPr>
          <w:trHeight w:val="255"/>
          <w:jc w:val="center"/>
        </w:trPr>
        <w:tc>
          <w:tcPr>
            <w:tcW w:w="1493" w:type="pct"/>
            <w:gridSpan w:val="2"/>
            <w:vMerge/>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配偶具備認可之4-6級基本學歷</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10</w:t>
            </w:r>
          </w:p>
        </w:tc>
      </w:tr>
      <w:tr w:rsidR="0049577B" w:rsidRPr="00893AB9" w:rsidTr="00B40DC1">
        <w:trPr>
          <w:trHeight w:val="255"/>
          <w:jc w:val="center"/>
        </w:trPr>
        <w:tc>
          <w:tcPr>
            <w:tcW w:w="1493" w:type="pct"/>
            <w:gridSpan w:val="2"/>
            <w:vMerge/>
            <w:vAlign w:val="center"/>
          </w:tcPr>
          <w:p w:rsidR="0049577B" w:rsidRPr="00893AB9" w:rsidRDefault="0049577B" w:rsidP="00893AB9">
            <w:pPr>
              <w:pStyle w:val="afffffffa"/>
              <w:ind w:leftChars="96" w:left="250" w:right="-39"/>
              <w:rPr>
                <w:sz w:val="24"/>
                <w:szCs w:val="24"/>
              </w:rPr>
            </w:pPr>
          </w:p>
        </w:tc>
        <w:tc>
          <w:tcPr>
            <w:tcW w:w="998" w:type="pct"/>
            <w:vMerge/>
            <w:shd w:val="clear" w:color="auto" w:fill="auto"/>
            <w:tcMar>
              <w:top w:w="0" w:type="dxa"/>
              <w:left w:w="28" w:type="dxa"/>
              <w:bottom w:w="0" w:type="dxa"/>
              <w:right w:w="28" w:type="dxa"/>
            </w:tcMar>
            <w:vAlign w:val="center"/>
          </w:tcPr>
          <w:p w:rsidR="0049577B" w:rsidRPr="00893AB9" w:rsidRDefault="0049577B" w:rsidP="00893AB9">
            <w:pPr>
              <w:pStyle w:val="afffffffa"/>
              <w:ind w:leftChars="96" w:left="250" w:right="-39"/>
              <w:rPr>
                <w:sz w:val="24"/>
                <w:szCs w:val="24"/>
              </w:rPr>
            </w:pPr>
          </w:p>
        </w:tc>
        <w:tc>
          <w:tcPr>
            <w:tcW w:w="2070" w:type="pct"/>
            <w:shd w:val="clear" w:color="auto" w:fill="auto"/>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配偶具備認可之7級及7級以上基本學歷</w:t>
            </w:r>
          </w:p>
        </w:tc>
        <w:tc>
          <w:tcPr>
            <w:tcW w:w="439" w:type="pct"/>
            <w:shd w:val="clear" w:color="auto" w:fill="auto"/>
            <w:tcMar>
              <w:top w:w="0" w:type="dxa"/>
              <w:left w:w="28" w:type="dxa"/>
              <w:bottom w:w="0" w:type="dxa"/>
              <w:right w:w="28" w:type="dxa"/>
            </w:tcMar>
            <w:vAlign w:val="center"/>
          </w:tcPr>
          <w:p w:rsidR="0049577B" w:rsidRPr="00893AB9" w:rsidRDefault="0049577B" w:rsidP="000152BE">
            <w:pPr>
              <w:pStyle w:val="afffffffa"/>
              <w:autoSpaceDN/>
              <w:adjustRightInd/>
              <w:spacing w:line="240" w:lineRule="auto"/>
              <w:ind w:leftChars="0" w:left="142" w:rightChars="0" w:right="0"/>
              <w:rPr>
                <w:sz w:val="24"/>
                <w:szCs w:val="24"/>
              </w:rPr>
            </w:pPr>
            <w:r w:rsidRPr="00893AB9">
              <w:rPr>
                <w:sz w:val="24"/>
                <w:szCs w:val="24"/>
              </w:rPr>
              <w:t>20</w:t>
            </w:r>
          </w:p>
        </w:tc>
      </w:tr>
      <w:tr w:rsidR="0049577B" w:rsidRPr="00893AB9" w:rsidTr="00B40DC1">
        <w:trPr>
          <w:trHeight w:val="255"/>
          <w:jc w:val="center"/>
        </w:trPr>
        <w:tc>
          <w:tcPr>
            <w:tcW w:w="5000" w:type="pct"/>
            <w:gridSpan w:val="5"/>
            <w:shd w:val="clear" w:color="auto" w:fill="auto"/>
            <w:tcMar>
              <w:top w:w="0" w:type="dxa"/>
              <w:left w:w="28" w:type="dxa"/>
              <w:bottom w:w="0" w:type="dxa"/>
              <w:right w:w="28" w:type="dxa"/>
            </w:tcMar>
            <w:vAlign w:val="center"/>
          </w:tcPr>
          <w:p w:rsidR="0049577B" w:rsidRPr="00893AB9" w:rsidRDefault="0049577B" w:rsidP="000152BE">
            <w:pPr>
              <w:spacing w:line="240" w:lineRule="auto"/>
              <w:ind w:leftChars="0" w:left="0" w:rightChars="0" w:right="0"/>
            </w:pPr>
            <w:r w:rsidRPr="00893AB9">
              <w:t>計分100分可提出移民申請意向(EOI- Expression of Interest)，分數愈高，技術移民獲選之機會愈大</w:t>
            </w:r>
          </w:p>
        </w:tc>
      </w:tr>
      <w:tr w:rsidR="0049577B" w:rsidRPr="00893AB9" w:rsidTr="00B40DC1">
        <w:trPr>
          <w:trHeight w:val="255"/>
          <w:jc w:val="center"/>
        </w:trPr>
        <w:tc>
          <w:tcPr>
            <w:tcW w:w="5000" w:type="pct"/>
            <w:gridSpan w:val="5"/>
            <w:shd w:val="clear" w:color="auto" w:fill="auto"/>
            <w:tcMar>
              <w:top w:w="0" w:type="dxa"/>
              <w:left w:w="28" w:type="dxa"/>
              <w:bottom w:w="0" w:type="dxa"/>
              <w:right w:w="28" w:type="dxa"/>
            </w:tcMar>
            <w:vAlign w:val="center"/>
          </w:tcPr>
          <w:p w:rsidR="0049577B" w:rsidRPr="00893AB9" w:rsidRDefault="00817A92" w:rsidP="000152BE">
            <w:pPr>
              <w:pStyle w:val="afffffff3"/>
              <w:autoSpaceDN/>
              <w:adjustRightInd/>
              <w:spacing w:afterLines="0" w:after="0" w:line="240" w:lineRule="auto"/>
              <w:ind w:leftChars="0" w:left="0" w:rightChars="0" w:right="0" w:firstLineChars="0" w:firstLine="0"/>
              <w:rPr>
                <w:sz w:val="24"/>
                <w:szCs w:val="24"/>
              </w:rPr>
            </w:pPr>
            <w:r w:rsidRPr="00893AB9">
              <w:rPr>
                <w:rFonts w:eastAsia="標楷體"/>
              </w:rPr>
              <w:t>【資料來源】</w:t>
            </w:r>
            <w:r w:rsidR="0049577B" w:rsidRPr="00893AB9">
              <w:rPr>
                <w:rFonts w:eastAsia="標楷體"/>
              </w:rPr>
              <w:t>作者整理自紐西蘭移民局網站：</w:t>
            </w:r>
            <w:hyperlink r:id="rId280" w:history="1">
              <w:r w:rsidR="0049577B" w:rsidRPr="00893AB9">
                <w:rPr>
                  <w:rStyle w:val="a7"/>
                  <w:lang w:eastAsia="zh-TW"/>
                </w:rPr>
                <w:t>http://www.immigration.govt.nz/</w:t>
              </w:r>
            </w:hyperlink>
            <w:r w:rsidR="0049577B" w:rsidRPr="00893AB9">
              <w:t>。</w:t>
            </w:r>
            <w:r w:rsidR="0049577B" w:rsidRPr="00893AB9">
              <w:rPr>
                <w:rStyle w:val="af7"/>
                <w:rFonts w:eastAsia="新細明體"/>
                <w:sz w:val="20"/>
                <w:szCs w:val="24"/>
              </w:rPr>
              <w:footnoteReference w:id="394"/>
            </w:r>
          </w:p>
        </w:tc>
      </w:tr>
    </w:tbl>
    <w:p w:rsidR="0049577B" w:rsidRPr="00B40DC1" w:rsidRDefault="005B648A" w:rsidP="00321574">
      <w:pPr>
        <w:pStyle w:val="afffffc"/>
        <w:spacing w:before="360" w:after="360"/>
        <w:jc w:val="right"/>
      </w:pPr>
      <w:r w:rsidRPr="00D45AD2">
        <w:rPr>
          <w:rFonts w:eastAsia="標楷體" w:hint="eastAsia"/>
        </w:rPr>
        <w:t>。。。。。。。。。。。。。。</w:t>
      </w:r>
      <w:hyperlink w:anchor="a2" w:history="1">
        <w:r>
          <w:rPr>
            <w:rStyle w:val="a7"/>
            <w:sz w:val="24"/>
            <w:lang w:eastAsia="zh-TW"/>
          </w:rPr>
          <w:t>回本章</w:t>
        </w:r>
      </w:hyperlink>
      <w:r w:rsidRPr="0008714D">
        <w:rPr>
          <w:rFonts w:eastAsia="標楷體"/>
          <w:color w:val="808000"/>
          <w:sz w:val="20"/>
        </w:rPr>
        <w:t>〉〉</w:t>
      </w:r>
      <w:hyperlink w:anchor="a目次2" w:history="1">
        <w:r>
          <w:rPr>
            <w:rStyle w:val="a7"/>
            <w:sz w:val="22"/>
            <w:lang w:eastAsia="zh-TW"/>
          </w:rPr>
          <w:t>回總目次</w:t>
        </w:r>
      </w:hyperlink>
      <w:r w:rsidRPr="00D45AD2">
        <w:rPr>
          <w:color w:val="808000"/>
          <w:sz w:val="22"/>
        </w:rPr>
        <w:t>〉〉</w:t>
      </w:r>
    </w:p>
    <w:p w:rsidR="0049577B" w:rsidRPr="00B40DC1" w:rsidRDefault="0049577B" w:rsidP="002F19DE">
      <w:pPr>
        <w:pStyle w:val="2"/>
      </w:pPr>
      <w:bookmarkStart w:id="58" w:name="_伍、澳洲評點制技術移民政策之剖析"/>
      <w:bookmarkEnd w:id="58"/>
      <w:r w:rsidRPr="00B40DC1">
        <w:t>伍、澳洲評點制技術移民政策之剖析</w:t>
      </w:r>
    </w:p>
    <w:p w:rsidR="0049577B" w:rsidRPr="00B40DC1" w:rsidRDefault="00893AB9" w:rsidP="00871524">
      <w:pPr>
        <w:spacing w:line="240" w:lineRule="auto"/>
        <w:ind w:leftChars="0" w:left="0" w:rightChars="0" w:right="0"/>
      </w:pPr>
      <w:r>
        <w:t xml:space="preserve">　　</w:t>
      </w:r>
      <w:r w:rsidR="0049577B" w:rsidRPr="00B40DC1">
        <w:t>澳洲技術移民又稱為</w:t>
      </w:r>
      <w:r w:rsidR="0049577B" w:rsidRPr="00B40DC1">
        <w:rPr>
          <w:lang w:val="fr-FR"/>
        </w:rPr>
        <w:t>Skilled Migrant</w:t>
      </w:r>
      <w:r w:rsidR="0049577B" w:rsidRPr="00B40DC1">
        <w:t>。澳洲技術移民採評點制</w:t>
      </w:r>
      <w:r w:rsidR="0049577B" w:rsidRPr="00B40DC1">
        <w:rPr>
          <w:lang w:val="fr-FR"/>
        </w:rPr>
        <w:t>，</w:t>
      </w:r>
      <w:r w:rsidR="0049577B" w:rsidRPr="00B40DC1">
        <w:t>其早在</w:t>
      </w:r>
      <w:r w:rsidR="0049577B" w:rsidRPr="00B40DC1">
        <w:rPr>
          <w:lang w:val="fr-FR"/>
        </w:rPr>
        <w:t>1972年</w:t>
      </w:r>
      <w:r w:rsidR="0049577B" w:rsidRPr="00B40DC1">
        <w:t>已建議採用評點制</w:t>
      </w:r>
      <w:r w:rsidR="0049577B" w:rsidRPr="00B40DC1">
        <w:rPr>
          <w:lang w:val="fr-FR"/>
        </w:rPr>
        <w:t>，</w:t>
      </w:r>
      <w:r w:rsidR="0049577B" w:rsidRPr="00B40DC1">
        <w:t>但政策在</w:t>
      </w:r>
      <w:r w:rsidR="0049577B" w:rsidRPr="00B40DC1">
        <w:rPr>
          <w:lang w:val="fr-FR"/>
        </w:rPr>
        <w:t>1989</w:t>
      </w:r>
      <w:r w:rsidR="0049577B" w:rsidRPr="00B40DC1">
        <w:t>年始正式實行。澳洲技術移民有二種類型分別為獨立技術移民及州政府或地方政府擔保之技術移民。澳洲技術移民新法令自2012年7月1日實施 Skill Select Program技術遴選計畫。</w:t>
      </w:r>
    </w:p>
    <w:p w:rsidR="003C1792" w:rsidRDefault="00893AB9" w:rsidP="00871524">
      <w:pPr>
        <w:spacing w:line="240" w:lineRule="auto"/>
        <w:ind w:leftChars="0" w:left="0" w:rightChars="0" w:right="0"/>
      </w:pPr>
      <w:r>
        <w:t xml:space="preserve">　　</w:t>
      </w:r>
      <w:r w:rsidR="0049577B" w:rsidRPr="00B40DC1">
        <w:t>Skill Select是一個線上系統(online system</w:t>
      </w:r>
      <w:r w:rsidR="00587200">
        <w:t>)</w:t>
      </w:r>
      <w:r w:rsidR="0049577B" w:rsidRPr="00B40DC1">
        <w:t>，使有意在澳洲工作及投資之技術工作者和商人在線上註冊並登入他們之詳細資料，並提交意向書且申請該類型之簽證。讓所有技術移民申請者之背景、學經歷資料經由意向申請(EOI, Expression of Interest)統一均能被澳洲政府、雇主、州領地政府檢視所有申請者之資料。若對申請者之背景有興趣，就會發出邀請函請申請者提出移民申請。</w:t>
      </w:r>
      <w:r w:rsidR="0049577B" w:rsidRPr="00871524">
        <w:rPr>
          <w:rStyle w:val="af7"/>
          <w:rFonts w:eastAsia="新細明體"/>
          <w:sz w:val="20"/>
        </w:rPr>
        <w:footnoteReference w:id="395"/>
      </w:r>
    </w:p>
    <w:p w:rsidR="0049577B" w:rsidRPr="00B40DC1" w:rsidRDefault="00893AB9" w:rsidP="00871524">
      <w:pPr>
        <w:spacing w:line="240" w:lineRule="auto"/>
        <w:ind w:leftChars="0" w:left="0" w:rightChars="0" w:right="0"/>
      </w:pPr>
      <w:r>
        <w:t xml:space="preserve">　　</w:t>
      </w:r>
      <w:r w:rsidR="0049577B" w:rsidRPr="00B40DC1">
        <w:t>Skill Select之設計，乃以「評點制」為基礎，並讓政府能適時掌握技術移民申請之數量。它亦允許各州和地方政府來選擇最適合各州及地方政府所需要之技術移民，以滿足各州及地方政府之需求。在廣泛職業類別需求名單中，Skill Select對各類別之技術移民採取配額制，這乃為確保技術移民之申請者最終均被安排至最適合之技術類別。由於SkillSelect簡化簽證申請之程序，且因著對技術移民資格之審查有更好之管理，這亦提高了澳洲就業之前景。以中長期而言，該系統不僅符合澳洲對技術移民之需求，更提供了顯著之經濟效益。</w:t>
      </w:r>
      <w:r w:rsidR="0049577B" w:rsidRPr="00871524">
        <w:rPr>
          <w:rStyle w:val="af7"/>
          <w:rFonts w:eastAsia="新細明體"/>
          <w:sz w:val="20"/>
        </w:rPr>
        <w:footnoteReference w:id="396"/>
      </w:r>
    </w:p>
    <w:p w:rsidR="0049577B" w:rsidRPr="00B40DC1" w:rsidRDefault="000152BE" w:rsidP="00871524">
      <w:pPr>
        <w:spacing w:line="240" w:lineRule="auto"/>
        <w:ind w:leftChars="0" w:left="0" w:rightChars="0" w:right="0"/>
      </w:pPr>
      <w:r>
        <w:t xml:space="preserve">　　</w:t>
      </w:r>
      <w:r w:rsidR="0049577B" w:rsidRPr="00B40DC1">
        <w:t>澳洲技術移民之分類可分為獨立技術移民及州政府或地方政府擔保之技術移民，分述如下：</w:t>
      </w:r>
    </w:p>
    <w:p w:rsidR="0049577B" w:rsidRPr="00B40DC1" w:rsidRDefault="00893AB9" w:rsidP="00871524">
      <w:pPr>
        <w:spacing w:line="240" w:lineRule="auto"/>
        <w:ind w:leftChars="0" w:left="0" w:rightChars="0" w:right="0"/>
      </w:pPr>
      <w:r>
        <w:t xml:space="preserve">　　</w:t>
      </w:r>
      <w:r w:rsidR="0049577B" w:rsidRPr="00B40DC1">
        <w:t>獨立技術移民，澳洲政府核予簽證獨立技術簽證Skilled Independent visa</w:t>
      </w:r>
      <w:r w:rsidR="003C1792">
        <w:t>(</w:t>
      </w:r>
      <w:r w:rsidR="0049577B" w:rsidRPr="00B40DC1">
        <w:t>簽證189)：適用以下項目內容1~6。可成為澳洲永久居留之居民。</w:t>
      </w:r>
    </w:p>
    <w:p w:rsidR="0049577B" w:rsidRPr="00B40DC1" w:rsidRDefault="00893AB9" w:rsidP="00871524">
      <w:pPr>
        <w:spacing w:line="240" w:lineRule="auto"/>
        <w:ind w:leftChars="0" w:left="0" w:rightChars="0" w:right="0"/>
      </w:pPr>
      <w:r>
        <w:t xml:space="preserve">　　</w:t>
      </w:r>
      <w:r w:rsidR="0049577B" w:rsidRPr="00B40DC1">
        <w:t>州政府或地方政府擔保之技術移民，澳洲政府核予技術提名簽證Skilled Nominated visa</w:t>
      </w:r>
      <w:r w:rsidR="003C1792">
        <w:t>(</w:t>
      </w:r>
      <w:r w:rsidR="0049577B" w:rsidRPr="00B40DC1">
        <w:t>簽證190)：適用以下項目內容1~7。可成為澳洲永久居留之居民。該類技術移民需要有州擔保，移民成功後需要至擔保之州居住2年以後，始可以至其他地區定居，遂有居住限制。</w:t>
      </w:r>
    </w:p>
    <w:p w:rsidR="0049577B" w:rsidRPr="00B40DC1" w:rsidRDefault="005B648A" w:rsidP="005B648A">
      <w:pPr>
        <w:pStyle w:val="afffffff9"/>
        <w:spacing w:before="180"/>
        <w:jc w:val="right"/>
      </w:pPr>
      <w:r w:rsidRPr="00D45AD2">
        <w:rPr>
          <w:rFonts w:eastAsia="標楷體" w:hint="eastAsia"/>
        </w:rPr>
        <w:t>。。。。。。。。。。。。。。</w:t>
      </w:r>
      <w:hyperlink w:anchor="a2" w:history="1">
        <w:r>
          <w:rPr>
            <w:rStyle w:val="a7"/>
            <w:sz w:val="24"/>
            <w:lang w:eastAsia="zh-TW"/>
          </w:rPr>
          <w:t>回本章</w:t>
        </w:r>
      </w:hyperlink>
      <w:r w:rsidRPr="0008714D">
        <w:rPr>
          <w:rFonts w:eastAsia="標楷體"/>
          <w:color w:val="808000"/>
          <w:sz w:val="20"/>
        </w:rPr>
        <w:t>〉〉</w:t>
      </w:r>
      <w:hyperlink w:anchor="a目次2" w:history="1">
        <w:r>
          <w:rPr>
            <w:rStyle w:val="a7"/>
            <w:sz w:val="22"/>
            <w:lang w:eastAsia="zh-TW"/>
          </w:rPr>
          <w:t>回總目次</w:t>
        </w:r>
      </w:hyperlink>
      <w:r w:rsidRPr="00D45AD2">
        <w:rPr>
          <w:color w:val="808000"/>
        </w:rPr>
        <w:t>〉〉</w:t>
      </w:r>
    </w:p>
    <w:p w:rsidR="0049577B" w:rsidRPr="00893AB9" w:rsidRDefault="0049577B" w:rsidP="00EC0EE2">
      <w:pPr>
        <w:pStyle w:val="4"/>
        <w:rPr>
          <w:lang w:eastAsia="zh-TW"/>
        </w:rPr>
      </w:pPr>
      <w:r w:rsidRPr="00893AB9">
        <w:rPr>
          <w:lang w:eastAsia="zh-TW"/>
        </w:rPr>
        <w:t>表5</w:t>
      </w:r>
      <w:r w:rsidR="00776F57">
        <w:rPr>
          <w:rFonts w:ascii="新細明體" w:eastAsia="新細明體" w:hAnsi="新細明體" w:hint="eastAsia"/>
          <w:lang w:eastAsia="zh-TW"/>
        </w:rPr>
        <w:t>、</w:t>
      </w:r>
      <w:r w:rsidRPr="00893AB9">
        <w:rPr>
          <w:lang w:eastAsia="zh-TW"/>
        </w:rPr>
        <w:t>澳洲技術移民評點制</w:t>
      </w:r>
    </w:p>
    <w:tbl>
      <w:tblPr>
        <w:tblW w:w="949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16"/>
        <w:gridCol w:w="91"/>
        <w:gridCol w:w="1373"/>
        <w:gridCol w:w="1574"/>
        <w:gridCol w:w="4010"/>
        <w:gridCol w:w="1134"/>
      </w:tblGrid>
      <w:tr w:rsidR="0049577B" w:rsidRPr="00B40DC1" w:rsidTr="00776F57">
        <w:trPr>
          <w:trHeight w:val="371"/>
          <w:tblHeader/>
          <w:jc w:val="center"/>
        </w:trPr>
        <w:tc>
          <w:tcPr>
            <w:tcW w:w="2780" w:type="dxa"/>
            <w:gridSpan w:val="3"/>
            <w:tcBorders>
              <w:top w:val="single" w:sz="8" w:space="0" w:color="auto"/>
              <w:bottom w:val="single" w:sz="4" w:space="0" w:color="auto"/>
            </w:tcBorders>
            <w:shd w:val="clear" w:color="auto" w:fill="EFFDFF"/>
          </w:tcPr>
          <w:p w:rsidR="0049577B" w:rsidRPr="00893AB9" w:rsidRDefault="0049577B" w:rsidP="00893AB9">
            <w:pPr>
              <w:pStyle w:val="afffffffa"/>
              <w:ind w:left="-39" w:right="-39"/>
              <w:jc w:val="center"/>
              <w:rPr>
                <w:sz w:val="24"/>
                <w:szCs w:val="24"/>
              </w:rPr>
            </w:pPr>
            <w:r w:rsidRPr="00893AB9">
              <w:rPr>
                <w:sz w:val="24"/>
                <w:szCs w:val="24"/>
              </w:rPr>
              <w:t>項 目 內 容</w:t>
            </w:r>
          </w:p>
        </w:tc>
        <w:tc>
          <w:tcPr>
            <w:tcW w:w="5584" w:type="dxa"/>
            <w:gridSpan w:val="2"/>
            <w:tcBorders>
              <w:top w:val="single" w:sz="8" w:space="0" w:color="auto"/>
              <w:bottom w:val="single" w:sz="4" w:space="0" w:color="auto"/>
            </w:tcBorders>
            <w:shd w:val="clear" w:color="auto" w:fill="EFFDFF"/>
          </w:tcPr>
          <w:p w:rsidR="0049577B" w:rsidRPr="00893AB9" w:rsidRDefault="0049577B" w:rsidP="00893AB9">
            <w:pPr>
              <w:pStyle w:val="afffffffa"/>
              <w:ind w:left="-39" w:right="-39"/>
              <w:jc w:val="center"/>
              <w:rPr>
                <w:sz w:val="24"/>
                <w:szCs w:val="24"/>
              </w:rPr>
            </w:pPr>
          </w:p>
        </w:tc>
        <w:tc>
          <w:tcPr>
            <w:tcW w:w="1134" w:type="dxa"/>
            <w:tcBorders>
              <w:top w:val="single" w:sz="8" w:space="0" w:color="auto"/>
              <w:bottom w:val="single" w:sz="4" w:space="0" w:color="auto"/>
            </w:tcBorders>
            <w:shd w:val="clear" w:color="auto" w:fill="EFFDFF"/>
          </w:tcPr>
          <w:p w:rsidR="0049577B" w:rsidRPr="00893AB9" w:rsidRDefault="0049577B" w:rsidP="00893AB9">
            <w:pPr>
              <w:pStyle w:val="afffffffa"/>
              <w:ind w:left="-39" w:right="-39"/>
              <w:jc w:val="center"/>
              <w:rPr>
                <w:sz w:val="24"/>
                <w:szCs w:val="24"/>
              </w:rPr>
            </w:pPr>
            <w:r w:rsidRPr="00893AB9">
              <w:rPr>
                <w:sz w:val="24"/>
                <w:szCs w:val="24"/>
              </w:rPr>
              <w:t>計點</w:t>
            </w:r>
          </w:p>
        </w:tc>
      </w:tr>
      <w:tr w:rsidR="0049577B" w:rsidRPr="00B40DC1" w:rsidTr="00776F57">
        <w:trPr>
          <w:jc w:val="center"/>
        </w:trPr>
        <w:tc>
          <w:tcPr>
            <w:tcW w:w="2780" w:type="dxa"/>
            <w:gridSpan w:val="3"/>
            <w:vMerge w:val="restart"/>
            <w:tcBorders>
              <w:top w:val="single" w:sz="4" w:space="0" w:color="auto"/>
            </w:tcBorders>
            <w:shd w:val="clear" w:color="auto" w:fill="auto"/>
          </w:tcPr>
          <w:p w:rsidR="0049577B" w:rsidRPr="00893AB9" w:rsidRDefault="0049577B" w:rsidP="000D26BB">
            <w:pPr>
              <w:pStyle w:val="afffffffa"/>
              <w:ind w:left="-39" w:right="-39"/>
              <w:rPr>
                <w:sz w:val="24"/>
                <w:szCs w:val="24"/>
              </w:rPr>
            </w:pPr>
            <w:r w:rsidRPr="00893AB9">
              <w:rPr>
                <w:sz w:val="24"/>
                <w:szCs w:val="24"/>
              </w:rPr>
              <w:t>1、申請者年齡</w:t>
            </w:r>
          </w:p>
        </w:tc>
        <w:tc>
          <w:tcPr>
            <w:tcW w:w="5584" w:type="dxa"/>
            <w:gridSpan w:val="2"/>
            <w:tcBorders>
              <w:top w:val="single" w:sz="4" w:space="0" w:color="auto"/>
            </w:tcBorders>
            <w:shd w:val="clear" w:color="auto" w:fill="auto"/>
          </w:tcPr>
          <w:p w:rsidR="0049577B" w:rsidRPr="00893AB9" w:rsidRDefault="0049577B" w:rsidP="000D26BB">
            <w:pPr>
              <w:pStyle w:val="afffffffa"/>
              <w:ind w:left="-39" w:right="-39"/>
              <w:rPr>
                <w:sz w:val="24"/>
                <w:szCs w:val="24"/>
              </w:rPr>
            </w:pPr>
            <w:r w:rsidRPr="00893AB9">
              <w:rPr>
                <w:sz w:val="24"/>
                <w:szCs w:val="24"/>
              </w:rPr>
              <w:t>18-24歲</w:t>
            </w:r>
          </w:p>
        </w:tc>
        <w:tc>
          <w:tcPr>
            <w:tcW w:w="1134" w:type="dxa"/>
            <w:tcBorders>
              <w:top w:val="single" w:sz="4" w:space="0" w:color="auto"/>
            </w:tcBorders>
            <w:shd w:val="clear" w:color="auto" w:fill="auto"/>
          </w:tcPr>
          <w:p w:rsidR="0049577B" w:rsidRPr="00893AB9" w:rsidRDefault="0049577B" w:rsidP="00D45CFC">
            <w:pPr>
              <w:pStyle w:val="afffffffa"/>
              <w:ind w:left="-39" w:right="-39"/>
              <w:jc w:val="center"/>
              <w:rPr>
                <w:sz w:val="24"/>
                <w:szCs w:val="24"/>
              </w:rPr>
            </w:pPr>
            <w:r w:rsidRPr="00893AB9">
              <w:rPr>
                <w:sz w:val="24"/>
                <w:szCs w:val="24"/>
              </w:rPr>
              <w:t>25分</w:t>
            </w:r>
          </w:p>
        </w:tc>
      </w:tr>
      <w:tr w:rsidR="0049577B" w:rsidRPr="00B40DC1" w:rsidTr="00776F57">
        <w:trPr>
          <w:jc w:val="center"/>
        </w:trPr>
        <w:tc>
          <w:tcPr>
            <w:tcW w:w="2780" w:type="dxa"/>
            <w:gridSpan w:val="3"/>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25-32歲</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30分</w:t>
            </w:r>
          </w:p>
        </w:tc>
      </w:tr>
      <w:tr w:rsidR="0049577B" w:rsidRPr="00B40DC1" w:rsidTr="00776F57">
        <w:trPr>
          <w:jc w:val="center"/>
        </w:trPr>
        <w:tc>
          <w:tcPr>
            <w:tcW w:w="2780" w:type="dxa"/>
            <w:gridSpan w:val="3"/>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33-39歲</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25分</w:t>
            </w:r>
          </w:p>
        </w:tc>
      </w:tr>
      <w:tr w:rsidR="0049577B" w:rsidRPr="00B40DC1" w:rsidTr="00776F57">
        <w:trPr>
          <w:jc w:val="center"/>
        </w:trPr>
        <w:tc>
          <w:tcPr>
            <w:tcW w:w="2780" w:type="dxa"/>
            <w:gridSpan w:val="3"/>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40-44歲</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15分</w:t>
            </w:r>
          </w:p>
        </w:tc>
      </w:tr>
      <w:tr w:rsidR="0049577B" w:rsidRPr="00B40DC1" w:rsidTr="00776F57">
        <w:trPr>
          <w:jc w:val="center"/>
        </w:trPr>
        <w:tc>
          <w:tcPr>
            <w:tcW w:w="2780" w:type="dxa"/>
            <w:gridSpan w:val="3"/>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45-49歲</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0分</w:t>
            </w:r>
          </w:p>
        </w:tc>
      </w:tr>
      <w:tr w:rsidR="0049577B" w:rsidRPr="00B40DC1" w:rsidTr="00776F57">
        <w:trPr>
          <w:jc w:val="center"/>
        </w:trPr>
        <w:tc>
          <w:tcPr>
            <w:tcW w:w="2780" w:type="dxa"/>
            <w:gridSpan w:val="3"/>
            <w:vMerge w:val="restart"/>
            <w:shd w:val="clear" w:color="auto" w:fill="auto"/>
          </w:tcPr>
          <w:p w:rsidR="0049577B" w:rsidRPr="00893AB9" w:rsidRDefault="0049577B" w:rsidP="000D26BB">
            <w:pPr>
              <w:pStyle w:val="afffffffa"/>
              <w:ind w:left="-39" w:right="-39"/>
              <w:rPr>
                <w:sz w:val="24"/>
                <w:szCs w:val="24"/>
              </w:rPr>
            </w:pPr>
            <w:r w:rsidRPr="00893AB9">
              <w:rPr>
                <w:sz w:val="24"/>
                <w:szCs w:val="24"/>
              </w:rPr>
              <w:t>2、英文能力</w:t>
            </w: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IELTS 8級</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20分</w:t>
            </w:r>
          </w:p>
        </w:tc>
      </w:tr>
      <w:tr w:rsidR="0049577B" w:rsidRPr="00B40DC1" w:rsidTr="00776F57">
        <w:trPr>
          <w:jc w:val="center"/>
        </w:trPr>
        <w:tc>
          <w:tcPr>
            <w:tcW w:w="2780" w:type="dxa"/>
            <w:gridSpan w:val="3"/>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IELTS 7級</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10分</w:t>
            </w:r>
          </w:p>
        </w:tc>
      </w:tr>
      <w:tr w:rsidR="0049577B" w:rsidRPr="00B40DC1" w:rsidTr="00776F57">
        <w:trPr>
          <w:jc w:val="center"/>
        </w:trPr>
        <w:tc>
          <w:tcPr>
            <w:tcW w:w="2780" w:type="dxa"/>
            <w:gridSpan w:val="3"/>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IELTS 6級</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0分</w:t>
            </w:r>
          </w:p>
        </w:tc>
      </w:tr>
      <w:tr w:rsidR="0049577B" w:rsidRPr="00B40DC1" w:rsidTr="00776F57">
        <w:trPr>
          <w:jc w:val="center"/>
        </w:trPr>
        <w:tc>
          <w:tcPr>
            <w:tcW w:w="1407" w:type="dxa"/>
            <w:gridSpan w:val="2"/>
            <w:vMerge w:val="restart"/>
            <w:shd w:val="clear" w:color="auto" w:fill="auto"/>
          </w:tcPr>
          <w:p w:rsidR="0049577B" w:rsidRPr="00893AB9" w:rsidRDefault="0049577B" w:rsidP="000D26BB">
            <w:pPr>
              <w:pStyle w:val="afffffffa"/>
              <w:ind w:left="-39" w:right="-39"/>
              <w:rPr>
                <w:sz w:val="24"/>
                <w:szCs w:val="24"/>
              </w:rPr>
            </w:pPr>
            <w:r w:rsidRPr="00893AB9">
              <w:rPr>
                <w:sz w:val="24"/>
                <w:szCs w:val="24"/>
              </w:rPr>
              <w:t>3、與提名職業相關工作經驗(境內及境外工作經驗計分可累計，但最多採20分)</w:t>
            </w:r>
          </w:p>
        </w:tc>
        <w:tc>
          <w:tcPr>
            <w:tcW w:w="1373" w:type="dxa"/>
            <w:vMerge w:val="restart"/>
            <w:shd w:val="clear" w:color="auto" w:fill="auto"/>
          </w:tcPr>
          <w:p w:rsidR="0049577B" w:rsidRPr="00893AB9" w:rsidRDefault="0049577B" w:rsidP="000D26BB">
            <w:pPr>
              <w:pStyle w:val="afffffffa"/>
              <w:ind w:left="-39" w:right="-39"/>
              <w:rPr>
                <w:sz w:val="24"/>
                <w:szCs w:val="24"/>
              </w:rPr>
            </w:pPr>
            <w:r w:rsidRPr="00893AB9">
              <w:rPr>
                <w:sz w:val="24"/>
                <w:szCs w:val="24"/>
              </w:rPr>
              <w:t>(境外)與提名職業相關之海外工作經歷</w:t>
            </w: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過去10年裡至少3-5年從事相關技能工作</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5分</w:t>
            </w:r>
          </w:p>
        </w:tc>
      </w:tr>
      <w:tr w:rsidR="0049577B" w:rsidRPr="00B40DC1" w:rsidTr="00776F57">
        <w:trPr>
          <w:jc w:val="center"/>
        </w:trPr>
        <w:tc>
          <w:tcPr>
            <w:tcW w:w="1407" w:type="dxa"/>
            <w:gridSpan w:val="2"/>
            <w:vMerge/>
            <w:shd w:val="clear" w:color="auto" w:fill="auto"/>
          </w:tcPr>
          <w:p w:rsidR="0049577B" w:rsidRPr="00893AB9" w:rsidRDefault="0049577B" w:rsidP="000D26BB">
            <w:pPr>
              <w:pStyle w:val="afffffffa"/>
              <w:ind w:left="-39" w:right="-39"/>
              <w:rPr>
                <w:sz w:val="24"/>
                <w:szCs w:val="24"/>
              </w:rPr>
            </w:pPr>
          </w:p>
        </w:tc>
        <w:tc>
          <w:tcPr>
            <w:tcW w:w="1373" w:type="dxa"/>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過去10年裡至少5-8年從事相關技能工作</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10分</w:t>
            </w:r>
          </w:p>
        </w:tc>
      </w:tr>
      <w:tr w:rsidR="0049577B" w:rsidRPr="00B40DC1" w:rsidTr="00776F57">
        <w:trPr>
          <w:jc w:val="center"/>
        </w:trPr>
        <w:tc>
          <w:tcPr>
            <w:tcW w:w="1407" w:type="dxa"/>
            <w:gridSpan w:val="2"/>
            <w:vMerge/>
            <w:shd w:val="clear" w:color="auto" w:fill="auto"/>
          </w:tcPr>
          <w:p w:rsidR="0049577B" w:rsidRPr="00893AB9" w:rsidRDefault="0049577B" w:rsidP="000D26BB">
            <w:pPr>
              <w:pStyle w:val="afffffffa"/>
              <w:ind w:left="-39" w:right="-39"/>
              <w:rPr>
                <w:sz w:val="24"/>
                <w:szCs w:val="24"/>
              </w:rPr>
            </w:pPr>
          </w:p>
        </w:tc>
        <w:tc>
          <w:tcPr>
            <w:tcW w:w="1373" w:type="dxa"/>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過去10年裡至少8年以上從事相關技能工作</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15分</w:t>
            </w:r>
          </w:p>
        </w:tc>
      </w:tr>
      <w:tr w:rsidR="0049577B" w:rsidRPr="00B40DC1" w:rsidTr="00776F57">
        <w:trPr>
          <w:jc w:val="center"/>
        </w:trPr>
        <w:tc>
          <w:tcPr>
            <w:tcW w:w="1407" w:type="dxa"/>
            <w:gridSpan w:val="2"/>
            <w:vMerge/>
            <w:shd w:val="clear" w:color="auto" w:fill="auto"/>
          </w:tcPr>
          <w:p w:rsidR="0049577B" w:rsidRPr="00893AB9" w:rsidRDefault="0049577B" w:rsidP="000D26BB">
            <w:pPr>
              <w:pStyle w:val="afffffffa"/>
              <w:ind w:left="-39" w:right="-39"/>
              <w:rPr>
                <w:sz w:val="24"/>
                <w:szCs w:val="24"/>
              </w:rPr>
            </w:pPr>
          </w:p>
        </w:tc>
        <w:tc>
          <w:tcPr>
            <w:tcW w:w="1373" w:type="dxa"/>
            <w:vMerge w:val="restart"/>
            <w:shd w:val="clear" w:color="auto" w:fill="auto"/>
          </w:tcPr>
          <w:p w:rsidR="0049577B" w:rsidRPr="00893AB9" w:rsidRDefault="0049577B" w:rsidP="000D26BB">
            <w:pPr>
              <w:pStyle w:val="afffffffa"/>
              <w:ind w:left="-39" w:right="-39"/>
              <w:rPr>
                <w:sz w:val="24"/>
                <w:szCs w:val="24"/>
              </w:rPr>
            </w:pPr>
            <w:r w:rsidRPr="00893AB9">
              <w:rPr>
                <w:sz w:val="24"/>
                <w:szCs w:val="24"/>
              </w:rPr>
              <w:t>(境內)與提名職業相關之澳洲工作經歷</w:t>
            </w: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過去10年裡至少1-3年從事相關技能工作</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5分</w:t>
            </w:r>
          </w:p>
        </w:tc>
      </w:tr>
      <w:tr w:rsidR="0049577B" w:rsidRPr="00B40DC1" w:rsidTr="00776F57">
        <w:trPr>
          <w:jc w:val="center"/>
        </w:trPr>
        <w:tc>
          <w:tcPr>
            <w:tcW w:w="1407" w:type="dxa"/>
            <w:gridSpan w:val="2"/>
            <w:vMerge/>
            <w:shd w:val="clear" w:color="auto" w:fill="auto"/>
          </w:tcPr>
          <w:p w:rsidR="0049577B" w:rsidRPr="00893AB9" w:rsidRDefault="0049577B" w:rsidP="000D26BB">
            <w:pPr>
              <w:pStyle w:val="afffffffa"/>
              <w:ind w:left="-39" w:right="-39"/>
              <w:rPr>
                <w:sz w:val="24"/>
                <w:szCs w:val="24"/>
              </w:rPr>
            </w:pPr>
          </w:p>
        </w:tc>
        <w:tc>
          <w:tcPr>
            <w:tcW w:w="1373" w:type="dxa"/>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過去10年裡至少3-5年從事相關技能工作</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10分</w:t>
            </w:r>
          </w:p>
        </w:tc>
      </w:tr>
      <w:tr w:rsidR="0049577B" w:rsidRPr="00B40DC1" w:rsidTr="00776F57">
        <w:trPr>
          <w:jc w:val="center"/>
        </w:trPr>
        <w:tc>
          <w:tcPr>
            <w:tcW w:w="1407" w:type="dxa"/>
            <w:gridSpan w:val="2"/>
            <w:vMerge/>
            <w:shd w:val="clear" w:color="auto" w:fill="auto"/>
          </w:tcPr>
          <w:p w:rsidR="0049577B" w:rsidRPr="00893AB9" w:rsidRDefault="0049577B" w:rsidP="000D26BB">
            <w:pPr>
              <w:pStyle w:val="afffffffa"/>
              <w:ind w:left="-39" w:right="-39"/>
              <w:rPr>
                <w:sz w:val="24"/>
                <w:szCs w:val="24"/>
              </w:rPr>
            </w:pPr>
          </w:p>
        </w:tc>
        <w:tc>
          <w:tcPr>
            <w:tcW w:w="1373" w:type="dxa"/>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過去10年裡至少5-8年從事相關技能工作</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15分</w:t>
            </w:r>
          </w:p>
        </w:tc>
      </w:tr>
      <w:tr w:rsidR="0049577B" w:rsidRPr="00B40DC1" w:rsidTr="00776F57">
        <w:trPr>
          <w:trHeight w:val="351"/>
          <w:jc w:val="center"/>
        </w:trPr>
        <w:tc>
          <w:tcPr>
            <w:tcW w:w="1407" w:type="dxa"/>
            <w:gridSpan w:val="2"/>
            <w:vMerge/>
            <w:shd w:val="clear" w:color="auto" w:fill="auto"/>
          </w:tcPr>
          <w:p w:rsidR="0049577B" w:rsidRPr="00893AB9" w:rsidRDefault="0049577B" w:rsidP="000D26BB">
            <w:pPr>
              <w:pStyle w:val="afffffffa"/>
              <w:ind w:left="-39" w:right="-39"/>
              <w:rPr>
                <w:sz w:val="24"/>
                <w:szCs w:val="24"/>
              </w:rPr>
            </w:pPr>
          </w:p>
        </w:tc>
        <w:tc>
          <w:tcPr>
            <w:tcW w:w="1373" w:type="dxa"/>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過去10年裡至少8年以上從事相關技能工作</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20分</w:t>
            </w:r>
          </w:p>
        </w:tc>
      </w:tr>
      <w:tr w:rsidR="0049577B" w:rsidRPr="00B40DC1" w:rsidTr="00776F57">
        <w:trPr>
          <w:jc w:val="center"/>
        </w:trPr>
        <w:tc>
          <w:tcPr>
            <w:tcW w:w="2780" w:type="dxa"/>
            <w:gridSpan w:val="3"/>
            <w:vMerge w:val="restart"/>
            <w:shd w:val="clear" w:color="auto" w:fill="auto"/>
          </w:tcPr>
          <w:p w:rsidR="0049577B" w:rsidRPr="00893AB9" w:rsidRDefault="0049577B" w:rsidP="000D26BB">
            <w:pPr>
              <w:pStyle w:val="afffffffa"/>
              <w:ind w:left="-39" w:right="-39"/>
              <w:rPr>
                <w:sz w:val="24"/>
                <w:szCs w:val="24"/>
              </w:rPr>
            </w:pPr>
            <w:r w:rsidRPr="00893AB9">
              <w:rPr>
                <w:sz w:val="24"/>
                <w:szCs w:val="24"/>
              </w:rPr>
              <w:t>4、教 育 程 度</w:t>
            </w:r>
          </w:p>
          <w:p w:rsidR="0049577B" w:rsidRPr="00893AB9" w:rsidRDefault="0049577B" w:rsidP="000D26BB">
            <w:pPr>
              <w:pStyle w:val="afffffffa"/>
              <w:ind w:left="-39" w:right="-39"/>
              <w:rPr>
                <w:sz w:val="24"/>
                <w:szCs w:val="24"/>
              </w:rPr>
            </w:pPr>
            <w:r w:rsidRPr="00893AB9">
              <w:rPr>
                <w:sz w:val="24"/>
                <w:szCs w:val="24"/>
              </w:rPr>
              <w:t>（包括澳洲或海外）</w:t>
            </w: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(1)博士學位</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20分</w:t>
            </w:r>
          </w:p>
        </w:tc>
      </w:tr>
      <w:tr w:rsidR="0049577B" w:rsidRPr="00B40DC1" w:rsidTr="00776F57">
        <w:trPr>
          <w:jc w:val="center"/>
        </w:trPr>
        <w:tc>
          <w:tcPr>
            <w:tcW w:w="2780" w:type="dxa"/>
            <w:gridSpan w:val="3"/>
            <w:vMerge/>
            <w:shd w:val="clear" w:color="auto" w:fill="auto"/>
          </w:tcPr>
          <w:p w:rsidR="0049577B" w:rsidRPr="00893AB9" w:rsidRDefault="0049577B" w:rsidP="000D26BB">
            <w:pPr>
              <w:pStyle w:val="afffffffa"/>
              <w:ind w:left="-39" w:right="-39"/>
              <w:rPr>
                <w:sz w:val="24"/>
                <w:szCs w:val="24"/>
              </w:rPr>
            </w:pPr>
          </w:p>
        </w:tc>
        <w:tc>
          <w:tcPr>
            <w:tcW w:w="5584" w:type="dxa"/>
            <w:gridSpan w:val="2"/>
            <w:shd w:val="clear" w:color="auto" w:fill="auto"/>
          </w:tcPr>
          <w:p w:rsidR="0049577B" w:rsidRPr="00893AB9" w:rsidRDefault="0049577B" w:rsidP="000D26BB">
            <w:pPr>
              <w:pStyle w:val="afffffffa"/>
              <w:ind w:left="-39" w:right="-39"/>
              <w:rPr>
                <w:sz w:val="24"/>
                <w:szCs w:val="24"/>
              </w:rPr>
            </w:pPr>
            <w:r w:rsidRPr="00893AB9">
              <w:rPr>
                <w:sz w:val="24"/>
                <w:szCs w:val="24"/>
              </w:rPr>
              <w:t>(2)學士學位以上(含榮譽學士和碩士學位)</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15分</w:t>
            </w:r>
          </w:p>
        </w:tc>
      </w:tr>
      <w:tr w:rsidR="0049577B" w:rsidRPr="00B40DC1" w:rsidTr="00776F57">
        <w:trPr>
          <w:jc w:val="center"/>
        </w:trPr>
        <w:tc>
          <w:tcPr>
            <w:tcW w:w="2780" w:type="dxa"/>
            <w:gridSpan w:val="3"/>
            <w:vMerge/>
            <w:shd w:val="clear" w:color="auto" w:fill="auto"/>
          </w:tcPr>
          <w:p w:rsidR="0049577B" w:rsidRPr="00893AB9" w:rsidRDefault="0049577B" w:rsidP="000D26BB">
            <w:pPr>
              <w:pStyle w:val="afffffffa"/>
              <w:ind w:left="-39" w:right="-39"/>
              <w:rPr>
                <w:sz w:val="24"/>
                <w:szCs w:val="24"/>
              </w:rPr>
            </w:pPr>
          </w:p>
        </w:tc>
        <w:tc>
          <w:tcPr>
            <w:tcW w:w="1574" w:type="dxa"/>
            <w:vMerge w:val="restart"/>
            <w:shd w:val="clear" w:color="auto" w:fill="auto"/>
          </w:tcPr>
          <w:p w:rsidR="0049577B" w:rsidRPr="00893AB9" w:rsidRDefault="0049577B" w:rsidP="000D26BB">
            <w:pPr>
              <w:pStyle w:val="afffffffa"/>
              <w:ind w:left="-39" w:right="-39"/>
              <w:rPr>
                <w:sz w:val="24"/>
                <w:szCs w:val="24"/>
              </w:rPr>
            </w:pPr>
            <w:r w:rsidRPr="00893AB9">
              <w:rPr>
                <w:sz w:val="24"/>
                <w:szCs w:val="24"/>
              </w:rPr>
              <w:t>(3)身分為澳洲政府認可之海外學徒</w:t>
            </w:r>
          </w:p>
        </w:tc>
        <w:tc>
          <w:tcPr>
            <w:tcW w:w="4010" w:type="dxa"/>
            <w:shd w:val="clear" w:color="auto" w:fill="auto"/>
          </w:tcPr>
          <w:p w:rsidR="0049577B" w:rsidRPr="00893AB9" w:rsidRDefault="0049577B" w:rsidP="000D26BB">
            <w:pPr>
              <w:pStyle w:val="afffffffa"/>
              <w:ind w:left="-39" w:right="-39"/>
              <w:rPr>
                <w:sz w:val="24"/>
                <w:szCs w:val="24"/>
              </w:rPr>
            </w:pPr>
            <w:r w:rsidRPr="00893AB9">
              <w:rPr>
                <w:sz w:val="24"/>
                <w:szCs w:val="24"/>
              </w:rPr>
              <w:sym w:font="Wingdings" w:char="F081"/>
            </w:r>
            <w:r w:rsidRPr="00893AB9">
              <w:rPr>
                <w:sz w:val="24"/>
                <w:szCs w:val="24"/>
              </w:rPr>
              <w:t>澳洲文憑</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10分</w:t>
            </w:r>
          </w:p>
        </w:tc>
      </w:tr>
      <w:tr w:rsidR="0049577B" w:rsidRPr="00B40DC1" w:rsidTr="00776F57">
        <w:trPr>
          <w:jc w:val="center"/>
        </w:trPr>
        <w:tc>
          <w:tcPr>
            <w:tcW w:w="2780" w:type="dxa"/>
            <w:gridSpan w:val="3"/>
            <w:vMerge/>
            <w:shd w:val="clear" w:color="auto" w:fill="auto"/>
          </w:tcPr>
          <w:p w:rsidR="0049577B" w:rsidRPr="00893AB9" w:rsidRDefault="0049577B" w:rsidP="000D26BB">
            <w:pPr>
              <w:pStyle w:val="afffffffa"/>
              <w:ind w:left="-39" w:right="-39"/>
              <w:rPr>
                <w:sz w:val="24"/>
                <w:szCs w:val="24"/>
              </w:rPr>
            </w:pPr>
          </w:p>
        </w:tc>
        <w:tc>
          <w:tcPr>
            <w:tcW w:w="1574" w:type="dxa"/>
            <w:vMerge/>
            <w:shd w:val="clear" w:color="auto" w:fill="auto"/>
          </w:tcPr>
          <w:p w:rsidR="0049577B" w:rsidRPr="00893AB9" w:rsidRDefault="0049577B" w:rsidP="000D26BB">
            <w:pPr>
              <w:pStyle w:val="afffffffa"/>
              <w:ind w:left="-39" w:right="-39"/>
              <w:rPr>
                <w:sz w:val="24"/>
                <w:szCs w:val="24"/>
              </w:rPr>
            </w:pPr>
          </w:p>
        </w:tc>
        <w:tc>
          <w:tcPr>
            <w:tcW w:w="4010" w:type="dxa"/>
            <w:shd w:val="clear" w:color="auto" w:fill="auto"/>
          </w:tcPr>
          <w:p w:rsidR="0049577B" w:rsidRPr="00893AB9" w:rsidRDefault="0049577B" w:rsidP="000D26BB">
            <w:pPr>
              <w:pStyle w:val="afffffffa"/>
              <w:ind w:left="-39" w:right="-39"/>
              <w:rPr>
                <w:sz w:val="24"/>
                <w:szCs w:val="24"/>
              </w:rPr>
            </w:pPr>
            <w:r w:rsidRPr="00893AB9">
              <w:rPr>
                <w:sz w:val="24"/>
                <w:szCs w:val="24"/>
              </w:rPr>
              <w:sym w:font="Wingdings" w:char="F082"/>
            </w:r>
            <w:r w:rsidRPr="00893AB9">
              <w:rPr>
                <w:sz w:val="24"/>
                <w:szCs w:val="24"/>
              </w:rPr>
              <w:t>澳洲教育機關認證之技術資格</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10分</w:t>
            </w:r>
          </w:p>
        </w:tc>
      </w:tr>
      <w:tr w:rsidR="0049577B" w:rsidRPr="00B40DC1" w:rsidTr="00776F57">
        <w:trPr>
          <w:trHeight w:val="2556"/>
          <w:jc w:val="center"/>
        </w:trPr>
        <w:tc>
          <w:tcPr>
            <w:tcW w:w="2780" w:type="dxa"/>
            <w:gridSpan w:val="3"/>
            <w:shd w:val="clear" w:color="auto" w:fill="auto"/>
          </w:tcPr>
          <w:p w:rsidR="0049577B" w:rsidRPr="00893AB9" w:rsidRDefault="0049577B" w:rsidP="000D26BB">
            <w:pPr>
              <w:pStyle w:val="afffffffa"/>
              <w:ind w:left="-39" w:right="-39"/>
              <w:rPr>
                <w:sz w:val="26"/>
                <w:szCs w:val="26"/>
              </w:rPr>
            </w:pPr>
            <w:r w:rsidRPr="00893AB9">
              <w:rPr>
                <w:sz w:val="26"/>
                <w:szCs w:val="26"/>
              </w:rPr>
              <w:t>5、符合澳洲研究之需求</w:t>
            </w:r>
          </w:p>
        </w:tc>
        <w:tc>
          <w:tcPr>
            <w:tcW w:w="5584" w:type="dxa"/>
            <w:gridSpan w:val="2"/>
            <w:shd w:val="clear" w:color="auto" w:fill="auto"/>
          </w:tcPr>
          <w:p w:rsidR="0049577B" w:rsidRPr="00893AB9" w:rsidRDefault="0049577B" w:rsidP="000D26BB">
            <w:pPr>
              <w:pStyle w:val="afffffffa"/>
              <w:ind w:left="-39" w:right="-39"/>
              <w:rPr>
                <w:sz w:val="26"/>
                <w:szCs w:val="26"/>
              </w:rPr>
            </w:pPr>
            <w:r w:rsidRPr="00893AB9">
              <w:rPr>
                <w:sz w:val="26"/>
                <w:szCs w:val="26"/>
              </w:rPr>
              <w:t>獲得1個或多位澳洲教育機構授與學位，且該學位符合澳洲研究之需求。</w:t>
            </w:r>
          </w:p>
          <w:p w:rsidR="0049577B" w:rsidRPr="00893AB9" w:rsidRDefault="0049577B" w:rsidP="000D26BB">
            <w:pPr>
              <w:pStyle w:val="afffffffa"/>
              <w:ind w:left="-39" w:right="-39"/>
              <w:rPr>
                <w:sz w:val="26"/>
                <w:szCs w:val="26"/>
              </w:rPr>
            </w:pPr>
            <w:r w:rsidRPr="00893AB9">
              <w:rPr>
                <w:sz w:val="26"/>
                <w:szCs w:val="26"/>
              </w:rPr>
              <w:sym w:font="Wingdings" w:char="F081"/>
            </w:r>
            <w:r w:rsidRPr="00893AB9">
              <w:rPr>
                <w:sz w:val="26"/>
                <w:szCs w:val="26"/>
              </w:rPr>
              <w:t>澳洲聯邦政府招收海外學生院校及課程註冊登記(CRICOS)認可之課程</w:t>
            </w:r>
          </w:p>
          <w:p w:rsidR="0049577B" w:rsidRPr="00893AB9" w:rsidRDefault="0049577B" w:rsidP="000D26BB">
            <w:pPr>
              <w:pStyle w:val="afffffffa"/>
              <w:ind w:left="-39" w:right="-39"/>
              <w:rPr>
                <w:sz w:val="26"/>
                <w:szCs w:val="26"/>
              </w:rPr>
            </w:pPr>
            <w:r w:rsidRPr="00893AB9">
              <w:rPr>
                <w:sz w:val="26"/>
                <w:szCs w:val="26"/>
              </w:rPr>
              <w:sym w:font="Wingdings" w:char="F082"/>
            </w:r>
            <w:r w:rsidRPr="00893AB9">
              <w:rPr>
                <w:sz w:val="26"/>
                <w:szCs w:val="26"/>
              </w:rPr>
              <w:t>至少16個月以上之課程</w:t>
            </w:r>
          </w:p>
          <w:p w:rsidR="0049577B" w:rsidRPr="00893AB9" w:rsidRDefault="0049577B" w:rsidP="000D26BB">
            <w:pPr>
              <w:pStyle w:val="afffffffa"/>
              <w:ind w:left="-39" w:right="-39"/>
              <w:rPr>
                <w:sz w:val="26"/>
                <w:szCs w:val="26"/>
              </w:rPr>
            </w:pPr>
            <w:r w:rsidRPr="00893AB9">
              <w:rPr>
                <w:sz w:val="26"/>
                <w:szCs w:val="26"/>
              </w:rPr>
              <w:sym w:font="Wingdings" w:char="F083"/>
            </w:r>
            <w:r w:rsidRPr="00893AB9">
              <w:rPr>
                <w:sz w:val="26"/>
                <w:szCs w:val="26"/>
              </w:rPr>
              <w:t>2學年以上之學期課程</w:t>
            </w:r>
          </w:p>
          <w:p w:rsidR="0049577B" w:rsidRPr="00893AB9" w:rsidRDefault="0049577B" w:rsidP="000D26BB">
            <w:pPr>
              <w:pStyle w:val="afffffffa"/>
              <w:ind w:left="-39" w:right="-39"/>
              <w:rPr>
                <w:sz w:val="26"/>
                <w:szCs w:val="26"/>
              </w:rPr>
            </w:pPr>
            <w:r w:rsidRPr="00893AB9">
              <w:rPr>
                <w:sz w:val="26"/>
                <w:szCs w:val="26"/>
              </w:rPr>
              <w:sym w:font="Wingdings" w:char="F084"/>
            </w:r>
            <w:r w:rsidRPr="00893AB9">
              <w:rPr>
                <w:sz w:val="26"/>
                <w:szCs w:val="26"/>
              </w:rPr>
              <w:t>英語授課之課程</w:t>
            </w:r>
          </w:p>
          <w:p w:rsidR="0049577B" w:rsidRPr="00893AB9" w:rsidRDefault="0049577B" w:rsidP="000D26BB">
            <w:pPr>
              <w:pStyle w:val="afffffffa"/>
              <w:ind w:left="-39" w:right="-39"/>
              <w:rPr>
                <w:sz w:val="26"/>
                <w:szCs w:val="26"/>
              </w:rPr>
            </w:pPr>
            <w:r w:rsidRPr="00893AB9">
              <w:rPr>
                <w:sz w:val="26"/>
                <w:szCs w:val="26"/>
              </w:rPr>
              <w:sym w:font="Wingdings" w:char="F085"/>
            </w:r>
            <w:r w:rsidRPr="00893AB9">
              <w:rPr>
                <w:sz w:val="26"/>
                <w:szCs w:val="26"/>
              </w:rPr>
              <w:t>已完成上述課程，且人亦正在澳洲</w:t>
            </w:r>
          </w:p>
          <w:p w:rsidR="0049577B" w:rsidRPr="00893AB9" w:rsidRDefault="0049577B" w:rsidP="000D26BB">
            <w:pPr>
              <w:pStyle w:val="afffffffa"/>
              <w:ind w:left="-39" w:right="-39"/>
              <w:rPr>
                <w:sz w:val="26"/>
                <w:szCs w:val="26"/>
              </w:rPr>
            </w:pPr>
            <w:r w:rsidRPr="00893AB9">
              <w:rPr>
                <w:sz w:val="26"/>
                <w:szCs w:val="26"/>
              </w:rPr>
              <w:sym w:font="Wingdings" w:char="F086"/>
            </w:r>
            <w:r w:rsidRPr="00893AB9">
              <w:rPr>
                <w:sz w:val="26"/>
                <w:szCs w:val="26"/>
              </w:rPr>
              <w:t>修習了澳洲政府發給讀書簽證之學校課程</w:t>
            </w:r>
          </w:p>
        </w:tc>
        <w:tc>
          <w:tcPr>
            <w:tcW w:w="1134" w:type="dxa"/>
            <w:shd w:val="clear" w:color="auto" w:fill="auto"/>
          </w:tcPr>
          <w:p w:rsidR="0049577B" w:rsidRPr="00893AB9" w:rsidRDefault="0049577B" w:rsidP="00D45CFC">
            <w:pPr>
              <w:pStyle w:val="afffffffa"/>
              <w:ind w:left="-39" w:right="-39"/>
              <w:jc w:val="center"/>
              <w:rPr>
                <w:sz w:val="24"/>
                <w:szCs w:val="24"/>
              </w:rPr>
            </w:pPr>
            <w:r w:rsidRPr="00893AB9">
              <w:rPr>
                <w:sz w:val="24"/>
                <w:szCs w:val="24"/>
              </w:rPr>
              <w:t>5分</w:t>
            </w:r>
          </w:p>
        </w:tc>
      </w:tr>
      <w:tr w:rsidR="0049577B" w:rsidRPr="00B40DC1" w:rsidTr="00776F57">
        <w:trPr>
          <w:jc w:val="center"/>
        </w:trPr>
        <w:tc>
          <w:tcPr>
            <w:tcW w:w="1316" w:type="dxa"/>
            <w:vMerge w:val="restart"/>
            <w:shd w:val="clear" w:color="auto" w:fill="auto"/>
          </w:tcPr>
          <w:p w:rsidR="0049577B" w:rsidRPr="00893AB9" w:rsidRDefault="0049577B" w:rsidP="000D26BB">
            <w:pPr>
              <w:pStyle w:val="afffffffa"/>
              <w:ind w:left="-39" w:right="-39"/>
              <w:rPr>
                <w:sz w:val="26"/>
                <w:szCs w:val="26"/>
              </w:rPr>
            </w:pPr>
            <w:r w:rsidRPr="00893AB9">
              <w:rPr>
                <w:sz w:val="26"/>
                <w:szCs w:val="26"/>
              </w:rPr>
              <w:t>6、其他加分項目</w:t>
            </w:r>
          </w:p>
          <w:p w:rsidR="0049577B" w:rsidRPr="00893AB9" w:rsidRDefault="0049577B" w:rsidP="000D26BB">
            <w:pPr>
              <w:pStyle w:val="afffffffa"/>
              <w:ind w:left="-39" w:right="-39"/>
              <w:rPr>
                <w:sz w:val="26"/>
                <w:szCs w:val="26"/>
              </w:rPr>
            </w:pPr>
          </w:p>
        </w:tc>
        <w:tc>
          <w:tcPr>
            <w:tcW w:w="1464" w:type="dxa"/>
            <w:gridSpan w:val="2"/>
            <w:shd w:val="clear" w:color="auto" w:fill="auto"/>
          </w:tcPr>
          <w:p w:rsidR="0049577B" w:rsidRPr="00893AB9" w:rsidRDefault="0049577B" w:rsidP="000D26BB">
            <w:pPr>
              <w:pStyle w:val="afffffffa"/>
              <w:ind w:left="-39" w:right="-39"/>
              <w:rPr>
                <w:sz w:val="26"/>
                <w:szCs w:val="26"/>
              </w:rPr>
            </w:pPr>
            <w:r w:rsidRPr="00893AB9">
              <w:rPr>
                <w:sz w:val="26"/>
                <w:szCs w:val="26"/>
              </w:rPr>
              <w:t>(1)社區語言認證</w:t>
            </w:r>
          </w:p>
        </w:tc>
        <w:tc>
          <w:tcPr>
            <w:tcW w:w="5584" w:type="dxa"/>
            <w:gridSpan w:val="2"/>
            <w:shd w:val="clear" w:color="auto" w:fill="auto"/>
          </w:tcPr>
          <w:p w:rsidR="0049577B" w:rsidRPr="00893AB9" w:rsidRDefault="0049577B" w:rsidP="000D26BB">
            <w:pPr>
              <w:pStyle w:val="afffffffa"/>
              <w:ind w:left="-39" w:right="-39"/>
              <w:rPr>
                <w:sz w:val="26"/>
                <w:szCs w:val="26"/>
              </w:rPr>
            </w:pPr>
            <w:r w:rsidRPr="00893AB9">
              <w:rPr>
                <w:sz w:val="26"/>
                <w:szCs w:val="26"/>
              </w:rPr>
              <w:t>由NAATI認證三級筆譯或二級口譯證書</w:t>
            </w:r>
          </w:p>
        </w:tc>
        <w:tc>
          <w:tcPr>
            <w:tcW w:w="1134" w:type="dxa"/>
            <w:shd w:val="clear" w:color="auto" w:fill="auto"/>
          </w:tcPr>
          <w:p w:rsidR="0049577B" w:rsidRPr="00893AB9" w:rsidRDefault="0049577B" w:rsidP="00D45CFC">
            <w:pPr>
              <w:pStyle w:val="afffffffa"/>
              <w:ind w:left="-39" w:right="-39"/>
              <w:jc w:val="center"/>
              <w:rPr>
                <w:sz w:val="26"/>
                <w:szCs w:val="26"/>
              </w:rPr>
            </w:pPr>
            <w:r w:rsidRPr="00893AB9">
              <w:rPr>
                <w:sz w:val="26"/>
                <w:szCs w:val="26"/>
              </w:rPr>
              <w:t>5分</w:t>
            </w:r>
          </w:p>
        </w:tc>
      </w:tr>
      <w:tr w:rsidR="0049577B" w:rsidRPr="00B40DC1" w:rsidTr="00776F57">
        <w:trPr>
          <w:jc w:val="center"/>
        </w:trPr>
        <w:tc>
          <w:tcPr>
            <w:tcW w:w="1316" w:type="dxa"/>
            <w:vMerge/>
            <w:shd w:val="clear" w:color="auto" w:fill="auto"/>
          </w:tcPr>
          <w:p w:rsidR="0049577B" w:rsidRPr="00893AB9" w:rsidRDefault="0049577B" w:rsidP="000D26BB">
            <w:pPr>
              <w:pStyle w:val="afffffffa"/>
              <w:ind w:left="-39" w:right="-39"/>
              <w:rPr>
                <w:sz w:val="26"/>
                <w:szCs w:val="26"/>
              </w:rPr>
            </w:pPr>
          </w:p>
        </w:tc>
        <w:tc>
          <w:tcPr>
            <w:tcW w:w="1464" w:type="dxa"/>
            <w:gridSpan w:val="2"/>
            <w:shd w:val="clear" w:color="auto" w:fill="auto"/>
          </w:tcPr>
          <w:p w:rsidR="0049577B" w:rsidRPr="00893AB9" w:rsidRDefault="0049577B" w:rsidP="000D26BB">
            <w:pPr>
              <w:pStyle w:val="afffffffa"/>
              <w:ind w:left="-39" w:right="-39"/>
              <w:rPr>
                <w:sz w:val="26"/>
                <w:szCs w:val="26"/>
              </w:rPr>
            </w:pPr>
            <w:r w:rsidRPr="00893AB9">
              <w:rPr>
                <w:sz w:val="26"/>
                <w:szCs w:val="26"/>
              </w:rPr>
              <w:t>(2)澳洲留學</w:t>
            </w:r>
          </w:p>
        </w:tc>
        <w:tc>
          <w:tcPr>
            <w:tcW w:w="5584" w:type="dxa"/>
            <w:gridSpan w:val="2"/>
            <w:shd w:val="clear" w:color="auto" w:fill="auto"/>
          </w:tcPr>
          <w:p w:rsidR="0049577B" w:rsidRPr="00893AB9" w:rsidRDefault="0049577B" w:rsidP="000D26BB">
            <w:pPr>
              <w:pStyle w:val="afffffffa"/>
              <w:ind w:left="-39" w:right="-39"/>
              <w:rPr>
                <w:sz w:val="26"/>
                <w:szCs w:val="26"/>
              </w:rPr>
            </w:pPr>
            <w:r w:rsidRPr="00893AB9">
              <w:rPr>
                <w:sz w:val="26"/>
                <w:szCs w:val="26"/>
              </w:rPr>
              <w:sym w:font="Wingdings" w:char="F081"/>
            </w:r>
            <w:r w:rsidRPr="00893AB9">
              <w:rPr>
                <w:sz w:val="26"/>
                <w:szCs w:val="26"/>
              </w:rPr>
              <w:t>符合澳洲就讀資格</w:t>
            </w:r>
          </w:p>
          <w:p w:rsidR="0049577B" w:rsidRPr="00893AB9" w:rsidRDefault="0049577B" w:rsidP="000D26BB">
            <w:pPr>
              <w:pStyle w:val="afffffffa"/>
              <w:ind w:left="-39" w:right="-39"/>
              <w:rPr>
                <w:sz w:val="26"/>
                <w:szCs w:val="26"/>
              </w:rPr>
            </w:pPr>
            <w:r w:rsidRPr="00893AB9">
              <w:rPr>
                <w:sz w:val="26"/>
                <w:szCs w:val="26"/>
              </w:rPr>
              <w:sym w:font="Wingdings" w:char="F082"/>
            </w:r>
            <w:r w:rsidRPr="00893AB9">
              <w:rPr>
                <w:sz w:val="26"/>
                <w:szCs w:val="26"/>
              </w:rPr>
              <w:t>這段期間住在澳洲特定地居或人口低度成長之都市，並在該些地區校園修習課程</w:t>
            </w:r>
          </w:p>
          <w:p w:rsidR="0049577B" w:rsidRPr="00893AB9" w:rsidRDefault="0049577B" w:rsidP="000D26BB">
            <w:pPr>
              <w:pStyle w:val="afffffffa"/>
              <w:ind w:left="-39" w:right="-39"/>
              <w:rPr>
                <w:sz w:val="26"/>
                <w:szCs w:val="26"/>
              </w:rPr>
            </w:pPr>
            <w:r w:rsidRPr="00893AB9">
              <w:rPr>
                <w:sz w:val="26"/>
                <w:szCs w:val="26"/>
              </w:rPr>
              <w:sym w:font="Wingdings" w:char="F083"/>
            </w:r>
            <w:r w:rsidRPr="00893AB9">
              <w:rPr>
                <w:sz w:val="26"/>
                <w:szCs w:val="26"/>
              </w:rPr>
              <w:t>遠程教育並不納入</w:t>
            </w:r>
          </w:p>
        </w:tc>
        <w:tc>
          <w:tcPr>
            <w:tcW w:w="1134" w:type="dxa"/>
            <w:shd w:val="clear" w:color="auto" w:fill="auto"/>
          </w:tcPr>
          <w:p w:rsidR="0049577B" w:rsidRPr="00893AB9" w:rsidRDefault="0049577B" w:rsidP="00D45CFC">
            <w:pPr>
              <w:pStyle w:val="afffffffa"/>
              <w:ind w:left="-39" w:right="-39"/>
              <w:jc w:val="center"/>
              <w:rPr>
                <w:sz w:val="26"/>
                <w:szCs w:val="26"/>
              </w:rPr>
            </w:pPr>
            <w:r w:rsidRPr="00893AB9">
              <w:rPr>
                <w:sz w:val="26"/>
                <w:szCs w:val="26"/>
              </w:rPr>
              <w:t>5分</w:t>
            </w:r>
          </w:p>
        </w:tc>
      </w:tr>
      <w:tr w:rsidR="0049577B" w:rsidRPr="00B40DC1" w:rsidTr="00776F57">
        <w:trPr>
          <w:jc w:val="center"/>
        </w:trPr>
        <w:tc>
          <w:tcPr>
            <w:tcW w:w="1316" w:type="dxa"/>
            <w:vMerge/>
            <w:shd w:val="clear" w:color="auto" w:fill="auto"/>
          </w:tcPr>
          <w:p w:rsidR="0049577B" w:rsidRPr="00893AB9" w:rsidRDefault="0049577B" w:rsidP="000D26BB">
            <w:pPr>
              <w:pStyle w:val="afffffffa"/>
              <w:ind w:left="-39" w:right="-39"/>
              <w:rPr>
                <w:sz w:val="26"/>
                <w:szCs w:val="26"/>
              </w:rPr>
            </w:pPr>
          </w:p>
        </w:tc>
        <w:tc>
          <w:tcPr>
            <w:tcW w:w="1464" w:type="dxa"/>
            <w:gridSpan w:val="2"/>
            <w:shd w:val="clear" w:color="auto" w:fill="auto"/>
          </w:tcPr>
          <w:p w:rsidR="0049577B" w:rsidRPr="00893AB9" w:rsidRDefault="0049577B" w:rsidP="000D26BB">
            <w:pPr>
              <w:pStyle w:val="afffffffa"/>
              <w:ind w:left="-39" w:right="-39"/>
              <w:rPr>
                <w:sz w:val="26"/>
                <w:szCs w:val="26"/>
              </w:rPr>
            </w:pPr>
            <w:r w:rsidRPr="00893AB9">
              <w:rPr>
                <w:sz w:val="26"/>
                <w:szCs w:val="26"/>
              </w:rPr>
              <w:t>(3)配偶之技能</w:t>
            </w:r>
          </w:p>
        </w:tc>
        <w:tc>
          <w:tcPr>
            <w:tcW w:w="5584" w:type="dxa"/>
            <w:gridSpan w:val="2"/>
            <w:shd w:val="clear" w:color="auto" w:fill="auto"/>
          </w:tcPr>
          <w:p w:rsidR="0049577B" w:rsidRPr="00893AB9" w:rsidRDefault="0049577B" w:rsidP="000D26BB">
            <w:pPr>
              <w:pStyle w:val="afffffffa"/>
              <w:ind w:left="-39" w:right="-39"/>
              <w:rPr>
                <w:sz w:val="26"/>
                <w:szCs w:val="26"/>
              </w:rPr>
            </w:pPr>
            <w:r w:rsidRPr="00893AB9">
              <w:rPr>
                <w:sz w:val="26"/>
                <w:szCs w:val="26"/>
              </w:rPr>
              <w:sym w:font="Wingdings" w:char="F081"/>
            </w:r>
            <w:r w:rsidRPr="00893AB9">
              <w:rPr>
                <w:sz w:val="26"/>
                <w:szCs w:val="26"/>
              </w:rPr>
              <w:t>配偶必須亦提出該簽證申請。</w:t>
            </w:r>
          </w:p>
          <w:p w:rsidR="0049577B" w:rsidRPr="00893AB9" w:rsidRDefault="0049577B" w:rsidP="000D26BB">
            <w:pPr>
              <w:pStyle w:val="afffffffa"/>
              <w:ind w:left="-39" w:right="-39"/>
              <w:rPr>
                <w:sz w:val="26"/>
                <w:szCs w:val="26"/>
              </w:rPr>
            </w:pPr>
            <w:r w:rsidRPr="00893AB9">
              <w:rPr>
                <w:sz w:val="26"/>
                <w:szCs w:val="26"/>
              </w:rPr>
              <w:sym w:font="Wingdings" w:char="F082"/>
            </w:r>
            <w:r w:rsidRPr="00893AB9">
              <w:rPr>
                <w:sz w:val="26"/>
                <w:szCs w:val="26"/>
              </w:rPr>
              <w:t>配偶申請職業類別必須為提名職業相關技能。</w:t>
            </w:r>
          </w:p>
          <w:p w:rsidR="0049577B" w:rsidRPr="00893AB9" w:rsidRDefault="0049577B" w:rsidP="000D26BB">
            <w:pPr>
              <w:pStyle w:val="afffffffa"/>
              <w:ind w:left="-39" w:right="-39"/>
              <w:rPr>
                <w:sz w:val="26"/>
                <w:szCs w:val="26"/>
              </w:rPr>
            </w:pPr>
            <w:r w:rsidRPr="00893AB9">
              <w:rPr>
                <w:sz w:val="26"/>
                <w:szCs w:val="26"/>
              </w:rPr>
              <w:sym w:font="Wingdings" w:char="F083"/>
            </w:r>
            <w:r w:rsidRPr="00893AB9">
              <w:rPr>
                <w:sz w:val="26"/>
                <w:szCs w:val="26"/>
              </w:rPr>
              <w:t>配偶符合申請之「基本條件」，包括年齡(50歲以下)、英語程度(雅思聽說讀寫4項均6級分以上)。若申請者之配偶已是澳洲之永久居留者及公民時，該項分數則無法被承認。</w:t>
            </w:r>
          </w:p>
          <w:p w:rsidR="0049577B" w:rsidRPr="00893AB9" w:rsidRDefault="0049577B" w:rsidP="000D26BB">
            <w:pPr>
              <w:pStyle w:val="afffffffa"/>
              <w:ind w:left="-39" w:right="-39"/>
              <w:rPr>
                <w:sz w:val="26"/>
                <w:szCs w:val="26"/>
              </w:rPr>
            </w:pPr>
            <w:r w:rsidRPr="00893AB9">
              <w:rPr>
                <w:sz w:val="26"/>
                <w:szCs w:val="26"/>
              </w:rPr>
              <w:sym w:font="Wingdings" w:char="F084"/>
            </w:r>
            <w:r w:rsidRPr="00893AB9">
              <w:rPr>
                <w:sz w:val="26"/>
                <w:szCs w:val="26"/>
              </w:rPr>
              <w:t>為相關當局評定具有職業名單上所需之技能。</w:t>
            </w:r>
          </w:p>
        </w:tc>
        <w:tc>
          <w:tcPr>
            <w:tcW w:w="1134" w:type="dxa"/>
            <w:shd w:val="clear" w:color="auto" w:fill="auto"/>
          </w:tcPr>
          <w:p w:rsidR="0049577B" w:rsidRPr="00893AB9" w:rsidRDefault="0049577B" w:rsidP="00D45CFC">
            <w:pPr>
              <w:pStyle w:val="afffffffa"/>
              <w:ind w:left="-39" w:right="-39"/>
              <w:jc w:val="center"/>
              <w:rPr>
                <w:sz w:val="26"/>
                <w:szCs w:val="26"/>
              </w:rPr>
            </w:pPr>
            <w:r w:rsidRPr="00893AB9">
              <w:rPr>
                <w:sz w:val="26"/>
                <w:szCs w:val="26"/>
              </w:rPr>
              <w:t>5分</w:t>
            </w:r>
          </w:p>
        </w:tc>
      </w:tr>
      <w:tr w:rsidR="0049577B" w:rsidRPr="00B40DC1" w:rsidTr="00776F57">
        <w:trPr>
          <w:jc w:val="center"/>
        </w:trPr>
        <w:tc>
          <w:tcPr>
            <w:tcW w:w="1316" w:type="dxa"/>
            <w:vMerge/>
            <w:shd w:val="clear" w:color="auto" w:fill="auto"/>
          </w:tcPr>
          <w:p w:rsidR="0049577B" w:rsidRPr="00893AB9" w:rsidRDefault="0049577B" w:rsidP="000D26BB">
            <w:pPr>
              <w:pStyle w:val="afffffffa"/>
              <w:ind w:left="-39" w:right="-39"/>
              <w:rPr>
                <w:sz w:val="26"/>
                <w:szCs w:val="26"/>
              </w:rPr>
            </w:pPr>
          </w:p>
        </w:tc>
        <w:tc>
          <w:tcPr>
            <w:tcW w:w="1464" w:type="dxa"/>
            <w:gridSpan w:val="2"/>
            <w:shd w:val="clear" w:color="auto" w:fill="auto"/>
          </w:tcPr>
          <w:p w:rsidR="0049577B" w:rsidRPr="00893AB9" w:rsidRDefault="0049577B" w:rsidP="000D26BB">
            <w:pPr>
              <w:pStyle w:val="afffffffa"/>
              <w:ind w:left="-39" w:right="-39"/>
              <w:rPr>
                <w:sz w:val="26"/>
                <w:szCs w:val="26"/>
              </w:rPr>
            </w:pPr>
            <w:r w:rsidRPr="00893AB9">
              <w:rPr>
                <w:sz w:val="26"/>
                <w:szCs w:val="26"/>
              </w:rPr>
              <w:t>(4)在澳洲完成至少1年之專業課程</w:t>
            </w:r>
          </w:p>
        </w:tc>
        <w:tc>
          <w:tcPr>
            <w:tcW w:w="5584" w:type="dxa"/>
            <w:gridSpan w:val="2"/>
            <w:shd w:val="clear" w:color="auto" w:fill="auto"/>
          </w:tcPr>
          <w:p w:rsidR="0049577B" w:rsidRPr="00893AB9" w:rsidRDefault="0049577B" w:rsidP="000D26BB">
            <w:pPr>
              <w:pStyle w:val="afffffffa"/>
              <w:ind w:left="-39" w:right="-39"/>
              <w:rPr>
                <w:sz w:val="26"/>
                <w:szCs w:val="26"/>
              </w:rPr>
            </w:pPr>
            <w:r w:rsidRPr="00893AB9">
              <w:rPr>
                <w:sz w:val="26"/>
                <w:szCs w:val="26"/>
              </w:rPr>
              <w:t>在收到邀請信前，在澳洲之4年中，至少已完成12個月專業課程。該課程必須是由以下機構所提供：</w:t>
            </w:r>
          </w:p>
          <w:p w:rsidR="0049577B" w:rsidRPr="00893AB9" w:rsidRDefault="0049577B" w:rsidP="000D26BB">
            <w:pPr>
              <w:pStyle w:val="afffffffa"/>
              <w:ind w:left="-39" w:right="-39"/>
              <w:rPr>
                <w:sz w:val="26"/>
                <w:szCs w:val="26"/>
              </w:rPr>
            </w:pPr>
            <w:r w:rsidRPr="00893AB9">
              <w:rPr>
                <w:sz w:val="26"/>
                <w:szCs w:val="26"/>
              </w:rPr>
              <w:t>澳洲計算機協會</w:t>
            </w:r>
          </w:p>
          <w:p w:rsidR="0049577B" w:rsidRPr="00893AB9" w:rsidRDefault="0049577B" w:rsidP="000D26BB">
            <w:pPr>
              <w:pStyle w:val="afffffffa"/>
              <w:ind w:left="-39" w:right="-39"/>
              <w:rPr>
                <w:sz w:val="26"/>
                <w:szCs w:val="26"/>
              </w:rPr>
            </w:pPr>
            <w:r w:rsidRPr="00893AB9">
              <w:rPr>
                <w:sz w:val="26"/>
                <w:szCs w:val="26"/>
              </w:rPr>
              <w:t>澳洲會計師公會</w:t>
            </w:r>
          </w:p>
          <w:p w:rsidR="0049577B" w:rsidRPr="00893AB9" w:rsidRDefault="0049577B" w:rsidP="000D26BB">
            <w:pPr>
              <w:pStyle w:val="afffffffa"/>
              <w:ind w:left="-39" w:right="-39"/>
              <w:rPr>
                <w:sz w:val="26"/>
                <w:szCs w:val="26"/>
              </w:rPr>
            </w:pPr>
            <w:r w:rsidRPr="00893AB9">
              <w:rPr>
                <w:sz w:val="26"/>
                <w:szCs w:val="26"/>
              </w:rPr>
              <w:t>澳洲特許會計師協會</w:t>
            </w:r>
          </w:p>
          <w:p w:rsidR="0049577B" w:rsidRPr="00893AB9" w:rsidRDefault="0049577B" w:rsidP="000D26BB">
            <w:pPr>
              <w:pStyle w:val="afffffffa"/>
              <w:ind w:left="-39" w:right="-39"/>
              <w:rPr>
                <w:sz w:val="26"/>
                <w:szCs w:val="26"/>
              </w:rPr>
            </w:pPr>
            <w:r w:rsidRPr="00893AB9">
              <w:rPr>
                <w:sz w:val="26"/>
                <w:szCs w:val="26"/>
              </w:rPr>
              <w:t>公共會計師協會（原國家會計師協會）</w:t>
            </w:r>
          </w:p>
          <w:p w:rsidR="0049577B" w:rsidRPr="00893AB9" w:rsidRDefault="0049577B" w:rsidP="000D26BB">
            <w:pPr>
              <w:pStyle w:val="afffffffa"/>
              <w:ind w:left="-39" w:right="-39"/>
              <w:rPr>
                <w:sz w:val="26"/>
                <w:szCs w:val="26"/>
              </w:rPr>
            </w:pPr>
            <w:r w:rsidRPr="00893AB9">
              <w:rPr>
                <w:sz w:val="26"/>
                <w:szCs w:val="26"/>
              </w:rPr>
              <w:t>澳洲工程師</w:t>
            </w:r>
          </w:p>
        </w:tc>
        <w:tc>
          <w:tcPr>
            <w:tcW w:w="1134" w:type="dxa"/>
            <w:shd w:val="clear" w:color="auto" w:fill="auto"/>
          </w:tcPr>
          <w:p w:rsidR="0049577B" w:rsidRPr="00893AB9" w:rsidRDefault="0049577B" w:rsidP="00D45CFC">
            <w:pPr>
              <w:pStyle w:val="afffffffa"/>
              <w:ind w:left="-39" w:right="-39"/>
              <w:jc w:val="center"/>
              <w:rPr>
                <w:sz w:val="26"/>
                <w:szCs w:val="26"/>
              </w:rPr>
            </w:pPr>
          </w:p>
        </w:tc>
      </w:tr>
      <w:tr w:rsidR="0049577B" w:rsidRPr="00B40DC1" w:rsidTr="00776F57">
        <w:trPr>
          <w:jc w:val="center"/>
        </w:trPr>
        <w:tc>
          <w:tcPr>
            <w:tcW w:w="2780" w:type="dxa"/>
            <w:gridSpan w:val="3"/>
            <w:shd w:val="clear" w:color="auto" w:fill="auto"/>
          </w:tcPr>
          <w:p w:rsidR="0049577B" w:rsidRPr="00893AB9" w:rsidRDefault="0049577B" w:rsidP="00893AB9">
            <w:pPr>
              <w:pStyle w:val="afffffffa"/>
              <w:ind w:left="-39" w:right="-39"/>
              <w:jc w:val="left"/>
              <w:rPr>
                <w:sz w:val="26"/>
                <w:szCs w:val="26"/>
              </w:rPr>
            </w:pPr>
            <w:r w:rsidRPr="00893AB9">
              <w:rPr>
                <w:sz w:val="26"/>
                <w:szCs w:val="26"/>
              </w:rPr>
              <w:t>7、州政府或地方政府所提名職業。【提名技術</w:t>
            </w:r>
            <w:r w:rsidRPr="00893AB9">
              <w:rPr>
                <w:spacing w:val="-6"/>
                <w:sz w:val="26"/>
                <w:szCs w:val="26"/>
              </w:rPr>
              <w:t>簽證Skilled Nominated</w:t>
            </w:r>
            <w:r w:rsidRPr="00893AB9">
              <w:rPr>
                <w:sz w:val="26"/>
                <w:szCs w:val="26"/>
              </w:rPr>
              <w:t xml:space="preserve"> visa</w:t>
            </w:r>
            <w:r w:rsidR="003C1792" w:rsidRPr="00893AB9">
              <w:rPr>
                <w:sz w:val="26"/>
                <w:szCs w:val="26"/>
              </w:rPr>
              <w:t>(</w:t>
            </w:r>
            <w:r w:rsidRPr="00893AB9">
              <w:rPr>
                <w:sz w:val="26"/>
                <w:szCs w:val="26"/>
              </w:rPr>
              <w:t>簽證190)適用】</w:t>
            </w:r>
          </w:p>
        </w:tc>
        <w:tc>
          <w:tcPr>
            <w:tcW w:w="5584" w:type="dxa"/>
            <w:gridSpan w:val="2"/>
            <w:shd w:val="clear" w:color="auto" w:fill="auto"/>
          </w:tcPr>
          <w:p w:rsidR="0049577B" w:rsidRPr="00893AB9" w:rsidRDefault="0049577B" w:rsidP="000D26BB">
            <w:pPr>
              <w:pStyle w:val="afffffffa"/>
              <w:ind w:left="-39" w:right="-39"/>
              <w:rPr>
                <w:sz w:val="26"/>
                <w:szCs w:val="26"/>
              </w:rPr>
            </w:pPr>
            <w:r w:rsidRPr="00893AB9">
              <w:rPr>
                <w:sz w:val="26"/>
                <w:szCs w:val="26"/>
              </w:rPr>
              <w:t>申請者若符合州或地方政府所提名，可以獲得分數。</w:t>
            </w:r>
          </w:p>
        </w:tc>
        <w:tc>
          <w:tcPr>
            <w:tcW w:w="1134" w:type="dxa"/>
            <w:shd w:val="clear" w:color="auto" w:fill="auto"/>
          </w:tcPr>
          <w:p w:rsidR="0049577B" w:rsidRPr="00893AB9" w:rsidRDefault="0049577B" w:rsidP="00D45CFC">
            <w:pPr>
              <w:pStyle w:val="afffffffa"/>
              <w:ind w:left="-39" w:right="-39"/>
              <w:jc w:val="center"/>
              <w:rPr>
                <w:sz w:val="26"/>
                <w:szCs w:val="26"/>
              </w:rPr>
            </w:pPr>
            <w:r w:rsidRPr="00893AB9">
              <w:rPr>
                <w:sz w:val="26"/>
                <w:szCs w:val="26"/>
              </w:rPr>
              <w:t>5分</w:t>
            </w:r>
          </w:p>
        </w:tc>
      </w:tr>
      <w:tr w:rsidR="0049577B" w:rsidRPr="00B40DC1" w:rsidTr="00776F57">
        <w:trPr>
          <w:jc w:val="center"/>
        </w:trPr>
        <w:tc>
          <w:tcPr>
            <w:tcW w:w="9498" w:type="dxa"/>
            <w:gridSpan w:val="6"/>
            <w:shd w:val="clear" w:color="auto" w:fill="auto"/>
          </w:tcPr>
          <w:p w:rsidR="0049577B" w:rsidRPr="00893AB9" w:rsidRDefault="0049577B" w:rsidP="000D26BB">
            <w:pPr>
              <w:pStyle w:val="afffffffa"/>
              <w:ind w:left="-39" w:right="-39"/>
              <w:rPr>
                <w:sz w:val="26"/>
                <w:szCs w:val="26"/>
              </w:rPr>
            </w:pPr>
            <w:r w:rsidRPr="00893AB9">
              <w:rPr>
                <w:sz w:val="26"/>
                <w:szCs w:val="26"/>
              </w:rPr>
              <w:t>189及190工作簽證均為永久居留簽證，至少要得到60分以上始能提出申請</w:t>
            </w:r>
          </w:p>
        </w:tc>
      </w:tr>
    </w:tbl>
    <w:p w:rsidR="0049577B" w:rsidRDefault="00893AB9" w:rsidP="00893AB9">
      <w:r w:rsidRPr="00893AB9">
        <w:t>【資料來源】作者整理自澳洲移民局網站：</w:t>
      </w:r>
      <w:hyperlink r:id="rId281" w:history="1">
        <w:r w:rsidRPr="00893AB9">
          <w:rPr>
            <w:rStyle w:val="a7"/>
            <w:lang w:eastAsia="zh-TW"/>
          </w:rPr>
          <w:t>http://www.immi.gov.au/</w:t>
        </w:r>
      </w:hyperlink>
      <w:r w:rsidR="00D45CFC">
        <w:t xml:space="preserve"> </w:t>
      </w:r>
      <w:r w:rsidRPr="00D45CFC">
        <w:rPr>
          <w:rFonts w:ascii="Arial Unicode MS" w:eastAsia="新細明體" w:hAnsi="Arial Unicode MS"/>
          <w:color w:val="FF6600"/>
          <w:sz w:val="20"/>
        </w:rPr>
        <w:footnoteReference w:id="397"/>
      </w:r>
      <w:r w:rsidRPr="00893AB9">
        <w:t>。</w:t>
      </w:r>
    </w:p>
    <w:p w:rsidR="00321574" w:rsidRDefault="00321574" w:rsidP="00893AB9"/>
    <w:p w:rsidR="00D45CFC" w:rsidRPr="00D45CFC" w:rsidRDefault="005B648A" w:rsidP="00321574">
      <w:pPr>
        <w:jc w:val="right"/>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sz w:val="22"/>
        </w:rPr>
        <w:t>〉〉</w:t>
      </w:r>
    </w:p>
    <w:p w:rsidR="003C1792" w:rsidRDefault="0049577B" w:rsidP="002F19DE">
      <w:pPr>
        <w:pStyle w:val="2"/>
      </w:pPr>
      <w:bookmarkStart w:id="59" w:name="_陸、加拿大、紐西蘭與澳洲之評點制技術移民政策之比較"/>
      <w:bookmarkEnd w:id="59"/>
      <w:r w:rsidRPr="00B40DC1">
        <w:t xml:space="preserve">陸、加拿大、紐西蘭與澳洲之評點制技術移民政策之比較 </w:t>
      </w:r>
    </w:p>
    <w:p w:rsidR="0049577B" w:rsidRPr="00893AB9" w:rsidRDefault="0049577B" w:rsidP="00E159EC">
      <w:pPr>
        <w:pStyle w:val="3"/>
        <w:rPr>
          <w:lang w:eastAsia="zh-TW"/>
        </w:rPr>
      </w:pPr>
      <w:bookmarkStart w:id="60" w:name="_一、加拿大、紐西蘭及澳洲專技移民評點制之比較"/>
      <w:bookmarkEnd w:id="60"/>
      <w:r w:rsidRPr="00893AB9">
        <w:rPr>
          <w:lang w:eastAsia="zh-TW"/>
        </w:rPr>
        <w:t>一、加拿大、紐西蘭及澳洲專技移民評點制之比較</w:t>
      </w:r>
    </w:p>
    <w:p w:rsidR="0049577B" w:rsidRPr="00B40DC1" w:rsidRDefault="00893AB9" w:rsidP="000D26BB">
      <w:r>
        <w:t xml:space="preserve">　　</w:t>
      </w:r>
      <w:r w:rsidR="0049577B" w:rsidRPr="00B40DC1">
        <w:t>以加拿大、紐西蘭及澳洲之專技移民評點制項目，分別為申請者之年齡、教育程度、語言能力、境內及境外相關工作經驗、近親是否為該國永久居留居民或公民、在該國求學經驗、配偶是否符合一定條件、是否能成為該國永久居留之居民、申請技術移民之門檻等。</w:t>
      </w:r>
    </w:p>
    <w:p w:rsidR="0049577B" w:rsidRPr="00B40DC1" w:rsidRDefault="0049577B" w:rsidP="000D26BB"/>
    <w:p w:rsidR="0049577B" w:rsidRPr="00B40DC1" w:rsidRDefault="0049577B" w:rsidP="00EC0EE2">
      <w:pPr>
        <w:pStyle w:val="4"/>
        <w:rPr>
          <w:lang w:eastAsia="zh-TW"/>
        </w:rPr>
      </w:pPr>
      <w:r w:rsidRPr="00B40DC1">
        <w:rPr>
          <w:lang w:eastAsia="zh-TW"/>
        </w:rPr>
        <w:t>表6</w:t>
      </w:r>
      <w:r w:rsidR="00D162A0">
        <w:rPr>
          <w:rFonts w:ascii="新細明體" w:eastAsia="新細明體" w:hAnsi="新細明體" w:hint="eastAsia"/>
          <w:lang w:eastAsia="zh-TW"/>
        </w:rPr>
        <w:t>、</w:t>
      </w:r>
      <w:r w:rsidRPr="00B40DC1">
        <w:rPr>
          <w:lang w:eastAsia="zh-TW"/>
        </w:rPr>
        <w:t>加拿大、紐西蘭及澳洲技術移民「評點制」之比較</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87"/>
        <w:gridCol w:w="438"/>
        <w:gridCol w:w="2246"/>
        <w:gridCol w:w="2325"/>
        <w:gridCol w:w="2694"/>
      </w:tblGrid>
      <w:tr w:rsidR="009F490E" w:rsidRPr="009F490E" w:rsidTr="009F490E">
        <w:trPr>
          <w:tblHeader/>
          <w:jc w:val="center"/>
        </w:trPr>
        <w:tc>
          <w:tcPr>
            <w:tcW w:w="1987" w:type="dxa"/>
            <w:tcBorders>
              <w:top w:val="single" w:sz="8" w:space="0" w:color="auto"/>
              <w:bottom w:val="single" w:sz="4" w:space="0" w:color="auto"/>
            </w:tcBorders>
            <w:shd w:val="clear" w:color="auto" w:fill="FAF0FA"/>
          </w:tcPr>
          <w:p w:rsidR="0049577B" w:rsidRPr="009F490E" w:rsidRDefault="0049577B" w:rsidP="009F490E">
            <w:pPr>
              <w:pStyle w:val="afffffffa"/>
              <w:ind w:left="-39" w:right="-39"/>
              <w:jc w:val="center"/>
              <w:rPr>
                <w:sz w:val="26"/>
                <w:szCs w:val="26"/>
              </w:rPr>
            </w:pPr>
            <w:r w:rsidRPr="009F490E">
              <w:rPr>
                <w:sz w:val="26"/>
                <w:szCs w:val="26"/>
              </w:rPr>
              <w:t>項目/國家</w:t>
            </w:r>
          </w:p>
        </w:tc>
        <w:tc>
          <w:tcPr>
            <w:tcW w:w="2482" w:type="dxa"/>
            <w:gridSpan w:val="2"/>
            <w:tcBorders>
              <w:top w:val="single" w:sz="8" w:space="0" w:color="auto"/>
              <w:bottom w:val="single" w:sz="4" w:space="0" w:color="auto"/>
            </w:tcBorders>
            <w:shd w:val="clear" w:color="auto" w:fill="FAF0FA"/>
          </w:tcPr>
          <w:p w:rsidR="0049577B" w:rsidRPr="009F490E" w:rsidRDefault="0049577B" w:rsidP="009F490E">
            <w:pPr>
              <w:pStyle w:val="afffffffa"/>
              <w:ind w:left="-39" w:right="-39"/>
              <w:jc w:val="center"/>
              <w:rPr>
                <w:sz w:val="26"/>
                <w:szCs w:val="26"/>
              </w:rPr>
            </w:pPr>
            <w:r w:rsidRPr="009F490E">
              <w:rPr>
                <w:sz w:val="26"/>
                <w:szCs w:val="26"/>
              </w:rPr>
              <w:t>加拿大</w:t>
            </w:r>
          </w:p>
        </w:tc>
        <w:tc>
          <w:tcPr>
            <w:tcW w:w="2325" w:type="dxa"/>
            <w:tcBorders>
              <w:top w:val="single" w:sz="8" w:space="0" w:color="auto"/>
              <w:bottom w:val="single" w:sz="4" w:space="0" w:color="auto"/>
            </w:tcBorders>
            <w:shd w:val="clear" w:color="auto" w:fill="FAF0FA"/>
          </w:tcPr>
          <w:p w:rsidR="0049577B" w:rsidRPr="009F490E" w:rsidRDefault="0049577B" w:rsidP="009F490E">
            <w:pPr>
              <w:pStyle w:val="afffffffa"/>
              <w:ind w:left="-39" w:right="-39"/>
              <w:jc w:val="center"/>
              <w:rPr>
                <w:sz w:val="26"/>
                <w:szCs w:val="26"/>
              </w:rPr>
            </w:pPr>
            <w:r w:rsidRPr="009F490E">
              <w:rPr>
                <w:sz w:val="26"/>
                <w:szCs w:val="26"/>
              </w:rPr>
              <w:t>紐西蘭</w:t>
            </w:r>
          </w:p>
        </w:tc>
        <w:tc>
          <w:tcPr>
            <w:tcW w:w="2694" w:type="dxa"/>
            <w:tcBorders>
              <w:top w:val="single" w:sz="8" w:space="0" w:color="auto"/>
              <w:bottom w:val="single" w:sz="4" w:space="0" w:color="auto"/>
            </w:tcBorders>
            <w:shd w:val="clear" w:color="auto" w:fill="FAF0FA"/>
          </w:tcPr>
          <w:p w:rsidR="0049577B" w:rsidRPr="009F490E" w:rsidRDefault="0049577B" w:rsidP="009F490E">
            <w:pPr>
              <w:pStyle w:val="afffffffa"/>
              <w:ind w:left="-39" w:right="-39"/>
              <w:jc w:val="center"/>
              <w:rPr>
                <w:sz w:val="26"/>
                <w:szCs w:val="26"/>
              </w:rPr>
            </w:pPr>
            <w:r w:rsidRPr="009F490E">
              <w:rPr>
                <w:sz w:val="26"/>
                <w:szCs w:val="26"/>
              </w:rPr>
              <w:t>澳洲</w:t>
            </w:r>
          </w:p>
        </w:tc>
      </w:tr>
      <w:tr w:rsidR="0049577B" w:rsidRPr="00B40DC1" w:rsidTr="009F490E">
        <w:trPr>
          <w:jc w:val="center"/>
        </w:trPr>
        <w:tc>
          <w:tcPr>
            <w:tcW w:w="1987" w:type="dxa"/>
            <w:tcBorders>
              <w:top w:val="single" w:sz="4" w:space="0" w:color="auto"/>
            </w:tcBorders>
            <w:shd w:val="clear" w:color="auto" w:fill="auto"/>
          </w:tcPr>
          <w:p w:rsidR="0049577B" w:rsidRPr="00D45CFC" w:rsidRDefault="0049577B" w:rsidP="000D26BB">
            <w:pPr>
              <w:pStyle w:val="afffffffa"/>
              <w:ind w:left="-39" w:right="-39"/>
              <w:rPr>
                <w:sz w:val="26"/>
                <w:szCs w:val="26"/>
              </w:rPr>
            </w:pPr>
            <w:r w:rsidRPr="00D45CFC">
              <w:rPr>
                <w:sz w:val="26"/>
                <w:szCs w:val="26"/>
              </w:rPr>
              <w:t>技術移民類型</w:t>
            </w:r>
          </w:p>
        </w:tc>
        <w:tc>
          <w:tcPr>
            <w:tcW w:w="2482" w:type="dxa"/>
            <w:gridSpan w:val="2"/>
            <w:tcBorders>
              <w:top w:val="single" w:sz="4" w:space="0" w:color="auto"/>
            </w:tcBorders>
            <w:shd w:val="clear" w:color="auto" w:fill="auto"/>
          </w:tcPr>
          <w:p w:rsidR="0049577B" w:rsidRPr="00D45CFC" w:rsidRDefault="0049577B" w:rsidP="000D26BB">
            <w:pPr>
              <w:pStyle w:val="afffffffa"/>
              <w:ind w:left="-39" w:right="-39"/>
              <w:rPr>
                <w:sz w:val="26"/>
                <w:szCs w:val="26"/>
              </w:rPr>
            </w:pPr>
            <w:r w:rsidRPr="00D45CFC">
              <w:rPr>
                <w:sz w:val="26"/>
                <w:szCs w:val="26"/>
              </w:rPr>
              <w:t>Federal skilled workers(FSW)</w:t>
            </w:r>
          </w:p>
          <w:p w:rsidR="0049577B" w:rsidRPr="00D45CFC" w:rsidRDefault="0049577B" w:rsidP="000D26BB">
            <w:pPr>
              <w:pStyle w:val="afffffffa"/>
              <w:ind w:left="-39" w:right="-39"/>
              <w:rPr>
                <w:sz w:val="26"/>
                <w:szCs w:val="26"/>
              </w:rPr>
            </w:pPr>
            <w:r w:rsidRPr="00D45CFC">
              <w:rPr>
                <w:sz w:val="26"/>
                <w:szCs w:val="26"/>
              </w:rPr>
              <w:t>聯邦技術工作者</w:t>
            </w:r>
          </w:p>
        </w:tc>
        <w:tc>
          <w:tcPr>
            <w:tcW w:w="2325" w:type="dxa"/>
            <w:tcBorders>
              <w:top w:val="single" w:sz="4" w:space="0" w:color="auto"/>
            </w:tcBorders>
            <w:shd w:val="clear" w:color="auto" w:fill="auto"/>
          </w:tcPr>
          <w:p w:rsidR="0049577B" w:rsidRPr="00D45CFC" w:rsidRDefault="0049577B" w:rsidP="000D26BB">
            <w:pPr>
              <w:pStyle w:val="afffffffa"/>
              <w:ind w:left="-39" w:right="-39"/>
              <w:rPr>
                <w:sz w:val="26"/>
                <w:szCs w:val="26"/>
              </w:rPr>
            </w:pPr>
            <w:r w:rsidRPr="00D45CFC">
              <w:rPr>
                <w:sz w:val="26"/>
                <w:szCs w:val="26"/>
              </w:rPr>
              <w:t>Skilled Migrant Category(SMC)</w:t>
            </w:r>
          </w:p>
          <w:p w:rsidR="0049577B" w:rsidRPr="00D45CFC" w:rsidRDefault="0049577B" w:rsidP="000D26BB">
            <w:pPr>
              <w:pStyle w:val="afffffffa"/>
              <w:ind w:left="-39" w:right="-39"/>
              <w:rPr>
                <w:sz w:val="26"/>
                <w:szCs w:val="26"/>
              </w:rPr>
            </w:pPr>
            <w:r w:rsidRPr="00D45CFC">
              <w:rPr>
                <w:sz w:val="26"/>
                <w:szCs w:val="26"/>
              </w:rPr>
              <w:t>技術移民簽證</w:t>
            </w:r>
          </w:p>
        </w:tc>
        <w:tc>
          <w:tcPr>
            <w:tcW w:w="2694" w:type="dxa"/>
            <w:tcBorders>
              <w:top w:val="single" w:sz="4" w:space="0" w:color="auto"/>
              <w:bottom w:val="single" w:sz="4" w:space="0" w:color="auto"/>
            </w:tcBorders>
            <w:shd w:val="clear" w:color="auto" w:fill="auto"/>
          </w:tcPr>
          <w:p w:rsidR="0049577B" w:rsidRPr="00D45CFC" w:rsidRDefault="0049577B" w:rsidP="000D26BB">
            <w:pPr>
              <w:pStyle w:val="afffffffa"/>
              <w:ind w:left="-39" w:right="-39"/>
              <w:rPr>
                <w:sz w:val="26"/>
                <w:szCs w:val="26"/>
              </w:rPr>
            </w:pPr>
            <w:r w:rsidRPr="00D45CFC">
              <w:rPr>
                <w:sz w:val="26"/>
                <w:szCs w:val="26"/>
              </w:rPr>
              <w:t>Skilled Independent Migrant獨立技術移民(189簽證)</w:t>
            </w:r>
          </w:p>
          <w:p w:rsidR="0049577B" w:rsidRPr="00D45CFC" w:rsidRDefault="0049577B" w:rsidP="000D26BB">
            <w:pPr>
              <w:pStyle w:val="afffffffa"/>
              <w:ind w:left="-39" w:right="-39"/>
              <w:rPr>
                <w:sz w:val="26"/>
                <w:szCs w:val="26"/>
              </w:rPr>
            </w:pPr>
            <w:r w:rsidRPr="00D45CFC">
              <w:rPr>
                <w:sz w:val="26"/>
                <w:szCs w:val="26"/>
              </w:rPr>
              <w:t>Skilled Nominated Migrant州政府或地方政府擔保之技術移民(190簽證)</w:t>
            </w:r>
          </w:p>
        </w:tc>
      </w:tr>
      <w:tr w:rsidR="0049577B" w:rsidRPr="00B40DC1" w:rsidTr="009F490E">
        <w:trPr>
          <w:jc w:val="center"/>
        </w:trPr>
        <w:tc>
          <w:tcPr>
            <w:tcW w:w="1987" w:type="dxa"/>
            <w:shd w:val="clear" w:color="auto" w:fill="auto"/>
          </w:tcPr>
          <w:p w:rsidR="0049577B" w:rsidRPr="00D45CFC" w:rsidRDefault="0049577B" w:rsidP="000D26BB">
            <w:pPr>
              <w:pStyle w:val="afffffffa"/>
              <w:ind w:left="-39" w:right="-39"/>
              <w:rPr>
                <w:sz w:val="26"/>
                <w:szCs w:val="26"/>
              </w:rPr>
            </w:pPr>
            <w:r w:rsidRPr="00D45CFC">
              <w:rPr>
                <w:sz w:val="26"/>
                <w:szCs w:val="26"/>
              </w:rPr>
              <w:t>1、年齡要求</w:t>
            </w:r>
          </w:p>
        </w:tc>
        <w:tc>
          <w:tcPr>
            <w:tcW w:w="2482" w:type="dxa"/>
            <w:gridSpan w:val="2"/>
            <w:shd w:val="clear" w:color="auto" w:fill="auto"/>
          </w:tcPr>
          <w:p w:rsidR="0049577B" w:rsidRPr="00D45CFC" w:rsidRDefault="0049577B" w:rsidP="000D26BB">
            <w:pPr>
              <w:pStyle w:val="afffffffa"/>
              <w:ind w:left="-39" w:right="-39"/>
              <w:rPr>
                <w:sz w:val="26"/>
                <w:szCs w:val="26"/>
              </w:rPr>
            </w:pPr>
            <w:r w:rsidRPr="00D45CFC">
              <w:rPr>
                <w:sz w:val="26"/>
                <w:szCs w:val="26"/>
              </w:rPr>
              <w:t>未限制申請者年齡，但僅有18至46歲申請者可獲得分數。18至35歲可得滿分12分。</w:t>
            </w:r>
            <w:r w:rsidRPr="00776F57">
              <w:rPr>
                <w:rStyle w:val="af7"/>
                <w:rFonts w:eastAsia="新細明體"/>
                <w:sz w:val="20"/>
              </w:rPr>
              <w:footnoteReference w:id="398"/>
            </w:r>
          </w:p>
        </w:tc>
        <w:tc>
          <w:tcPr>
            <w:tcW w:w="2325" w:type="dxa"/>
            <w:shd w:val="clear" w:color="auto" w:fill="auto"/>
          </w:tcPr>
          <w:p w:rsidR="0049577B" w:rsidRPr="00D45CFC" w:rsidRDefault="0049577B" w:rsidP="000D26BB">
            <w:pPr>
              <w:pStyle w:val="afffffffa"/>
              <w:ind w:left="-39" w:right="-39"/>
              <w:rPr>
                <w:sz w:val="26"/>
                <w:szCs w:val="26"/>
              </w:rPr>
            </w:pPr>
            <w:r w:rsidRPr="00D45CFC">
              <w:rPr>
                <w:sz w:val="26"/>
                <w:szCs w:val="26"/>
              </w:rPr>
              <w:t>僅有20至55歲申請者能提出申請。20至29歲可得滿分30分。</w:t>
            </w:r>
          </w:p>
        </w:tc>
        <w:tc>
          <w:tcPr>
            <w:tcW w:w="2694" w:type="dxa"/>
            <w:tcBorders>
              <w:top w:val="single" w:sz="4" w:space="0" w:color="auto"/>
            </w:tcBorders>
            <w:shd w:val="clear" w:color="auto" w:fill="auto"/>
          </w:tcPr>
          <w:p w:rsidR="0049577B" w:rsidRPr="00D45CFC" w:rsidRDefault="0049577B" w:rsidP="000D26BB">
            <w:pPr>
              <w:pStyle w:val="afffffffa"/>
              <w:ind w:left="-39" w:right="-39"/>
              <w:rPr>
                <w:sz w:val="26"/>
                <w:szCs w:val="26"/>
              </w:rPr>
            </w:pPr>
            <w:r w:rsidRPr="00D45CFC">
              <w:rPr>
                <w:sz w:val="26"/>
                <w:szCs w:val="26"/>
              </w:rPr>
              <w:t>僅有18至49歲申請者可提出申請。25至32歲可得滿分30分，另45-49歲為0分。</w:t>
            </w:r>
          </w:p>
        </w:tc>
      </w:tr>
      <w:tr w:rsidR="0049577B" w:rsidRPr="00B40DC1" w:rsidTr="009F490E">
        <w:trPr>
          <w:jc w:val="center"/>
        </w:trPr>
        <w:tc>
          <w:tcPr>
            <w:tcW w:w="1987" w:type="dxa"/>
            <w:shd w:val="clear" w:color="auto" w:fill="auto"/>
          </w:tcPr>
          <w:p w:rsidR="0049577B" w:rsidRPr="00D45CFC" w:rsidRDefault="0049577B" w:rsidP="000D26BB">
            <w:pPr>
              <w:pStyle w:val="afffffffa"/>
              <w:ind w:left="-39" w:right="-39"/>
              <w:rPr>
                <w:sz w:val="26"/>
                <w:szCs w:val="26"/>
              </w:rPr>
            </w:pPr>
            <w:r w:rsidRPr="00D45CFC">
              <w:rPr>
                <w:sz w:val="26"/>
                <w:szCs w:val="26"/>
              </w:rPr>
              <w:t>2、教育程度要求</w:t>
            </w:r>
          </w:p>
        </w:tc>
        <w:tc>
          <w:tcPr>
            <w:tcW w:w="2482" w:type="dxa"/>
            <w:gridSpan w:val="2"/>
            <w:shd w:val="clear" w:color="auto" w:fill="auto"/>
          </w:tcPr>
          <w:p w:rsidR="0049577B" w:rsidRPr="00D45CFC" w:rsidRDefault="0049577B" w:rsidP="000D26BB">
            <w:pPr>
              <w:pStyle w:val="afffffffa"/>
              <w:ind w:left="-39" w:right="-39"/>
              <w:rPr>
                <w:sz w:val="26"/>
                <w:szCs w:val="26"/>
              </w:rPr>
            </w:pPr>
            <w:r w:rsidRPr="00D45CFC">
              <w:rPr>
                <w:sz w:val="26"/>
                <w:szCs w:val="26"/>
              </w:rPr>
              <w:t>高中畢業程度至碩博士學位</w:t>
            </w:r>
          </w:p>
        </w:tc>
        <w:tc>
          <w:tcPr>
            <w:tcW w:w="2325" w:type="dxa"/>
            <w:shd w:val="clear" w:color="auto" w:fill="auto"/>
          </w:tcPr>
          <w:p w:rsidR="0049577B" w:rsidRPr="00D45CFC" w:rsidRDefault="0049577B" w:rsidP="000D26BB">
            <w:pPr>
              <w:pStyle w:val="afffffffa"/>
              <w:ind w:left="-39" w:right="-39"/>
              <w:rPr>
                <w:sz w:val="26"/>
                <w:szCs w:val="26"/>
              </w:rPr>
            </w:pPr>
            <w:r w:rsidRPr="00D45CFC">
              <w:rPr>
                <w:sz w:val="26"/>
                <w:szCs w:val="26"/>
              </w:rPr>
              <w:t>4(技術資格</w:t>
            </w:r>
            <w:r w:rsidR="00587200">
              <w:rPr>
                <w:sz w:val="26"/>
                <w:szCs w:val="26"/>
              </w:rPr>
              <w:t>)</w:t>
            </w:r>
            <w:r w:rsidRPr="00D45CFC">
              <w:rPr>
                <w:sz w:val="26"/>
                <w:szCs w:val="26"/>
              </w:rPr>
              <w:t>-10(博士學位)級學歷</w:t>
            </w:r>
          </w:p>
        </w:tc>
        <w:tc>
          <w:tcPr>
            <w:tcW w:w="2694" w:type="dxa"/>
            <w:shd w:val="clear" w:color="auto" w:fill="auto"/>
          </w:tcPr>
          <w:p w:rsidR="0049577B" w:rsidRPr="00D45CFC" w:rsidRDefault="0049577B" w:rsidP="000D26BB">
            <w:pPr>
              <w:pStyle w:val="afffffffa"/>
              <w:ind w:left="-39" w:right="-39"/>
              <w:rPr>
                <w:sz w:val="26"/>
                <w:szCs w:val="26"/>
              </w:rPr>
            </w:pPr>
            <w:r w:rsidRPr="00D45CFC">
              <w:rPr>
                <w:sz w:val="26"/>
                <w:szCs w:val="26"/>
              </w:rPr>
              <w:t>澳洲官方所認可之境外及境內學徒學歷、學士至博士學位</w:t>
            </w:r>
          </w:p>
        </w:tc>
      </w:tr>
      <w:tr w:rsidR="0049577B" w:rsidRPr="00B40DC1" w:rsidTr="009F490E">
        <w:trPr>
          <w:jc w:val="center"/>
        </w:trPr>
        <w:tc>
          <w:tcPr>
            <w:tcW w:w="1987" w:type="dxa"/>
            <w:shd w:val="clear" w:color="auto" w:fill="auto"/>
          </w:tcPr>
          <w:p w:rsidR="0049577B" w:rsidRPr="00D45CFC" w:rsidRDefault="0049577B" w:rsidP="000D26BB">
            <w:pPr>
              <w:pStyle w:val="afffffffa"/>
              <w:ind w:left="-39" w:right="-39"/>
              <w:rPr>
                <w:sz w:val="26"/>
                <w:szCs w:val="26"/>
              </w:rPr>
            </w:pPr>
            <w:r w:rsidRPr="00D45CFC">
              <w:rPr>
                <w:sz w:val="26"/>
                <w:szCs w:val="26"/>
              </w:rPr>
              <w:t>3、語言能力要求</w:t>
            </w:r>
          </w:p>
        </w:tc>
        <w:tc>
          <w:tcPr>
            <w:tcW w:w="2482" w:type="dxa"/>
            <w:gridSpan w:val="2"/>
            <w:shd w:val="clear" w:color="auto" w:fill="auto"/>
          </w:tcPr>
          <w:p w:rsidR="0049577B" w:rsidRPr="00D45CFC" w:rsidRDefault="0049577B" w:rsidP="000D26BB">
            <w:pPr>
              <w:pStyle w:val="afffffffa"/>
              <w:ind w:left="-39" w:right="-39"/>
              <w:rPr>
                <w:sz w:val="26"/>
                <w:szCs w:val="26"/>
              </w:rPr>
            </w:pPr>
            <w:r w:rsidRPr="00D45CFC">
              <w:rPr>
                <w:sz w:val="26"/>
                <w:szCs w:val="26"/>
              </w:rPr>
              <w:t>雅思IELTS 6-9級</w:t>
            </w:r>
          </w:p>
        </w:tc>
        <w:tc>
          <w:tcPr>
            <w:tcW w:w="2325" w:type="dxa"/>
            <w:shd w:val="clear" w:color="auto" w:fill="auto"/>
          </w:tcPr>
          <w:p w:rsidR="0049577B" w:rsidRPr="00D45CFC" w:rsidRDefault="0049577B" w:rsidP="000D26BB">
            <w:pPr>
              <w:pStyle w:val="afffffffa"/>
              <w:ind w:left="-39" w:right="-39"/>
              <w:rPr>
                <w:sz w:val="26"/>
                <w:szCs w:val="26"/>
              </w:rPr>
            </w:pPr>
            <w:r w:rsidRPr="00D45CFC">
              <w:rPr>
                <w:sz w:val="26"/>
                <w:szCs w:val="26"/>
              </w:rPr>
              <w:t>雅思IELTS 6.5級以上</w:t>
            </w:r>
          </w:p>
        </w:tc>
        <w:tc>
          <w:tcPr>
            <w:tcW w:w="2694" w:type="dxa"/>
            <w:shd w:val="clear" w:color="auto" w:fill="auto"/>
          </w:tcPr>
          <w:p w:rsidR="0049577B" w:rsidRPr="00D45CFC" w:rsidRDefault="0049577B" w:rsidP="000D26BB">
            <w:pPr>
              <w:pStyle w:val="afffffffa"/>
              <w:ind w:left="-39" w:right="-39"/>
              <w:rPr>
                <w:sz w:val="26"/>
                <w:szCs w:val="26"/>
              </w:rPr>
            </w:pPr>
            <w:r w:rsidRPr="00D45CFC">
              <w:rPr>
                <w:sz w:val="26"/>
                <w:szCs w:val="26"/>
              </w:rPr>
              <w:t>雅思IELTS 7級以上，6級為0分，但仍可申請工作簽證</w:t>
            </w:r>
          </w:p>
        </w:tc>
      </w:tr>
      <w:tr w:rsidR="0049577B" w:rsidRPr="00B40DC1" w:rsidTr="009F490E">
        <w:trPr>
          <w:jc w:val="center"/>
        </w:trPr>
        <w:tc>
          <w:tcPr>
            <w:tcW w:w="1987" w:type="dxa"/>
            <w:vMerge w:val="restart"/>
            <w:shd w:val="clear" w:color="auto" w:fill="auto"/>
          </w:tcPr>
          <w:p w:rsidR="0049577B" w:rsidRPr="00D45CFC" w:rsidRDefault="0049577B" w:rsidP="000D26BB">
            <w:pPr>
              <w:pStyle w:val="afffffffa"/>
              <w:ind w:left="-39" w:right="-39"/>
              <w:rPr>
                <w:sz w:val="26"/>
                <w:szCs w:val="26"/>
              </w:rPr>
            </w:pPr>
            <w:r w:rsidRPr="00D45CFC">
              <w:rPr>
                <w:sz w:val="26"/>
                <w:szCs w:val="26"/>
              </w:rPr>
              <w:t>4、工作經驗可加分</w:t>
            </w:r>
          </w:p>
        </w:tc>
        <w:tc>
          <w:tcPr>
            <w:tcW w:w="236" w:type="dxa"/>
            <w:shd w:val="clear" w:color="auto" w:fill="auto"/>
          </w:tcPr>
          <w:p w:rsidR="0049577B" w:rsidRPr="00D45CFC" w:rsidRDefault="0049577B" w:rsidP="000D26BB">
            <w:pPr>
              <w:pStyle w:val="afffffffa"/>
              <w:ind w:left="-39" w:right="-39"/>
              <w:rPr>
                <w:sz w:val="26"/>
                <w:szCs w:val="26"/>
              </w:rPr>
            </w:pPr>
            <w:r w:rsidRPr="00D45CFC">
              <w:rPr>
                <w:sz w:val="26"/>
                <w:szCs w:val="26"/>
              </w:rPr>
              <w:t>境外工作</w:t>
            </w:r>
          </w:p>
        </w:tc>
        <w:tc>
          <w:tcPr>
            <w:tcW w:w="2246" w:type="dxa"/>
            <w:shd w:val="clear" w:color="auto" w:fill="auto"/>
          </w:tcPr>
          <w:p w:rsidR="0049577B" w:rsidRPr="00D45CFC" w:rsidRDefault="0049577B" w:rsidP="000D26BB">
            <w:pPr>
              <w:pStyle w:val="afffffffa"/>
              <w:ind w:left="-39" w:right="-39"/>
              <w:rPr>
                <w:sz w:val="26"/>
                <w:szCs w:val="26"/>
              </w:rPr>
            </w:pPr>
            <w:r w:rsidRPr="00D45CFC">
              <w:rPr>
                <w:sz w:val="26"/>
                <w:szCs w:val="26"/>
              </w:rPr>
              <w:t>無特別計分</w:t>
            </w:r>
          </w:p>
        </w:tc>
        <w:tc>
          <w:tcPr>
            <w:tcW w:w="2325" w:type="dxa"/>
            <w:shd w:val="clear" w:color="auto" w:fill="auto"/>
          </w:tcPr>
          <w:p w:rsidR="0049577B" w:rsidRPr="00D45CFC" w:rsidRDefault="0049577B" w:rsidP="000D26BB">
            <w:pPr>
              <w:pStyle w:val="afffffffa"/>
              <w:ind w:left="-39" w:right="-39"/>
              <w:rPr>
                <w:sz w:val="26"/>
                <w:szCs w:val="26"/>
              </w:rPr>
            </w:pPr>
            <w:r w:rsidRPr="00D45CFC">
              <w:rPr>
                <w:sz w:val="26"/>
                <w:szCs w:val="26"/>
              </w:rPr>
              <w:t>2-10年有計分</w:t>
            </w:r>
          </w:p>
        </w:tc>
        <w:tc>
          <w:tcPr>
            <w:tcW w:w="2694" w:type="dxa"/>
            <w:shd w:val="clear" w:color="auto" w:fill="auto"/>
          </w:tcPr>
          <w:p w:rsidR="0049577B" w:rsidRPr="00D45CFC" w:rsidRDefault="0049577B" w:rsidP="000D26BB">
            <w:pPr>
              <w:pStyle w:val="afffffffa"/>
              <w:ind w:left="-39" w:right="-39"/>
              <w:rPr>
                <w:sz w:val="26"/>
                <w:szCs w:val="26"/>
              </w:rPr>
            </w:pPr>
            <w:r w:rsidRPr="00D45CFC">
              <w:rPr>
                <w:sz w:val="26"/>
                <w:szCs w:val="26"/>
              </w:rPr>
              <w:t>10年內3-8年有計分</w:t>
            </w:r>
          </w:p>
        </w:tc>
      </w:tr>
      <w:tr w:rsidR="0049577B" w:rsidRPr="00B40DC1" w:rsidTr="009F490E">
        <w:trPr>
          <w:jc w:val="center"/>
        </w:trPr>
        <w:tc>
          <w:tcPr>
            <w:tcW w:w="1987" w:type="dxa"/>
            <w:vMerge/>
            <w:shd w:val="clear" w:color="auto" w:fill="auto"/>
          </w:tcPr>
          <w:p w:rsidR="0049577B" w:rsidRPr="00D45CFC" w:rsidRDefault="0049577B" w:rsidP="000D26BB">
            <w:pPr>
              <w:pStyle w:val="afffffffa"/>
              <w:ind w:left="-39" w:right="-39"/>
              <w:rPr>
                <w:sz w:val="26"/>
                <w:szCs w:val="26"/>
              </w:rPr>
            </w:pPr>
          </w:p>
        </w:tc>
        <w:tc>
          <w:tcPr>
            <w:tcW w:w="236" w:type="dxa"/>
            <w:shd w:val="clear" w:color="auto" w:fill="auto"/>
          </w:tcPr>
          <w:p w:rsidR="0049577B" w:rsidRPr="00D45CFC" w:rsidRDefault="0049577B" w:rsidP="000D26BB">
            <w:pPr>
              <w:pStyle w:val="afffffffa"/>
              <w:ind w:left="-39" w:right="-39"/>
              <w:rPr>
                <w:sz w:val="26"/>
                <w:szCs w:val="26"/>
              </w:rPr>
            </w:pPr>
            <w:r w:rsidRPr="00D45CFC">
              <w:rPr>
                <w:sz w:val="26"/>
                <w:szCs w:val="26"/>
              </w:rPr>
              <w:t>境內工作</w:t>
            </w:r>
          </w:p>
        </w:tc>
        <w:tc>
          <w:tcPr>
            <w:tcW w:w="2246" w:type="dxa"/>
            <w:shd w:val="clear" w:color="auto" w:fill="auto"/>
          </w:tcPr>
          <w:p w:rsidR="0049577B" w:rsidRPr="00D45CFC" w:rsidRDefault="0049577B" w:rsidP="000D26BB">
            <w:pPr>
              <w:pStyle w:val="afffffffa"/>
              <w:ind w:left="-39" w:right="-39"/>
              <w:rPr>
                <w:sz w:val="26"/>
                <w:szCs w:val="26"/>
              </w:rPr>
            </w:pPr>
            <w:r w:rsidRPr="00D45CFC">
              <w:rPr>
                <w:sz w:val="26"/>
                <w:szCs w:val="26"/>
              </w:rPr>
              <w:t>1-6年有計分</w:t>
            </w:r>
          </w:p>
        </w:tc>
        <w:tc>
          <w:tcPr>
            <w:tcW w:w="2325" w:type="dxa"/>
            <w:shd w:val="clear" w:color="auto" w:fill="auto"/>
          </w:tcPr>
          <w:p w:rsidR="0049577B" w:rsidRPr="00D45CFC" w:rsidRDefault="0049577B" w:rsidP="000D26BB">
            <w:pPr>
              <w:pStyle w:val="afffffffa"/>
              <w:ind w:left="-39" w:right="-39"/>
              <w:rPr>
                <w:sz w:val="26"/>
                <w:szCs w:val="26"/>
              </w:rPr>
            </w:pPr>
            <w:r w:rsidRPr="00D45CFC">
              <w:rPr>
                <w:sz w:val="26"/>
                <w:szCs w:val="26"/>
              </w:rPr>
              <w:t>1-3年可加分</w:t>
            </w:r>
          </w:p>
        </w:tc>
        <w:tc>
          <w:tcPr>
            <w:tcW w:w="2694" w:type="dxa"/>
            <w:shd w:val="clear" w:color="auto" w:fill="auto"/>
          </w:tcPr>
          <w:p w:rsidR="0049577B" w:rsidRPr="00D45CFC" w:rsidRDefault="0049577B" w:rsidP="000D26BB">
            <w:pPr>
              <w:pStyle w:val="afffffffa"/>
              <w:ind w:left="-39" w:right="-39"/>
              <w:rPr>
                <w:sz w:val="26"/>
                <w:szCs w:val="26"/>
              </w:rPr>
            </w:pPr>
            <w:r w:rsidRPr="00D45CFC">
              <w:rPr>
                <w:sz w:val="26"/>
                <w:szCs w:val="26"/>
              </w:rPr>
              <w:t>10年內3-8年有計分</w:t>
            </w:r>
          </w:p>
        </w:tc>
      </w:tr>
      <w:tr w:rsidR="0049577B" w:rsidRPr="00B40DC1" w:rsidTr="009F490E">
        <w:trPr>
          <w:jc w:val="center"/>
        </w:trPr>
        <w:tc>
          <w:tcPr>
            <w:tcW w:w="1987" w:type="dxa"/>
            <w:shd w:val="clear" w:color="auto" w:fill="auto"/>
          </w:tcPr>
          <w:p w:rsidR="0049577B" w:rsidRPr="00D45CFC" w:rsidRDefault="0049577B" w:rsidP="000D26BB">
            <w:pPr>
              <w:pStyle w:val="afffffffa"/>
              <w:ind w:left="-39" w:right="-39"/>
              <w:rPr>
                <w:sz w:val="26"/>
                <w:szCs w:val="26"/>
              </w:rPr>
            </w:pPr>
            <w:r w:rsidRPr="00D45CFC">
              <w:rPr>
                <w:sz w:val="26"/>
                <w:szCs w:val="26"/>
              </w:rPr>
              <w:t>5、近親若為該國之永久居民或公民，是否可加分</w:t>
            </w:r>
          </w:p>
        </w:tc>
        <w:tc>
          <w:tcPr>
            <w:tcW w:w="2482" w:type="dxa"/>
            <w:gridSpan w:val="2"/>
            <w:shd w:val="clear" w:color="auto" w:fill="auto"/>
          </w:tcPr>
          <w:p w:rsidR="0049577B" w:rsidRPr="00D45CFC" w:rsidRDefault="0049577B" w:rsidP="000D26BB">
            <w:pPr>
              <w:pStyle w:val="afffffffa"/>
              <w:ind w:left="-39" w:right="-39"/>
              <w:rPr>
                <w:sz w:val="26"/>
                <w:szCs w:val="26"/>
              </w:rPr>
            </w:pPr>
            <w:r w:rsidRPr="00D45CFC">
              <w:rPr>
                <w:sz w:val="26"/>
                <w:szCs w:val="26"/>
              </w:rPr>
              <w:t>申請人或配偶之近親(包含父母、祖父母、子女、孫子女、兄弟姊妹、伯叔姑舅姨、甥姪兒女)</w:t>
            </w:r>
            <w:r w:rsidRPr="00D45CFC">
              <w:rPr>
                <w:bCs/>
                <w:sz w:val="26"/>
                <w:szCs w:val="26"/>
              </w:rPr>
              <w:t>在加拿大永久居民或公民身分</w:t>
            </w:r>
          </w:p>
        </w:tc>
        <w:tc>
          <w:tcPr>
            <w:tcW w:w="2325" w:type="dxa"/>
            <w:shd w:val="clear" w:color="auto" w:fill="auto"/>
          </w:tcPr>
          <w:p w:rsidR="0049577B" w:rsidRPr="00D45CFC" w:rsidRDefault="0049577B" w:rsidP="000D26BB">
            <w:pPr>
              <w:pStyle w:val="afffffffa"/>
              <w:ind w:left="-39" w:right="-39"/>
              <w:rPr>
                <w:sz w:val="26"/>
                <w:szCs w:val="26"/>
              </w:rPr>
            </w:pPr>
            <w:r w:rsidRPr="00D45CFC">
              <w:rPr>
                <w:sz w:val="26"/>
                <w:szCs w:val="26"/>
              </w:rPr>
              <w:t>申請者或其配偶之近親(包含父母、成年之兄弟姊妹及成年之子女)具有紐西蘭</w:t>
            </w:r>
            <w:r w:rsidRPr="00D45CFC">
              <w:rPr>
                <w:bCs/>
                <w:sz w:val="26"/>
                <w:szCs w:val="26"/>
              </w:rPr>
              <w:t>永久居民或公民身分</w:t>
            </w:r>
          </w:p>
        </w:tc>
        <w:tc>
          <w:tcPr>
            <w:tcW w:w="2694" w:type="dxa"/>
            <w:shd w:val="clear" w:color="auto" w:fill="auto"/>
          </w:tcPr>
          <w:p w:rsidR="0049577B" w:rsidRPr="00D45CFC" w:rsidRDefault="0049577B" w:rsidP="000D26BB">
            <w:pPr>
              <w:pStyle w:val="afffffffa"/>
              <w:ind w:left="-39" w:right="-39"/>
              <w:rPr>
                <w:sz w:val="26"/>
                <w:szCs w:val="26"/>
              </w:rPr>
            </w:pPr>
            <w:r w:rsidRPr="00D45CFC">
              <w:rPr>
                <w:sz w:val="26"/>
                <w:szCs w:val="26"/>
              </w:rPr>
              <w:t>無特別加分</w:t>
            </w:r>
          </w:p>
        </w:tc>
      </w:tr>
      <w:tr w:rsidR="0049577B" w:rsidRPr="00B40DC1" w:rsidTr="009F490E">
        <w:trPr>
          <w:jc w:val="center"/>
        </w:trPr>
        <w:tc>
          <w:tcPr>
            <w:tcW w:w="1987" w:type="dxa"/>
            <w:shd w:val="clear" w:color="auto" w:fill="auto"/>
          </w:tcPr>
          <w:p w:rsidR="0049577B" w:rsidRPr="00D45CFC" w:rsidRDefault="0049577B" w:rsidP="000D26BB">
            <w:pPr>
              <w:pStyle w:val="afffffffa"/>
              <w:ind w:left="-39" w:right="-39"/>
              <w:rPr>
                <w:sz w:val="26"/>
                <w:szCs w:val="26"/>
              </w:rPr>
            </w:pPr>
            <w:r w:rsidRPr="00D45CFC">
              <w:rPr>
                <w:sz w:val="26"/>
                <w:szCs w:val="26"/>
              </w:rPr>
              <w:t>6、在該國求學經驗可加分</w:t>
            </w:r>
          </w:p>
        </w:tc>
        <w:tc>
          <w:tcPr>
            <w:tcW w:w="2482" w:type="dxa"/>
            <w:gridSpan w:val="2"/>
            <w:shd w:val="clear" w:color="auto" w:fill="auto"/>
          </w:tcPr>
          <w:p w:rsidR="0049577B" w:rsidRPr="00D45CFC" w:rsidRDefault="0049577B" w:rsidP="000D26BB">
            <w:pPr>
              <w:pStyle w:val="afffffffa"/>
              <w:ind w:left="-39" w:right="-39"/>
              <w:rPr>
                <w:sz w:val="26"/>
                <w:szCs w:val="26"/>
              </w:rPr>
            </w:pPr>
            <w:r w:rsidRPr="00D45CFC">
              <w:rPr>
                <w:sz w:val="26"/>
                <w:szCs w:val="26"/>
              </w:rPr>
              <w:t>在加拿大有專科以上2年就讀經驗</w:t>
            </w:r>
          </w:p>
        </w:tc>
        <w:tc>
          <w:tcPr>
            <w:tcW w:w="2325" w:type="dxa"/>
            <w:shd w:val="clear" w:color="auto" w:fill="auto"/>
          </w:tcPr>
          <w:p w:rsidR="0049577B" w:rsidRPr="00D45CFC" w:rsidRDefault="0049577B" w:rsidP="000D26BB">
            <w:pPr>
              <w:pStyle w:val="afffffffa"/>
              <w:ind w:left="-39" w:right="-39"/>
              <w:rPr>
                <w:sz w:val="26"/>
                <w:szCs w:val="26"/>
              </w:rPr>
            </w:pPr>
            <w:r w:rsidRPr="00D45CFC">
              <w:rPr>
                <w:sz w:val="26"/>
                <w:szCs w:val="26"/>
              </w:rPr>
              <w:t>在紐西蘭有學士1-2年就讀經驗</w:t>
            </w:r>
          </w:p>
        </w:tc>
        <w:tc>
          <w:tcPr>
            <w:tcW w:w="2694" w:type="dxa"/>
            <w:shd w:val="clear" w:color="auto" w:fill="auto"/>
          </w:tcPr>
          <w:p w:rsidR="0049577B" w:rsidRPr="00D45CFC" w:rsidRDefault="0049577B" w:rsidP="000D26BB">
            <w:pPr>
              <w:pStyle w:val="afffffffa"/>
              <w:ind w:left="-39" w:right="-39"/>
              <w:rPr>
                <w:sz w:val="26"/>
                <w:szCs w:val="26"/>
              </w:rPr>
            </w:pPr>
            <w:r w:rsidRPr="00D45CFC">
              <w:rPr>
                <w:sz w:val="26"/>
                <w:szCs w:val="26"/>
              </w:rPr>
              <w:t>在澳洲就讀學士以上學位或在人口低度成長地區之大學修習課程</w:t>
            </w:r>
          </w:p>
        </w:tc>
      </w:tr>
      <w:tr w:rsidR="0049577B" w:rsidRPr="00B40DC1" w:rsidTr="009F490E">
        <w:trPr>
          <w:jc w:val="center"/>
        </w:trPr>
        <w:tc>
          <w:tcPr>
            <w:tcW w:w="1987" w:type="dxa"/>
            <w:shd w:val="clear" w:color="auto" w:fill="auto"/>
          </w:tcPr>
          <w:p w:rsidR="0049577B" w:rsidRPr="00D45CFC" w:rsidRDefault="0049577B" w:rsidP="000D26BB">
            <w:pPr>
              <w:pStyle w:val="afffffffa"/>
              <w:ind w:left="-39" w:right="-39"/>
              <w:rPr>
                <w:sz w:val="26"/>
                <w:szCs w:val="26"/>
              </w:rPr>
            </w:pPr>
            <w:r w:rsidRPr="00D45CFC">
              <w:rPr>
                <w:sz w:val="26"/>
                <w:szCs w:val="26"/>
              </w:rPr>
              <w:t>7、配偶符合一定條件可加分</w:t>
            </w:r>
          </w:p>
        </w:tc>
        <w:tc>
          <w:tcPr>
            <w:tcW w:w="2482" w:type="dxa"/>
            <w:gridSpan w:val="2"/>
            <w:shd w:val="clear" w:color="auto" w:fill="auto"/>
          </w:tcPr>
          <w:p w:rsidR="0049577B" w:rsidRPr="00D45CFC" w:rsidRDefault="0049577B" w:rsidP="000D26BB">
            <w:pPr>
              <w:pStyle w:val="afffffffa"/>
              <w:ind w:left="-39" w:right="-39"/>
              <w:rPr>
                <w:sz w:val="26"/>
                <w:szCs w:val="26"/>
              </w:rPr>
            </w:pPr>
            <w:r w:rsidRPr="00D45CFC">
              <w:rPr>
                <w:sz w:val="26"/>
                <w:szCs w:val="26"/>
              </w:rPr>
              <w:t>申請者之配偶擁有專科(一專)以上學歷，或在加拿大有2年以上就讀經驗</w:t>
            </w:r>
          </w:p>
        </w:tc>
        <w:tc>
          <w:tcPr>
            <w:tcW w:w="2325" w:type="dxa"/>
            <w:shd w:val="clear" w:color="auto" w:fill="auto"/>
          </w:tcPr>
          <w:p w:rsidR="0049577B" w:rsidRPr="00D45CFC" w:rsidRDefault="0049577B" w:rsidP="000D26BB">
            <w:pPr>
              <w:pStyle w:val="afffffffa"/>
              <w:ind w:left="-39" w:right="-39"/>
              <w:rPr>
                <w:sz w:val="26"/>
                <w:szCs w:val="26"/>
              </w:rPr>
            </w:pPr>
            <w:r w:rsidRPr="00D45CFC">
              <w:rPr>
                <w:sz w:val="26"/>
                <w:szCs w:val="26"/>
              </w:rPr>
              <w:t>申請者之配偶有4-7級以上之學歷，或配偶已經在紐西蘭工作或者獲得紐西蘭僱主提供就業邀請</w:t>
            </w:r>
          </w:p>
        </w:tc>
        <w:tc>
          <w:tcPr>
            <w:tcW w:w="2694" w:type="dxa"/>
            <w:shd w:val="clear" w:color="auto" w:fill="auto"/>
          </w:tcPr>
          <w:p w:rsidR="0049577B" w:rsidRPr="00D45CFC" w:rsidRDefault="0049577B" w:rsidP="000D26BB">
            <w:pPr>
              <w:pStyle w:val="afffffffa"/>
              <w:ind w:left="-39" w:right="-39"/>
              <w:rPr>
                <w:sz w:val="26"/>
                <w:szCs w:val="26"/>
              </w:rPr>
            </w:pPr>
            <w:r w:rsidRPr="00D45CFC">
              <w:rPr>
                <w:sz w:val="26"/>
                <w:szCs w:val="26"/>
              </w:rPr>
              <w:t>配偶申請該簽證，若年齡在50歲以下、英文程度達到雅思4-6級、申請技能符合澳洲需求，亦可加分</w:t>
            </w:r>
          </w:p>
        </w:tc>
      </w:tr>
      <w:tr w:rsidR="0049577B" w:rsidRPr="00B40DC1" w:rsidTr="009F490E">
        <w:trPr>
          <w:jc w:val="center"/>
        </w:trPr>
        <w:tc>
          <w:tcPr>
            <w:tcW w:w="1987" w:type="dxa"/>
            <w:shd w:val="clear" w:color="auto" w:fill="auto"/>
          </w:tcPr>
          <w:p w:rsidR="0049577B" w:rsidRPr="00D45CFC" w:rsidRDefault="0049577B" w:rsidP="000D26BB">
            <w:pPr>
              <w:pStyle w:val="afffffffa"/>
              <w:ind w:left="-39" w:right="-39"/>
              <w:rPr>
                <w:sz w:val="26"/>
                <w:szCs w:val="26"/>
              </w:rPr>
            </w:pPr>
            <w:r w:rsidRPr="00D45CFC">
              <w:rPr>
                <w:sz w:val="26"/>
                <w:szCs w:val="26"/>
              </w:rPr>
              <w:t>8、是否有機會在該國工作並成為該國永居留居民</w:t>
            </w:r>
          </w:p>
        </w:tc>
        <w:tc>
          <w:tcPr>
            <w:tcW w:w="2482" w:type="dxa"/>
            <w:gridSpan w:val="2"/>
            <w:shd w:val="clear" w:color="auto" w:fill="auto"/>
          </w:tcPr>
          <w:p w:rsidR="0049577B" w:rsidRPr="00D45CFC" w:rsidRDefault="0049577B" w:rsidP="000D26BB">
            <w:pPr>
              <w:pStyle w:val="afffffffa"/>
              <w:ind w:left="-39" w:right="-39"/>
              <w:rPr>
                <w:sz w:val="26"/>
                <w:szCs w:val="26"/>
              </w:rPr>
            </w:pPr>
            <w:r w:rsidRPr="00D45CFC">
              <w:rPr>
                <w:sz w:val="26"/>
                <w:szCs w:val="26"/>
              </w:rPr>
              <w:t>是。在2015年後，除先符合聯邦技術移民(FSW)計分資格後，始有資格進入「快速移民」(EE)線上自動計分篩選系統。</w:t>
            </w:r>
          </w:p>
        </w:tc>
        <w:tc>
          <w:tcPr>
            <w:tcW w:w="2325" w:type="dxa"/>
            <w:shd w:val="clear" w:color="auto" w:fill="auto"/>
          </w:tcPr>
          <w:p w:rsidR="0049577B" w:rsidRPr="00D45CFC" w:rsidRDefault="0049577B" w:rsidP="000D26BB">
            <w:pPr>
              <w:pStyle w:val="afffffffa"/>
              <w:ind w:left="-39" w:right="-39"/>
              <w:rPr>
                <w:sz w:val="26"/>
                <w:szCs w:val="26"/>
              </w:rPr>
            </w:pPr>
            <w:r w:rsidRPr="00D45CFC">
              <w:rPr>
                <w:sz w:val="26"/>
                <w:szCs w:val="26"/>
              </w:rPr>
              <w:t>是。在線上意向申請「Expression of Interest」(EOI</w:t>
            </w:r>
            <w:r w:rsidR="00587200">
              <w:rPr>
                <w:sz w:val="26"/>
                <w:szCs w:val="26"/>
              </w:rPr>
              <w:t>)</w:t>
            </w:r>
            <w:r w:rsidRPr="00D45CFC">
              <w:rPr>
                <w:sz w:val="26"/>
                <w:szCs w:val="26"/>
              </w:rPr>
              <w:t>註冊並由系統自動實施評點制。</w:t>
            </w:r>
          </w:p>
        </w:tc>
        <w:tc>
          <w:tcPr>
            <w:tcW w:w="2694" w:type="dxa"/>
            <w:shd w:val="clear" w:color="auto" w:fill="auto"/>
          </w:tcPr>
          <w:p w:rsidR="0049577B" w:rsidRPr="00D45CFC" w:rsidRDefault="0049577B" w:rsidP="000D26BB">
            <w:pPr>
              <w:pStyle w:val="afffffffa"/>
              <w:ind w:left="-39" w:right="-39"/>
              <w:rPr>
                <w:sz w:val="26"/>
                <w:szCs w:val="26"/>
              </w:rPr>
            </w:pPr>
            <w:r w:rsidRPr="00D45CFC">
              <w:rPr>
                <w:sz w:val="26"/>
                <w:szCs w:val="26"/>
              </w:rPr>
              <w:t>是。在Skill Select線上系統註冊並由系統自動實施評點制。</w:t>
            </w:r>
          </w:p>
        </w:tc>
      </w:tr>
      <w:tr w:rsidR="0049577B" w:rsidRPr="00B40DC1" w:rsidTr="009F490E">
        <w:trPr>
          <w:jc w:val="center"/>
        </w:trPr>
        <w:tc>
          <w:tcPr>
            <w:tcW w:w="1987" w:type="dxa"/>
            <w:shd w:val="clear" w:color="auto" w:fill="auto"/>
          </w:tcPr>
          <w:p w:rsidR="0049577B" w:rsidRPr="00D45CFC" w:rsidRDefault="0049577B" w:rsidP="000D26BB">
            <w:pPr>
              <w:pStyle w:val="afffffffa"/>
              <w:ind w:left="-39" w:right="-39"/>
              <w:rPr>
                <w:sz w:val="26"/>
                <w:szCs w:val="26"/>
              </w:rPr>
            </w:pPr>
            <w:r w:rsidRPr="00D45CFC">
              <w:rPr>
                <w:sz w:val="26"/>
                <w:szCs w:val="26"/>
              </w:rPr>
              <w:t>9、申請技術移民之門檻</w:t>
            </w:r>
          </w:p>
        </w:tc>
        <w:tc>
          <w:tcPr>
            <w:tcW w:w="2482" w:type="dxa"/>
            <w:gridSpan w:val="2"/>
            <w:shd w:val="clear" w:color="auto" w:fill="auto"/>
          </w:tcPr>
          <w:p w:rsidR="0049577B" w:rsidRPr="00D45CFC" w:rsidRDefault="0049577B" w:rsidP="000D26BB">
            <w:pPr>
              <w:pStyle w:val="afffffffa"/>
              <w:ind w:left="-39" w:right="-39"/>
              <w:rPr>
                <w:sz w:val="26"/>
                <w:szCs w:val="26"/>
              </w:rPr>
            </w:pPr>
            <w:r w:rsidRPr="00D45CFC">
              <w:rPr>
                <w:sz w:val="26"/>
                <w:szCs w:val="26"/>
              </w:rPr>
              <w:t>滿分為100分，至少要獲得67分始能提出聯邦技術移民(FSW)之申請。</w:t>
            </w:r>
          </w:p>
        </w:tc>
        <w:tc>
          <w:tcPr>
            <w:tcW w:w="2325" w:type="dxa"/>
            <w:shd w:val="clear" w:color="auto" w:fill="auto"/>
          </w:tcPr>
          <w:p w:rsidR="0049577B" w:rsidRPr="00D45CFC" w:rsidRDefault="0049577B" w:rsidP="000D26BB">
            <w:pPr>
              <w:pStyle w:val="afffffffa"/>
              <w:ind w:left="-39" w:right="-39"/>
              <w:rPr>
                <w:sz w:val="26"/>
                <w:szCs w:val="26"/>
              </w:rPr>
            </w:pPr>
            <w:r w:rsidRPr="00D45CFC">
              <w:rPr>
                <w:sz w:val="26"/>
                <w:szCs w:val="26"/>
              </w:rPr>
              <w:t>計分100分可提出意向申請(EOI, Expression of Interest)，另外至少要獲得140分以上，系統始會自動選取並由紐西蘭移民當局進行評估，分數愈高，獲選之機會愈大。</w:t>
            </w:r>
          </w:p>
        </w:tc>
        <w:tc>
          <w:tcPr>
            <w:tcW w:w="2694" w:type="dxa"/>
            <w:shd w:val="clear" w:color="auto" w:fill="auto"/>
          </w:tcPr>
          <w:p w:rsidR="0049577B" w:rsidRPr="00D45CFC" w:rsidRDefault="0049577B" w:rsidP="000D26BB">
            <w:pPr>
              <w:pStyle w:val="afffffffa"/>
              <w:ind w:left="-39" w:right="-39"/>
              <w:rPr>
                <w:sz w:val="26"/>
                <w:szCs w:val="26"/>
              </w:rPr>
            </w:pPr>
            <w:r w:rsidRPr="00D45CFC">
              <w:rPr>
                <w:sz w:val="26"/>
                <w:szCs w:val="26"/>
              </w:rPr>
              <w:t>簽證189及簽證190為永久工作簽證，至少要得到60分以上始能提出意向申請(EOI,Expression of Interest)。</w:t>
            </w:r>
          </w:p>
        </w:tc>
      </w:tr>
    </w:tbl>
    <w:p w:rsidR="0049577B" w:rsidRPr="00D45CFC" w:rsidRDefault="00817A92" w:rsidP="00776F57">
      <w:pPr>
        <w:spacing w:line="240" w:lineRule="auto"/>
        <w:ind w:leftChars="0" w:left="0" w:rightChars="0" w:right="0"/>
      </w:pPr>
      <w:r w:rsidRPr="00D45CFC">
        <w:t>【資料來源】</w:t>
      </w:r>
      <w:r w:rsidR="0049577B" w:rsidRPr="00D45CFC">
        <w:t>作者整理自加拿大、紐西蘭及澳洲移民局網站</w:t>
      </w:r>
    </w:p>
    <w:p w:rsidR="00D45CFC" w:rsidRDefault="00EF79BE" w:rsidP="00321574">
      <w:pPr>
        <w:ind w:leftChars="0"/>
        <w:jc w:val="right"/>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sz w:val="22"/>
        </w:rPr>
        <w:t>〉〉</w:t>
      </w:r>
    </w:p>
    <w:p w:rsidR="0049577B" w:rsidRPr="00D45CFC" w:rsidRDefault="0049577B" w:rsidP="00E159EC">
      <w:pPr>
        <w:pStyle w:val="3"/>
        <w:rPr>
          <w:lang w:eastAsia="zh-TW"/>
        </w:rPr>
      </w:pPr>
      <w:bookmarkStart w:id="61" w:name="_二、評點制項目的探討"/>
      <w:bookmarkEnd w:id="61"/>
      <w:r w:rsidRPr="00D45CFC">
        <w:rPr>
          <w:lang w:eastAsia="zh-TW"/>
        </w:rPr>
        <w:t>二、評點制項目的探討</w:t>
      </w:r>
    </w:p>
    <w:p w:rsidR="0049577B" w:rsidRPr="00D45CFC" w:rsidRDefault="00D45CFC" w:rsidP="00E159EC">
      <w:pPr>
        <w:spacing w:line="240" w:lineRule="auto"/>
        <w:ind w:leftChars="0" w:left="0" w:rightChars="0" w:right="0"/>
      </w:pPr>
      <w:r w:rsidRPr="00D45CFC">
        <w:rPr>
          <w:rFonts w:hint="eastAsia"/>
        </w:rPr>
        <w:t xml:space="preserve">　　</w:t>
      </w:r>
      <w:r w:rsidR="0049577B" w:rsidRPr="00D45CFC">
        <w:t>(一)年齡要求：申請者年齡要求為青壯至中壯年，青壯年可獲得愈高之計分。</w:t>
      </w:r>
    </w:p>
    <w:p w:rsidR="00D45CFC" w:rsidRDefault="00D45CFC" w:rsidP="00E159EC">
      <w:pPr>
        <w:spacing w:line="240" w:lineRule="auto"/>
        <w:ind w:leftChars="0" w:left="0" w:rightChars="0" w:right="0"/>
      </w:pPr>
      <w:r>
        <w:t xml:space="preserve">　　</w:t>
      </w:r>
      <w:r w:rsidR="0049577B" w:rsidRPr="00D45CFC">
        <w:t>1、加拿大</w:t>
      </w:r>
      <w:r w:rsidRPr="00D26D36">
        <w:rPr>
          <w:rFonts w:eastAsiaTheme="minorEastAsia"/>
          <w:b/>
          <w:sz w:val="24"/>
          <w:szCs w:val="24"/>
        </w:rPr>
        <w:t>：</w:t>
      </w:r>
    </w:p>
    <w:p w:rsidR="0049577B" w:rsidRDefault="00D45CFC" w:rsidP="00E159EC">
      <w:pPr>
        <w:spacing w:line="240" w:lineRule="auto"/>
        <w:ind w:leftChars="0" w:left="0" w:rightChars="0" w:right="0"/>
      </w:pPr>
      <w:r w:rsidRPr="00D45CFC">
        <w:t xml:space="preserve">　　</w:t>
      </w:r>
      <w:r w:rsidR="0049577B" w:rsidRPr="00D45CFC">
        <w:t>18至46歲申請可獲得計分，小於18歲及大於46歲雖可申請但計分為0分。18至35歲者可獲滿分12分；年齡小於18歲為0分；大於35歲每差一歲扣1分；47以上則為0分。</w:t>
      </w:r>
    </w:p>
    <w:p w:rsidR="00D45CFC" w:rsidRPr="00D45CFC" w:rsidRDefault="00D45CFC" w:rsidP="00D45CFC">
      <w:pPr>
        <w:ind w:leftChars="0"/>
      </w:pPr>
    </w:p>
    <w:p w:rsidR="0049577B" w:rsidRPr="00B40DC1" w:rsidRDefault="0049577B" w:rsidP="00EC0EE2">
      <w:pPr>
        <w:pStyle w:val="4"/>
        <w:rPr>
          <w:lang w:eastAsia="zh-TW"/>
        </w:rPr>
      </w:pPr>
      <w:r w:rsidRPr="00B40DC1">
        <w:rPr>
          <w:lang w:eastAsia="zh-TW"/>
        </w:rPr>
        <w:t>表7</w:t>
      </w:r>
      <w:r w:rsidR="00776F57">
        <w:rPr>
          <w:rFonts w:ascii="新細明體" w:eastAsia="新細明體" w:hAnsi="新細明體" w:hint="eastAsia"/>
          <w:lang w:eastAsia="zh-TW"/>
        </w:rPr>
        <w:t>、</w:t>
      </w:r>
      <w:r w:rsidRPr="00B40DC1">
        <w:rPr>
          <w:lang w:eastAsia="zh-TW"/>
        </w:rPr>
        <w:t>加拿大技術移民「評點制」－年齡</w:t>
      </w:r>
    </w:p>
    <w:tbl>
      <w:tblPr>
        <w:tblW w:w="9347"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CellMar>
          <w:left w:w="0" w:type="dxa"/>
          <w:right w:w="0" w:type="dxa"/>
        </w:tblCellMar>
        <w:tblLook w:val="04A0" w:firstRow="1" w:lastRow="0" w:firstColumn="1" w:lastColumn="0" w:noHBand="0" w:noVBand="1"/>
      </w:tblPr>
      <w:tblGrid>
        <w:gridCol w:w="3736"/>
        <w:gridCol w:w="5611"/>
      </w:tblGrid>
      <w:tr w:rsidR="0049577B" w:rsidRPr="00B40DC1" w:rsidTr="00776F57">
        <w:trPr>
          <w:trHeight w:val="227"/>
          <w:jc w:val="center"/>
        </w:trPr>
        <w:tc>
          <w:tcPr>
            <w:tcW w:w="9347" w:type="dxa"/>
            <w:gridSpan w:val="2"/>
            <w:tcBorders>
              <w:top w:val="single" w:sz="8" w:space="0" w:color="000000"/>
              <w:bottom w:val="single" w:sz="4" w:space="0" w:color="000000"/>
            </w:tcBorders>
            <w:shd w:val="clear" w:color="auto" w:fill="EFFDFF"/>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加拿大</w:t>
            </w:r>
          </w:p>
        </w:tc>
      </w:tr>
      <w:tr w:rsidR="0049577B" w:rsidRPr="00B40DC1" w:rsidTr="00776F57">
        <w:trPr>
          <w:trHeight w:val="227"/>
          <w:jc w:val="center"/>
        </w:trPr>
        <w:tc>
          <w:tcPr>
            <w:tcW w:w="9347" w:type="dxa"/>
            <w:gridSpan w:val="2"/>
            <w:tcBorders>
              <w:top w:val="single" w:sz="4" w:space="0" w:color="000000"/>
            </w:tcBorders>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18至46歲申請可獲得計分，小於18歲及大於46歲雖可申請但計分為0分</w:t>
            </w:r>
          </w:p>
        </w:tc>
      </w:tr>
      <w:tr w:rsidR="0049577B" w:rsidRPr="00B40DC1" w:rsidTr="00776F57">
        <w:trPr>
          <w:trHeight w:val="227"/>
          <w:jc w:val="center"/>
        </w:trPr>
        <w:tc>
          <w:tcPr>
            <w:tcW w:w="3736"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小於18歲</w:t>
            </w:r>
          </w:p>
        </w:tc>
        <w:tc>
          <w:tcPr>
            <w:tcW w:w="5611"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0分</w:t>
            </w:r>
          </w:p>
        </w:tc>
      </w:tr>
      <w:tr w:rsidR="0049577B" w:rsidRPr="00B40DC1" w:rsidTr="00776F57">
        <w:trPr>
          <w:trHeight w:val="227"/>
          <w:jc w:val="center"/>
        </w:trPr>
        <w:tc>
          <w:tcPr>
            <w:tcW w:w="3736"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18-35歲</w:t>
            </w:r>
          </w:p>
        </w:tc>
        <w:tc>
          <w:tcPr>
            <w:tcW w:w="5611"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12分</w:t>
            </w:r>
          </w:p>
        </w:tc>
      </w:tr>
      <w:tr w:rsidR="0049577B" w:rsidRPr="00B40DC1" w:rsidTr="00776F57">
        <w:trPr>
          <w:trHeight w:val="227"/>
          <w:jc w:val="center"/>
        </w:trPr>
        <w:tc>
          <w:tcPr>
            <w:tcW w:w="3736"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36歲</w:t>
            </w:r>
          </w:p>
        </w:tc>
        <w:tc>
          <w:tcPr>
            <w:tcW w:w="5611"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11分</w:t>
            </w:r>
          </w:p>
        </w:tc>
      </w:tr>
      <w:tr w:rsidR="0049577B" w:rsidRPr="00B40DC1" w:rsidTr="00776F57">
        <w:trPr>
          <w:trHeight w:val="227"/>
          <w:jc w:val="center"/>
        </w:trPr>
        <w:tc>
          <w:tcPr>
            <w:tcW w:w="3736"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37歲</w:t>
            </w:r>
          </w:p>
        </w:tc>
        <w:tc>
          <w:tcPr>
            <w:tcW w:w="5611"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10分</w:t>
            </w:r>
          </w:p>
        </w:tc>
      </w:tr>
      <w:tr w:rsidR="0049577B" w:rsidRPr="00B40DC1" w:rsidTr="00776F57">
        <w:trPr>
          <w:trHeight w:val="227"/>
          <w:jc w:val="center"/>
        </w:trPr>
        <w:tc>
          <w:tcPr>
            <w:tcW w:w="3736"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w:t>
            </w:r>
          </w:p>
        </w:tc>
        <w:tc>
          <w:tcPr>
            <w:tcW w:w="5611"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w:t>
            </w:r>
          </w:p>
        </w:tc>
      </w:tr>
      <w:tr w:rsidR="0049577B" w:rsidRPr="00B40DC1" w:rsidTr="00776F57">
        <w:trPr>
          <w:trHeight w:val="227"/>
          <w:jc w:val="center"/>
        </w:trPr>
        <w:tc>
          <w:tcPr>
            <w:tcW w:w="3736"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47歲</w:t>
            </w:r>
          </w:p>
        </w:tc>
        <w:tc>
          <w:tcPr>
            <w:tcW w:w="5611" w:type="dxa"/>
            <w:shd w:val="clear" w:color="auto" w:fill="auto"/>
            <w:tcMar>
              <w:top w:w="15" w:type="dxa"/>
              <w:left w:w="108" w:type="dxa"/>
              <w:bottom w:w="0" w:type="dxa"/>
              <w:right w:w="108" w:type="dxa"/>
            </w:tcMar>
            <w:vAlign w:val="center"/>
          </w:tcPr>
          <w:p w:rsidR="0049577B" w:rsidRPr="00D45CFC" w:rsidRDefault="0049577B" w:rsidP="000D26BB">
            <w:pPr>
              <w:pStyle w:val="afffffffa"/>
              <w:ind w:left="-39" w:right="-39"/>
              <w:rPr>
                <w:sz w:val="26"/>
                <w:szCs w:val="26"/>
              </w:rPr>
            </w:pPr>
            <w:r w:rsidRPr="00D45CFC">
              <w:rPr>
                <w:sz w:val="26"/>
                <w:szCs w:val="26"/>
              </w:rPr>
              <w:t>0分</w:t>
            </w:r>
          </w:p>
        </w:tc>
      </w:tr>
    </w:tbl>
    <w:p w:rsidR="0049577B" w:rsidRPr="00D45CFC" w:rsidRDefault="00817A92" w:rsidP="00E159EC">
      <w:pPr>
        <w:spacing w:line="240" w:lineRule="auto"/>
        <w:ind w:leftChars="0" w:left="0" w:rightChars="0" w:right="0"/>
      </w:pPr>
      <w:r w:rsidRPr="00D45CFC">
        <w:t>【資料來源】</w:t>
      </w:r>
      <w:r w:rsidR="0049577B" w:rsidRPr="00D45CFC">
        <w:t>作者整理自加拿大公民及移民部網站</w:t>
      </w:r>
    </w:p>
    <w:p w:rsidR="0049577B" w:rsidRPr="00B40DC1" w:rsidRDefault="0049577B" w:rsidP="00E159EC">
      <w:pPr>
        <w:pStyle w:val="1fb"/>
        <w:autoSpaceDN/>
        <w:spacing w:beforeLines="0" w:before="0" w:afterLines="0" w:after="0" w:line="240" w:lineRule="auto"/>
        <w:ind w:leftChars="0" w:left="0" w:rightChars="0" w:right="0" w:firstLineChars="0" w:firstLine="0"/>
      </w:pPr>
    </w:p>
    <w:p w:rsidR="00D45CFC" w:rsidRPr="00D45CFC" w:rsidRDefault="00D45CFC" w:rsidP="00E159EC">
      <w:pPr>
        <w:spacing w:line="240" w:lineRule="auto"/>
        <w:ind w:leftChars="0" w:left="0" w:rightChars="0" w:right="0"/>
      </w:pPr>
      <w:r w:rsidRPr="00D45CFC">
        <w:t xml:space="preserve">　　</w:t>
      </w:r>
      <w:r w:rsidR="0049577B" w:rsidRPr="00D45CFC">
        <w:t>2、紐西蘭：</w:t>
      </w:r>
    </w:p>
    <w:p w:rsidR="0049577B" w:rsidRPr="00D45CFC" w:rsidRDefault="00D45CFC" w:rsidP="00E159EC">
      <w:pPr>
        <w:spacing w:line="240" w:lineRule="auto"/>
        <w:ind w:leftChars="0" w:left="0" w:rightChars="0" w:right="0"/>
      </w:pPr>
      <w:r w:rsidRPr="00D45CFC">
        <w:t xml:space="preserve">　　</w:t>
      </w:r>
      <w:r w:rsidR="0049577B" w:rsidRPr="00D45CFC">
        <w:t>僅有20歲至55歲可以提出申請。20歲至29歲可獲得滿分30分；30歲至39歲可獲得25分；40歲至44歲可獲得20分；45歲至49歲可獲得10分；50歲至55歲可獲得5分。</w:t>
      </w:r>
    </w:p>
    <w:p w:rsidR="0049577B" w:rsidRPr="00B40DC1" w:rsidRDefault="0049577B" w:rsidP="00EC0EE2">
      <w:pPr>
        <w:pStyle w:val="4"/>
        <w:rPr>
          <w:lang w:eastAsia="zh-TW"/>
        </w:rPr>
      </w:pPr>
      <w:r w:rsidRPr="00B40DC1">
        <w:rPr>
          <w:lang w:eastAsia="zh-TW"/>
        </w:rPr>
        <w:t>表8</w:t>
      </w:r>
      <w:r w:rsidR="00D162A0" w:rsidRPr="00D162A0">
        <w:rPr>
          <w:rFonts w:hint="eastAsia"/>
          <w:lang w:eastAsia="zh-TW"/>
        </w:rPr>
        <w:t>、</w:t>
      </w:r>
      <w:r w:rsidRPr="00B40DC1">
        <w:rPr>
          <w:lang w:eastAsia="zh-TW"/>
        </w:rPr>
        <w:t>紐西蘭技術移民「評點制」－年齡</w:t>
      </w:r>
    </w:p>
    <w:tbl>
      <w:tblPr>
        <w:tblW w:w="9348"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CellMar>
          <w:left w:w="0" w:type="dxa"/>
          <w:right w:w="0" w:type="dxa"/>
        </w:tblCellMar>
        <w:tblLook w:val="04A0" w:firstRow="1" w:lastRow="0" w:firstColumn="1" w:lastColumn="0" w:noHBand="0" w:noVBand="1"/>
      </w:tblPr>
      <w:tblGrid>
        <w:gridCol w:w="3340"/>
        <w:gridCol w:w="6008"/>
      </w:tblGrid>
      <w:tr w:rsidR="0049577B" w:rsidRPr="009F490E" w:rsidTr="00361F5E">
        <w:trPr>
          <w:trHeight w:val="284"/>
          <w:jc w:val="center"/>
        </w:trPr>
        <w:tc>
          <w:tcPr>
            <w:tcW w:w="9348" w:type="dxa"/>
            <w:gridSpan w:val="2"/>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紐西蘭</w:t>
            </w:r>
          </w:p>
        </w:tc>
      </w:tr>
      <w:tr w:rsidR="0049577B" w:rsidRPr="009F490E" w:rsidTr="00361F5E">
        <w:trPr>
          <w:trHeight w:val="284"/>
          <w:jc w:val="center"/>
        </w:trPr>
        <w:tc>
          <w:tcPr>
            <w:tcW w:w="9348" w:type="dxa"/>
            <w:gridSpan w:val="2"/>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僅有20歲至55歲可以提出申請</w:t>
            </w:r>
          </w:p>
        </w:tc>
      </w:tr>
      <w:tr w:rsidR="0049577B" w:rsidRPr="009F490E" w:rsidTr="00361F5E">
        <w:trPr>
          <w:trHeight w:val="284"/>
          <w:jc w:val="center"/>
        </w:trPr>
        <w:tc>
          <w:tcPr>
            <w:tcW w:w="3340" w:type="dxa"/>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20-29歲</w:t>
            </w:r>
          </w:p>
        </w:tc>
        <w:tc>
          <w:tcPr>
            <w:tcW w:w="6008" w:type="dxa"/>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30分</w:t>
            </w:r>
          </w:p>
        </w:tc>
      </w:tr>
      <w:tr w:rsidR="0049577B" w:rsidRPr="009F490E" w:rsidTr="00361F5E">
        <w:trPr>
          <w:trHeight w:val="284"/>
          <w:jc w:val="center"/>
        </w:trPr>
        <w:tc>
          <w:tcPr>
            <w:tcW w:w="3340" w:type="dxa"/>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30-39歲</w:t>
            </w:r>
          </w:p>
        </w:tc>
        <w:tc>
          <w:tcPr>
            <w:tcW w:w="6008" w:type="dxa"/>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25分</w:t>
            </w:r>
          </w:p>
        </w:tc>
      </w:tr>
      <w:tr w:rsidR="0049577B" w:rsidRPr="009F490E" w:rsidTr="00361F5E">
        <w:trPr>
          <w:trHeight w:val="284"/>
          <w:jc w:val="center"/>
        </w:trPr>
        <w:tc>
          <w:tcPr>
            <w:tcW w:w="3340" w:type="dxa"/>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40-44歲</w:t>
            </w:r>
          </w:p>
        </w:tc>
        <w:tc>
          <w:tcPr>
            <w:tcW w:w="6008" w:type="dxa"/>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20分</w:t>
            </w:r>
          </w:p>
        </w:tc>
      </w:tr>
      <w:tr w:rsidR="0049577B" w:rsidRPr="009F490E" w:rsidTr="00361F5E">
        <w:trPr>
          <w:trHeight w:val="284"/>
          <w:jc w:val="center"/>
        </w:trPr>
        <w:tc>
          <w:tcPr>
            <w:tcW w:w="3340" w:type="dxa"/>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45-49歲</w:t>
            </w:r>
          </w:p>
        </w:tc>
        <w:tc>
          <w:tcPr>
            <w:tcW w:w="6008" w:type="dxa"/>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10分</w:t>
            </w:r>
          </w:p>
        </w:tc>
      </w:tr>
      <w:tr w:rsidR="0049577B" w:rsidRPr="009F490E" w:rsidTr="00361F5E">
        <w:trPr>
          <w:trHeight w:val="284"/>
          <w:jc w:val="center"/>
        </w:trPr>
        <w:tc>
          <w:tcPr>
            <w:tcW w:w="3340" w:type="dxa"/>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50-55歲</w:t>
            </w:r>
          </w:p>
        </w:tc>
        <w:tc>
          <w:tcPr>
            <w:tcW w:w="6008" w:type="dxa"/>
            <w:shd w:val="clear" w:color="auto" w:fill="auto"/>
            <w:tcMar>
              <w:top w:w="15" w:type="dxa"/>
              <w:left w:w="108" w:type="dxa"/>
              <w:bottom w:w="0" w:type="dxa"/>
              <w:right w:w="108" w:type="dxa"/>
            </w:tcMar>
          </w:tcPr>
          <w:p w:rsidR="0049577B" w:rsidRPr="009F490E" w:rsidRDefault="0049577B" w:rsidP="000D26BB">
            <w:pPr>
              <w:pStyle w:val="afffffffa"/>
              <w:ind w:left="-39" w:right="-39"/>
              <w:rPr>
                <w:sz w:val="26"/>
                <w:szCs w:val="26"/>
              </w:rPr>
            </w:pPr>
            <w:r w:rsidRPr="009F490E">
              <w:rPr>
                <w:sz w:val="26"/>
                <w:szCs w:val="26"/>
              </w:rPr>
              <w:t>5分</w:t>
            </w:r>
          </w:p>
        </w:tc>
      </w:tr>
    </w:tbl>
    <w:p w:rsidR="0049577B" w:rsidRPr="009F490E" w:rsidRDefault="00817A92" w:rsidP="009F490E">
      <w:r w:rsidRPr="009F490E">
        <w:t>【資料來源】</w:t>
      </w:r>
      <w:r w:rsidR="0049577B" w:rsidRPr="009F490E">
        <w:t>作者整理自紐西蘭移民局網站</w:t>
      </w:r>
    </w:p>
    <w:p w:rsidR="0049577B" w:rsidRPr="00E159EC" w:rsidRDefault="0049577B" w:rsidP="00E159EC">
      <w:pPr>
        <w:spacing w:line="240" w:lineRule="auto"/>
        <w:ind w:leftChars="0" w:left="0" w:rightChars="0" w:right="0"/>
      </w:pPr>
    </w:p>
    <w:p w:rsidR="009F490E" w:rsidRPr="00E159EC" w:rsidRDefault="00776F57" w:rsidP="00E159EC">
      <w:pPr>
        <w:spacing w:line="240" w:lineRule="auto"/>
        <w:ind w:leftChars="0" w:left="0" w:rightChars="0" w:right="0"/>
      </w:pPr>
      <w:r>
        <w:t xml:space="preserve">　　</w:t>
      </w:r>
      <w:r w:rsidR="0049577B" w:rsidRPr="00E159EC">
        <w:t>3、澳洲：</w:t>
      </w:r>
    </w:p>
    <w:p w:rsidR="0049577B" w:rsidRDefault="003E5DAF" w:rsidP="00E159EC">
      <w:pPr>
        <w:spacing w:line="240" w:lineRule="auto"/>
        <w:ind w:leftChars="0" w:left="0" w:rightChars="0" w:right="0"/>
      </w:pPr>
      <w:r w:rsidRPr="00E159EC">
        <w:t xml:space="preserve">　　</w:t>
      </w:r>
      <w:r w:rsidR="0049577B" w:rsidRPr="00E159EC">
        <w:t>僅有18至49歲可以提出申請。18至44歲提出申請並可獲得計分。18歲至24歲可獲得25分；25歲至32歲可獲得滿分30分；33歲至39歲可獲得25分；40歲至44歲可獲得15分；45-49雖仍可申請工作簽證，但計分為0分。</w:t>
      </w:r>
    </w:p>
    <w:p w:rsidR="00776F57" w:rsidRPr="00E159EC" w:rsidRDefault="00776F57" w:rsidP="00776F57">
      <w:pPr>
        <w:spacing w:line="240" w:lineRule="auto"/>
        <w:ind w:leftChars="0" w:left="0" w:rightChars="0" w:right="0"/>
        <w:jc w:val="right"/>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sz w:val="22"/>
        </w:rPr>
        <w:t>〉〉</w:t>
      </w:r>
    </w:p>
    <w:p w:rsidR="0049577B" w:rsidRPr="00AF1178" w:rsidRDefault="0049577B" w:rsidP="00EC0EE2">
      <w:pPr>
        <w:pStyle w:val="4"/>
        <w:rPr>
          <w:lang w:eastAsia="zh-TW"/>
        </w:rPr>
      </w:pPr>
      <w:r w:rsidRPr="00AF1178">
        <w:rPr>
          <w:lang w:eastAsia="zh-TW"/>
        </w:rPr>
        <w:t>表9</w:t>
      </w:r>
      <w:r w:rsidR="00D162A0" w:rsidRPr="00D162A0">
        <w:rPr>
          <w:rFonts w:hint="eastAsia"/>
          <w:lang w:eastAsia="zh-TW"/>
        </w:rPr>
        <w:t>、</w:t>
      </w:r>
      <w:r w:rsidRPr="00AF1178">
        <w:rPr>
          <w:lang w:eastAsia="zh-TW"/>
        </w:rPr>
        <w:t>澳洲技術移民「評點制」-年齡</w:t>
      </w:r>
    </w:p>
    <w:tbl>
      <w:tblPr>
        <w:tblW w:w="9356"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CellMar>
          <w:left w:w="0" w:type="dxa"/>
          <w:right w:w="0" w:type="dxa"/>
        </w:tblCellMar>
        <w:tblLook w:val="04A0" w:firstRow="1" w:lastRow="0" w:firstColumn="1" w:lastColumn="0" w:noHBand="0" w:noVBand="1"/>
      </w:tblPr>
      <w:tblGrid>
        <w:gridCol w:w="1635"/>
        <w:gridCol w:w="7721"/>
      </w:tblGrid>
      <w:tr w:rsidR="0049577B" w:rsidRPr="00B40DC1" w:rsidTr="000152BE">
        <w:trPr>
          <w:trHeight w:val="284"/>
          <w:jc w:val="center"/>
        </w:trPr>
        <w:tc>
          <w:tcPr>
            <w:tcW w:w="9356" w:type="dxa"/>
            <w:gridSpan w:val="2"/>
            <w:shd w:val="clear" w:color="auto" w:fill="auto"/>
            <w:tcMar>
              <w:top w:w="15" w:type="dxa"/>
              <w:left w:w="108" w:type="dxa"/>
              <w:bottom w:w="0" w:type="dxa"/>
              <w:right w:w="108" w:type="dxa"/>
            </w:tcMar>
            <w:vAlign w:val="center"/>
          </w:tcPr>
          <w:p w:rsidR="0049577B" w:rsidRPr="00E736D6" w:rsidRDefault="0049577B" w:rsidP="00E736D6">
            <w:pPr>
              <w:pStyle w:val="afffffffa"/>
              <w:autoSpaceDN/>
              <w:adjustRightInd/>
              <w:spacing w:line="240" w:lineRule="auto"/>
              <w:ind w:leftChars="0" w:left="0" w:rightChars="0" w:right="0"/>
              <w:rPr>
                <w:sz w:val="24"/>
                <w:szCs w:val="26"/>
              </w:rPr>
            </w:pPr>
            <w:r w:rsidRPr="00E736D6">
              <w:rPr>
                <w:sz w:val="24"/>
                <w:szCs w:val="26"/>
              </w:rPr>
              <w:t>澳洲</w:t>
            </w:r>
          </w:p>
        </w:tc>
      </w:tr>
      <w:tr w:rsidR="0049577B" w:rsidRPr="00B40DC1" w:rsidTr="000152BE">
        <w:trPr>
          <w:trHeight w:val="284"/>
          <w:jc w:val="center"/>
        </w:trPr>
        <w:tc>
          <w:tcPr>
            <w:tcW w:w="9356" w:type="dxa"/>
            <w:gridSpan w:val="2"/>
            <w:shd w:val="clear" w:color="auto" w:fill="auto"/>
            <w:tcMar>
              <w:top w:w="15" w:type="dxa"/>
              <w:left w:w="108" w:type="dxa"/>
              <w:bottom w:w="0" w:type="dxa"/>
              <w:right w:w="108" w:type="dxa"/>
            </w:tcMar>
            <w:vAlign w:val="center"/>
          </w:tcPr>
          <w:p w:rsidR="0049577B" w:rsidRPr="00E736D6" w:rsidRDefault="0049577B" w:rsidP="00E736D6">
            <w:pPr>
              <w:pStyle w:val="afffffffa"/>
              <w:autoSpaceDN/>
              <w:adjustRightInd/>
              <w:spacing w:line="240" w:lineRule="auto"/>
              <w:ind w:leftChars="0" w:left="0" w:rightChars="0" w:right="0"/>
              <w:rPr>
                <w:sz w:val="24"/>
                <w:szCs w:val="26"/>
              </w:rPr>
            </w:pPr>
            <w:r w:rsidRPr="00E736D6">
              <w:rPr>
                <w:sz w:val="24"/>
                <w:szCs w:val="26"/>
              </w:rPr>
              <w:t>僅有18至49歲可以提出申請</w:t>
            </w:r>
          </w:p>
        </w:tc>
      </w:tr>
      <w:tr w:rsidR="0049577B" w:rsidRPr="00B40DC1" w:rsidTr="000152BE">
        <w:trPr>
          <w:trHeight w:val="284"/>
          <w:jc w:val="center"/>
        </w:trPr>
        <w:tc>
          <w:tcPr>
            <w:tcW w:w="1635" w:type="dxa"/>
            <w:shd w:val="clear" w:color="auto" w:fill="auto"/>
            <w:tcMar>
              <w:top w:w="15" w:type="dxa"/>
              <w:left w:w="108" w:type="dxa"/>
              <w:bottom w:w="0" w:type="dxa"/>
              <w:right w:w="108" w:type="dxa"/>
            </w:tcMar>
            <w:vAlign w:val="center"/>
          </w:tcPr>
          <w:p w:rsidR="0049577B" w:rsidRPr="00E736D6" w:rsidRDefault="0049577B" w:rsidP="000D26BB">
            <w:pPr>
              <w:pStyle w:val="afffffffa"/>
              <w:ind w:left="-39" w:right="-39"/>
              <w:rPr>
                <w:sz w:val="24"/>
                <w:szCs w:val="26"/>
              </w:rPr>
            </w:pPr>
            <w:r w:rsidRPr="00E736D6">
              <w:rPr>
                <w:sz w:val="24"/>
                <w:szCs w:val="26"/>
              </w:rPr>
              <w:t>18-24歲</w:t>
            </w:r>
          </w:p>
        </w:tc>
        <w:tc>
          <w:tcPr>
            <w:tcW w:w="7721" w:type="dxa"/>
            <w:shd w:val="clear" w:color="auto" w:fill="auto"/>
            <w:tcMar>
              <w:top w:w="15" w:type="dxa"/>
              <w:left w:w="108" w:type="dxa"/>
              <w:bottom w:w="0" w:type="dxa"/>
              <w:right w:w="108" w:type="dxa"/>
            </w:tcMar>
            <w:vAlign w:val="center"/>
          </w:tcPr>
          <w:p w:rsidR="0049577B" w:rsidRPr="00E736D6" w:rsidRDefault="0049577B" w:rsidP="00E736D6">
            <w:pPr>
              <w:pStyle w:val="afffffffa"/>
              <w:autoSpaceDN/>
              <w:adjustRightInd/>
              <w:spacing w:line="240" w:lineRule="auto"/>
              <w:ind w:leftChars="0" w:left="0" w:rightChars="0" w:right="0"/>
              <w:rPr>
                <w:sz w:val="24"/>
                <w:szCs w:val="26"/>
              </w:rPr>
            </w:pPr>
            <w:r w:rsidRPr="00E736D6">
              <w:rPr>
                <w:sz w:val="24"/>
                <w:szCs w:val="26"/>
              </w:rPr>
              <w:t>25 分</w:t>
            </w:r>
          </w:p>
        </w:tc>
      </w:tr>
      <w:tr w:rsidR="0049577B" w:rsidRPr="00B40DC1" w:rsidTr="000152BE">
        <w:trPr>
          <w:trHeight w:val="284"/>
          <w:jc w:val="center"/>
        </w:trPr>
        <w:tc>
          <w:tcPr>
            <w:tcW w:w="1635" w:type="dxa"/>
            <w:shd w:val="clear" w:color="auto" w:fill="auto"/>
            <w:tcMar>
              <w:top w:w="15" w:type="dxa"/>
              <w:left w:w="108" w:type="dxa"/>
              <w:bottom w:w="0" w:type="dxa"/>
              <w:right w:w="108" w:type="dxa"/>
            </w:tcMar>
            <w:vAlign w:val="center"/>
          </w:tcPr>
          <w:p w:rsidR="0049577B" w:rsidRPr="00E736D6" w:rsidRDefault="0049577B" w:rsidP="000D26BB">
            <w:pPr>
              <w:pStyle w:val="afffffffa"/>
              <w:ind w:left="-39" w:right="-39"/>
              <w:rPr>
                <w:sz w:val="24"/>
                <w:szCs w:val="26"/>
              </w:rPr>
            </w:pPr>
            <w:r w:rsidRPr="00E736D6">
              <w:rPr>
                <w:sz w:val="24"/>
                <w:szCs w:val="26"/>
              </w:rPr>
              <w:t>25-32歲</w:t>
            </w:r>
          </w:p>
        </w:tc>
        <w:tc>
          <w:tcPr>
            <w:tcW w:w="7721" w:type="dxa"/>
            <w:shd w:val="clear" w:color="auto" w:fill="auto"/>
            <w:tcMar>
              <w:top w:w="15" w:type="dxa"/>
              <w:left w:w="108" w:type="dxa"/>
              <w:bottom w:w="0" w:type="dxa"/>
              <w:right w:w="108" w:type="dxa"/>
            </w:tcMar>
            <w:vAlign w:val="center"/>
          </w:tcPr>
          <w:p w:rsidR="0049577B" w:rsidRPr="00E736D6" w:rsidRDefault="0049577B" w:rsidP="00E736D6">
            <w:pPr>
              <w:pStyle w:val="afffffffa"/>
              <w:autoSpaceDN/>
              <w:adjustRightInd/>
              <w:spacing w:line="240" w:lineRule="auto"/>
              <w:ind w:leftChars="0" w:left="0" w:rightChars="0" w:right="0"/>
              <w:rPr>
                <w:sz w:val="24"/>
                <w:szCs w:val="26"/>
              </w:rPr>
            </w:pPr>
            <w:r w:rsidRPr="00E736D6">
              <w:rPr>
                <w:sz w:val="24"/>
                <w:szCs w:val="26"/>
              </w:rPr>
              <w:t>30 分</w:t>
            </w:r>
          </w:p>
        </w:tc>
      </w:tr>
      <w:tr w:rsidR="0049577B" w:rsidRPr="00B40DC1" w:rsidTr="000152BE">
        <w:trPr>
          <w:trHeight w:val="284"/>
          <w:jc w:val="center"/>
        </w:trPr>
        <w:tc>
          <w:tcPr>
            <w:tcW w:w="1635" w:type="dxa"/>
            <w:shd w:val="clear" w:color="auto" w:fill="auto"/>
            <w:tcMar>
              <w:top w:w="15" w:type="dxa"/>
              <w:left w:w="108" w:type="dxa"/>
              <w:bottom w:w="0" w:type="dxa"/>
              <w:right w:w="108" w:type="dxa"/>
            </w:tcMar>
            <w:vAlign w:val="center"/>
          </w:tcPr>
          <w:p w:rsidR="0049577B" w:rsidRPr="00E736D6" w:rsidRDefault="0049577B" w:rsidP="000D26BB">
            <w:pPr>
              <w:pStyle w:val="afffffffa"/>
              <w:ind w:left="-39" w:right="-39"/>
              <w:rPr>
                <w:sz w:val="24"/>
                <w:szCs w:val="26"/>
              </w:rPr>
            </w:pPr>
            <w:r w:rsidRPr="00E736D6">
              <w:rPr>
                <w:sz w:val="24"/>
                <w:szCs w:val="26"/>
              </w:rPr>
              <w:t>33-39歲</w:t>
            </w:r>
          </w:p>
        </w:tc>
        <w:tc>
          <w:tcPr>
            <w:tcW w:w="7721" w:type="dxa"/>
            <w:shd w:val="clear" w:color="auto" w:fill="auto"/>
            <w:tcMar>
              <w:top w:w="15" w:type="dxa"/>
              <w:left w:w="108" w:type="dxa"/>
              <w:bottom w:w="0" w:type="dxa"/>
              <w:right w:w="108" w:type="dxa"/>
            </w:tcMar>
            <w:vAlign w:val="center"/>
          </w:tcPr>
          <w:p w:rsidR="0049577B" w:rsidRPr="00E736D6" w:rsidRDefault="0049577B" w:rsidP="00E736D6">
            <w:pPr>
              <w:pStyle w:val="afffffffa"/>
              <w:autoSpaceDN/>
              <w:adjustRightInd/>
              <w:spacing w:line="240" w:lineRule="auto"/>
              <w:ind w:leftChars="0" w:left="0" w:rightChars="0" w:right="0"/>
              <w:rPr>
                <w:sz w:val="24"/>
                <w:szCs w:val="26"/>
              </w:rPr>
            </w:pPr>
            <w:r w:rsidRPr="00E736D6">
              <w:rPr>
                <w:sz w:val="24"/>
                <w:szCs w:val="26"/>
              </w:rPr>
              <w:t>25 分</w:t>
            </w:r>
          </w:p>
        </w:tc>
      </w:tr>
      <w:tr w:rsidR="0049577B" w:rsidRPr="00B40DC1" w:rsidTr="000152BE">
        <w:trPr>
          <w:trHeight w:val="284"/>
          <w:jc w:val="center"/>
        </w:trPr>
        <w:tc>
          <w:tcPr>
            <w:tcW w:w="1635" w:type="dxa"/>
            <w:shd w:val="clear" w:color="auto" w:fill="auto"/>
            <w:tcMar>
              <w:top w:w="15" w:type="dxa"/>
              <w:left w:w="108" w:type="dxa"/>
              <w:bottom w:w="0" w:type="dxa"/>
              <w:right w:w="108" w:type="dxa"/>
            </w:tcMar>
            <w:vAlign w:val="center"/>
          </w:tcPr>
          <w:p w:rsidR="0049577B" w:rsidRPr="00E736D6" w:rsidRDefault="0049577B" w:rsidP="000D26BB">
            <w:pPr>
              <w:pStyle w:val="afffffffa"/>
              <w:ind w:left="-39" w:right="-39"/>
              <w:rPr>
                <w:sz w:val="24"/>
                <w:szCs w:val="26"/>
              </w:rPr>
            </w:pPr>
            <w:r w:rsidRPr="00E736D6">
              <w:rPr>
                <w:sz w:val="24"/>
                <w:szCs w:val="26"/>
              </w:rPr>
              <w:t>40-44歲</w:t>
            </w:r>
          </w:p>
        </w:tc>
        <w:tc>
          <w:tcPr>
            <w:tcW w:w="7721" w:type="dxa"/>
            <w:shd w:val="clear" w:color="auto" w:fill="auto"/>
            <w:tcMar>
              <w:top w:w="15" w:type="dxa"/>
              <w:left w:w="108" w:type="dxa"/>
              <w:bottom w:w="0" w:type="dxa"/>
              <w:right w:w="108" w:type="dxa"/>
            </w:tcMar>
            <w:vAlign w:val="center"/>
          </w:tcPr>
          <w:p w:rsidR="0049577B" w:rsidRPr="00E736D6" w:rsidRDefault="0049577B" w:rsidP="00E736D6">
            <w:pPr>
              <w:pStyle w:val="afffffffa"/>
              <w:autoSpaceDN/>
              <w:adjustRightInd/>
              <w:spacing w:line="240" w:lineRule="auto"/>
              <w:ind w:leftChars="0" w:left="0" w:rightChars="0" w:right="0"/>
              <w:rPr>
                <w:sz w:val="24"/>
                <w:szCs w:val="26"/>
              </w:rPr>
            </w:pPr>
            <w:r w:rsidRPr="00E736D6">
              <w:rPr>
                <w:sz w:val="24"/>
                <w:szCs w:val="26"/>
              </w:rPr>
              <w:t>15 分</w:t>
            </w:r>
          </w:p>
        </w:tc>
      </w:tr>
      <w:tr w:rsidR="0049577B" w:rsidRPr="00B40DC1" w:rsidTr="000152BE">
        <w:trPr>
          <w:trHeight w:val="284"/>
          <w:jc w:val="center"/>
        </w:trPr>
        <w:tc>
          <w:tcPr>
            <w:tcW w:w="1635" w:type="dxa"/>
            <w:shd w:val="clear" w:color="auto" w:fill="auto"/>
            <w:tcMar>
              <w:top w:w="15" w:type="dxa"/>
              <w:left w:w="108" w:type="dxa"/>
              <w:bottom w:w="0" w:type="dxa"/>
              <w:right w:w="108" w:type="dxa"/>
            </w:tcMar>
            <w:vAlign w:val="center"/>
          </w:tcPr>
          <w:p w:rsidR="0049577B" w:rsidRPr="00E736D6" w:rsidRDefault="0049577B" w:rsidP="000D26BB">
            <w:pPr>
              <w:pStyle w:val="afffffffa"/>
              <w:ind w:left="-39" w:right="-39"/>
              <w:rPr>
                <w:sz w:val="24"/>
                <w:szCs w:val="26"/>
              </w:rPr>
            </w:pPr>
            <w:r w:rsidRPr="00E736D6">
              <w:rPr>
                <w:sz w:val="24"/>
                <w:szCs w:val="26"/>
              </w:rPr>
              <w:t>45-49歲</w:t>
            </w:r>
          </w:p>
        </w:tc>
        <w:tc>
          <w:tcPr>
            <w:tcW w:w="7721" w:type="dxa"/>
            <w:shd w:val="clear" w:color="auto" w:fill="auto"/>
            <w:tcMar>
              <w:top w:w="15" w:type="dxa"/>
              <w:left w:w="108" w:type="dxa"/>
              <w:bottom w:w="0" w:type="dxa"/>
              <w:right w:w="108" w:type="dxa"/>
            </w:tcMar>
            <w:vAlign w:val="center"/>
          </w:tcPr>
          <w:p w:rsidR="0049577B" w:rsidRPr="00E736D6" w:rsidRDefault="0049577B" w:rsidP="00E736D6">
            <w:pPr>
              <w:pStyle w:val="afffffffa"/>
              <w:autoSpaceDN/>
              <w:adjustRightInd/>
              <w:spacing w:line="240" w:lineRule="auto"/>
              <w:ind w:leftChars="0" w:left="0" w:rightChars="0" w:right="0"/>
              <w:rPr>
                <w:sz w:val="24"/>
                <w:szCs w:val="26"/>
              </w:rPr>
            </w:pPr>
            <w:r w:rsidRPr="00E736D6">
              <w:rPr>
                <w:sz w:val="24"/>
                <w:szCs w:val="26"/>
              </w:rPr>
              <w:t>0分</w:t>
            </w:r>
          </w:p>
        </w:tc>
      </w:tr>
    </w:tbl>
    <w:p w:rsidR="0049577B" w:rsidRPr="00AF1178" w:rsidRDefault="00817A92" w:rsidP="00AF1178">
      <w:r w:rsidRPr="00AF1178">
        <w:t>【資料來源】</w:t>
      </w:r>
      <w:r w:rsidR="0049577B" w:rsidRPr="00AF1178">
        <w:t>作者整理自澳洲移民局網站</w:t>
      </w:r>
    </w:p>
    <w:p w:rsidR="0049577B" w:rsidRPr="00E159EC" w:rsidRDefault="0049577B" w:rsidP="00E159EC">
      <w:pPr>
        <w:ind w:leftChars="0"/>
      </w:pPr>
    </w:p>
    <w:p w:rsidR="0049577B" w:rsidRPr="00AF1178" w:rsidRDefault="009A4731" w:rsidP="00E736D6">
      <w:pPr>
        <w:spacing w:line="240" w:lineRule="auto"/>
        <w:ind w:leftChars="0" w:left="0" w:rightChars="0" w:right="0"/>
      </w:pPr>
      <w:r w:rsidRPr="00AF1178">
        <w:rPr>
          <w:rFonts w:hint="eastAsia"/>
        </w:rPr>
        <w:t xml:space="preserve">　　</w:t>
      </w:r>
      <w:r w:rsidR="0049577B" w:rsidRPr="00AF1178">
        <w:t>(二)教育程度：申請者教育程度愈高，可獲得愈高之計分。</w:t>
      </w:r>
    </w:p>
    <w:p w:rsidR="00E2504E" w:rsidRDefault="009A4731" w:rsidP="00E736D6">
      <w:pPr>
        <w:spacing w:line="240" w:lineRule="auto"/>
        <w:ind w:leftChars="0" w:left="0" w:rightChars="0" w:right="0"/>
      </w:pPr>
      <w:r w:rsidRPr="00AF1178">
        <w:t xml:space="preserve">　　</w:t>
      </w:r>
      <w:r w:rsidR="0049577B" w:rsidRPr="00AF1178">
        <w:t>1、加拿大：</w:t>
      </w:r>
    </w:p>
    <w:p w:rsidR="0049577B" w:rsidRPr="00AF1178" w:rsidRDefault="009A4731" w:rsidP="00E736D6">
      <w:pPr>
        <w:spacing w:line="240" w:lineRule="auto"/>
        <w:ind w:leftChars="0" w:left="0" w:rightChars="0" w:right="0"/>
      </w:pPr>
      <w:r w:rsidRPr="00AF1178">
        <w:t xml:space="preserve">　　</w:t>
      </w:r>
      <w:r w:rsidR="0049577B" w:rsidRPr="00AF1178">
        <w:t>具加拿大博士學歷可獲得25分；具加拿大碩士學歷，且申請之職業類別必須為NOC 201技能等級A，或由省機構所許可可獲得23分。(註：學位課程必須在研究這些領域之一：醫學、獸醫學、牙醫學、足療、驗光、法律、整脊或藥劑。)具加拿大雙學士學歷可獲得22分；具加拿大3年以上之學士學歷可獲得21分；具加拿大2年以上之學士學歷可獲得19分；具加拿大1年之學士學歷可獲得15分；具加拿大高中學歷可獲得5分。</w:t>
      </w:r>
    </w:p>
    <w:p w:rsidR="00E2504E" w:rsidRDefault="009A4731" w:rsidP="00E736D6">
      <w:pPr>
        <w:spacing w:line="240" w:lineRule="auto"/>
        <w:ind w:leftChars="0" w:left="0" w:rightChars="0" w:right="0"/>
      </w:pPr>
      <w:r w:rsidRPr="00AF1178">
        <w:t xml:space="preserve">　　</w:t>
      </w:r>
      <w:r w:rsidR="0049577B" w:rsidRPr="00AF1178">
        <w:t>2、紐西蘭：</w:t>
      </w:r>
    </w:p>
    <w:p w:rsidR="0049577B" w:rsidRPr="00AF1178" w:rsidRDefault="009A4731" w:rsidP="00E736D6">
      <w:pPr>
        <w:spacing w:line="240" w:lineRule="auto"/>
        <w:ind w:leftChars="0" w:left="0" w:rightChars="0" w:right="0"/>
      </w:pPr>
      <w:r w:rsidRPr="00AF1178">
        <w:t xml:space="preserve">　　</w:t>
      </w:r>
      <w:r w:rsidR="0049577B" w:rsidRPr="00AF1178">
        <w:t>申請者需具有4級(技術資格)至10級(博士學位)學歷。認可之4-6級基本學歷(例如技術資格、文憑)可獲得40分；認可之7或8級基本學歷(例如：學士學位、榮譽學士學位)可獲得50分；認可之9或10級學士後學歷(碩士、博士學位)可獲得60分。</w:t>
      </w:r>
    </w:p>
    <w:p w:rsidR="00E2504E" w:rsidRDefault="009A4731" w:rsidP="00E736D6">
      <w:pPr>
        <w:spacing w:line="240" w:lineRule="auto"/>
        <w:ind w:leftChars="0" w:left="0" w:rightChars="0" w:right="0"/>
      </w:pPr>
      <w:r w:rsidRPr="00AF1178">
        <w:t xml:space="preserve">　　</w:t>
      </w:r>
      <w:r w:rsidR="0049577B" w:rsidRPr="00AF1178">
        <w:t>3、澳洲：</w:t>
      </w:r>
    </w:p>
    <w:p w:rsidR="0049577B" w:rsidRPr="00AF1178" w:rsidRDefault="009A4731" w:rsidP="00E736D6">
      <w:pPr>
        <w:spacing w:line="240" w:lineRule="auto"/>
        <w:ind w:leftChars="0" w:left="0" w:rightChars="0" w:right="0"/>
      </w:pPr>
      <w:r w:rsidRPr="00AF1178">
        <w:t xml:space="preserve">　　</w:t>
      </w:r>
      <w:r w:rsidR="0049577B" w:rsidRPr="00AF1178">
        <w:t>澳洲官方所認可之境外及境內學徒學歷、學士至博士學位。博士學位可獲得20分；學士學位以上(含榮譽學士和碩士學位)可獲得15分；身分為澳洲政府認可之海外學徒，具有澳洲文憑或澳洲教育機關認證之技術資格，分別可獲得10分。</w:t>
      </w:r>
    </w:p>
    <w:p w:rsidR="0049577B" w:rsidRPr="00AF1178" w:rsidRDefault="009A4731" w:rsidP="00E736D6">
      <w:pPr>
        <w:spacing w:line="240" w:lineRule="auto"/>
        <w:ind w:leftChars="0" w:left="0" w:rightChars="0" w:right="0"/>
      </w:pPr>
      <w:r w:rsidRPr="00AF1178">
        <w:rPr>
          <w:rFonts w:hint="eastAsia"/>
        </w:rPr>
        <w:t xml:space="preserve">　　</w:t>
      </w:r>
      <w:r w:rsidR="0049577B" w:rsidRPr="00AF1178">
        <w:t>(三)語言能力要求：申請者之語言能力愈高，所能得到計分愈高，或達到一定標準始能有申請資格。</w:t>
      </w:r>
    </w:p>
    <w:p w:rsidR="00E2504E" w:rsidRDefault="009A4731" w:rsidP="00E736D6">
      <w:pPr>
        <w:spacing w:line="240" w:lineRule="auto"/>
        <w:ind w:leftChars="0" w:left="0" w:rightChars="0" w:right="0"/>
      </w:pPr>
      <w:r w:rsidRPr="00AF1178">
        <w:t xml:space="preserve">　　</w:t>
      </w:r>
      <w:r w:rsidR="0049577B" w:rsidRPr="00AF1178">
        <w:t>1、加拿大</w:t>
      </w:r>
    </w:p>
    <w:p w:rsidR="0049577B" w:rsidRPr="00AF1178" w:rsidRDefault="009A4731" w:rsidP="00E736D6">
      <w:pPr>
        <w:spacing w:line="240" w:lineRule="auto"/>
        <w:ind w:leftChars="0" w:left="0" w:rightChars="0" w:right="0"/>
      </w:pPr>
      <w:r w:rsidRPr="00AF1178">
        <w:t xml:space="preserve">　　</w:t>
      </w:r>
      <w:r w:rsidR="0049577B" w:rsidRPr="00AF1178">
        <w:t>申請者需具有雅思IELTS 6-9級。第一官方語言英語若達流利程度(說讀寫各項達7-9級以上及聽8-9級以上)每項可得6分；中等程度(說讀寫各項達6.5級以上及聽7.5級以上)每項可得5分；基本程度(說讀寫各項達6級以上、聽6-7級以上)每項可得4分。困難程度(說讀寫未達6級、聽未達 6-7級)則為0分。另第二官方語言法語若達流利程度(聽說寫各項能力達5-9級及讀4-9級)總分可得4分。</w:t>
      </w:r>
    </w:p>
    <w:p w:rsidR="00E2504E" w:rsidRDefault="009A4731" w:rsidP="00E736D6">
      <w:pPr>
        <w:spacing w:line="240" w:lineRule="auto"/>
        <w:ind w:leftChars="0" w:left="0" w:rightChars="0" w:right="0"/>
      </w:pPr>
      <w:r w:rsidRPr="00AF1178">
        <w:t xml:space="preserve">　　</w:t>
      </w:r>
      <w:r w:rsidR="0049577B" w:rsidRPr="00AF1178">
        <w:t>2、紐西蘭：</w:t>
      </w:r>
    </w:p>
    <w:p w:rsidR="0049577B" w:rsidRPr="00AF1178" w:rsidRDefault="009A4731" w:rsidP="00E736D6">
      <w:pPr>
        <w:spacing w:line="240" w:lineRule="auto"/>
        <w:ind w:leftChars="0" w:left="0" w:rightChars="0" w:right="0"/>
      </w:pPr>
      <w:r w:rsidRPr="00AF1178">
        <w:t xml:space="preserve">　　</w:t>
      </w:r>
      <w:r w:rsidR="0049577B" w:rsidRPr="00AF1178">
        <w:t>雅思IELTS 6.5級以上。主要之申請人英語需具有雅思IELTS平均6.5分之標準始能申請技術移民。</w:t>
      </w:r>
    </w:p>
    <w:p w:rsidR="00E2504E" w:rsidRDefault="009A4731" w:rsidP="00E736D6">
      <w:pPr>
        <w:spacing w:line="240" w:lineRule="auto"/>
        <w:ind w:leftChars="0" w:left="0" w:rightChars="0" w:right="0"/>
      </w:pPr>
      <w:r w:rsidRPr="00AF1178">
        <w:t xml:space="preserve">　　</w:t>
      </w:r>
      <w:r w:rsidR="0049577B" w:rsidRPr="00AF1178">
        <w:t>3、澳洲：</w:t>
      </w:r>
    </w:p>
    <w:p w:rsidR="0049577B" w:rsidRPr="00AF1178" w:rsidRDefault="009A4731" w:rsidP="00E736D6">
      <w:pPr>
        <w:spacing w:line="240" w:lineRule="auto"/>
        <w:ind w:leftChars="0" w:left="0" w:rightChars="0" w:right="0"/>
      </w:pPr>
      <w:r w:rsidRPr="00AF1178">
        <w:t xml:space="preserve">　　</w:t>
      </w:r>
      <w:r w:rsidR="0049577B" w:rsidRPr="00AF1178">
        <w:t>雅思IELTS 8級以上可獲得20分；雅思IELTS 7級可獲得10分；雅思IELTS 6級計分為0分，但仍能申請技術工作簽證。</w:t>
      </w:r>
    </w:p>
    <w:p w:rsidR="0049577B" w:rsidRPr="00AF1178" w:rsidRDefault="009A4731" w:rsidP="00E736D6">
      <w:pPr>
        <w:spacing w:line="240" w:lineRule="auto"/>
        <w:ind w:leftChars="0" w:left="0" w:rightChars="0" w:right="0"/>
      </w:pPr>
      <w:r w:rsidRPr="00AF1178">
        <w:rPr>
          <w:rFonts w:hint="eastAsia"/>
        </w:rPr>
        <w:t xml:space="preserve">　　</w:t>
      </w:r>
      <w:r w:rsidR="0049577B" w:rsidRPr="00AF1178">
        <w:t>(四)境外及境內工作經驗：基本上，境內及境外相關技術工作經驗累積之年數愈多，可獲得分數愈高。</w:t>
      </w:r>
    </w:p>
    <w:p w:rsidR="0049577B" w:rsidRPr="00AF1178" w:rsidRDefault="009A4731" w:rsidP="00E736D6">
      <w:pPr>
        <w:spacing w:line="240" w:lineRule="auto"/>
        <w:ind w:leftChars="0" w:left="0" w:rightChars="0" w:right="0"/>
      </w:pPr>
      <w:r w:rsidRPr="00AF1178">
        <w:t xml:space="preserve">　　</w:t>
      </w:r>
      <w:r w:rsidR="0049577B" w:rsidRPr="00AF1178">
        <w:t>1、加拿大：</w:t>
      </w:r>
    </w:p>
    <w:p w:rsidR="0049577B" w:rsidRPr="00AF1178" w:rsidRDefault="009A4731" w:rsidP="00E736D6">
      <w:pPr>
        <w:spacing w:line="240" w:lineRule="auto"/>
        <w:ind w:leftChars="0" w:left="0" w:rightChars="0" w:right="0"/>
      </w:pPr>
      <w:r w:rsidRPr="00AF1178">
        <w:t xml:space="preserve">　　</w:t>
      </w:r>
      <w:r w:rsidR="0049577B" w:rsidRPr="00AF1178">
        <w:t>(1)境外工作經驗目前並無計分或加分。</w:t>
      </w:r>
    </w:p>
    <w:p w:rsidR="0049577B" w:rsidRPr="00AF1178" w:rsidRDefault="009A4731" w:rsidP="00E736D6">
      <w:pPr>
        <w:spacing w:line="240" w:lineRule="auto"/>
        <w:ind w:leftChars="0" w:left="0" w:rightChars="0" w:right="0"/>
      </w:pPr>
      <w:r w:rsidRPr="00AF1178">
        <w:t xml:space="preserve">　　</w:t>
      </w:r>
      <w:r w:rsidR="0049577B" w:rsidRPr="00AF1178">
        <w:t>(2)境內工作經驗，累積經驗年數6年(含以上)可得15分；4-5年13分；2-3年11分；1年9分。</w:t>
      </w:r>
    </w:p>
    <w:p w:rsidR="0049577B" w:rsidRPr="00AF1178" w:rsidRDefault="009A4731" w:rsidP="00E736D6">
      <w:pPr>
        <w:spacing w:line="240" w:lineRule="auto"/>
        <w:ind w:leftChars="0" w:left="0" w:rightChars="0" w:right="0"/>
      </w:pPr>
      <w:r w:rsidRPr="00AF1178">
        <w:t xml:space="preserve">　　</w:t>
      </w:r>
      <w:r w:rsidR="0049577B" w:rsidRPr="00AF1178">
        <w:t>2、紐西蘭：</w:t>
      </w:r>
    </w:p>
    <w:p w:rsidR="0049577B" w:rsidRPr="00AF1178" w:rsidRDefault="009A4731" w:rsidP="00E736D6">
      <w:pPr>
        <w:spacing w:line="240" w:lineRule="auto"/>
        <w:ind w:leftChars="0" w:left="0" w:rightChars="0" w:right="0"/>
      </w:pPr>
      <w:r w:rsidRPr="00AF1178">
        <w:t xml:space="preserve">　　</w:t>
      </w:r>
      <w:r w:rsidR="0049577B" w:rsidRPr="00AF1178">
        <w:t>(1)境外和申請技術移相關工作經驗，2年可獲得10分；4年15分；6年20分；8年25分；10年30分。</w:t>
      </w:r>
    </w:p>
    <w:p w:rsidR="0049577B" w:rsidRPr="00AF1178" w:rsidRDefault="009A4731" w:rsidP="00E736D6">
      <w:pPr>
        <w:spacing w:line="240" w:lineRule="auto"/>
        <w:ind w:leftChars="0" w:left="0" w:rightChars="0" w:right="0"/>
      </w:pPr>
      <w:r w:rsidRPr="00AF1178">
        <w:t xml:space="preserve">　　</w:t>
      </w:r>
      <w:r w:rsidR="0049577B" w:rsidRPr="00AF1178">
        <w:t>(2)紐西蘭境內工作經驗可加分，境內工作經驗又可分為一般境內工作經驗、未來將重點發展領域方面之工作經驗及技術短缺領域之工作經驗。一般境內工作經驗，1年可獲得5分；2年10分；3年或3年以上可獲得15分。未來將重點發展領域方面之工作經驗2-5年工作經驗可得10分；6年或6年以上之工作經驗可得15分。技術短缺領域之工作經驗2-5年工作經驗可得10分；6年或6年以上之工作經驗可得15分。</w:t>
      </w:r>
    </w:p>
    <w:p w:rsidR="0049577B" w:rsidRPr="00AF1178" w:rsidRDefault="009A4731" w:rsidP="00E736D6">
      <w:pPr>
        <w:spacing w:line="240" w:lineRule="auto"/>
        <w:ind w:leftChars="0" w:left="0" w:rightChars="0" w:right="0"/>
      </w:pPr>
      <w:r w:rsidRPr="00AF1178">
        <w:t xml:space="preserve">　　</w:t>
      </w:r>
      <w:r w:rsidR="0049577B" w:rsidRPr="00AF1178">
        <w:t>3、澳洲：</w:t>
      </w:r>
    </w:p>
    <w:p w:rsidR="0049577B" w:rsidRPr="00AF1178" w:rsidRDefault="009A4731" w:rsidP="00E736D6">
      <w:pPr>
        <w:spacing w:line="240" w:lineRule="auto"/>
        <w:ind w:leftChars="0" w:left="0" w:rightChars="0" w:right="0"/>
      </w:pPr>
      <w:r w:rsidRPr="00AF1178">
        <w:t xml:space="preserve">　　</w:t>
      </w:r>
      <w:r w:rsidR="0049577B" w:rsidRPr="00AF1178">
        <w:t>(1)與提名職業相關工作經驗，境內及境外工作經驗計分可累計，但最多採20分。境外與提名職業相關之海外工作經歷，過去10年裡至少3-5年從事相關技能工作可獲得5分；過去10年裡至少5-8年從事相關技能工作10分；過去10年裡至少8年以上從事相關技能工作15分。</w:t>
      </w:r>
    </w:p>
    <w:p w:rsidR="0049577B" w:rsidRPr="00AF1178" w:rsidRDefault="009A4731" w:rsidP="00E736D6">
      <w:pPr>
        <w:spacing w:line="240" w:lineRule="auto"/>
        <w:ind w:leftChars="0" w:left="0" w:rightChars="0" w:right="0"/>
      </w:pPr>
      <w:r w:rsidRPr="00AF1178">
        <w:t xml:space="preserve">　　</w:t>
      </w:r>
      <w:r w:rsidR="0049577B" w:rsidRPr="00AF1178">
        <w:t>(2)境內與提名職業相關之澳洲工作經歷，過去10年裡至少1-3年從事相關技能工作可獲得5分；過去10年裡至少3-5年從事相關技能工作10分；過去10年裡至少5-8年從事相關技能工作15分；過去10年裡至少8年以上從事相關技能工作20分。</w:t>
      </w:r>
    </w:p>
    <w:p w:rsidR="0049577B" w:rsidRPr="00AF1178" w:rsidRDefault="009A4731" w:rsidP="00E736D6">
      <w:pPr>
        <w:spacing w:line="240" w:lineRule="auto"/>
        <w:ind w:leftChars="0" w:left="0" w:rightChars="0" w:right="0"/>
      </w:pPr>
      <w:r w:rsidRPr="00AF1178">
        <w:rPr>
          <w:rFonts w:hint="eastAsia"/>
        </w:rPr>
        <w:t xml:space="preserve">　　</w:t>
      </w:r>
      <w:r w:rsidR="0049577B" w:rsidRPr="00AF1178">
        <w:t>(五)近親若為該國之永久居民或公民，是否可加分：加拿大及紐西蘭均可加分，澳洲則側重獨立技術移民及州政府或地方政府所提名技術移民，故並未有加分。</w:t>
      </w:r>
    </w:p>
    <w:p w:rsidR="00E2504E" w:rsidRDefault="009A4731" w:rsidP="00E736D6">
      <w:pPr>
        <w:spacing w:line="240" w:lineRule="auto"/>
        <w:ind w:leftChars="0" w:left="0" w:rightChars="0" w:right="0"/>
      </w:pPr>
      <w:r w:rsidRPr="00AF1178">
        <w:t xml:space="preserve">　　</w:t>
      </w:r>
      <w:r w:rsidR="0049577B" w:rsidRPr="00AF1178">
        <w:t>1、加拿大：</w:t>
      </w:r>
    </w:p>
    <w:p w:rsidR="0049577B" w:rsidRPr="00AF1178" w:rsidRDefault="009A4731" w:rsidP="00E736D6">
      <w:pPr>
        <w:spacing w:line="240" w:lineRule="auto"/>
        <w:ind w:leftChars="0" w:left="0" w:rightChars="0" w:right="0"/>
      </w:pPr>
      <w:r w:rsidRPr="00AF1178">
        <w:t xml:space="preserve">　　</w:t>
      </w:r>
      <w:r w:rsidR="0049577B" w:rsidRPr="00AF1178">
        <w:t>申請人或配偶之親戚(親戚包括：父母、祖父母、子女、孫子女、兄弟姊妹、伯叔姑舅姨、甥姪兒女等)已滿18歲居住在加拿大，且為加拿大永久居留居民或公民，則可獲得5分。</w:t>
      </w:r>
    </w:p>
    <w:p w:rsidR="00E2504E" w:rsidRDefault="009A4731" w:rsidP="00E736D6">
      <w:pPr>
        <w:spacing w:line="240" w:lineRule="auto"/>
        <w:ind w:leftChars="0" w:left="0" w:rightChars="0" w:right="0"/>
      </w:pPr>
      <w:r w:rsidRPr="00AF1178">
        <w:t xml:space="preserve">　　</w:t>
      </w:r>
      <w:r w:rsidR="0049577B" w:rsidRPr="00AF1178">
        <w:t>2、紐西蘭：</w:t>
      </w:r>
    </w:p>
    <w:p w:rsidR="0049577B" w:rsidRPr="00AF1178" w:rsidRDefault="009A4731" w:rsidP="00E736D6">
      <w:pPr>
        <w:spacing w:line="240" w:lineRule="auto"/>
        <w:ind w:leftChars="0" w:left="0" w:rightChars="0" w:right="0"/>
      </w:pPr>
      <w:r w:rsidRPr="00AF1178">
        <w:t xml:space="preserve">　　</w:t>
      </w:r>
      <w:r w:rsidR="0049577B" w:rsidRPr="00AF1178">
        <w:t>紐西蘭近親(成年申請者或其配偶之近親，包含父母、成年之兄弟姊妹及成年之子女)可獲得10分。</w:t>
      </w:r>
    </w:p>
    <w:p w:rsidR="00E2504E" w:rsidRDefault="009A4731" w:rsidP="00E736D6">
      <w:pPr>
        <w:spacing w:line="240" w:lineRule="auto"/>
        <w:ind w:leftChars="0" w:left="0" w:rightChars="0" w:right="0"/>
      </w:pPr>
      <w:r w:rsidRPr="00AF1178">
        <w:t xml:space="preserve">　　</w:t>
      </w:r>
      <w:r w:rsidR="0049577B" w:rsidRPr="00AF1178">
        <w:t>3、澳洲：</w:t>
      </w:r>
    </w:p>
    <w:p w:rsidR="0049577B" w:rsidRPr="00AF1178" w:rsidRDefault="009A4731" w:rsidP="00E736D6">
      <w:pPr>
        <w:spacing w:line="240" w:lineRule="auto"/>
        <w:ind w:leftChars="0" w:left="0" w:rightChars="0" w:right="0"/>
      </w:pPr>
      <w:r w:rsidRPr="00AF1178">
        <w:t xml:space="preserve">　　</w:t>
      </w:r>
      <w:r w:rsidR="0049577B" w:rsidRPr="00AF1178">
        <w:t>澳洲則無該項加分。</w:t>
      </w:r>
    </w:p>
    <w:p w:rsidR="0049577B" w:rsidRPr="00AF1178" w:rsidRDefault="009A4731" w:rsidP="00E736D6">
      <w:pPr>
        <w:spacing w:line="240" w:lineRule="auto"/>
        <w:ind w:leftChars="0" w:left="0" w:rightChars="0" w:right="0"/>
      </w:pPr>
      <w:r w:rsidRPr="00AF1178">
        <w:rPr>
          <w:rFonts w:hint="eastAsia"/>
        </w:rPr>
        <w:t xml:space="preserve">　　</w:t>
      </w:r>
      <w:r w:rsidR="0049577B" w:rsidRPr="00AF1178">
        <w:t>(六)在該國之留學經驗：若在該國曾有留學之經驗，加拿大、紐西蘭及澳洲均可以加分。</w:t>
      </w:r>
    </w:p>
    <w:p w:rsidR="00E2504E" w:rsidRDefault="009A4731" w:rsidP="00E736D6">
      <w:pPr>
        <w:spacing w:line="240" w:lineRule="auto"/>
        <w:ind w:leftChars="0" w:left="0" w:rightChars="0" w:right="0"/>
      </w:pPr>
      <w:r w:rsidRPr="00AF1178">
        <w:t xml:space="preserve">　　</w:t>
      </w:r>
      <w:r w:rsidR="0049577B" w:rsidRPr="00AF1178">
        <w:t>1、加拿大：</w:t>
      </w:r>
    </w:p>
    <w:p w:rsidR="0049577B" w:rsidRPr="00AF1178" w:rsidRDefault="009A4731" w:rsidP="00E736D6">
      <w:pPr>
        <w:spacing w:line="240" w:lineRule="auto"/>
        <w:ind w:leftChars="0" w:left="0" w:rightChars="0" w:right="0"/>
      </w:pPr>
      <w:r w:rsidRPr="00AF1178">
        <w:t xml:space="preserve">　　</w:t>
      </w:r>
      <w:r w:rsidR="0049577B" w:rsidRPr="00AF1178">
        <w:t>申請者在加拿大之中學或大學完成至少2年全時之課程，全時之課程指每週上課需達15小時以上，可獲得5分。</w:t>
      </w:r>
    </w:p>
    <w:p w:rsidR="00E2504E" w:rsidRDefault="009A4731" w:rsidP="00E736D6">
      <w:pPr>
        <w:spacing w:line="240" w:lineRule="auto"/>
        <w:ind w:leftChars="0" w:left="0" w:rightChars="0" w:right="0"/>
      </w:pPr>
      <w:r w:rsidRPr="00AF1178">
        <w:t xml:space="preserve">　　</w:t>
      </w:r>
      <w:r w:rsidR="0049577B" w:rsidRPr="00AF1178">
        <w:t>2、紐西蘭：</w:t>
      </w:r>
    </w:p>
    <w:p w:rsidR="0049577B" w:rsidRPr="00AF1178" w:rsidRDefault="009A4731" w:rsidP="00E736D6">
      <w:pPr>
        <w:spacing w:line="240" w:lineRule="auto"/>
        <w:ind w:leftChars="0" w:left="0" w:rightChars="0" w:right="0"/>
      </w:pPr>
      <w:r w:rsidRPr="00AF1178">
        <w:t xml:space="preserve">　　</w:t>
      </w:r>
      <w:r w:rsidR="0049577B" w:rsidRPr="00AF1178">
        <w:t>在紐西蘭全時就讀至少2年，並完成紐西蘭認可之學士學歷可獲得10分；在紐西蘭全時就讀至少1年，並完成紐西蘭認可之學士後學歷可得10分；在紐西蘭全時就讀至少2年，並完成紐西蘭認可之學士後學歷可得15分。</w:t>
      </w:r>
    </w:p>
    <w:p w:rsidR="00E2504E" w:rsidRDefault="009A4731" w:rsidP="00E736D6">
      <w:pPr>
        <w:spacing w:line="240" w:lineRule="auto"/>
        <w:ind w:leftChars="0" w:left="0" w:rightChars="0" w:right="0"/>
      </w:pPr>
      <w:r w:rsidRPr="00AF1178">
        <w:t xml:space="preserve">　　</w:t>
      </w:r>
      <w:r w:rsidR="0049577B" w:rsidRPr="00AF1178">
        <w:t>3、澳洲：</w:t>
      </w:r>
    </w:p>
    <w:p w:rsidR="0049577B" w:rsidRPr="00AF1178" w:rsidRDefault="009A4731" w:rsidP="00E736D6">
      <w:pPr>
        <w:spacing w:line="240" w:lineRule="auto"/>
        <w:ind w:leftChars="0" w:left="0" w:rightChars="0" w:right="0"/>
      </w:pPr>
      <w:r w:rsidRPr="00AF1178">
        <w:t xml:space="preserve">　　</w:t>
      </w:r>
      <w:r w:rsidR="0049577B" w:rsidRPr="00AF1178">
        <w:t>符合澳洲就讀資格，且這段期間住在澳洲特定地居或人口低度成長之都市，並在該些地區校園修習課程，但不包含遠距離教學之課程，若符合上述資格可得5分。</w:t>
      </w:r>
    </w:p>
    <w:p w:rsidR="0049577B" w:rsidRPr="00AF1178" w:rsidRDefault="009A4731" w:rsidP="00E736D6">
      <w:pPr>
        <w:spacing w:line="240" w:lineRule="auto"/>
        <w:ind w:leftChars="0" w:left="0" w:rightChars="0" w:right="0"/>
      </w:pPr>
      <w:r w:rsidRPr="00AF1178">
        <w:rPr>
          <w:rFonts w:hint="eastAsia"/>
        </w:rPr>
        <w:t xml:space="preserve">　　</w:t>
      </w:r>
      <w:r w:rsidR="0049577B" w:rsidRPr="00AF1178">
        <w:t>(七)配偶符合一定條件可加分：加拿大、紐西蘭及澳洲均可以加分。</w:t>
      </w:r>
    </w:p>
    <w:p w:rsidR="00E2504E" w:rsidRDefault="009A4731" w:rsidP="00E736D6">
      <w:pPr>
        <w:spacing w:line="240" w:lineRule="auto"/>
        <w:ind w:leftChars="0" w:left="0" w:rightChars="0" w:right="0"/>
      </w:pPr>
      <w:r w:rsidRPr="00AF1178">
        <w:t xml:space="preserve">　　</w:t>
      </w:r>
      <w:r w:rsidR="0049577B" w:rsidRPr="00AF1178">
        <w:t>1、加拿大：</w:t>
      </w:r>
    </w:p>
    <w:p w:rsidR="0049577B" w:rsidRPr="00AF1178" w:rsidRDefault="009A4731" w:rsidP="00E736D6">
      <w:pPr>
        <w:spacing w:line="240" w:lineRule="auto"/>
        <w:ind w:leftChars="0" w:left="0" w:rightChars="0" w:right="0"/>
      </w:pPr>
      <w:r w:rsidRPr="00AF1178">
        <w:t xml:space="preserve">　　</w:t>
      </w:r>
      <w:r w:rsidR="0049577B" w:rsidRPr="00AF1178">
        <w:t>配偶之語言能力英語或法文均達CLB4級或以上可得5分；配偶在加拿大之中學或大學完成至少2年全時之課程，全時之課程指每週上課需達15小時以上可得5分；配偶持有加拿大有效之工作許可證並有1年或以上之全職工作可得5分。</w:t>
      </w:r>
    </w:p>
    <w:p w:rsidR="00E2504E" w:rsidRDefault="009A4731" w:rsidP="00E736D6">
      <w:pPr>
        <w:spacing w:line="240" w:lineRule="auto"/>
        <w:ind w:leftChars="0" w:left="0" w:rightChars="0" w:right="0"/>
      </w:pPr>
      <w:r w:rsidRPr="00AF1178">
        <w:t xml:space="preserve">　　</w:t>
      </w:r>
      <w:r w:rsidR="0049577B" w:rsidRPr="00AF1178">
        <w:t>2、紐西蘭：</w:t>
      </w:r>
    </w:p>
    <w:p w:rsidR="0049577B" w:rsidRPr="00AF1178" w:rsidRDefault="009A4731" w:rsidP="00E736D6">
      <w:pPr>
        <w:spacing w:line="240" w:lineRule="auto"/>
        <w:ind w:leftChars="0" w:left="0" w:rightChars="0" w:right="0"/>
      </w:pPr>
      <w:r w:rsidRPr="00AF1178">
        <w:t xml:space="preserve">　　</w:t>
      </w:r>
      <w:r w:rsidR="0049577B" w:rsidRPr="00AF1178">
        <w:t>配偶已經在紐西蘭工作或者獲得紐西蘭僱主提供就業邀請可得20分；配偶具備認可之4-6級基本學歷可得10分；配偶具備認可之7級及7級以上基本學歷可得20分。</w:t>
      </w:r>
    </w:p>
    <w:p w:rsidR="00E2504E" w:rsidRDefault="009A4731" w:rsidP="00E736D6">
      <w:pPr>
        <w:spacing w:line="240" w:lineRule="auto"/>
        <w:ind w:leftChars="0" w:left="0" w:rightChars="0" w:right="0"/>
      </w:pPr>
      <w:r w:rsidRPr="00AF1178">
        <w:t xml:space="preserve">　　</w:t>
      </w:r>
      <w:r w:rsidR="0049577B" w:rsidRPr="00AF1178">
        <w:t>3、澳洲：</w:t>
      </w:r>
    </w:p>
    <w:p w:rsidR="0049577B" w:rsidRPr="00AF1178" w:rsidRDefault="009A4731" w:rsidP="00E736D6">
      <w:pPr>
        <w:spacing w:line="240" w:lineRule="auto"/>
        <w:ind w:leftChars="0" w:left="0" w:rightChars="0" w:right="0"/>
      </w:pPr>
      <w:r w:rsidRPr="00AF1178">
        <w:t xml:space="preserve">　　</w:t>
      </w:r>
      <w:r w:rsidR="0049577B" w:rsidRPr="00AF1178">
        <w:t>配偶必須亦提出該簽證申請。配偶申請職業類別必須為提名職業相關技能。配偶符合申請之「基本條件」，包括年齡(50歲以下)、英語程度(雅思聽說讀寫4項均6級分以上)。若申請者之配偶已是澳洲之永久居留者及公民時，該項分數則無法被承認。為相關當局評定配偶具有職業名單上所需之技能則可得5分。</w:t>
      </w:r>
    </w:p>
    <w:p w:rsidR="0049577B" w:rsidRPr="00AF1178" w:rsidRDefault="009A4731" w:rsidP="00E736D6">
      <w:pPr>
        <w:spacing w:line="240" w:lineRule="auto"/>
        <w:ind w:leftChars="0" w:left="0" w:rightChars="0" w:right="0"/>
      </w:pPr>
      <w:r w:rsidRPr="00AF1178">
        <w:rPr>
          <w:rFonts w:hint="eastAsia"/>
        </w:rPr>
        <w:t xml:space="preserve">　　</w:t>
      </w:r>
      <w:r w:rsidR="0049577B" w:rsidRPr="00AF1178">
        <w:t>(八)是否能在該國工作並成為該國永久居留之居民：加拿大、紐西蘭及澳洲該類型之技術工作者均可長期在該國工作並成為永久居留之居民。</w:t>
      </w:r>
    </w:p>
    <w:p w:rsidR="0049577B" w:rsidRPr="00AF1178" w:rsidRDefault="009A4731" w:rsidP="00E736D6">
      <w:pPr>
        <w:spacing w:line="240" w:lineRule="auto"/>
        <w:ind w:leftChars="0" w:left="0" w:rightChars="0" w:right="0"/>
      </w:pPr>
      <w:r w:rsidRPr="00AF1178">
        <w:t xml:space="preserve">　　</w:t>
      </w:r>
      <w:r w:rsidR="0049577B" w:rsidRPr="00AF1178">
        <w:t>1、加拿大：僅要符合該類型之技術工作者就能在加拿大工作並成為永久居留之居民。</w:t>
      </w:r>
    </w:p>
    <w:p w:rsidR="0049577B" w:rsidRPr="00AF1178" w:rsidRDefault="009A4731" w:rsidP="00E736D6">
      <w:pPr>
        <w:spacing w:line="240" w:lineRule="auto"/>
        <w:ind w:leftChars="0" w:left="0" w:rightChars="0" w:right="0"/>
      </w:pPr>
      <w:r w:rsidRPr="00AF1178">
        <w:t xml:space="preserve">　　</w:t>
      </w:r>
      <w:r w:rsidR="0049577B" w:rsidRPr="00AF1178">
        <w:t>2、紐西蘭：僅要符合該類型之技術工作者就能在紐西蘭工作並成為永久居留之居民。</w:t>
      </w:r>
    </w:p>
    <w:p w:rsidR="0049577B" w:rsidRPr="00AF1178" w:rsidRDefault="009A4731" w:rsidP="00E736D6">
      <w:pPr>
        <w:spacing w:line="240" w:lineRule="auto"/>
        <w:ind w:leftChars="0" w:left="0" w:rightChars="0" w:right="0"/>
      </w:pPr>
      <w:r w:rsidRPr="00AF1178">
        <w:t xml:space="preserve">　　</w:t>
      </w:r>
      <w:r w:rsidR="0049577B" w:rsidRPr="00AF1178">
        <w:t>3、澳洲：僅要符合該類型之技術工作者就能在澳洲工作並成為永久居留之居民。</w:t>
      </w:r>
    </w:p>
    <w:p w:rsidR="0049577B" w:rsidRPr="00AF1178" w:rsidRDefault="009A4731" w:rsidP="00E736D6">
      <w:pPr>
        <w:spacing w:line="240" w:lineRule="auto"/>
        <w:ind w:leftChars="0" w:left="0" w:rightChars="0" w:right="0"/>
      </w:pPr>
      <w:r w:rsidRPr="00AF1178">
        <w:rPr>
          <w:rFonts w:hint="eastAsia"/>
        </w:rPr>
        <w:t xml:space="preserve">　　</w:t>
      </w:r>
      <w:r w:rsidR="0049577B" w:rsidRPr="00AF1178">
        <w:t>(九)申請技術移民之門檻：加拿大；紐西蘭；澳洲。</w:t>
      </w:r>
    </w:p>
    <w:p w:rsidR="0049577B" w:rsidRPr="00AF1178" w:rsidRDefault="009A4731" w:rsidP="00E736D6">
      <w:pPr>
        <w:spacing w:line="240" w:lineRule="auto"/>
        <w:ind w:leftChars="0" w:left="0" w:rightChars="0" w:right="0"/>
      </w:pPr>
      <w:r w:rsidRPr="00AF1178">
        <w:t xml:space="preserve">　　</w:t>
      </w:r>
      <w:r w:rsidR="0049577B" w:rsidRPr="00AF1178">
        <w:t>1、加拿大：滿分為100分，最低門檻為67分。</w:t>
      </w:r>
    </w:p>
    <w:p w:rsidR="0049577B" w:rsidRPr="00AF1178" w:rsidRDefault="009A4731" w:rsidP="00E736D6">
      <w:pPr>
        <w:spacing w:line="240" w:lineRule="auto"/>
        <w:ind w:leftChars="0" w:left="0" w:rightChars="0" w:right="0"/>
      </w:pPr>
      <w:r w:rsidRPr="00AF1178">
        <w:t xml:space="preserve">　　</w:t>
      </w:r>
      <w:r w:rsidR="0049577B" w:rsidRPr="00AF1178">
        <w:t>2、紐西蘭：獲得計分100分之申請者始有機會在線上意向申請「Expression of Interest」(EOI)系統中被選進意向申請(EOI)之池子裡，另外至少要獲得140分以上，系統始會自動選取並由紐西蘭移民當局進行評估，分數愈高，技術移民獲選之機會愈大。</w:t>
      </w:r>
    </w:p>
    <w:p w:rsidR="00321574" w:rsidRDefault="009A4731" w:rsidP="00E736D6">
      <w:pPr>
        <w:spacing w:line="240" w:lineRule="auto"/>
        <w:ind w:leftChars="0" w:left="0" w:rightChars="0" w:right="0"/>
      </w:pPr>
      <w:r w:rsidRPr="00AF1178">
        <w:t xml:space="preserve">　　</w:t>
      </w:r>
      <w:r w:rsidR="0049577B" w:rsidRPr="00AF1178">
        <w:t>3、澳洲：</w:t>
      </w:r>
    </w:p>
    <w:p w:rsidR="0049577B" w:rsidRPr="00AF1178" w:rsidRDefault="009A4731" w:rsidP="00E736D6">
      <w:pPr>
        <w:spacing w:line="240" w:lineRule="auto"/>
        <w:ind w:leftChars="0" w:left="0" w:rightChars="0" w:right="0"/>
      </w:pPr>
      <w:r w:rsidRPr="00AF1178">
        <w:t xml:space="preserve">　　</w:t>
      </w:r>
      <w:r w:rsidR="0049577B" w:rsidRPr="00AF1178">
        <w:t>簽證189及簽證190為永久工作簽證，至少要得到60分以上始能提出申請。</w:t>
      </w:r>
    </w:p>
    <w:p w:rsidR="0049577B" w:rsidRPr="00EF79BE" w:rsidRDefault="00EF79BE" w:rsidP="00321574">
      <w:pPr>
        <w:pStyle w:val="1fb"/>
        <w:spacing w:before="90" w:after="90"/>
        <w:ind w:left="444" w:hanging="184"/>
        <w:jc w:val="right"/>
        <w:rPr>
          <w:b w:val="0"/>
        </w:rPr>
      </w:pPr>
      <w:r w:rsidRPr="00EF79BE">
        <w:rPr>
          <w:rFonts w:eastAsia="標楷體" w:hint="eastAsia"/>
          <w:b w:val="0"/>
        </w:rPr>
        <w:t>。。。。。。。。。。。。。。</w:t>
      </w:r>
      <w:hyperlink w:anchor="a2" w:history="1">
        <w:r w:rsidRPr="00EF79BE">
          <w:rPr>
            <w:rStyle w:val="a7"/>
            <w:b w:val="0"/>
            <w:sz w:val="24"/>
            <w:lang w:eastAsia="zh-TW"/>
          </w:rPr>
          <w:t>回本章</w:t>
        </w:r>
      </w:hyperlink>
      <w:r w:rsidRPr="00EF79BE">
        <w:rPr>
          <w:rFonts w:eastAsia="標楷體"/>
          <w:b w:val="0"/>
          <w:color w:val="808000"/>
          <w:sz w:val="20"/>
        </w:rPr>
        <w:t>〉〉</w:t>
      </w:r>
      <w:hyperlink w:anchor="a目次2" w:history="1">
        <w:r w:rsidRPr="00EF79BE">
          <w:rPr>
            <w:rStyle w:val="a7"/>
            <w:b w:val="0"/>
            <w:sz w:val="22"/>
            <w:lang w:eastAsia="zh-TW"/>
          </w:rPr>
          <w:t>回總目次</w:t>
        </w:r>
      </w:hyperlink>
      <w:r w:rsidRPr="00EF79BE">
        <w:rPr>
          <w:b w:val="0"/>
          <w:color w:val="808000"/>
          <w:sz w:val="22"/>
        </w:rPr>
        <w:t>〉〉</w:t>
      </w:r>
    </w:p>
    <w:p w:rsidR="0049577B" w:rsidRPr="00B40DC1" w:rsidRDefault="0049577B" w:rsidP="002F19DE">
      <w:pPr>
        <w:pStyle w:val="2"/>
      </w:pPr>
      <w:bookmarkStart w:id="62" w:name="_柒、加拿大、紐西蘭與澳洲之評點制技術移民政策之優點與缺點"/>
      <w:bookmarkEnd w:id="62"/>
      <w:r w:rsidRPr="00B40DC1">
        <w:t>柒、加拿大、紐西蘭與澳洲之評點制技術移民政策之優點與缺點</w:t>
      </w:r>
    </w:p>
    <w:p w:rsidR="0049577B" w:rsidRPr="00AF1178" w:rsidRDefault="00AF1178" w:rsidP="00EC0EE2">
      <w:pPr>
        <w:spacing w:line="240" w:lineRule="auto"/>
        <w:ind w:leftChars="0" w:left="0" w:rightChars="0" w:right="0"/>
      </w:pPr>
      <w:r w:rsidRPr="00AF1178">
        <w:rPr>
          <w:rFonts w:hint="eastAsia"/>
        </w:rPr>
        <w:t xml:space="preserve">　　</w:t>
      </w:r>
      <w:r w:rsidR="0049577B" w:rsidRPr="00AF1178">
        <w:t>一、加拿大、紐西蘭與澳洲之評點制技術移民政策之優點</w:t>
      </w:r>
    </w:p>
    <w:p w:rsidR="0049577B" w:rsidRPr="00AF1178" w:rsidRDefault="00AF1178" w:rsidP="00EC0EE2">
      <w:pPr>
        <w:spacing w:line="240" w:lineRule="auto"/>
        <w:ind w:leftChars="0" w:left="0" w:rightChars="0" w:right="0"/>
      </w:pPr>
      <w:r w:rsidRPr="00AF1178">
        <w:rPr>
          <w:rFonts w:hint="eastAsia"/>
        </w:rPr>
        <w:t xml:space="preserve">　　</w:t>
      </w:r>
      <w:r w:rsidR="0049577B" w:rsidRPr="00AF1178">
        <w:t>(一)「評點制」是一套客觀量化制度</w:t>
      </w:r>
    </w:p>
    <w:p w:rsidR="0049577B" w:rsidRPr="00B40DC1" w:rsidRDefault="0049577B" w:rsidP="00EC0EE2">
      <w:pPr>
        <w:spacing w:line="240" w:lineRule="auto"/>
        <w:ind w:leftChars="0" w:left="0" w:rightChars="0" w:right="0"/>
      </w:pPr>
      <w:r w:rsidRPr="00B40DC1">
        <w:t>相較於台灣之審查制</w:t>
      </w:r>
      <w:r w:rsidRPr="00AF1178">
        <w:rPr>
          <w:rStyle w:val="af7"/>
          <w:rFonts w:eastAsia="新細明體"/>
          <w:sz w:val="20"/>
        </w:rPr>
        <w:footnoteReference w:id="399"/>
      </w:r>
      <w:r w:rsidRPr="00B40DC1">
        <w:t>，本文認為，審查制委員有時候較主觀，比較沒有公平性，因為沒有一套客觀計算分數之標準，即為一群委員共同開會，審查國內需要之技術人才。相較於審查制，加拿大、紐西蘭與澳洲之評點制技術移民之機制，「評點制」作為遴選引進國外技術移民之制度，有一套客觀標準以利篩選出符合國內所需之技術人員，評點制有其很好之公平性制度及一個SOP流程，已有既定之規矩，相對而言，加拿大、紐西蘭與澳洲之評點制技術移民之機制，政府在執行政策上會很好執行，符合設定條件技術移民，均可以進來，其至申請者之條件可以得幾分、目前排名第幾名均可以量化，並且比較科學化。</w:t>
      </w:r>
    </w:p>
    <w:p w:rsidR="0049577B" w:rsidRPr="00B40DC1" w:rsidRDefault="00AF1178" w:rsidP="00EC0EE2">
      <w:pPr>
        <w:spacing w:line="240" w:lineRule="auto"/>
        <w:ind w:leftChars="0" w:left="0" w:rightChars="0" w:right="0"/>
      </w:pPr>
      <w:r>
        <w:t xml:space="preserve">　　</w:t>
      </w:r>
      <w:r w:rsidR="0049577B" w:rsidRPr="00B40DC1">
        <w:t>另一方面，評點制可配合加拿大、紐西蘭與澳洲之整個國家政策之大方向發展，可藉由年齡、教育程度、語文能力及工作經驗等項目之調整及設定，加拿大、紐西蘭與澳洲可遴選出適合國內需要引進之技術人才。</w:t>
      </w:r>
    </w:p>
    <w:p w:rsidR="0049577B" w:rsidRPr="00B40DC1" w:rsidRDefault="00AF1178" w:rsidP="00EC0EE2">
      <w:pPr>
        <w:spacing w:line="240" w:lineRule="auto"/>
        <w:ind w:leftChars="0" w:left="0" w:rightChars="0" w:right="0"/>
      </w:pPr>
      <w:r>
        <w:t xml:space="preserve">　　</w:t>
      </w:r>
      <w:r w:rsidR="0049577B" w:rsidRPr="00B40DC1">
        <w:t>計分制的優點就是說你可以各方面去吸收，就是說廣泛被知道，因為你可能就是利用網路或者是媒體雜誌，外國人看到就知道了。我覺得就是說，外國人可能容易去那個國家，假設我在線上申請，我就可以來試試看，假設說有一個人，符合這個技術移民的條件，他就會試試看，因為目前我們是沒有這套制度及線上申請啦，所以外國人不知道。所以這有可能有辦法提升外國優秀人才來臺灣的人數。而且計分制的優點較客觀有一個標準可以篩選，而審查制的委員有時候很主觀。(C-6-1)</w:t>
      </w:r>
    </w:p>
    <w:p w:rsidR="0049577B" w:rsidRPr="00B40DC1" w:rsidRDefault="00AF1178" w:rsidP="00EC0EE2">
      <w:pPr>
        <w:spacing w:line="240" w:lineRule="auto"/>
        <w:ind w:leftChars="0" w:left="0" w:rightChars="0" w:right="0"/>
      </w:pPr>
      <w:r>
        <w:t xml:space="preserve">　　</w:t>
      </w:r>
      <w:r w:rsidR="0049577B" w:rsidRPr="00B40DC1">
        <w:t>梅花卡的遴選就是請相關部會來開會，然後幫忙審查出來的。聯審會…當然這跟計分制比較的話，它是比較沒有公平性的，因為它沒有一套算分數的標準，就那一群人在那裡審。(D-3-9)</w:t>
      </w:r>
    </w:p>
    <w:p w:rsidR="0049577B" w:rsidRPr="00B40DC1" w:rsidRDefault="00AF1178" w:rsidP="00EC0EE2">
      <w:pPr>
        <w:spacing w:line="240" w:lineRule="auto"/>
        <w:ind w:leftChars="0" w:left="0" w:rightChars="0" w:right="0"/>
      </w:pPr>
      <w:r>
        <w:t xml:space="preserve">　　</w:t>
      </w:r>
      <w:r w:rsidR="0049577B" w:rsidRPr="00B40DC1">
        <w:t>計分制的優點就是有一個很好的公平性，站在政府的立場，可以有一個很好的制度及一個SOP去篩選什麼樣的人的可以進來，相對的政府在執行上會很好執行，我規矩都訂在那裡了，符合的就都進來。(D-6-1)</w:t>
      </w:r>
    </w:p>
    <w:p w:rsidR="0049577B" w:rsidRPr="00B40DC1" w:rsidRDefault="00AF1178" w:rsidP="00EC0EE2">
      <w:pPr>
        <w:spacing w:line="240" w:lineRule="auto"/>
        <w:ind w:leftChars="0" w:left="0" w:rightChars="0" w:right="0"/>
      </w:pPr>
      <w:r>
        <w:t xml:space="preserve">　　</w:t>
      </w:r>
      <w:r w:rsidR="0049577B" w:rsidRPr="00B40DC1">
        <w:t>我覺得這個計分制當然很好，可是就還是要回到剛才我們之前在討論的那個區塊，就是計分制都很好，而且很量化也會比較公平…(E-6-1)</w:t>
      </w:r>
    </w:p>
    <w:p w:rsidR="0049577B" w:rsidRPr="00B40DC1" w:rsidRDefault="00AF1178" w:rsidP="00EC0EE2">
      <w:pPr>
        <w:spacing w:line="240" w:lineRule="auto"/>
        <w:ind w:leftChars="0" w:left="0" w:rightChars="0" w:right="0"/>
      </w:pPr>
      <w:r>
        <w:t xml:space="preserve">　　</w:t>
      </w:r>
      <w:r w:rsidR="0049577B" w:rsidRPr="00B40DC1">
        <w:t>如果是國外當然很好啊，因為如果就國外當然這個制度很好，因為之前我看過一些資料，其實你計分制講白一點，他就是一個篩選的機制。然後這個篩選的機制，他只是讓它比較客觀具體化嘛，那你當然不用計分制也可以做啊，我就個案來審就好了。那你這個計分制，我個人認為當然很好，就是你讓他客觀化，比如說，你讓他客觀化，你讓我可以期待嘛就是說，比如說，假設我要移民到澳洲去，我就把我所有的工作經驗等相關資料我可能就是託移民公司幫我送，那送了之後，我就知道我得幾分，而且我不知道他可不可以排出來說，若可以排出來，我大概什麼時候我可以排到嘛，那我可以期待，那當然這制度很好，很量化…。他一定是比較客觀啊，他一定會比單純這樣申請，甚至你國家就可以知道說，我相信他一定是，他相關的部會，他還都已經評核過說好，比如說我氣象我什麼需要多少人嘛，那當然很好啊。(E-6-4)</w:t>
      </w:r>
    </w:p>
    <w:p w:rsidR="0049577B" w:rsidRPr="00B40DC1" w:rsidRDefault="00016E69" w:rsidP="00EC0EE2">
      <w:pPr>
        <w:spacing w:line="240" w:lineRule="auto"/>
        <w:ind w:leftChars="0" w:left="0" w:rightChars="0" w:right="0"/>
      </w:pPr>
      <w:r>
        <w:t xml:space="preserve">　　</w:t>
      </w:r>
      <w:r w:rsidR="0049577B" w:rsidRPr="00B40DC1">
        <w:t>你問到審查制它的缺點，應該就是評點制的優點嘛，可能那個標準不是很明確嘛，比較不科學。就是有時候委員他會有他自己的判斷。比如說或許其實申請人他具有某方面的專業，但是委員覺得他還不夠專業，會不會也有可能?也有可能啊。之前有過這樣的一個例子，有一些有人來申請我們之前有委員認為他年紀太大。之前委員覺得申請人不夠專業的也有啊，不夠專業他可能就說怎麼他的學術成就可能還沒到怎麼樣。聯審會中委員在審查應該是綜合考量啦，夠不夠專業，年紀會不會太大，也是委員考慮的一個範圍。這我也很難講啊，因為評點制裡面年齡也是一個很重要的因素啊。(F-4-3)</w:t>
      </w:r>
    </w:p>
    <w:p w:rsidR="0049577B" w:rsidRPr="00B40DC1" w:rsidRDefault="00AF1178" w:rsidP="00EC0EE2">
      <w:pPr>
        <w:spacing w:line="240" w:lineRule="auto"/>
        <w:ind w:leftChars="0" w:left="0" w:rightChars="0" w:right="0"/>
      </w:pPr>
      <w:r>
        <w:t xml:space="preserve">　　</w:t>
      </w:r>
      <w:r w:rsidR="0049577B" w:rsidRPr="00B40DC1">
        <w:t>你說那個計分制，我對計分制的看法就是，當然他們標準，應該就是跟加拿大、紐西蘭、澳洲的技術移民計分制，它其實就跟我們僑外生評點制很像。還有設說你這個樣可以得幾分，這個優點是很明確啦。然後想移民的也知道說，那我要方向，我適合什麼，可能國內產業，不過國內產業可能就可以說，像我們國內的各行各業它可以參與在這個計分制，計分制要端出來之前，他們可以有機會跟主管機關討論說他們要什麼樣的人，要多少人，那就是說他們可以參與移民政策訂出一個標準來啦。(F-6-1)</w:t>
      </w:r>
    </w:p>
    <w:p w:rsidR="0049577B" w:rsidRPr="00B40DC1" w:rsidRDefault="00AF1178" w:rsidP="00EC0EE2">
      <w:pPr>
        <w:spacing w:line="240" w:lineRule="auto"/>
        <w:ind w:leftChars="0" w:left="0" w:rightChars="0" w:right="0"/>
      </w:pPr>
      <w:r>
        <w:t xml:space="preserve">　　</w:t>
      </w:r>
      <w:r w:rsidR="0049577B" w:rsidRPr="00B40DC1">
        <w:t>計分制優點的話，原則上是在一些國家，就是這些未來移民想要進去的國家，比較想要進去的國家，那對他們國家來講，他們做了一些篩選他們想要的，然後這個也可以減緩他們人口老化的問題，這是他們最大的一個優點啊。如果是以計分制跟我們的審查制度這兩個來比較，那計分制可以篩選到他想要的這些人才啦。因為他已經在還沒進來的時候，已經做了一些類別的一個加分，你有哪一方面的專長，那是因為看他們國家要爭取哪一些人才，這是比較彈性的一個做法，在制度上是最大的優點，就是在國家的一個人才缺哪一類的時候，他可以在這個計分制上面去調整哪一個類別上面的人才，我可以加比較多的分數。那原則上像我就不會因為招進來的人而不能用的這種疑慮，就是他最大的一個優點，其實他類別已經開出來了，類別因為分的很細，那個名額及類別都可以調整啊。這類別加名額，他已經擺在那，所以他很清楚國家要的是什麼樣的人才，所以招進來不會過剩也不會不夠。他應該是說他整個國內的一個企業的脈動跟國家政府這一方面，應該做了一個相當程度的一個溝通啦。然後還有一定的管道啦，可以就是對整個企業所需的人，然後提供給他們政府，由政府來協助企業招募。(G-6-1)</w:t>
      </w:r>
    </w:p>
    <w:p w:rsidR="0049577B" w:rsidRPr="00B40DC1" w:rsidRDefault="00AF1178" w:rsidP="00EC0EE2">
      <w:pPr>
        <w:spacing w:line="240" w:lineRule="auto"/>
        <w:ind w:leftChars="0" w:left="0" w:rightChars="0" w:right="0"/>
      </w:pPr>
      <w:r>
        <w:t xml:space="preserve">　　</w:t>
      </w:r>
      <w:r w:rsidR="0049577B" w:rsidRPr="00B40DC1">
        <w:t>我之前也為了要修</w:t>
      </w:r>
      <w:hyperlink r:id="rId282" w:history="1">
        <w:r w:rsidR="0049577B" w:rsidRPr="004501CB">
          <w:rPr>
            <w:rStyle w:val="a7"/>
            <w:rFonts w:cs="Times New Roman"/>
            <w:lang w:eastAsia="zh-TW" w:bidi="ar-SA"/>
          </w:rPr>
          <w:t>外國人停留居留及永久居留辦法</w:t>
        </w:r>
      </w:hyperlink>
      <w:r w:rsidR="0049577B" w:rsidRPr="00B40DC1">
        <w:t>，也有去瞭解嘛。我覺得他們計分制這樣子其實是比較科學化的依據，然後也可能會更能夠配合我們的整個經濟建設發展上，我們政府想要的人才，那個主責單位以前的經建會嘛，現在是國發會。(H-3-8)</w:t>
      </w:r>
    </w:p>
    <w:p w:rsidR="0049577B" w:rsidRPr="00B40DC1" w:rsidRDefault="00AF1178" w:rsidP="00EC0EE2">
      <w:pPr>
        <w:spacing w:line="240" w:lineRule="auto"/>
        <w:ind w:leftChars="0" w:left="0" w:rightChars="0" w:right="0"/>
      </w:pPr>
      <w:r>
        <w:t xml:space="preserve">　　</w:t>
      </w:r>
      <w:r w:rsidR="0049577B" w:rsidRPr="00B40DC1">
        <w:t>計分制的優點，它比較科學化，然後比較可以配合我們整個政府整個國家大方向的這個發展嘛，然後像年齡啊、教育程度、語文能力、工作經驗，這個也可以說，對於我們就業市場上，我們到底比較欠缺哪方面的人才，或者是說我們可以從年紀上面可以看出說什麼樣年齡層的哪一個類別的剛好是我們所需要的。像之前不是加拿大他們有一陣子，就是像美國、加拿大，加拿大護士慌，比如說像亞洲的護士他們值夜班可以啊，亞洲人無所謂啊，反正我值夜班我可以賺比較多，那白人覺得他們護士工作很辛苦，然後他們也不想去值夜班，然後加拿大他們就有這樣子的一個計分制，然後就可以去吸引臺灣，亞洲也有不少人用這種方式，我是護士等於說專技的認證，就可以移民到加拿大啊，這都是它的優點啊。(H-6-1)</w:t>
      </w:r>
    </w:p>
    <w:p w:rsidR="0049577B" w:rsidRPr="00AF1178" w:rsidRDefault="00AF1178" w:rsidP="00EC0EE2">
      <w:pPr>
        <w:spacing w:line="240" w:lineRule="auto"/>
        <w:ind w:leftChars="0" w:left="0" w:rightChars="0" w:right="0"/>
      </w:pPr>
      <w:r>
        <w:t xml:space="preserve">　　</w:t>
      </w:r>
      <w:r w:rsidR="0049577B" w:rsidRPr="00AF1178">
        <w:t>(二)「評點制」遴選出移民之素質較齊全</w:t>
      </w:r>
    </w:p>
    <w:p w:rsidR="0049577B" w:rsidRPr="00B40DC1" w:rsidRDefault="00AF1178" w:rsidP="00EC0EE2">
      <w:pPr>
        <w:spacing w:line="240" w:lineRule="auto"/>
        <w:ind w:leftChars="0" w:left="0" w:rightChars="0" w:right="0"/>
      </w:pPr>
      <w:r>
        <w:t xml:space="preserve">　　</w:t>
      </w:r>
      <w:r w:rsidR="0049577B" w:rsidRPr="00B40DC1">
        <w:t>以評點制作為引進國外技術人才之標準，由於評點制已經有一套客觀制度設計，這套制度之設計可藉由年齡、教育程度、語文能力及工作經驗等變項來適時作微調，並篩選出加拿大、紐西蘭與澳洲之國內需要之技術移民，經由評點制這套制度設計所篩選出來之技術移民，相對地素質均較齊全。藉由年齡、教育程度、語文能力及工作經驗等變項之設定並分別核分，加拿大、紐西蘭與澳洲可篩選出青壯年齡層、教育程度較高之族群、語文能力較好之族群及工作經驗較佳之族群。</w:t>
      </w:r>
    </w:p>
    <w:p w:rsidR="0049577B" w:rsidRPr="00B40DC1" w:rsidRDefault="00AF1178" w:rsidP="00EC0EE2">
      <w:pPr>
        <w:spacing w:line="240" w:lineRule="auto"/>
        <w:ind w:leftChars="0" w:left="0" w:rightChars="0" w:right="0"/>
      </w:pPr>
      <w:r>
        <w:t xml:space="preserve">　　</w:t>
      </w:r>
      <w:r w:rsidR="0049577B" w:rsidRPr="00B40DC1">
        <w:t>我覺得計分制優點就是像剛剛講的，就是可以應用到就是他國家所需要的，我確實引進這些人才，我是確實用在國家所需要的一些各方面的專技的部份。其他國家用計分來篩選專業人才，這些招進來的人的程度上會比較齊。但目前我們國內外國人應聘許可屬於勞動部在負責，我就不曉得他怎麼去篩選這些人。因為他去申請工作許可，勞動部有他的專門標準，那也許說你要大學學歷或者是什麼樣學歷的，這個我就不清楚了。(C-7-4)</w:t>
      </w:r>
    </w:p>
    <w:p w:rsidR="0049577B" w:rsidRPr="00B40DC1" w:rsidRDefault="00AF1178" w:rsidP="00EC0EE2">
      <w:pPr>
        <w:spacing w:line="240" w:lineRule="auto"/>
        <w:ind w:leftChars="0" w:left="0" w:rightChars="0" w:right="0"/>
      </w:pPr>
      <w:r>
        <w:t xml:space="preserve">　　</w:t>
      </w:r>
      <w:r w:rsidR="0049577B" w:rsidRPr="00B40DC1">
        <w:t>當然反過來講有一個制度性的篩選法，制度可能也會穩定一點，大家來的水準可能都差不多差不多，也不致於太差，很好也可能就這個樣子。一套制度不可能十全十美。這套計分制真的都match到了都是他要的人才，這樣移民進來也是比較安全的，確保有人會養你了。(D-6-3)</w:t>
      </w:r>
    </w:p>
    <w:p w:rsidR="0049577B" w:rsidRPr="00AF1178" w:rsidRDefault="00AF1178" w:rsidP="00EC0EE2">
      <w:pPr>
        <w:spacing w:line="240" w:lineRule="auto"/>
        <w:ind w:leftChars="0" w:left="0" w:rightChars="0" w:right="0"/>
      </w:pPr>
      <w:r>
        <w:t xml:space="preserve">　　</w:t>
      </w:r>
      <w:r w:rsidR="0049577B" w:rsidRPr="00AF1178">
        <w:t>(三)加拿大、紐西蘭與澳洲等地主國政府能適時掌握國內人才需求狀況</w:t>
      </w:r>
    </w:p>
    <w:p w:rsidR="0049577B" w:rsidRPr="00B40DC1" w:rsidRDefault="00AF1178" w:rsidP="00EC0EE2">
      <w:pPr>
        <w:spacing w:line="240" w:lineRule="auto"/>
        <w:ind w:leftChars="0" w:left="0" w:rightChars="0" w:right="0"/>
      </w:pPr>
      <w:r>
        <w:t xml:space="preserve">　　</w:t>
      </w:r>
      <w:r w:rsidR="0049577B" w:rsidRPr="00B40DC1">
        <w:t>評點制除了可藉由年齡、教育程度、語文能力及工作經驗等變項來適時作微調外，其亦能列出加拿大、紐西蘭與澳洲之國內所需之職業類別及各類別之配額，國外評點制之所以可以運作，亦代表加拿大、紐西蘭與澳洲政府對其國內掌握度非常良好且精確。因著政府和產業互動良好，政府可適時掌握國內產業缺哪些職業類別之人才及缺額有多少，政府亦能即時攬進國內產業所需要之人才，可立即補足勞動人缺口，可提升國家競爭力。</w:t>
      </w:r>
    </w:p>
    <w:p w:rsidR="0049577B" w:rsidRPr="00B40DC1" w:rsidRDefault="00AF1178" w:rsidP="00EC0EE2">
      <w:pPr>
        <w:spacing w:line="240" w:lineRule="auto"/>
        <w:ind w:leftChars="0" w:left="0" w:rightChars="0" w:right="0"/>
      </w:pPr>
      <w:r>
        <w:t xml:space="preserve">　　</w:t>
      </w:r>
      <w:r w:rsidR="0049577B" w:rsidRPr="00B40DC1">
        <w:t>加拿大、紐西蘭與澳洲之地主國政府能掌握國內產業之脈動，此代表加拿大、紐西蘭與澳洲地主國政府和其國內之企業有一定溝通之管道，且溝通良好，代表評點制實施前之前置作業，乃加拿大、紐西蘭與澳洲之國內企業，可以有機會跟加拿大、紐西蘭與澳洲政府討論其需要哪方面之技術人才？及需要多少技術人才？企業可以參與加拿大、紐西蘭與澳洲之移民政策研擬，且加拿大、紐西蘭與澳洲政府所招進來之技術人才，不會過剩，亦不會不夠。加拿大、紐西蘭與澳洲之政府，亦能即時來協助企業招募各行各業產業所需要之各式多元化之人才。</w:t>
      </w:r>
    </w:p>
    <w:p w:rsidR="0049577B" w:rsidRPr="00B40DC1" w:rsidRDefault="00AF1178" w:rsidP="00EC0EE2">
      <w:pPr>
        <w:spacing w:line="240" w:lineRule="auto"/>
        <w:ind w:leftChars="0" w:left="0" w:rightChars="0" w:right="0"/>
      </w:pPr>
      <w:r>
        <w:t xml:space="preserve">　　</w:t>
      </w:r>
      <w:r w:rsidR="0049577B" w:rsidRPr="00B40DC1">
        <w:t>另一個優點就是你有辦法訂出計分制，代表政府對國內掌握度非常好非常精確，政府和產業互動非常良好，對國家來講也是個好處，至少我產業缺什麼人，政府要攬什麼樣的人進來，可以馬上補足人才缺口，提升國家競爭力，這是整個計分制比較好的地方。(D-6-2)</w:t>
      </w:r>
    </w:p>
    <w:p w:rsidR="0049577B" w:rsidRPr="00B40DC1" w:rsidRDefault="00AF1178" w:rsidP="00EC0EE2">
      <w:pPr>
        <w:spacing w:line="240" w:lineRule="auto"/>
        <w:ind w:leftChars="0" w:left="0" w:rightChars="0" w:right="0"/>
      </w:pPr>
      <w:r>
        <w:t xml:space="preserve">　　</w:t>
      </w:r>
      <w:r w:rsidR="0049577B" w:rsidRPr="00B40DC1">
        <w:t>其實你計分制講白一點，他就是一個篩選的機制。然後這個篩選的機制，他只是讓它比較客觀具體化嘛…。他一定是比較客觀啊，他一定會比單純這樣申請，甚至你國家就可以知道說，我相信他一定是，他相關的部會，他還都已經評核過說好，比如說我氣象我什麼需要多少人嘛，那當然很好啊。(E-6-4)</w:t>
      </w:r>
    </w:p>
    <w:p w:rsidR="0049577B" w:rsidRPr="00B40DC1" w:rsidRDefault="00AF1178" w:rsidP="00EC0EE2">
      <w:pPr>
        <w:spacing w:line="240" w:lineRule="auto"/>
        <w:ind w:leftChars="0" w:left="0" w:rightChars="0" w:right="0"/>
      </w:pPr>
      <w:r>
        <w:t xml:space="preserve">　　</w:t>
      </w:r>
      <w:r w:rsidR="0049577B" w:rsidRPr="00B40DC1">
        <w:t>還有設說你這個樣可以得幾分，這個優點是很明確啦。然後想移民的也知道說，那我要方向，我適合什麼，可能國內產業，不過國內產業可能就可以說，像我們國內的各行各業它可以參與在這個計分制，計分制要端出來之前，他們可以有機會跟主管機關討論說他們要什麼樣的人，要多少人，那就是說他們可以參與移民政策訂出一個標準來啦。(F-6-1)</w:t>
      </w:r>
    </w:p>
    <w:p w:rsidR="0049577B" w:rsidRPr="00B40DC1" w:rsidRDefault="00AF1178" w:rsidP="00EC0EE2">
      <w:pPr>
        <w:spacing w:line="240" w:lineRule="auto"/>
        <w:ind w:leftChars="0" w:left="0" w:rightChars="0" w:right="0"/>
      </w:pPr>
      <w:r>
        <w:t xml:space="preserve">　　</w:t>
      </w:r>
      <w:r w:rsidR="0049577B" w:rsidRPr="00B40DC1">
        <w:t>在制度上是最大的優點，就是在國家的一個人才缺哪一類的時候，他可以在這個計分制上面去調整哪一個類別上面的人才，我可以加比較多的分數。那原則上像我就不會因為招進來的人而不能用的這種疑慮，就是他最大的一個優點，其實他類別已經開出來了，類別因為分的很細，那個名額及類別都可以調整啊。這類別加名額，他已經擺在那，所以他很清楚國家要的是什麼樣的人才，所以招進來不會過剩也不會不夠。他應該是說他整個國內的一個企業的脈動跟國家政府這一方面，應該做了一個相當程度的一個溝通啦。然後還有一定的管道啦，可以就是對整個企業所需的人，然後提供給他們政府，由政府來協助企業招募。(G-6-1)</w:t>
      </w:r>
    </w:p>
    <w:p w:rsidR="0049577B" w:rsidRPr="00B40DC1" w:rsidRDefault="00AF1178" w:rsidP="00EC0EE2">
      <w:pPr>
        <w:spacing w:line="240" w:lineRule="auto"/>
        <w:ind w:leftChars="0" w:left="0" w:rightChars="0" w:right="0"/>
      </w:pPr>
      <w:r>
        <w:t xml:space="preserve">　　</w:t>
      </w:r>
      <w:r w:rsidR="0049577B" w:rsidRPr="00B40DC1">
        <w:t>對於我們就業市場上，我們到底比較欠缺哪方面的人才，或者是說我們可以從年紀上面可以看出說什麼樣年齡層的哪一個類別的剛好是我們所需要的。(H-6-1)</w:t>
      </w:r>
    </w:p>
    <w:p w:rsidR="003C1792" w:rsidRPr="00AF1178" w:rsidRDefault="00AF1178" w:rsidP="00EC0EE2">
      <w:pPr>
        <w:spacing w:line="240" w:lineRule="auto"/>
        <w:ind w:leftChars="0" w:left="0" w:rightChars="0" w:right="0"/>
      </w:pPr>
      <w:r w:rsidRPr="00AF1178">
        <w:rPr>
          <w:rFonts w:hint="eastAsia"/>
        </w:rPr>
        <w:t xml:space="preserve">　　</w:t>
      </w:r>
      <w:r w:rsidR="0049577B" w:rsidRPr="00AF1178">
        <w:t xml:space="preserve">二、加拿大、紐西蘭與澳洲之評點制技術移民政策之缺點 </w:t>
      </w:r>
    </w:p>
    <w:p w:rsidR="0049577B" w:rsidRPr="00AF1178" w:rsidRDefault="00AF1178" w:rsidP="00EC0EE2">
      <w:pPr>
        <w:spacing w:line="240" w:lineRule="auto"/>
        <w:ind w:leftChars="0" w:left="0" w:rightChars="0" w:right="0"/>
      </w:pPr>
      <w:r>
        <w:t xml:space="preserve">　　</w:t>
      </w:r>
      <w:r w:rsidR="0049577B" w:rsidRPr="00AF1178">
        <w:t>(一)「評點制」之計分標準可能會淘汰某些專業技術移民</w:t>
      </w:r>
    </w:p>
    <w:p w:rsidR="0049577B" w:rsidRPr="00B40DC1" w:rsidRDefault="00AF1178" w:rsidP="00EC0EE2">
      <w:pPr>
        <w:spacing w:line="240" w:lineRule="auto"/>
        <w:ind w:leftChars="0" w:left="0" w:rightChars="0" w:right="0"/>
      </w:pPr>
      <w:r>
        <w:t xml:space="preserve">　　</w:t>
      </w:r>
      <w:r w:rsidR="0049577B" w:rsidRPr="00B40DC1">
        <w:t>評點制是一套客觀之制度，相對地亦較機械化，有些專業技術沒有辦法從量化之計分項目中看出來，例如有些技術移民之專業性，可能在評點制上是看不出來，但其技術又是很重要，這些專業之部分，就能在審查制會議中提出討論，可以更理性之方式，令申請者進來。</w:t>
      </w:r>
    </w:p>
    <w:p w:rsidR="0049577B" w:rsidRPr="00B40DC1" w:rsidRDefault="00AF1178" w:rsidP="00EC0EE2">
      <w:pPr>
        <w:spacing w:line="240" w:lineRule="auto"/>
        <w:ind w:leftChars="0" w:left="0" w:rightChars="0" w:right="0"/>
      </w:pPr>
      <w:r>
        <w:t xml:space="preserve">　　</w:t>
      </w:r>
      <w:r w:rsidR="0049577B" w:rsidRPr="00B40DC1">
        <w:t>又某些技術人員其技術高超，但年齡較大，教育程度不高，在這套評點制中可能會被淘汰，這對申請者不公平。評點制在運作其拿捏之分寸，不一定能拿捏得那麼剛好，有時很難衡量其輕重，有時要設定遴選出年輕之申請者，但或許年輕申請者其技術沒有那麼好，或是在其他每一項項目均要求，例如在技術移民申請者之教育程度或年齡上作限制，結果很可能該些技術移民就會被評點制排除在外。加拿大、紐西蘭與澳洲等國家，其選擇評點制作為遴選技術移民之標準，對這些國家來講，她們認為這是做正確、科學、公正與公平之事。</w:t>
      </w:r>
    </w:p>
    <w:p w:rsidR="0049577B" w:rsidRPr="00B40DC1" w:rsidRDefault="00AF1178" w:rsidP="00EC0EE2">
      <w:pPr>
        <w:spacing w:line="240" w:lineRule="auto"/>
        <w:ind w:leftChars="0" w:left="0" w:rightChars="0" w:right="0"/>
      </w:pPr>
      <w:r>
        <w:t xml:space="preserve">　　</w:t>
      </w:r>
      <w:r w:rsidR="0049577B" w:rsidRPr="00B40DC1">
        <w:t>這部份我覺得每個國家依據其國情的不同以及對專業人才的想法，以及它的設限，例如在加拿大就有計分制，但我國目前無計分制，是因為第一個計分制用教育程度、語言能力去作評分標準，我假設說麵包達人吳寶春做麵包有他的專業技能，超越了其他的師傅，可是這一個部份要用教育程度及語文能力去篩選，這對當事人是不公平的，因為我做麵包不需要要求教育程度、不需要語言程度，若用這種標準去框架他，那這樣這麼好的人才就這樣流失了，這樣很可惜，對不對，假設啦。另外，他的太太啦配偶是不是專業人才，在臺灣我沒有強烈的要求你家族都要是素質很好的，為什麼呢，若今天你是專業人才，但你的太太目不識丁，我們一樣歡迎，我給你先生專業的永久居留，而給太太一般的永久居留，因為太太是依附在先生嘛。(A-6-1)</w:t>
      </w:r>
    </w:p>
    <w:p w:rsidR="0049577B" w:rsidRPr="00B40DC1" w:rsidRDefault="00AF1178" w:rsidP="00EC0EE2">
      <w:pPr>
        <w:spacing w:line="240" w:lineRule="auto"/>
        <w:ind w:leftChars="0" w:left="0" w:rightChars="0" w:right="0"/>
      </w:pPr>
      <w:r>
        <w:t xml:space="preserve">　　</w:t>
      </w:r>
      <w:r w:rsidR="0049577B" w:rsidRPr="00B40DC1">
        <w:t>國外專業技術移民採計分制，且有列出各計分的類別，但我會蓋房子跟我學歷沒關係啊。我會這個專業的技術，跟我學歷沒關係啊，所以這個部份計分制可能就是要調整，可能哪一個類別的需要什麼樣條件。不要用學歷去綁死，因為人家搞不好國中畢業，但是他很會很會蓋房子，或是某個栓螺絲怎麼栓他也很厲害，因為我覺得這是需要去評估啦，評估說這個部份是需要高學歷嗎，那有一些高學歷不見得他會這個技術。你看我們臺灣高學歷的也一堆。而且你來看，外國來從事技術工作的，他基本學歷一定夠，一定能夠來工作，其實我看過，高中職以上，像日本就很厲害了，技術取勝嘛。人家也不一定需要高學歷啊。但是日本人你就覺得他來他也很守規矩啊。所以學歷不夠高也不代表說他就沒水準。因為現在基本的，外國人能夠來臺灣工作的，你一定有一個基本的學歷嘛，也不可能說沒有念書來啊。(C-6-2)</w:t>
      </w:r>
    </w:p>
    <w:p w:rsidR="0049577B" w:rsidRPr="00B40DC1" w:rsidRDefault="00AF1178" w:rsidP="00EC0EE2">
      <w:pPr>
        <w:spacing w:line="240" w:lineRule="auto"/>
        <w:ind w:leftChars="0" w:left="0" w:rightChars="0" w:right="0"/>
      </w:pPr>
      <w:r>
        <w:t xml:space="preserve">　　</w:t>
      </w:r>
      <w:r w:rsidR="0049577B" w:rsidRPr="00B40DC1">
        <w:t>那如果說他今天有這個才能，但是他可能學歷不夠，因為我知道有一些日本的技師，他確實有那個才能，但是人家學歷可能就是高職。你如果說學歷要要求大學，但大學畢業的他不見得有這一項技能，而且我們現在國家缺的好像就是中產階級，就是這一些基本的，你看以後水電木工可能都沒了，以後就是沒有這種人才啊。我覺得用學歷來評比較不符合現實需要…。(C-7-7)</w:t>
      </w:r>
    </w:p>
    <w:p w:rsidR="0049577B" w:rsidRPr="00B40DC1" w:rsidRDefault="00AF1178" w:rsidP="00EC0EE2">
      <w:pPr>
        <w:spacing w:line="240" w:lineRule="auto"/>
        <w:ind w:leftChars="0" w:left="0" w:rightChars="0" w:right="0"/>
      </w:pPr>
      <w:r>
        <w:t xml:space="preserve">　　</w:t>
      </w:r>
      <w:r w:rsidR="0049577B" w:rsidRPr="00B40DC1">
        <w:t>不要去用學歷去綁死，有基本的學歷就OK啦，因為還要搭配他的年齡還有他的專長的部份，那學歷我覺得不是很重要，我覺得技術比較重要。(C-7-8)</w:t>
      </w:r>
    </w:p>
    <w:p w:rsidR="0049577B" w:rsidRPr="00B40DC1" w:rsidRDefault="00AF1178" w:rsidP="00EC0EE2">
      <w:pPr>
        <w:spacing w:line="240" w:lineRule="auto"/>
        <w:ind w:leftChars="0" w:left="0" w:rightChars="0" w:right="0"/>
      </w:pPr>
      <w:r>
        <w:t xml:space="preserve">　　</w:t>
      </w:r>
      <w:r w:rsidR="0049577B" w:rsidRPr="00B40DC1">
        <w:t>若用計分制的話，人的專業性可能在計分制上是看不出來的，可是他又是很重要的，這些專業部份的人就能在會議中提出這重點是哪，比如說國外律師很不好考呀，但計分制看不出來國外律師不好考，若這些重點被提出來，經過人的討論會比較理性去接受讓申請者進來的話，這是優點，就不會是死板板的。(D-3-10)</w:t>
      </w:r>
    </w:p>
    <w:p w:rsidR="0049577B" w:rsidRPr="00B40DC1" w:rsidRDefault="00AF1178" w:rsidP="00EC0EE2">
      <w:pPr>
        <w:spacing w:line="240" w:lineRule="auto"/>
        <w:ind w:leftChars="0" w:left="0" w:rightChars="0" w:right="0"/>
      </w:pPr>
      <w:r>
        <w:t xml:space="preserve">　　</w:t>
      </w:r>
      <w:r w:rsidR="0049577B" w:rsidRPr="00B40DC1">
        <w:t>如果要談到計分制的缺點的話，還是它的公平性，因為很多東西很多人才不是你真正可以用這套制度訂出來的。比如說用這個框架的話，王永慶一輩子都當不了專技人才，學歷只有小學而已。像吳寶春及阿基師可能都只有大學學歷或專科學歷而已。這個東西其實跟新加坡教育很像，新加坡就是一試定終身，新加坡考試考完以後，你能考上大學的，你就是一路讀上去，像公務人員一樣，新加坡的公務人員薪水是非常高的，你若考不上的你可能去讀技職學校，可能去當木工或去餐聽工作。那這個計分制也有一試定終身的那種感覺，你就放進來這制度裡面run一次，你不行就沒辦法進來，可是篩掉的有沒有可能篩掉好的人才，篩掉是你想不到的好人才…。(D-6-3)</w:t>
      </w:r>
    </w:p>
    <w:p w:rsidR="0049577B" w:rsidRPr="00B40DC1" w:rsidRDefault="00AF1178" w:rsidP="00EC0EE2">
      <w:pPr>
        <w:spacing w:line="240" w:lineRule="auto"/>
        <w:ind w:leftChars="0" w:left="0" w:rightChars="0" w:right="0"/>
      </w:pPr>
      <w:r>
        <w:t xml:space="preserve">　　</w:t>
      </w:r>
      <w:r w:rsidR="0049577B" w:rsidRPr="00B40DC1">
        <w:t>那談到這一套計分制度缺點的部份，因為我沒有run過啊，你除非讓我送件一次。如果是計分制，我想到的缺點，他會不會有時候會有一些面向他是看不到的。他一定會，有一些面向是看不到的。就是我相信他後來還是一定會面談吧。就是有優點一定有缺點，可是我相信他的缺點就是某些條件的調整比較差，某些人他可能他的某方面的條件好，可是他的這個比較好的條件可能不列入計分的時候，對他不利的時候，他就會覺得這套不好，然後因為我看不到啦，但是我想像中的缺點應該是說，他是不是有一些東西是他沒有辦法量化看出來的。那這可能就是他的缺點。(E-6-5)</w:t>
      </w:r>
    </w:p>
    <w:p w:rsidR="0049577B" w:rsidRPr="00B40DC1" w:rsidRDefault="00AF1178" w:rsidP="00EC0EE2">
      <w:pPr>
        <w:spacing w:line="240" w:lineRule="auto"/>
        <w:ind w:leftChars="0" w:left="0" w:rightChars="0" w:right="0"/>
      </w:pPr>
      <w:r>
        <w:t xml:space="preserve">　　</w:t>
      </w:r>
      <w:r w:rsidR="0049577B" w:rsidRPr="00B40DC1">
        <w:t>以計分制的缺點來講，可能就是你在做一些條件的篩選的時候，那你可能有一些人可能他的技術很好，但是年齡可能比較大了，那就這樣被你篩選掉了，可能你就是變成你在做那個計分的一個拿捏的時候，就沒有辦法拿捏的那麼剛好啦。就是可能會很難去衡量其輕重，你可能要設定在年輕的，結果年輕的技術或者是沒有那麼好，或者是你每樣都要求，比如說在教育或者在技術或者年齡啊，都是給很高的限制，那原則上年齡高的，第一個可能就會被排除在外嘛，這個也是他們最大的一個缺點，你如果設了這麼多的一個計分制在這裡，那想進來的人就變成沒有辦法進來了，對啊，就是他們，應該是他們最大缺點。但是從他們國家來講，這是他們認為他們做得是正確的事。那對我們來講，也許我們雖然沒有在這方面去做一些計分制，那也許我們招募進來的，也許就是我們真要的，那也很難說啦，所以也沒有辦法去說明它的缺點在哪裡。(G-6-3)</w:t>
      </w:r>
    </w:p>
    <w:p w:rsidR="0049577B" w:rsidRPr="00B40DC1" w:rsidRDefault="00AF1178" w:rsidP="00EC0EE2">
      <w:pPr>
        <w:spacing w:line="240" w:lineRule="auto"/>
        <w:ind w:leftChars="0" w:left="0" w:rightChars="0" w:right="0"/>
      </w:pPr>
      <w:r>
        <w:t xml:space="preserve">　　</w:t>
      </w:r>
      <w:r w:rsidR="0049577B" w:rsidRPr="00B40DC1">
        <w:t>我國梅花卡是用審查的機制，我覺得可能我們用這樣子的一個制度，會比較有彈性。可能因為某一些人，比如說他可能年紀很大，可能如果說用加拿大的方式來說，可能就把它篩掉。那我們的話，我們就變成彈性比較大的時候，可能年紀很大但他是專業人才，我們也可以接受。這個我覺得可能會是一個優點，這個就是比較有彈性啊。若用這種計分制的話，你可能因為這樣子把這些人排掉了。(H-7-2)</w:t>
      </w:r>
    </w:p>
    <w:p w:rsidR="0049577B" w:rsidRPr="00AF1178" w:rsidRDefault="00AF1178" w:rsidP="00EC0EE2">
      <w:pPr>
        <w:spacing w:line="240" w:lineRule="auto"/>
        <w:ind w:leftChars="0" w:left="0" w:rightChars="0" w:right="0"/>
      </w:pPr>
      <w:r>
        <w:t xml:space="preserve">　　</w:t>
      </w:r>
      <w:r w:rsidR="0049577B" w:rsidRPr="00AF1178">
        <w:t>(二)加拿大「評點制」無法符合該國之移民政策短期目標</w:t>
      </w:r>
    </w:p>
    <w:p w:rsidR="0049577B" w:rsidRPr="00B40DC1" w:rsidRDefault="00AF1178" w:rsidP="00EC0EE2">
      <w:pPr>
        <w:spacing w:line="240" w:lineRule="auto"/>
        <w:ind w:leftChars="0" w:left="0" w:rightChars="0" w:right="0"/>
        <w:rPr>
          <w:noProof/>
        </w:rPr>
      </w:pPr>
      <w:r>
        <w:rPr>
          <w:noProof/>
        </w:rPr>
        <w:t xml:space="preserve">　　</w:t>
      </w:r>
      <w:r w:rsidR="0049577B" w:rsidRPr="00B40DC1">
        <w:rPr>
          <w:noProof/>
        </w:rPr>
        <w:t>一套制度設計因行之多年，有其一定穩定性，不過，根據</w:t>
      </w:r>
      <w:r w:rsidR="0049577B" w:rsidRPr="00B40DC1">
        <w:t>Charles M</w:t>
      </w:r>
      <w:r w:rsidR="003C1792">
        <w:t>.</w:t>
      </w:r>
      <w:r w:rsidR="0049577B" w:rsidRPr="00B40DC1">
        <w:t>Beach(2012)對於加拿大評點制之深入研究，</w:t>
      </w:r>
      <w:r w:rsidR="0049577B" w:rsidRPr="00B40DC1">
        <w:rPr>
          <w:noProof/>
        </w:rPr>
        <w:t>評點制設計有其限制，如：無法符合</w:t>
      </w:r>
      <w:r w:rsidR="0049577B" w:rsidRPr="00B40DC1">
        <w:t>加拿大</w:t>
      </w:r>
      <w:r w:rsidR="0049577B" w:rsidRPr="00B40DC1">
        <w:rPr>
          <w:noProof/>
        </w:rPr>
        <w:t>移民政策短期目標，且無法跟上</w:t>
      </w:r>
      <w:r w:rsidR="0049577B" w:rsidRPr="00B40DC1">
        <w:t>加拿大</w:t>
      </w:r>
      <w:r w:rsidR="0049577B" w:rsidRPr="00B40DC1">
        <w:rPr>
          <w:noProof/>
        </w:rPr>
        <w:t>不斷變動之經濟及勞動市場之腳步，反應慢半拍，或無法即時回應</w:t>
      </w:r>
      <w:r w:rsidR="0049577B" w:rsidRPr="00B40DC1">
        <w:t>加拿大之</w:t>
      </w:r>
      <w:r w:rsidR="0049577B" w:rsidRPr="00B40DC1">
        <w:rPr>
          <w:noProof/>
        </w:rPr>
        <w:t>國內所需。</w:t>
      </w:r>
      <w:r w:rsidR="0049577B" w:rsidRPr="00AF1178">
        <w:rPr>
          <w:rStyle w:val="af7"/>
          <w:rFonts w:eastAsia="新細明體"/>
          <w:sz w:val="20"/>
        </w:rPr>
        <w:footnoteReference w:id="400"/>
      </w:r>
    </w:p>
    <w:p w:rsidR="0049577B" w:rsidRPr="00B40DC1" w:rsidRDefault="00AF1178" w:rsidP="00EC0EE2">
      <w:pPr>
        <w:spacing w:line="240" w:lineRule="auto"/>
        <w:ind w:leftChars="0" w:left="0" w:rightChars="0" w:right="0"/>
        <w:rPr>
          <w:noProof/>
        </w:rPr>
      </w:pPr>
      <w:r>
        <w:rPr>
          <w:noProof/>
        </w:rPr>
        <w:t xml:space="preserve">　　</w:t>
      </w:r>
      <w:r w:rsidR="0049577B" w:rsidRPr="00B40DC1">
        <w:rPr>
          <w:noProof/>
        </w:rPr>
        <w:t>說真的，因為我們之前像那個我們僑外生這個評點制，我們去年是首創嘛，那其實說真的以國內的經驗可能還看不出它有什麼缺點。那國外實施過的，他們就是</w:t>
      </w:r>
      <w:r w:rsidR="0049577B" w:rsidRPr="00B40DC1">
        <w:t>認為</w:t>
      </w:r>
      <w:r w:rsidR="0049577B" w:rsidRPr="00B40DC1">
        <w:rPr>
          <w:noProof/>
        </w:rPr>
        <w:t>說這個好像對短期，如果說有短期需要大量的某種特定的行業，他們可能這個評點是可能沒辦法。因為之前我們開一個移民政策國際研討會，有請一個加拿大的老先生來了，他有講到評點制的優缺點，因為我們國內從來沒有實施過評點制，還是沒有辦法問到什麼。他就講到優缺點，可是因為說真的國外的經驗，不一定能夠套到臺灣啊。(F-7-1)</w:t>
      </w:r>
    </w:p>
    <w:p w:rsidR="0049577B" w:rsidRPr="00AF1178" w:rsidRDefault="00AF1178" w:rsidP="00EC0EE2">
      <w:pPr>
        <w:spacing w:line="240" w:lineRule="auto"/>
        <w:ind w:leftChars="0" w:left="0" w:rightChars="0" w:right="0"/>
      </w:pPr>
      <w:r>
        <w:t xml:space="preserve">　　</w:t>
      </w:r>
      <w:r w:rsidR="0049577B" w:rsidRPr="00AF1178">
        <w:t>(三)假若公私部門人力及分工不足，則「評點制」成效將不佳</w:t>
      </w:r>
    </w:p>
    <w:p w:rsidR="0049577B" w:rsidRPr="00B40DC1" w:rsidRDefault="00AF1178" w:rsidP="00EC0EE2">
      <w:pPr>
        <w:spacing w:line="240" w:lineRule="auto"/>
        <w:ind w:leftChars="0" w:left="0" w:rightChars="0" w:right="0"/>
      </w:pPr>
      <w:r>
        <w:t xml:space="preserve">　　</w:t>
      </w:r>
      <w:r w:rsidR="0049577B" w:rsidRPr="00B40DC1">
        <w:t>加拿大、紐西蘭與澳洲等國家之評點制能運行，亦有其相關配套措施，不僅在評點制制度上，設計與建構有專門之相關政府部門負責此項工作，加拿大、紐西蘭與澳洲等國家之國內所需技術人才之職業類別調查，及各職業類別所需數額，從簽證許可至永久居留權之給予，評點制所牽涉之政府部門，並不單純，係相當廣泛。相較於評點制，台灣之審查制，就相對地更經濟實惠，審查制不需要像評點制一般，須設計一套複雜制度。</w:t>
      </w:r>
    </w:p>
    <w:p w:rsidR="0049577B" w:rsidRPr="00B40DC1" w:rsidRDefault="00AF1178" w:rsidP="00EC0EE2">
      <w:pPr>
        <w:spacing w:line="240" w:lineRule="auto"/>
        <w:ind w:leftChars="0" w:left="0" w:rightChars="0" w:right="0"/>
      </w:pPr>
      <w:r>
        <w:t xml:space="preserve">　　</w:t>
      </w:r>
      <w:r w:rsidR="0049577B" w:rsidRPr="00B40DC1">
        <w:t>像梅花卡它的專技的部份，通常是勞動部已經許可他在臺灣工作。那所以這個之前的審查機制，就是勞動部那邊先准他們來，那可能計分制也是由勞動部來，許可後他就是發給他一個證明，那他用這個來臺灣看是要去公司工作，還是說他可以自由就業。因為這個部份都要有一個配套措施，要再去瞭解看要怎麼去進行。因為我們臺灣現在不是一個單位在負責，現在是很多單位在負責，所以這可能牽涉到很多單位。勞動部就是先審他的應聘資格，就是說基本符合這些要件來的，如果這些要件都符合，幾分幾分，那就進來了，進來之後，到底是要有雇主還是怎麼樣，我覺得是一個大工程。(C-7-2)</w:t>
      </w:r>
    </w:p>
    <w:p w:rsidR="0049577B" w:rsidRPr="00B40DC1" w:rsidRDefault="00AF1178" w:rsidP="00EC0EE2">
      <w:pPr>
        <w:spacing w:line="240" w:lineRule="auto"/>
        <w:ind w:leftChars="0" w:left="0" w:rightChars="0" w:right="0"/>
      </w:pPr>
      <w:r>
        <w:t xml:space="preserve">　　</w:t>
      </w:r>
      <w:r w:rsidR="0049577B" w:rsidRPr="00B40DC1">
        <w:t>我覺得這個計分制當然很好，可是就還是要回到剛才我們之前在討論的那個區塊，就是計分制都很好，而且很量化也會比較公平，但是還是要回歸到那個，我對如果以就是其他國家來看我覺得這樣很好，可是我覺得如果這個方面，因為到時候執行會，我們移民署在執行，因為居留ARC跟那個永久居留那種ARC是我們發的情況下，在執行上會有困難，就是我移民署我沒有辦法確定業別跟數額，那這個區塊一定要各部會來配合。講白一點，那各部會要分給我，因為我不知道，你要給我我才有辦法去弄配額出來，然後就是還是回歸到我們最原始討論的問題，那我們就要先看說，好，比如說以這個來看，比如說你深水建設還是什麼，你到時候再細分的時候，什麼氣像地震還是什麼有特殊成就，然後我比較擔心的是，你到時候這個灑下去的時候，以臺灣第一個分類不容易，第二個我們的業別這樣分下去，到時候那一個數額會不會很難定。(E-6-1)</w:t>
      </w:r>
    </w:p>
    <w:p w:rsidR="0049577B" w:rsidRPr="00B40DC1" w:rsidRDefault="00AF1178" w:rsidP="00EC0EE2">
      <w:pPr>
        <w:spacing w:line="240" w:lineRule="auto"/>
        <w:ind w:leftChars="0" w:left="0" w:rightChars="0" w:right="0"/>
      </w:pPr>
      <w:r>
        <w:t xml:space="preserve">　　</w:t>
      </w:r>
      <w:r w:rsidR="0049577B" w:rsidRPr="00B40DC1">
        <w:t>那目前梅花卡的它的一個遴選方式，是聯審會在審查的。梅花卡的母法第25條第3項，就是這個，它有一個審查基準。我國在採用聯審會這個機制的優點就是它很彈性啊，聯審會第一個就很有彈性嘛，它可以找公正人事來審嘛，而且經濟實惠啊，你不用另外再設計一套評點制啊。因為我們根本現在不知道我們什麼行業需要什麼樣的人，需要多少人。那只好用這個啊，而且這個人數也不多嘛。評點以後來得更少，符合的很少。(F-3-5)</w:t>
      </w:r>
    </w:p>
    <w:p w:rsidR="0049577B" w:rsidRPr="00AF1178" w:rsidRDefault="00AF1178" w:rsidP="00EC0EE2">
      <w:pPr>
        <w:spacing w:line="240" w:lineRule="auto"/>
        <w:ind w:leftChars="0" w:left="0" w:rightChars="0" w:right="0"/>
      </w:pPr>
      <w:r>
        <w:t xml:space="preserve">　　</w:t>
      </w:r>
      <w:r w:rsidR="0049577B" w:rsidRPr="00AF1178">
        <w:t>(四)評點制設計難以了解移民個別意圖</w:t>
      </w:r>
    </w:p>
    <w:p w:rsidR="0049577B" w:rsidRDefault="00AF1178" w:rsidP="00EC0EE2">
      <w:pPr>
        <w:spacing w:line="240" w:lineRule="auto"/>
        <w:ind w:leftChars="0" w:left="0" w:rightChars="0" w:right="0"/>
      </w:pPr>
      <w:r>
        <w:t xml:space="preserve">　　</w:t>
      </w:r>
      <w:r w:rsidR="0049577B" w:rsidRPr="00B40DC1">
        <w:t>評點制是一套系統化及機械式之制度，若申請者在年齡、教育程度、語言能力及工作經驗之計分，均符合評點制設計，系統將會自動媒合，並將申請者篩選進加拿大、紐西蘭與澳洲等國家所需要之移民。評點制乃由系統設定自動篩選出符合條件之移民，但有其缺失，即無法了解移民者之真正內心意圖。有些申請者或許符合評點制之標準，系統自動媒合將該申請者篩選進來，但該申請者過去若無明顯之刑事紀錄，實難判讀申請者進入移入國真正之意圖，或許，有些申請者之目的，僅是為了取得該國家之永久居留權，或許申請者內心隱藏不軌意圖，或者，負有針對移入國之國家安全區塊，進行情蒐之任務，其移入後之情蒐作為，對移入國國家安全而言，亦是個一大之隱憂</w:t>
      </w:r>
      <w:r w:rsidR="0049577B" w:rsidRPr="00EC0EE2">
        <w:rPr>
          <w:rStyle w:val="af7"/>
          <w:rFonts w:eastAsia="新細明體"/>
          <w:sz w:val="20"/>
        </w:rPr>
        <w:footnoteReference w:id="401"/>
      </w:r>
      <w:r w:rsidR="0049577B" w:rsidRPr="00B40DC1">
        <w:t>。</w:t>
      </w:r>
    </w:p>
    <w:p w:rsidR="0049577B" w:rsidRPr="00B40DC1" w:rsidRDefault="00EC0EE2" w:rsidP="00EC0EE2">
      <w:pPr>
        <w:spacing w:line="240" w:lineRule="auto"/>
        <w:ind w:leftChars="0" w:left="0" w:rightChars="0" w:right="0"/>
      </w:pPr>
      <w:r>
        <w:t xml:space="preserve">　　</w:t>
      </w:r>
      <w:r w:rsidR="0049577B" w:rsidRPr="00B40DC1">
        <w:t>那缺點我是覺得可能就是不知道這個人是怎樣的人，也許他學歷高，但是這個人或許不認真工作，他只是為了來拿你國家的居留權，他沒有心要留在你這邊做事情，我是覺得會比較沒辦法去了解這個人的良善。(C-7-5)</w:t>
      </w:r>
    </w:p>
    <w:p w:rsidR="0049577B" w:rsidRDefault="00AF1178" w:rsidP="00EC0EE2">
      <w:pPr>
        <w:spacing w:line="240" w:lineRule="auto"/>
        <w:ind w:leftChars="0" w:left="0" w:rightChars="0" w:right="0"/>
      </w:pPr>
      <w:r>
        <w:t xml:space="preserve">　　</w:t>
      </w:r>
      <w:r w:rsidR="0049577B" w:rsidRPr="00B40DC1">
        <w:t>像現在我們有採用是僑外生評點制，你來看現在僑外生現在越來越多都是越南人。那有很多僑生是為了要住在臺灣而留的，而不是說他的確實是我們所需的專業人才，但是他可能學歷文憑、語言能力什麼都有啊。但是我覺這牽涉到國家治安，或者是他來到底有沒有心真的是要工作嗎?因為如果說我今天符合這個標準，那我可能基本面都做到了，但是我來臺灣我從事的工作或許就不是與當初國家要的工作相符，而且這樣子他來了之後，一樣是可以永久居留。我覺得這個比較不是很適合。我覺得不是很適合臺灣的現在，因為目前僑外生就是用評點制。(C-7-6)</w:t>
      </w:r>
    </w:p>
    <w:p w:rsidR="00EC0EE2" w:rsidRPr="00B40DC1" w:rsidRDefault="005B648A" w:rsidP="00321574">
      <w:pPr>
        <w:spacing w:line="240" w:lineRule="auto"/>
        <w:ind w:leftChars="0" w:left="0" w:rightChars="0" w:right="0"/>
        <w:jc w:val="right"/>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sz w:val="22"/>
        </w:rPr>
        <w:t>〉〉</w:t>
      </w:r>
      <w:r w:rsidR="00321574" w:rsidRPr="0008714D">
        <w:rPr>
          <w:color w:val="808000"/>
          <w:sz w:val="20"/>
        </w:rPr>
        <w:t>〉</w:t>
      </w:r>
    </w:p>
    <w:p w:rsidR="0049577B" w:rsidRPr="00B40DC1" w:rsidRDefault="0049577B" w:rsidP="00EC0EE2">
      <w:pPr>
        <w:pStyle w:val="2"/>
        <w:keepNext w:val="0"/>
        <w:adjustRightInd/>
        <w:snapToGrid/>
        <w:spacing w:beforeLines="0" w:before="0" w:afterLines="0" w:after="0"/>
        <w:jc w:val="both"/>
      </w:pPr>
      <w:bookmarkStart w:id="63" w:name="_捌、加拿大、紐西蘭與澳洲之評點制技術移民政策對我國之啟示"/>
      <w:bookmarkEnd w:id="63"/>
      <w:r w:rsidRPr="00B40DC1">
        <w:t>捌、加拿大、紐西蘭與澳洲之評點制技術移民政策對我國之啟示</w:t>
      </w:r>
    </w:p>
    <w:p w:rsidR="0049577B" w:rsidRPr="00B40DC1" w:rsidRDefault="00AF1178" w:rsidP="00EC0EE2">
      <w:pPr>
        <w:spacing w:line="240" w:lineRule="auto"/>
        <w:ind w:leftChars="0" w:left="0" w:rightChars="0" w:right="0"/>
      </w:pPr>
      <w:r>
        <w:t xml:space="preserve">　　</w:t>
      </w:r>
      <w:r w:rsidR="0049577B" w:rsidRPr="00B40DC1">
        <w:t>我國在吸引國外專技移民(技術移民)之部分，主要之核心機制，係建制一種名為「外僑永久居留證」（梅花卡）之永居制度，亦即，對符合永久居留之國外專技移民(非一般之永居者)，核發梅花卡，並結合永久居留之機制，兩者合而為一。外僑永久居留證（梅花卡）之申請資格，如下所述</w:t>
      </w:r>
      <w:r w:rsidR="0049577B" w:rsidRPr="00AF1178">
        <w:rPr>
          <w:rStyle w:val="af7"/>
          <w:rFonts w:eastAsia="新細明體"/>
          <w:sz w:val="20"/>
        </w:rPr>
        <w:footnoteReference w:id="402"/>
      </w:r>
      <w:r w:rsidR="0049577B" w:rsidRPr="00B40DC1">
        <w:t>：</w:t>
      </w:r>
    </w:p>
    <w:p w:rsidR="0049577B" w:rsidRPr="00AF1178" w:rsidRDefault="00AF1178" w:rsidP="00EC0EE2">
      <w:pPr>
        <w:spacing w:line="240" w:lineRule="auto"/>
        <w:ind w:leftChars="0" w:left="0" w:rightChars="0" w:right="0"/>
      </w:pPr>
      <w:r w:rsidRPr="00AF1178">
        <w:t xml:space="preserve">　　</w:t>
      </w:r>
      <w:r w:rsidR="0049577B" w:rsidRPr="00AF1178">
        <w:t>一、對我國有特殊貢獻或為我國所需之高級專業人才等人士，其毋須具備在我國合法連續居留5年等申辦一般外僑永久居留證之條件，相較之下，係須符合下列特殊情形之一者：</w:t>
      </w:r>
    </w:p>
    <w:p w:rsidR="0049577B" w:rsidRPr="00AF1178" w:rsidRDefault="00AF1178" w:rsidP="00EC0EE2">
      <w:pPr>
        <w:spacing w:line="240" w:lineRule="auto"/>
        <w:ind w:leftChars="0" w:left="0" w:rightChars="0" w:right="0"/>
      </w:pPr>
      <w:r w:rsidRPr="00AF1178">
        <w:t xml:space="preserve">　　</w:t>
      </w:r>
      <w:r w:rsidR="0049577B" w:rsidRPr="00AF1178">
        <w:t>(一)對我國有特殊貢獻。</w:t>
      </w:r>
    </w:p>
    <w:p w:rsidR="0049577B" w:rsidRPr="00AF1178" w:rsidRDefault="00AF1178" w:rsidP="00EC0EE2">
      <w:pPr>
        <w:spacing w:line="240" w:lineRule="auto"/>
        <w:ind w:leftChars="0" w:left="0" w:rightChars="0" w:right="0"/>
      </w:pPr>
      <w:r w:rsidRPr="00AF1178">
        <w:t xml:space="preserve">　　</w:t>
      </w:r>
      <w:r w:rsidR="0049577B" w:rsidRPr="00AF1178">
        <w:t>(二)為我國所需之高級專業人才。</w:t>
      </w:r>
    </w:p>
    <w:p w:rsidR="0049577B" w:rsidRPr="00AF1178" w:rsidRDefault="00AF1178" w:rsidP="00EC0EE2">
      <w:pPr>
        <w:spacing w:line="240" w:lineRule="auto"/>
        <w:ind w:leftChars="0" w:left="0" w:rightChars="0" w:right="0"/>
      </w:pPr>
      <w:r w:rsidRPr="00AF1178">
        <w:t xml:space="preserve">　　</w:t>
      </w:r>
      <w:r w:rsidR="0049577B" w:rsidRPr="00AF1178">
        <w:t>(三)在文化、藝術、科技、體育、產業等各專業領域，參加國際公認之比賽、競技、評鑑得有首獎者。</w:t>
      </w:r>
    </w:p>
    <w:p w:rsidR="0049577B" w:rsidRPr="00AF1178" w:rsidRDefault="00AF1178" w:rsidP="00EC0EE2">
      <w:pPr>
        <w:spacing w:line="240" w:lineRule="auto"/>
        <w:ind w:leftChars="0" w:left="0" w:rightChars="0" w:right="0"/>
      </w:pPr>
      <w:r w:rsidRPr="00AF1178">
        <w:t xml:space="preserve">　　</w:t>
      </w:r>
      <w:r w:rsidR="0049577B" w:rsidRPr="00AF1178">
        <w:t>二、投資移民：符合下列情形之一者：</w:t>
      </w:r>
    </w:p>
    <w:p w:rsidR="0049577B" w:rsidRPr="00AF1178" w:rsidRDefault="00AF1178" w:rsidP="00EC0EE2">
      <w:pPr>
        <w:spacing w:line="240" w:lineRule="auto"/>
        <w:ind w:leftChars="0" w:left="0" w:rightChars="0" w:right="0"/>
      </w:pPr>
      <w:r w:rsidRPr="00AF1178">
        <w:t xml:space="preserve">　　</w:t>
      </w:r>
      <w:r w:rsidR="0049577B" w:rsidRPr="00AF1178">
        <w:t>(一)投資金額新臺幣1,500萬元以上之營利事業，並創造5人以上之本國人就業機會滿3年。</w:t>
      </w:r>
    </w:p>
    <w:p w:rsidR="0049577B" w:rsidRPr="00AF1178" w:rsidRDefault="00AF1178" w:rsidP="00EC0EE2">
      <w:pPr>
        <w:spacing w:line="240" w:lineRule="auto"/>
        <w:ind w:leftChars="0" w:left="0" w:rightChars="0" w:right="0"/>
      </w:pPr>
      <w:r w:rsidRPr="00AF1178">
        <w:t xml:space="preserve">　　</w:t>
      </w:r>
      <w:r w:rsidR="0049577B" w:rsidRPr="00AF1178">
        <w:t>(二)投資中央政府公債面額3,000萬元以上滿3年。在審核與核發外僑永久居留證（梅花卡）之機制部分，梅花卡審查程序之法源為入出國及移民決</w:t>
      </w:r>
      <w:hyperlink r:id="rId283" w:anchor="b25" w:history="1">
        <w:r w:rsidR="0049577B" w:rsidRPr="005467C0">
          <w:rPr>
            <w:rStyle w:val="a7"/>
            <w:rFonts w:cs="Times New Roman"/>
            <w:lang w:eastAsia="zh-TW" w:bidi="ar-SA"/>
          </w:rPr>
          <w:t>第25條</w:t>
        </w:r>
      </w:hyperlink>
      <w:r w:rsidR="0049577B" w:rsidRPr="00AF1178">
        <w:t>、</w:t>
      </w:r>
      <w:hyperlink r:id="rId284" w:history="1">
        <w:r w:rsidR="001A201D" w:rsidRPr="001A201D">
          <w:rPr>
            <w:rStyle w:val="a7"/>
            <w:rFonts w:cs="Times New Roman"/>
            <w:lang w:eastAsia="zh-TW" w:bidi="ar-SA"/>
          </w:rPr>
          <w:t>入出國及移民案件審查會設置要點</w:t>
        </w:r>
      </w:hyperlink>
      <w:r w:rsidR="0049577B" w:rsidRPr="00AF1178">
        <w:t>與</w:t>
      </w:r>
      <w:hyperlink r:id="rId285" w:history="1">
        <w:r w:rsidR="00CC30C7" w:rsidRPr="0059675B">
          <w:rPr>
            <w:rStyle w:val="a7"/>
            <w:rFonts w:cs="Times New Roman"/>
            <w:lang w:eastAsia="zh-TW" w:bidi="ar-SA"/>
          </w:rPr>
          <w:t>外國人申請永久居留案件審查基準</w:t>
        </w:r>
      </w:hyperlink>
      <w:r w:rsidR="0049577B" w:rsidRPr="00AF1178">
        <w:t>修正規定，內政部移民署移民事務組居留定居二科依據該要點，邀請相關機關之代表，舉辦梅花卡聯合審查會(簡稱聯審會)。此一部分，並未採用國外之評點制。我國針對在臺畢業僑外生之工作許可配額方面，則採用評點制，我國之評點制，類似於加拿大、紐西蘭與澳洲之評點制技術移民之制度。在臺畢業僑外生之工作許可配額評點制之計算標準，如下表所述。</w:t>
      </w:r>
    </w:p>
    <w:p w:rsidR="0049577B" w:rsidRPr="00CC30C7" w:rsidRDefault="00776F57" w:rsidP="00776F57">
      <w:pPr>
        <w:pStyle w:val="afffffff9"/>
        <w:spacing w:before="180"/>
        <w:jc w:val="right"/>
        <w:rPr>
          <w:szCs w:val="22"/>
        </w:rPr>
      </w:pPr>
      <w:r w:rsidRPr="00CC30C7">
        <w:rPr>
          <w:rFonts w:hint="eastAsia"/>
          <w:szCs w:val="22"/>
        </w:rPr>
        <w:t>。。。。。。。。。。。。。。</w:t>
      </w:r>
      <w:hyperlink w:anchor="a2" w:history="1">
        <w:r w:rsidRPr="00CC30C7">
          <w:rPr>
            <w:rStyle w:val="a7"/>
            <w:sz w:val="22"/>
            <w:szCs w:val="22"/>
            <w:lang w:eastAsia="zh-TW"/>
          </w:rPr>
          <w:t>回本章</w:t>
        </w:r>
      </w:hyperlink>
      <w:r w:rsidRPr="00CC30C7">
        <w:rPr>
          <w:color w:val="808000"/>
          <w:szCs w:val="22"/>
        </w:rPr>
        <w:t>〉〉</w:t>
      </w:r>
      <w:hyperlink w:anchor="a目次2" w:history="1">
        <w:r w:rsidRPr="00CC30C7">
          <w:rPr>
            <w:rStyle w:val="a7"/>
            <w:sz w:val="22"/>
            <w:szCs w:val="22"/>
            <w:lang w:eastAsia="zh-TW"/>
          </w:rPr>
          <w:t>回總目次</w:t>
        </w:r>
      </w:hyperlink>
      <w:r w:rsidRPr="00CC30C7">
        <w:rPr>
          <w:color w:val="808000"/>
          <w:szCs w:val="22"/>
        </w:rPr>
        <w:t>〉〉</w:t>
      </w:r>
    </w:p>
    <w:p w:rsidR="0049577B" w:rsidRPr="00B40DC1" w:rsidRDefault="0049577B" w:rsidP="00EC0EE2">
      <w:pPr>
        <w:pStyle w:val="4"/>
        <w:rPr>
          <w:spacing w:val="2"/>
          <w:lang w:eastAsia="zh-TW"/>
        </w:rPr>
      </w:pPr>
      <w:r w:rsidRPr="00B40DC1">
        <w:rPr>
          <w:lang w:eastAsia="zh-TW"/>
        </w:rPr>
        <w:t>表10</w:t>
      </w:r>
      <w:r w:rsidR="00776F57">
        <w:rPr>
          <w:rFonts w:ascii="新細明體" w:eastAsia="新細明體" w:hAnsi="新細明體" w:hint="eastAsia"/>
          <w:lang w:eastAsia="zh-TW"/>
        </w:rPr>
        <w:t>、</w:t>
      </w:r>
      <w:r w:rsidRPr="00B40DC1">
        <w:rPr>
          <w:lang w:eastAsia="zh-TW"/>
        </w:rPr>
        <w:t>在臺畢業僑外生工作許可配額評點制申請書表</w:t>
      </w:r>
      <w:r w:rsidRPr="00EC0EE2">
        <w:rPr>
          <w:rStyle w:val="af7"/>
          <w:rFonts w:eastAsia="新細明體"/>
          <w:sz w:val="20"/>
        </w:rPr>
        <w:footnoteReference w:id="403"/>
      </w:r>
      <w:r w:rsidRPr="00B40DC1">
        <w:rPr>
          <w:lang w:eastAsia="zh-TW"/>
        </w:rPr>
        <w:t xml:space="preserve"> </w:t>
      </w:r>
    </w:p>
    <w:tbl>
      <w:tblPr>
        <w:tblW w:w="96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849"/>
        <w:gridCol w:w="1479"/>
        <w:gridCol w:w="880"/>
        <w:gridCol w:w="5443"/>
      </w:tblGrid>
      <w:tr w:rsidR="0049577B" w:rsidRPr="00B40DC1" w:rsidTr="00EC0EE2">
        <w:trPr>
          <w:tblHeader/>
          <w:jc w:val="center"/>
        </w:trPr>
        <w:tc>
          <w:tcPr>
            <w:tcW w:w="958" w:type="pct"/>
            <w:tcBorders>
              <w:top w:val="single" w:sz="8" w:space="0" w:color="auto"/>
              <w:bottom w:val="single" w:sz="4" w:space="0" w:color="auto"/>
            </w:tcBorders>
            <w:shd w:val="clear" w:color="auto" w:fill="FAF0FA"/>
            <w:vAlign w:val="center"/>
          </w:tcPr>
          <w:p w:rsidR="0049577B" w:rsidRPr="00EC0EE2" w:rsidRDefault="0049577B" w:rsidP="00394C1A">
            <w:pPr>
              <w:spacing w:line="240" w:lineRule="auto"/>
              <w:ind w:leftChars="0" w:left="0" w:rightChars="0" w:right="0"/>
              <w:jc w:val="center"/>
              <w:rPr>
                <w:sz w:val="24"/>
                <w:szCs w:val="24"/>
              </w:rPr>
            </w:pPr>
            <w:r w:rsidRPr="00EC0EE2">
              <w:rPr>
                <w:sz w:val="24"/>
                <w:szCs w:val="24"/>
              </w:rPr>
              <w:t>評點</w:t>
            </w:r>
          </w:p>
          <w:p w:rsidR="0049577B" w:rsidRPr="00EC0EE2" w:rsidRDefault="0049577B" w:rsidP="00394C1A">
            <w:pPr>
              <w:spacing w:line="240" w:lineRule="auto"/>
              <w:ind w:leftChars="0" w:left="0" w:rightChars="0" w:right="0"/>
              <w:jc w:val="center"/>
              <w:rPr>
                <w:sz w:val="24"/>
                <w:szCs w:val="24"/>
              </w:rPr>
            </w:pPr>
            <w:r w:rsidRPr="00EC0EE2">
              <w:rPr>
                <w:sz w:val="24"/>
                <w:szCs w:val="24"/>
              </w:rPr>
              <w:t>項目</w:t>
            </w:r>
          </w:p>
        </w:tc>
        <w:tc>
          <w:tcPr>
            <w:tcW w:w="766" w:type="pct"/>
            <w:tcBorders>
              <w:top w:val="single" w:sz="8" w:space="0" w:color="auto"/>
              <w:bottom w:val="single" w:sz="4" w:space="0" w:color="auto"/>
            </w:tcBorders>
            <w:shd w:val="clear" w:color="auto" w:fill="FAF0FA"/>
            <w:vAlign w:val="center"/>
          </w:tcPr>
          <w:p w:rsidR="0049577B" w:rsidRPr="00EC0EE2" w:rsidRDefault="0049577B" w:rsidP="00394C1A">
            <w:pPr>
              <w:spacing w:line="240" w:lineRule="auto"/>
              <w:ind w:leftChars="0" w:left="0" w:rightChars="0" w:right="0"/>
              <w:jc w:val="center"/>
              <w:rPr>
                <w:sz w:val="24"/>
                <w:szCs w:val="24"/>
              </w:rPr>
            </w:pPr>
            <w:r w:rsidRPr="00EC0EE2">
              <w:rPr>
                <w:sz w:val="24"/>
                <w:szCs w:val="24"/>
              </w:rPr>
              <w:t>內容及等級</w:t>
            </w:r>
          </w:p>
        </w:tc>
        <w:tc>
          <w:tcPr>
            <w:tcW w:w="456" w:type="pct"/>
            <w:tcBorders>
              <w:top w:val="single" w:sz="8" w:space="0" w:color="auto"/>
              <w:bottom w:val="single" w:sz="4" w:space="0" w:color="auto"/>
            </w:tcBorders>
            <w:shd w:val="clear" w:color="auto" w:fill="FAF0FA"/>
            <w:vAlign w:val="center"/>
          </w:tcPr>
          <w:p w:rsidR="0049577B" w:rsidRPr="00EC0EE2" w:rsidRDefault="0049577B" w:rsidP="00394C1A">
            <w:pPr>
              <w:spacing w:line="240" w:lineRule="auto"/>
              <w:ind w:leftChars="0" w:left="0" w:rightChars="0" w:right="0"/>
              <w:jc w:val="center"/>
              <w:rPr>
                <w:sz w:val="24"/>
                <w:szCs w:val="24"/>
              </w:rPr>
            </w:pPr>
            <w:r w:rsidRPr="00EC0EE2">
              <w:rPr>
                <w:sz w:val="24"/>
                <w:szCs w:val="24"/>
              </w:rPr>
              <w:t>點數</w:t>
            </w:r>
          </w:p>
        </w:tc>
        <w:tc>
          <w:tcPr>
            <w:tcW w:w="2820" w:type="pct"/>
            <w:tcBorders>
              <w:top w:val="single" w:sz="8" w:space="0" w:color="auto"/>
              <w:bottom w:val="single" w:sz="4" w:space="0" w:color="auto"/>
            </w:tcBorders>
            <w:shd w:val="clear" w:color="auto" w:fill="FAF0FA"/>
            <w:vAlign w:val="center"/>
          </w:tcPr>
          <w:p w:rsidR="0049577B" w:rsidRPr="00EC0EE2" w:rsidRDefault="0049577B" w:rsidP="00394C1A">
            <w:pPr>
              <w:spacing w:line="240" w:lineRule="auto"/>
              <w:ind w:leftChars="0" w:left="0" w:rightChars="0" w:right="0"/>
              <w:jc w:val="center"/>
              <w:rPr>
                <w:sz w:val="24"/>
                <w:szCs w:val="24"/>
              </w:rPr>
            </w:pPr>
            <w:r w:rsidRPr="00EC0EE2">
              <w:rPr>
                <w:sz w:val="24"/>
                <w:szCs w:val="24"/>
              </w:rPr>
              <w:t>應備文件及說明</w:t>
            </w:r>
          </w:p>
        </w:tc>
      </w:tr>
      <w:tr w:rsidR="0049577B" w:rsidRPr="00B40DC1" w:rsidTr="00EC0EE2">
        <w:trPr>
          <w:jc w:val="center"/>
        </w:trPr>
        <w:tc>
          <w:tcPr>
            <w:tcW w:w="958" w:type="pct"/>
            <w:vMerge w:val="restart"/>
            <w:tcBorders>
              <w:top w:val="single" w:sz="4" w:space="0" w:color="auto"/>
            </w:tcBorders>
            <w:shd w:val="clear" w:color="auto" w:fill="auto"/>
            <w:vAlign w:val="center"/>
          </w:tcPr>
          <w:p w:rsidR="0049577B" w:rsidRPr="00EC0EE2" w:rsidRDefault="0049577B" w:rsidP="00394C1A">
            <w:pPr>
              <w:spacing w:line="240" w:lineRule="auto"/>
              <w:ind w:leftChars="0" w:left="0" w:rightChars="0" w:right="0"/>
              <w:rPr>
                <w:sz w:val="24"/>
                <w:szCs w:val="24"/>
              </w:rPr>
            </w:pPr>
            <w:r w:rsidRPr="00EC0EE2">
              <w:rPr>
                <w:sz w:val="24"/>
                <w:szCs w:val="24"/>
              </w:rPr>
              <w:t>一、學歷</w:t>
            </w:r>
          </w:p>
        </w:tc>
        <w:tc>
          <w:tcPr>
            <w:tcW w:w="766" w:type="pct"/>
            <w:tcBorders>
              <w:top w:val="single" w:sz="4" w:space="0" w:color="auto"/>
            </w:tcBorders>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博士學位</w:t>
            </w:r>
          </w:p>
        </w:tc>
        <w:tc>
          <w:tcPr>
            <w:tcW w:w="456" w:type="pct"/>
            <w:tcBorders>
              <w:top w:val="single" w:sz="4" w:space="0" w:color="auto"/>
            </w:tcBorders>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三十</w:t>
            </w:r>
          </w:p>
        </w:tc>
        <w:tc>
          <w:tcPr>
            <w:tcW w:w="2820" w:type="pct"/>
            <w:vMerge w:val="restart"/>
            <w:tcBorders>
              <w:top w:val="single" w:sz="4" w:space="0" w:color="auto"/>
            </w:tcBorders>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僑外生學位畢業證書影本。</w:t>
            </w:r>
          </w:p>
        </w:tc>
      </w:tr>
      <w:tr w:rsidR="0049577B" w:rsidRPr="00B40DC1" w:rsidTr="00EC0EE2">
        <w:trPr>
          <w:jc w:val="center"/>
        </w:trPr>
        <w:tc>
          <w:tcPr>
            <w:tcW w:w="958"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碩士學位</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二十</w:t>
            </w:r>
          </w:p>
        </w:tc>
        <w:tc>
          <w:tcPr>
            <w:tcW w:w="2820"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r>
      <w:tr w:rsidR="0049577B" w:rsidRPr="00B40DC1" w:rsidTr="00EC0EE2">
        <w:trPr>
          <w:jc w:val="center"/>
        </w:trPr>
        <w:tc>
          <w:tcPr>
            <w:tcW w:w="958"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學士學位</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十</w:t>
            </w:r>
          </w:p>
        </w:tc>
        <w:tc>
          <w:tcPr>
            <w:tcW w:w="2820"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r>
      <w:tr w:rsidR="0049577B" w:rsidRPr="00B40DC1" w:rsidTr="00EC0EE2">
        <w:trPr>
          <w:jc w:val="center"/>
        </w:trPr>
        <w:tc>
          <w:tcPr>
            <w:tcW w:w="958" w:type="pct"/>
            <w:vMerge w:val="restart"/>
            <w:shd w:val="clear" w:color="auto" w:fill="auto"/>
            <w:vAlign w:val="center"/>
          </w:tcPr>
          <w:p w:rsidR="0049577B" w:rsidRPr="00EC0EE2" w:rsidRDefault="0049577B" w:rsidP="00394C1A">
            <w:pPr>
              <w:spacing w:line="240" w:lineRule="auto"/>
              <w:ind w:leftChars="0" w:left="0" w:rightChars="0" w:right="0"/>
              <w:rPr>
                <w:sz w:val="24"/>
                <w:szCs w:val="24"/>
              </w:rPr>
            </w:pPr>
            <w:r w:rsidRPr="00EC0EE2">
              <w:rPr>
                <w:sz w:val="24"/>
                <w:szCs w:val="24"/>
              </w:rPr>
              <w:t>二、聘僱薪資</w:t>
            </w: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每月平均新臺幣四萬七千九百七十一元以上</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四十</w:t>
            </w:r>
          </w:p>
        </w:tc>
        <w:tc>
          <w:tcPr>
            <w:tcW w:w="2820" w:type="pct"/>
            <w:vMerge w:val="restar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雇主與僑外生簽妥之勞動契約書影本，契約內容應載明每月平均聘僱薪資(以新臺幣計)、雙方名稱、工作職稱、工作內容及聘僱期間等。</w:t>
            </w:r>
          </w:p>
        </w:tc>
      </w:tr>
      <w:tr w:rsidR="0049577B" w:rsidRPr="00B40DC1" w:rsidTr="00EC0EE2">
        <w:trPr>
          <w:jc w:val="center"/>
        </w:trPr>
        <w:tc>
          <w:tcPr>
            <w:tcW w:w="958"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每月平均新臺幣四萬元以上未達四萬七千九百七十一元</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三十</w:t>
            </w:r>
          </w:p>
        </w:tc>
        <w:tc>
          <w:tcPr>
            <w:tcW w:w="2820"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r>
      <w:tr w:rsidR="0049577B" w:rsidRPr="00B40DC1" w:rsidTr="00EC0EE2">
        <w:trPr>
          <w:jc w:val="center"/>
        </w:trPr>
        <w:tc>
          <w:tcPr>
            <w:tcW w:w="958"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每月平均新臺幣三萬五千元以上未達四萬元</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二十</w:t>
            </w:r>
          </w:p>
          <w:p w:rsidR="0049577B" w:rsidRPr="00EC0EE2" w:rsidRDefault="0049577B" w:rsidP="00EC0EE2">
            <w:pPr>
              <w:spacing w:line="240" w:lineRule="auto"/>
              <w:ind w:leftChars="0" w:left="0" w:rightChars="0" w:right="0"/>
              <w:rPr>
                <w:sz w:val="24"/>
                <w:szCs w:val="24"/>
              </w:rPr>
            </w:pPr>
          </w:p>
        </w:tc>
        <w:tc>
          <w:tcPr>
            <w:tcW w:w="2820"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r>
      <w:tr w:rsidR="0049577B" w:rsidRPr="00B40DC1" w:rsidTr="00EC0EE2">
        <w:trPr>
          <w:jc w:val="center"/>
        </w:trPr>
        <w:tc>
          <w:tcPr>
            <w:tcW w:w="958"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每月平均新臺幣三萬一千五百二十元以上未達三萬五千元</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十</w:t>
            </w:r>
          </w:p>
        </w:tc>
        <w:tc>
          <w:tcPr>
            <w:tcW w:w="2820"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r>
      <w:tr w:rsidR="0049577B" w:rsidRPr="00B40DC1" w:rsidTr="00EC0EE2">
        <w:trPr>
          <w:jc w:val="center"/>
        </w:trPr>
        <w:tc>
          <w:tcPr>
            <w:tcW w:w="958" w:type="pct"/>
            <w:vMerge w:val="restart"/>
            <w:shd w:val="clear" w:color="auto" w:fill="auto"/>
            <w:vAlign w:val="center"/>
          </w:tcPr>
          <w:p w:rsidR="0049577B" w:rsidRPr="00EC0EE2" w:rsidRDefault="0049577B" w:rsidP="00394C1A">
            <w:pPr>
              <w:spacing w:line="240" w:lineRule="auto"/>
              <w:ind w:leftChars="0" w:left="0" w:rightChars="0" w:right="0"/>
              <w:rPr>
                <w:sz w:val="24"/>
                <w:szCs w:val="24"/>
              </w:rPr>
            </w:pPr>
            <w:r w:rsidRPr="00EC0EE2">
              <w:rPr>
                <w:sz w:val="24"/>
                <w:szCs w:val="24"/>
              </w:rPr>
              <w:t>三、工作經驗</w:t>
            </w: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二年以上</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二十</w:t>
            </w:r>
          </w:p>
        </w:tc>
        <w:tc>
          <w:tcPr>
            <w:tcW w:w="2820" w:type="pct"/>
            <w:vMerge w:val="restar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僑外生國內外專職工作之經驗證明影本。</w:t>
            </w:r>
          </w:p>
        </w:tc>
      </w:tr>
      <w:tr w:rsidR="0049577B" w:rsidRPr="00B40DC1" w:rsidTr="00EC0EE2">
        <w:trPr>
          <w:jc w:val="center"/>
        </w:trPr>
        <w:tc>
          <w:tcPr>
            <w:tcW w:w="958"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一年以上未達二年</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十</w:t>
            </w:r>
          </w:p>
        </w:tc>
        <w:tc>
          <w:tcPr>
            <w:tcW w:w="2820"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r>
      <w:tr w:rsidR="0049577B" w:rsidRPr="00B40DC1" w:rsidTr="00EC0EE2">
        <w:trPr>
          <w:jc w:val="center"/>
        </w:trPr>
        <w:tc>
          <w:tcPr>
            <w:tcW w:w="958" w:type="pct"/>
            <w:shd w:val="clear" w:color="auto" w:fill="auto"/>
            <w:vAlign w:val="center"/>
          </w:tcPr>
          <w:p w:rsidR="0049577B" w:rsidRPr="00EC0EE2" w:rsidRDefault="0049577B" w:rsidP="00394C1A">
            <w:pPr>
              <w:spacing w:line="240" w:lineRule="auto"/>
              <w:ind w:leftChars="0" w:left="0" w:rightChars="0" w:right="0"/>
              <w:rPr>
                <w:sz w:val="24"/>
                <w:szCs w:val="24"/>
              </w:rPr>
            </w:pPr>
            <w:r w:rsidRPr="00EC0EE2">
              <w:rPr>
                <w:sz w:val="24"/>
                <w:szCs w:val="24"/>
              </w:rPr>
              <w:t>四、擔任職務資格</w:t>
            </w: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具有企業所需該職務特殊專長能力者</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二十</w:t>
            </w:r>
          </w:p>
        </w:tc>
        <w:tc>
          <w:tcPr>
            <w:tcW w:w="2820" w:type="pct"/>
            <w:shd w:val="clear" w:color="auto" w:fill="auto"/>
            <w:vAlign w:val="center"/>
          </w:tcPr>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僑外生具職務特殊專長能力之證明文件影本。(如擔任該職務所需之專業訓練、修習課程、技能檢定、創作著作比賽得獎專利等證明)</w:t>
            </w:r>
          </w:p>
        </w:tc>
      </w:tr>
      <w:tr w:rsidR="0049577B" w:rsidRPr="00B40DC1" w:rsidTr="00EC0EE2">
        <w:trPr>
          <w:jc w:val="center"/>
        </w:trPr>
        <w:tc>
          <w:tcPr>
            <w:tcW w:w="958" w:type="pct"/>
            <w:vMerge w:val="restart"/>
            <w:shd w:val="clear" w:color="auto" w:fill="auto"/>
            <w:vAlign w:val="center"/>
          </w:tcPr>
          <w:p w:rsidR="0049577B" w:rsidRPr="00EC0EE2" w:rsidRDefault="0049577B" w:rsidP="00394C1A">
            <w:pPr>
              <w:spacing w:line="240" w:lineRule="auto"/>
              <w:ind w:leftChars="0" w:left="0" w:rightChars="0" w:right="0"/>
              <w:rPr>
                <w:sz w:val="24"/>
                <w:szCs w:val="24"/>
              </w:rPr>
            </w:pPr>
            <w:r w:rsidRPr="00EC0EE2">
              <w:rPr>
                <w:sz w:val="24"/>
                <w:szCs w:val="24"/>
              </w:rPr>
              <w:br w:type="page"/>
              <w:t>五、華語語文能力</w:t>
            </w: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經華語文能力檢定達 「流利」等級以上</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三十</w:t>
            </w:r>
          </w:p>
        </w:tc>
        <w:tc>
          <w:tcPr>
            <w:tcW w:w="2820" w:type="pct"/>
            <w:vMerge w:val="restart"/>
            <w:shd w:val="clear" w:color="auto" w:fill="auto"/>
            <w:vAlign w:val="center"/>
          </w:tcPr>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下列文件之一：</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僑外生華語文能力測驗「進階」以上等級之證明文件影本。</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僑外生曾學習華語文具有下列證明文件影本之一：</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在臺就學期間修習國文(中文)課程之成績證明：</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流利：八十分以上。</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高階：七十至七十九分。</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進階：六十至六十九分。</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學習華語(中文)時數證明文件：</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流利：在臺學習華語(中文)時數達九百六十小時以上，或其他地區學習一千九百二十小時以上。</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高階：在臺學習華語(中文)時數達四百八十小時以上，或其他地區學習九百六十小時以上。</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進階：在臺學習華語(中文)時數達三百六十小時以上，或其他地區學習七百二十小時以上。</w:t>
            </w:r>
          </w:p>
        </w:tc>
      </w:tr>
      <w:tr w:rsidR="0049577B" w:rsidRPr="00B40DC1" w:rsidTr="00EC0EE2">
        <w:trPr>
          <w:jc w:val="center"/>
        </w:trPr>
        <w:tc>
          <w:tcPr>
            <w:tcW w:w="958"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經華語文能力檢定達「高階」等級</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二十五</w:t>
            </w:r>
          </w:p>
        </w:tc>
        <w:tc>
          <w:tcPr>
            <w:tcW w:w="2820"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r>
      <w:tr w:rsidR="0049577B" w:rsidRPr="00B40DC1" w:rsidTr="00EC0EE2">
        <w:trPr>
          <w:jc w:val="center"/>
        </w:trPr>
        <w:tc>
          <w:tcPr>
            <w:tcW w:w="958"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經華語文能力檢定達「進階」等級</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二十</w:t>
            </w:r>
          </w:p>
        </w:tc>
        <w:tc>
          <w:tcPr>
            <w:tcW w:w="2820"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r>
      <w:tr w:rsidR="0049577B" w:rsidRPr="00B40DC1" w:rsidTr="00EC0EE2">
        <w:trPr>
          <w:jc w:val="center"/>
        </w:trPr>
        <w:tc>
          <w:tcPr>
            <w:tcW w:w="958" w:type="pct"/>
            <w:shd w:val="clear" w:color="auto" w:fill="auto"/>
            <w:vAlign w:val="center"/>
          </w:tcPr>
          <w:p w:rsidR="0049577B" w:rsidRPr="00EC0EE2" w:rsidRDefault="0049577B" w:rsidP="00394C1A">
            <w:pPr>
              <w:spacing w:line="240" w:lineRule="auto"/>
              <w:ind w:leftChars="0" w:left="0" w:rightChars="0" w:right="0"/>
              <w:rPr>
                <w:sz w:val="24"/>
                <w:szCs w:val="24"/>
              </w:rPr>
            </w:pPr>
            <w:r w:rsidRPr="00EC0EE2">
              <w:rPr>
                <w:sz w:val="24"/>
                <w:szCs w:val="24"/>
              </w:rPr>
              <w:t>六、他國語言能力</w:t>
            </w: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具有華語以外二項以上他國語文能力</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二十</w:t>
            </w:r>
          </w:p>
        </w:tc>
        <w:tc>
          <w:tcPr>
            <w:tcW w:w="2820" w:type="pct"/>
            <w:vMerge w:val="restart"/>
            <w:shd w:val="clear" w:color="auto" w:fill="auto"/>
            <w:vAlign w:val="center"/>
          </w:tcPr>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下列文件之一：</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僑外生他國語言能力檢定證明文件影本。</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僑外生修習他國語言達三百六十小時以上之證明文件影本。</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僑外生前一教育階段之畢業證書影本。</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取得學位之學校或僑務委員會所出具僑生、港澳生或外國學生前一教育階段之畢業證明文件。</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如：語言訓練測驗中心之外語能力測驗(FLPT)證明、托福、劍橋大學英語能力認證、英國文化協會國際英語能力證明、日本交流協會日本語能力測驗、法國文化協會法語鑑定(DELF)、歌德學院德語檢定考試、德國大學入學德語鑑定考試「德福」(TestDaF)、中國文化大學或國立政治大學辦理之俄文能力測驗等。</w:t>
            </w:r>
          </w:p>
        </w:tc>
      </w:tr>
      <w:tr w:rsidR="0049577B" w:rsidRPr="00B40DC1" w:rsidTr="00EC0EE2">
        <w:trPr>
          <w:jc w:val="center"/>
        </w:trPr>
        <w:tc>
          <w:tcPr>
            <w:tcW w:w="958" w:type="pct"/>
            <w:shd w:val="clear" w:color="auto" w:fill="auto"/>
            <w:vAlign w:val="center"/>
          </w:tcPr>
          <w:p w:rsidR="0049577B" w:rsidRPr="00EC0EE2" w:rsidRDefault="0049577B" w:rsidP="00EC0EE2">
            <w:pPr>
              <w:spacing w:line="240" w:lineRule="auto"/>
              <w:ind w:leftChars="0" w:left="0" w:rightChars="0" w:right="0"/>
              <w:rPr>
                <w:sz w:val="24"/>
                <w:szCs w:val="24"/>
              </w:rPr>
            </w:pP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具有華語以外一項他國語文能力</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十</w:t>
            </w:r>
          </w:p>
        </w:tc>
        <w:tc>
          <w:tcPr>
            <w:tcW w:w="2820" w:type="pct"/>
            <w:vMerge/>
            <w:shd w:val="clear" w:color="auto" w:fill="auto"/>
            <w:vAlign w:val="center"/>
          </w:tcPr>
          <w:p w:rsidR="0049577B" w:rsidRPr="00EC0EE2" w:rsidRDefault="0049577B" w:rsidP="00EC0EE2">
            <w:pPr>
              <w:spacing w:line="240" w:lineRule="auto"/>
              <w:ind w:leftChars="0" w:left="0" w:rightChars="0" w:right="0"/>
              <w:rPr>
                <w:sz w:val="24"/>
                <w:szCs w:val="24"/>
              </w:rPr>
            </w:pPr>
          </w:p>
        </w:tc>
      </w:tr>
      <w:tr w:rsidR="0049577B" w:rsidRPr="00B40DC1" w:rsidTr="00EC0EE2">
        <w:trPr>
          <w:jc w:val="center"/>
        </w:trPr>
        <w:tc>
          <w:tcPr>
            <w:tcW w:w="958" w:type="pct"/>
            <w:shd w:val="clear" w:color="auto" w:fill="auto"/>
            <w:vAlign w:val="center"/>
          </w:tcPr>
          <w:p w:rsidR="0049577B" w:rsidRPr="00EC0EE2" w:rsidRDefault="0049577B" w:rsidP="00394C1A">
            <w:pPr>
              <w:spacing w:line="240" w:lineRule="auto"/>
              <w:ind w:leftChars="0" w:left="0" w:rightChars="0" w:right="0"/>
              <w:rPr>
                <w:sz w:val="24"/>
                <w:szCs w:val="24"/>
              </w:rPr>
            </w:pPr>
            <w:r w:rsidRPr="00EC0EE2">
              <w:rPr>
                <w:sz w:val="24"/>
                <w:szCs w:val="24"/>
              </w:rPr>
              <w:t>七、他國成長經驗</w:t>
            </w: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具有於他國連續居留六年以上之成長經驗</w:t>
            </w: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十</w:t>
            </w:r>
          </w:p>
        </w:tc>
        <w:tc>
          <w:tcPr>
            <w:tcW w:w="2820" w:type="pct"/>
            <w:shd w:val="clear" w:color="auto" w:fill="auto"/>
            <w:vAlign w:val="center"/>
          </w:tcPr>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僑外生具他國成長經歷之下列任一證明文件影本，依身分別：</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一、僑生</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海外聯招會或學校核發之僑生入學許可。</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海外聯招會當年分發入學之榜單。</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海外聯招會出具之錄取證明。</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取得學位之學校所出具僑生身分證明文件。</w:t>
            </w:r>
          </w:p>
          <w:p w:rsidR="0049577B" w:rsidRPr="00EC0EE2" w:rsidRDefault="0049577B" w:rsidP="00EC0EE2">
            <w:pPr>
              <w:spacing w:line="240" w:lineRule="auto"/>
              <w:ind w:leftChars="0" w:left="0" w:rightChars="0" w:right="0"/>
              <w:rPr>
                <w:sz w:val="24"/>
                <w:szCs w:val="24"/>
              </w:rPr>
            </w:pPr>
            <w:r w:rsidRPr="00EC0EE2">
              <w:rPr>
                <w:sz w:val="24"/>
                <w:szCs w:val="24"/>
              </w:rPr>
              <w:t>僑務委員會出具之僑生身分證明或海外連續居留六年以上之證明文件。</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僑生於他國或港澳前一教育階段之畢業證書影本。</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二、港澳生</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海外聯招會或學校核發之港澳生入學許可。</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海外聯招會當年分發入學之榜單。</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海外聯招會出具之錄取證明。</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取得學位之學校所出具港澳生身分證明文件。</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港澳生於前一教育階段之畢業證書影本。</w:t>
            </w:r>
          </w:p>
          <w:p w:rsidR="0049577B" w:rsidRPr="00EC0EE2" w:rsidRDefault="0049577B" w:rsidP="00EC0EE2">
            <w:pPr>
              <w:spacing w:line="240" w:lineRule="auto"/>
              <w:ind w:leftChars="0" w:left="0" w:rightChars="0" w:right="0"/>
              <w:rPr>
                <w:sz w:val="24"/>
                <w:szCs w:val="24"/>
              </w:rPr>
            </w:pPr>
            <w:r w:rsidRPr="00EC0EE2">
              <w:rPr>
                <w:sz w:val="24"/>
                <w:szCs w:val="24"/>
              </w:rPr>
              <w:t>三、外國學生</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取得學位之學校所核發外國學生入學許可。</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取得學位之學校所出具外國學生身分證明文件。</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外國學生於他國前一教育階段之畢業證書影本。</w:t>
            </w:r>
          </w:p>
        </w:tc>
      </w:tr>
      <w:tr w:rsidR="0049577B" w:rsidRPr="00B40DC1" w:rsidTr="00EC0EE2">
        <w:trPr>
          <w:jc w:val="center"/>
        </w:trPr>
        <w:tc>
          <w:tcPr>
            <w:tcW w:w="958" w:type="pct"/>
            <w:shd w:val="clear" w:color="auto" w:fill="auto"/>
            <w:vAlign w:val="center"/>
          </w:tcPr>
          <w:p w:rsidR="0049577B" w:rsidRPr="00EC0EE2" w:rsidRDefault="0049577B" w:rsidP="00394C1A">
            <w:pPr>
              <w:spacing w:line="240" w:lineRule="auto"/>
              <w:ind w:leftChars="0" w:left="0" w:rightChars="0" w:right="0"/>
              <w:rPr>
                <w:sz w:val="24"/>
                <w:szCs w:val="24"/>
              </w:rPr>
            </w:pPr>
            <w:r w:rsidRPr="00EC0EE2">
              <w:rPr>
                <w:sz w:val="24"/>
                <w:szCs w:val="24"/>
              </w:rPr>
              <w:t>八、配合政府政策</w:t>
            </w: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配合政府產業發展相關政策之企業受僱者</w:t>
            </w:r>
          </w:p>
          <w:p w:rsidR="0049577B" w:rsidRPr="00EC0EE2" w:rsidRDefault="0049577B" w:rsidP="00EC0EE2">
            <w:pPr>
              <w:spacing w:line="240" w:lineRule="auto"/>
              <w:ind w:leftChars="0" w:left="0" w:rightChars="0" w:right="0"/>
              <w:rPr>
                <w:sz w:val="24"/>
                <w:szCs w:val="24"/>
              </w:rPr>
            </w:pP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二十</w:t>
            </w:r>
          </w:p>
        </w:tc>
        <w:tc>
          <w:tcPr>
            <w:tcW w:w="2820" w:type="pct"/>
            <w:shd w:val="clear" w:color="auto" w:fill="auto"/>
            <w:vAlign w:val="center"/>
          </w:tcPr>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中央目的事業主管機關核發雇主配合政府相關政策之證明文件影本。如：</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符合卓越中堅企業或潛力中堅企業之資格。</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在臺設立營運總部之企業(企業營運總部認定函)。</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在臺設立研發中心之企業(執行單位核定函)</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符合創業拔萃方案「具創新能力之新創事業認定原則」之事業單位。</w:t>
            </w:r>
          </w:p>
          <w:p w:rsidR="0049577B" w:rsidRPr="00EC0EE2" w:rsidRDefault="00394C1A" w:rsidP="00EC0EE2">
            <w:pPr>
              <w:spacing w:line="240" w:lineRule="auto"/>
              <w:ind w:leftChars="0" w:left="0" w:rightChars="0" w:right="0"/>
              <w:rPr>
                <w:sz w:val="24"/>
                <w:szCs w:val="24"/>
              </w:rPr>
            </w:pPr>
            <w:r>
              <w:rPr>
                <w:sz w:val="24"/>
                <w:szCs w:val="24"/>
              </w:rPr>
              <w:t xml:space="preserve">　　</w:t>
            </w:r>
            <w:r w:rsidR="0049577B" w:rsidRPr="00EC0EE2">
              <w:rPr>
                <w:sz w:val="24"/>
                <w:szCs w:val="24"/>
              </w:rPr>
              <w:t>經中央目的事業主管機關核發配合產業發展相關政策之認定函或證明文件。</w:t>
            </w:r>
          </w:p>
        </w:tc>
      </w:tr>
      <w:tr w:rsidR="0049577B" w:rsidRPr="00B40DC1" w:rsidTr="00EC0EE2">
        <w:trPr>
          <w:jc w:val="center"/>
        </w:trPr>
        <w:tc>
          <w:tcPr>
            <w:tcW w:w="958" w:type="pct"/>
            <w:shd w:val="clear" w:color="auto" w:fill="auto"/>
            <w:vAlign w:val="center"/>
          </w:tcPr>
          <w:p w:rsidR="0049577B" w:rsidRPr="00EC0EE2" w:rsidRDefault="0049577B" w:rsidP="00394C1A">
            <w:pPr>
              <w:spacing w:line="240" w:lineRule="auto"/>
              <w:ind w:leftChars="0" w:left="0" w:rightChars="0" w:right="0"/>
              <w:rPr>
                <w:sz w:val="24"/>
                <w:szCs w:val="24"/>
              </w:rPr>
            </w:pPr>
            <w:r w:rsidRPr="00EC0EE2">
              <w:rPr>
                <w:sz w:val="24"/>
                <w:szCs w:val="24"/>
              </w:rPr>
              <w:t>合格分數</w:t>
            </w:r>
          </w:p>
        </w:tc>
        <w:tc>
          <w:tcPr>
            <w:tcW w:w="766" w:type="pct"/>
            <w:shd w:val="clear" w:color="auto" w:fill="auto"/>
            <w:vAlign w:val="center"/>
          </w:tcPr>
          <w:p w:rsidR="0049577B" w:rsidRPr="00EC0EE2" w:rsidRDefault="0049577B" w:rsidP="00EC0EE2">
            <w:pPr>
              <w:spacing w:line="240" w:lineRule="auto"/>
              <w:ind w:leftChars="0" w:left="0" w:rightChars="0" w:right="0"/>
              <w:rPr>
                <w:sz w:val="24"/>
                <w:szCs w:val="24"/>
              </w:rPr>
            </w:pPr>
          </w:p>
        </w:tc>
        <w:tc>
          <w:tcPr>
            <w:tcW w:w="456" w:type="pct"/>
            <w:shd w:val="clear" w:color="auto" w:fill="auto"/>
            <w:vAlign w:val="center"/>
          </w:tcPr>
          <w:p w:rsidR="0049577B" w:rsidRPr="00EC0EE2" w:rsidRDefault="0049577B" w:rsidP="00EC0EE2">
            <w:pPr>
              <w:spacing w:line="240" w:lineRule="auto"/>
              <w:ind w:leftChars="0" w:left="0" w:rightChars="0" w:right="0"/>
              <w:rPr>
                <w:sz w:val="24"/>
                <w:szCs w:val="24"/>
              </w:rPr>
            </w:pPr>
            <w:r w:rsidRPr="00EC0EE2">
              <w:rPr>
                <w:sz w:val="24"/>
                <w:szCs w:val="24"/>
              </w:rPr>
              <w:t>七十</w:t>
            </w:r>
          </w:p>
        </w:tc>
        <w:tc>
          <w:tcPr>
            <w:tcW w:w="2820" w:type="pct"/>
            <w:shd w:val="clear" w:color="auto" w:fill="auto"/>
            <w:vAlign w:val="center"/>
          </w:tcPr>
          <w:p w:rsidR="0049577B" w:rsidRPr="00EC0EE2" w:rsidRDefault="0049577B" w:rsidP="00EC0EE2">
            <w:pPr>
              <w:spacing w:line="240" w:lineRule="auto"/>
              <w:ind w:leftChars="0" w:left="0" w:rightChars="0" w:right="0"/>
              <w:rPr>
                <w:sz w:val="24"/>
                <w:szCs w:val="24"/>
              </w:rPr>
            </w:pPr>
          </w:p>
        </w:tc>
      </w:tr>
    </w:tbl>
    <w:p w:rsidR="0049577B" w:rsidRDefault="00394C1A" w:rsidP="00394C1A">
      <w:pPr>
        <w:spacing w:line="240" w:lineRule="auto"/>
        <w:ind w:leftChars="0" w:left="0" w:rightChars="0" w:right="0"/>
      </w:pPr>
      <w:r w:rsidRPr="00394C1A">
        <w:rPr>
          <w:rFonts w:hint="eastAsia"/>
        </w:rPr>
        <w:t>【</w:t>
      </w:r>
      <w:r w:rsidR="0049577B" w:rsidRPr="00394C1A">
        <w:t>本表格來源</w:t>
      </w:r>
      <w:r w:rsidRPr="00394C1A">
        <w:rPr>
          <w:rFonts w:hint="eastAsia"/>
        </w:rPr>
        <w:t>】</w:t>
      </w:r>
      <w:r w:rsidR="0049577B" w:rsidRPr="00394C1A">
        <w:t>勞動力發展署(2014)，在臺畢業僑外生工作許可配額評點制申請書表。</w:t>
      </w:r>
    </w:p>
    <w:p w:rsidR="00394C1A" w:rsidRPr="00394C1A" w:rsidRDefault="00394C1A" w:rsidP="00394C1A">
      <w:pPr>
        <w:spacing w:line="240" w:lineRule="auto"/>
        <w:ind w:leftChars="0" w:left="0" w:rightChars="0" w:right="0"/>
      </w:pPr>
    </w:p>
    <w:p w:rsidR="0049577B" w:rsidRPr="00B40DC1" w:rsidRDefault="00EC0EE2" w:rsidP="00394C1A">
      <w:pPr>
        <w:spacing w:line="240" w:lineRule="auto"/>
        <w:ind w:leftChars="0" w:left="0" w:rightChars="0" w:right="0"/>
      </w:pPr>
      <w:r>
        <w:t xml:space="preserve">　　</w:t>
      </w:r>
      <w:r w:rsidR="0049577B" w:rsidRPr="00B40DC1">
        <w:t>本文認為，我國之梅花卡審查制，其具有之優勢，如下所述：1、集合相關機關代表之意見，可考量更多之面向與角度；2、比較有彈性與機動性，及時引進國內所需產業之外國專技人才；3、可針對個別之外國專技申請者，進行非常深入之審查；4、可適切地彌補評點制之缺失，這些之缺失，除了上文所述之外，尚包括：評點制之分數，無法真正地代表一個人之核心價值與專業；另外，具有藝術或音樂專才之外國專技人才，其薪資並不一定優渥，評點制對其不利</w:t>
      </w:r>
      <w:r w:rsidR="0049577B" w:rsidRPr="00EC0EE2">
        <w:rPr>
          <w:rStyle w:val="af7"/>
          <w:rFonts w:eastAsia="新細明體"/>
          <w:sz w:val="20"/>
        </w:rPr>
        <w:footnoteReference w:id="404"/>
      </w:r>
      <w:r w:rsidR="0049577B" w:rsidRPr="00B40DC1">
        <w:t>；年齡較大者，易被評點制淘汰。</w:t>
      </w:r>
    </w:p>
    <w:p w:rsidR="0049577B" w:rsidRPr="00B40DC1" w:rsidRDefault="00EC0EE2" w:rsidP="00394C1A">
      <w:pPr>
        <w:spacing w:line="240" w:lineRule="auto"/>
        <w:ind w:leftChars="0" w:left="0" w:rightChars="0" w:right="0"/>
      </w:pPr>
      <w:r>
        <w:t xml:space="preserve">　　</w:t>
      </w:r>
      <w:r w:rsidR="0049577B" w:rsidRPr="00B40DC1">
        <w:t>然而，我國之審查制，其亦具有之劣勢，如下所述：1、對於外國專技申請者，缺乏一套客觀與科學化之評量標準；2、易受審查委員主觀意見之影響，導致其欠缺公平性與客觀性。針對上述缺失之第1點與第2點部分，筆者曾與所授課之警大841境管組同學討論此一議題，同學林偉弘先生曾向作者反應，為何我國之評點制之機制，僅是限於在臺畢業僑外生？而在招攬其他外國人才之部分，卻使用審查制？兩套制度之標準何在？兩套制度之目的，均為同一個目的，即為提升國家之競爭力，但卻使用不同之篩選標準，著實會引起爭議，並降低在臺畢業僑外生以外之其他外國高階人才之來台意願，其公平性有待商榷</w:t>
      </w:r>
      <w:r w:rsidR="0049577B" w:rsidRPr="00EC0EE2">
        <w:rPr>
          <w:rStyle w:val="af7"/>
          <w:rFonts w:eastAsia="新細明體"/>
          <w:sz w:val="20"/>
        </w:rPr>
        <w:footnoteReference w:id="405"/>
      </w:r>
      <w:r w:rsidR="0049577B" w:rsidRPr="00B40DC1">
        <w:t>。再者，亦有論者主張，我國之評點制之通過標準，是否過於容易？對於其他外國籍之高階人才，是否公平？容有討論之空間</w:t>
      </w:r>
      <w:r w:rsidR="0049577B" w:rsidRPr="00EC0EE2">
        <w:rPr>
          <w:rStyle w:val="af7"/>
          <w:rFonts w:eastAsia="新細明體"/>
          <w:sz w:val="20"/>
        </w:rPr>
        <w:footnoteReference w:id="406"/>
      </w:r>
      <w:r w:rsidR="0049577B" w:rsidRPr="00B40DC1">
        <w:t>。</w:t>
      </w:r>
    </w:p>
    <w:p w:rsidR="003C1792" w:rsidRDefault="00EC0EE2" w:rsidP="00394C1A">
      <w:pPr>
        <w:spacing w:line="240" w:lineRule="auto"/>
        <w:ind w:leftChars="0" w:left="0" w:rightChars="0" w:right="0"/>
      </w:pPr>
      <w:r>
        <w:t xml:space="preserve">　　</w:t>
      </w:r>
      <w:r w:rsidR="0049577B" w:rsidRPr="00B40DC1">
        <w:t>綜上，本文認為，我國之評點制之機制，其正面之效益，值得肯定之，但應不限於僅適用於在臺畢業僑外生之工作許可配額，或可考量推廣至其他種類之外國專技人才。我國在篩選外國專技人才方面，可採用雙軌之方式，亦即，將審查制與評點制兩者加以結合，似可產生更佳之效果。</w:t>
      </w:r>
    </w:p>
    <w:p w:rsidR="0049577B" w:rsidRPr="00B40DC1" w:rsidRDefault="005B648A" w:rsidP="00321574">
      <w:pPr>
        <w:jc w:val="right"/>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sz w:val="22"/>
        </w:rPr>
        <w:t>〉〉</w:t>
      </w:r>
    </w:p>
    <w:p w:rsidR="003C1792" w:rsidRDefault="0049577B" w:rsidP="002F19DE">
      <w:pPr>
        <w:pStyle w:val="2"/>
      </w:pPr>
      <w:bookmarkStart w:id="64" w:name="_玖、結論與建議"/>
      <w:bookmarkEnd w:id="64"/>
      <w:r w:rsidRPr="00B40DC1">
        <w:t xml:space="preserve">玖、結論與建議 </w:t>
      </w:r>
    </w:p>
    <w:p w:rsidR="003C1792" w:rsidRPr="00EC0EE2" w:rsidRDefault="0049577B" w:rsidP="00EC0EE2">
      <w:pPr>
        <w:pStyle w:val="3"/>
        <w:rPr>
          <w:lang w:eastAsia="zh-TW"/>
        </w:rPr>
      </w:pPr>
      <w:bookmarkStart w:id="65" w:name="_一、結論"/>
      <w:bookmarkEnd w:id="65"/>
      <w:r w:rsidRPr="00EC0EE2">
        <w:rPr>
          <w:lang w:eastAsia="zh-TW"/>
        </w:rPr>
        <w:t xml:space="preserve">一、結論 </w:t>
      </w:r>
    </w:p>
    <w:p w:rsidR="0049577B" w:rsidRPr="00B40DC1" w:rsidRDefault="00EC0EE2" w:rsidP="00394C1A">
      <w:pPr>
        <w:spacing w:line="240" w:lineRule="auto"/>
        <w:ind w:leftChars="0" w:left="0" w:rightChars="0" w:right="0"/>
      </w:pPr>
      <w:r>
        <w:t xml:space="preserve">　　</w:t>
      </w:r>
      <w:r w:rsidR="0049577B" w:rsidRPr="00B40DC1">
        <w:t>加拿大、紐西蘭及澳洲技術移民政策採取評點制作為遴選技術移民之標準，評點制以技術移民申請者之年齡、語文能力、工作經驗、教育程度及配偶技能等作項目一一作計分，透過每項項目內容之設計，給予不同之計分，例如在申請者年齡項目中給予青壯年之申請者較高之分數、給予與語文能力較好之申請者較高之分數、給予工作經驗豐富之申請者較高之分數、給予有公民身分或永久居留身分之近親在該國之申請者較高之分數等方式，更利於遴選出國內需要之技術人才。星加坡、日本、韓國、英國、加拿大、紐西蘭及澳洲等世界先進國家為留住外國人才，近年均陸續採行「評點制」，針對不同類型人才，由此不難看出「評點制」已是國際遴選優秀人才之趨勢。</w:t>
      </w:r>
    </w:p>
    <w:p w:rsidR="0049577B" w:rsidRPr="00B40DC1" w:rsidRDefault="00BF5F93" w:rsidP="00394C1A">
      <w:pPr>
        <w:spacing w:line="240" w:lineRule="auto"/>
        <w:ind w:leftChars="0" w:left="0" w:rightChars="0" w:right="0"/>
      </w:pPr>
      <w:r>
        <w:t xml:space="preserve">　　</w:t>
      </w:r>
      <w:r w:rsidR="0049577B" w:rsidRPr="00B40DC1">
        <w:t>評點制乃一套多元考量作為遴選外國技術移民機制。評點制之優點，為此為一套公平、客觀、可量化且科學化之遴選國外技術移民。當然每一套制度均無法是十全十美，評點制亦不例外，評點制在其選項之設計上，亦有可能將某些優秀專業人才因著教育程度較低或年齡較大而遭評點制度所淘汰。惟這樣之被淘汰之人才仍是少數，評點制因著系統自動設定、自動計分及自動遴選，由系統自動遴選之機制相對地會比由人之主觀來遴選之機制更為客觀、公平、科學化及可量化。</w:t>
      </w:r>
    </w:p>
    <w:p w:rsidR="0049577B" w:rsidRPr="00B40DC1" w:rsidRDefault="00394C1A" w:rsidP="00394C1A">
      <w:pPr>
        <w:spacing w:line="240" w:lineRule="auto"/>
        <w:ind w:leftChars="0" w:left="0" w:rightChars="0" w:right="0"/>
      </w:pPr>
      <w:r>
        <w:t xml:space="preserve">　　</w:t>
      </w:r>
      <w:r w:rsidR="0049577B" w:rsidRPr="00B40DC1">
        <w:t>加拿大、紐西蘭及澳洲以評點制作為遴選技術移民之機制，並藉由開出國內所需職業類別及數額，給予高技術移民者進入其國內工作機會並給予永久居留權，目前在我國並無完全一致之移民制度，但較類似之為我國梅花上永久居留制度，國外之高級專業人才可經過梅花卡之申請取得我國永久居留權。</w:t>
      </w:r>
    </w:p>
    <w:p w:rsidR="0049577B" w:rsidRPr="00B40DC1" w:rsidRDefault="00394C1A" w:rsidP="00394C1A">
      <w:pPr>
        <w:spacing w:line="240" w:lineRule="auto"/>
        <w:ind w:leftChars="0" w:left="0" w:rightChars="0" w:right="0"/>
      </w:pPr>
      <w:r>
        <w:t xml:space="preserve">　　</w:t>
      </w:r>
      <w:r w:rsidR="0049577B" w:rsidRPr="00B40DC1">
        <w:t>在加拿大技術移民政策實施評點制之現況方面，於1967年，加拿大業已推行技術移民評點制，是世界上第一個實行評點制之國家。加拿大所欲延攬技術移民將之稱為聯邦技術移民(FSW)。加拿大移民「快速移民」(Express Entry, EE)新政策已於2015年1月實施。在「快速移民」(EE)新政策下，加拿大聯邦技術移民(FSW)申請者須先符合原先聯邦技術移民之標準，在符合資格後始有資格進入「快速移民」(EE)篩選池中。</w:t>
      </w:r>
    </w:p>
    <w:p w:rsidR="0049577B" w:rsidRPr="00B40DC1" w:rsidRDefault="00394C1A" w:rsidP="00394C1A">
      <w:pPr>
        <w:spacing w:line="240" w:lineRule="auto"/>
        <w:ind w:leftChars="0" w:left="0" w:rightChars="0" w:right="0"/>
      </w:pPr>
      <w:r>
        <w:t xml:space="preserve">　　</w:t>
      </w:r>
      <w:r w:rsidR="0049577B" w:rsidRPr="00B40DC1">
        <w:t>按照目前加拿大公民及移民部所遴選出來，將給予永久居留權之經濟性技術移民，就得先經過兩輪評點制之篩選始有機會成為加拿大永久居留居民。第一輪評點制滿分為100分，至少要獲得67分始能提出聯邦技術移民(FSW)之申請，之後始有資格進入第二輪「快速移民」(EE)線上自動計分篩選系統，在第二輪系統中，技術移民申請者之分數愈高者，愈有機會獲選為加拿大永久居留居民。加拿大遴選技術移民所採用之二輪評點制皆以技術移民申請者之年齡、語文能力、工作經驗、教育程度及配偶技能等作項目作為計分標準。</w:t>
      </w:r>
    </w:p>
    <w:p w:rsidR="0049577B" w:rsidRPr="00B40DC1" w:rsidRDefault="00394C1A" w:rsidP="00394C1A">
      <w:pPr>
        <w:spacing w:line="240" w:lineRule="auto"/>
        <w:ind w:leftChars="0" w:left="0" w:rightChars="0" w:right="0"/>
      </w:pPr>
      <w:r>
        <w:t xml:space="preserve">　　</w:t>
      </w:r>
      <w:r w:rsidR="0049577B" w:rsidRPr="00B40DC1">
        <w:t>另外，在紐西蘭技術移民政策實施評點制之現況部分，紐西蘭技術移民申請者提出申請後，符合資格之申請者紐西蘭先核予技術移民類別之簽證Skilled Migrant Category(SMC)，該簽證乃是一個求職簽證，由於該簽證類別名稱，故紐西蘭又將技術移民稱為技術移民Skilled Migrant。目前紐西蘭技術移民申請者可在線上提出意向申請「Expression of Interest」(EOI)申請，僅要申請者在線上提出申請後，該系統會依技術移民申請者之年齡、語文能力、工作經驗、教育程度及配偶技能等作項目作計分，並自動遴選符合紐西蘭設定條件之申請者。</w:t>
      </w:r>
    </w:p>
    <w:p w:rsidR="0049577B" w:rsidRPr="00B40DC1" w:rsidRDefault="00394C1A" w:rsidP="00394C1A">
      <w:pPr>
        <w:spacing w:line="240" w:lineRule="auto"/>
        <w:ind w:leftChars="0" w:left="0" w:rightChars="0" w:right="0"/>
      </w:pPr>
      <w:r>
        <w:t xml:space="preserve">　　</w:t>
      </w:r>
      <w:r w:rsidR="0049577B" w:rsidRPr="00B40DC1">
        <w:t>從2005年12月21日迄今所提出技術移民申請之申請者，僅要符合基本分100分，系統均會將申請者之意向申請「Expression of Interest」(EOI)繼續保留，但若申請者所獲得分數未達100分，系統僅會將該申請之意向申請「Expression of Interest」(EOI)保留6個月。除了獲得100分之申請者可提出移民申請意向(Expression of Interest)外，另外，申請者至少要獲得140分以上，系統始會自動選取並由紐西蘭移民當局進行評估，分數愈高，技術移民獲選為技術移民並給予永久居留之機會愈大。</w:t>
      </w:r>
    </w:p>
    <w:p w:rsidR="0049577B" w:rsidRPr="00B40DC1" w:rsidRDefault="00394C1A" w:rsidP="00394C1A">
      <w:pPr>
        <w:spacing w:line="240" w:lineRule="auto"/>
        <w:ind w:leftChars="0" w:left="0" w:rightChars="0" w:right="0"/>
      </w:pPr>
      <w:r>
        <w:t xml:space="preserve">　　</w:t>
      </w:r>
      <w:r w:rsidR="0049577B" w:rsidRPr="00B40DC1">
        <w:t>再者，在澳洲技術移民政策實施評點制現況方面，澳洲將技術移民稱之為Skilled Migrant。澳洲將技術移民以簽證種類區分為Skilled Independent Migrant獨立技術移民(189簽證)Skilled Nominated Migrant州政府或地方政府擔保之技術移民(190簽證)。澳洲在1989年正式實行技術移民遴選機制。</w:t>
      </w:r>
    </w:p>
    <w:p w:rsidR="0049577B" w:rsidRPr="00B40DC1" w:rsidRDefault="00394C1A" w:rsidP="00394C1A">
      <w:pPr>
        <w:spacing w:line="240" w:lineRule="auto"/>
        <w:ind w:leftChars="0" w:left="0" w:rightChars="0" w:right="0"/>
      </w:pPr>
      <w:r>
        <w:t xml:space="preserve">　　</w:t>
      </w:r>
      <w:r w:rsidR="0049577B" w:rsidRPr="00B40DC1">
        <w:t>澳洲技術移民新法令自2012年7月1日實施Skill Select Program技術遴選計畫。Skill Select是一個線上系統(online system)，使有意在澳洲工作之技術移民能在線上註冊並登入他們之詳細資料，並提交意向書且申請該類型之簽證。該系統讓澳洲雇主、州政府及聯邦政府檢視所有技術移民申請者經由意向申請(EOI, Expression of Interest)之資料，包括技術移民之背景及學經歷等。若澳洲雇主、州政府及聯邦政府對申請者之背景有興趣，系統就會發出邀請函請申請者提出移民申請。</w:t>
      </w:r>
    </w:p>
    <w:p w:rsidR="0049577B" w:rsidRDefault="00394C1A" w:rsidP="00394C1A">
      <w:pPr>
        <w:spacing w:line="240" w:lineRule="auto"/>
        <w:ind w:leftChars="0" w:left="0" w:rightChars="0" w:right="0"/>
      </w:pPr>
      <w:r>
        <w:t xml:space="preserve">　　</w:t>
      </w:r>
      <w:r w:rsidR="0049577B" w:rsidRPr="00B40DC1">
        <w:t>Skill Select之設計乃以「評點制」為基礎，依技術移民申請者之年齡、語文能力、工作經驗、教育程度及配偶技能等作項目作計分，並讓政府能適時掌握技術移民申請之數量。獨立技術移民(189簽證)及州政府或地方政府擔保之技術移民(190簽證)，至少要得到60分以上始能提出意向申請(EOI)。</w:t>
      </w:r>
    </w:p>
    <w:p w:rsidR="00321574" w:rsidRPr="00B40DC1" w:rsidRDefault="005B648A" w:rsidP="00321574">
      <w:pPr>
        <w:spacing w:line="240" w:lineRule="auto"/>
        <w:ind w:leftChars="0" w:left="0" w:rightChars="0" w:right="0"/>
        <w:jc w:val="right"/>
      </w:pPr>
      <w:r w:rsidRPr="00D45AD2">
        <w:rPr>
          <w:rFonts w:hint="eastAsia"/>
        </w:rPr>
        <w:t>。。。。。。。。。。。。。。</w:t>
      </w:r>
      <w:hyperlink w:anchor="a2" w:history="1">
        <w:r>
          <w:rPr>
            <w:rStyle w:val="a7"/>
            <w:sz w:val="24"/>
            <w:lang w:eastAsia="zh-TW"/>
          </w:rPr>
          <w:t>回本章</w:t>
        </w:r>
      </w:hyperlink>
      <w:r w:rsidRPr="0008714D">
        <w:rPr>
          <w:color w:val="808000"/>
          <w:sz w:val="20"/>
        </w:rPr>
        <w:t>〉〉</w:t>
      </w:r>
      <w:hyperlink w:anchor="a目次2" w:history="1">
        <w:r>
          <w:rPr>
            <w:rStyle w:val="a7"/>
            <w:sz w:val="22"/>
            <w:lang w:eastAsia="zh-TW"/>
          </w:rPr>
          <w:t>回總目次</w:t>
        </w:r>
      </w:hyperlink>
      <w:r w:rsidRPr="00D45AD2">
        <w:rPr>
          <w:color w:val="808000"/>
          <w:sz w:val="22"/>
        </w:rPr>
        <w:t>〉〉</w:t>
      </w:r>
    </w:p>
    <w:p w:rsidR="0049577B" w:rsidRPr="00B40DC1" w:rsidRDefault="0049577B" w:rsidP="00394C1A">
      <w:pPr>
        <w:pStyle w:val="3"/>
        <w:rPr>
          <w:lang w:eastAsia="zh-TW"/>
        </w:rPr>
      </w:pPr>
      <w:bookmarkStart w:id="66" w:name="_二、建議"/>
      <w:bookmarkEnd w:id="66"/>
      <w:r w:rsidRPr="00B40DC1">
        <w:rPr>
          <w:lang w:eastAsia="zh-TW"/>
        </w:rPr>
        <w:t>二、建議</w:t>
      </w:r>
    </w:p>
    <w:p w:rsidR="0049577B" w:rsidRPr="00394C1A" w:rsidRDefault="00394C1A" w:rsidP="00394C1A">
      <w:pPr>
        <w:spacing w:line="240" w:lineRule="auto"/>
        <w:ind w:leftChars="0" w:left="0" w:rightChars="0" w:right="0"/>
      </w:pPr>
      <w:r w:rsidRPr="00394C1A">
        <w:t xml:space="preserve">　　</w:t>
      </w:r>
      <w:r w:rsidR="0049577B" w:rsidRPr="00394C1A">
        <w:t>本文綜整前文之文獻與資料，提出以下之重要建議，供社會大眾參考：</w:t>
      </w:r>
    </w:p>
    <w:p w:rsidR="0049577B" w:rsidRPr="00394C1A" w:rsidRDefault="00394C1A" w:rsidP="00394C1A">
      <w:pPr>
        <w:spacing w:line="240" w:lineRule="auto"/>
        <w:ind w:leftChars="0" w:left="0" w:rightChars="0" w:right="0"/>
      </w:pPr>
      <w:r w:rsidRPr="00394C1A">
        <w:t xml:space="preserve">　　</w:t>
      </w:r>
      <w:r w:rsidR="0049577B" w:rsidRPr="00394C1A">
        <w:t>(一)我國評點制之機制，似可不限於僅適用於在臺畢業僑外生之工作許可配額，或可考量應用至其他職種與國家之外國專技人才之審查與篩選。</w:t>
      </w:r>
    </w:p>
    <w:p w:rsidR="003C1792" w:rsidRPr="00394C1A" w:rsidRDefault="00394C1A" w:rsidP="00394C1A">
      <w:pPr>
        <w:spacing w:line="240" w:lineRule="auto"/>
        <w:ind w:leftChars="0" w:left="0" w:rightChars="0" w:right="0"/>
      </w:pPr>
      <w:r w:rsidRPr="00394C1A">
        <w:t xml:space="preserve">　　</w:t>
      </w:r>
      <w:r w:rsidR="0049577B" w:rsidRPr="00394C1A">
        <w:t>(二)我國在篩選外國專技人才之梅花卡之審查機制方面，本文建議，或可考量進一步採用雙軌之方式，結合審查制與評點制，似可產生更佳、更公平、更客觀與更科學之篩選效果。</w:t>
      </w:r>
    </w:p>
    <w:p w:rsidR="0049577B" w:rsidRPr="00B40DC1" w:rsidRDefault="0049577B" w:rsidP="000D26BB"/>
    <w:p w:rsidR="0049577B" w:rsidRPr="00B40DC1" w:rsidRDefault="00D62154" w:rsidP="00D62154">
      <w:pPr>
        <w:jc w:val="right"/>
      </w:pPr>
      <w:r w:rsidRPr="00D45AD2">
        <w:rPr>
          <w:rFonts w:hint="eastAsia"/>
          <w:sz w:val="22"/>
        </w:rPr>
        <w:t>。。。。。。。。。。。。。。。。。。</w:t>
      </w:r>
      <w:hyperlink w:anchor="a目次3" w:history="1">
        <w:r>
          <w:rPr>
            <w:rStyle w:val="a7"/>
            <w:sz w:val="22"/>
            <w:lang w:eastAsia="zh-TW"/>
          </w:rPr>
          <w:t>回總目次</w:t>
        </w:r>
      </w:hyperlink>
      <w:r w:rsidRPr="00D45AD2">
        <w:rPr>
          <w:color w:val="808000"/>
          <w:sz w:val="22"/>
        </w:rPr>
        <w:t>〉〉</w:t>
      </w:r>
    </w:p>
    <w:p w:rsidR="0049577B" w:rsidRPr="00B40DC1" w:rsidRDefault="0049577B" w:rsidP="00B662A4">
      <w:pPr>
        <w:pStyle w:val="11"/>
      </w:pPr>
      <w:bookmarkStart w:id="67" w:name="_第三章、臺灣評點制技術移民政策之現況、問題與可行之對策"/>
      <w:bookmarkEnd w:id="67"/>
      <w:r w:rsidRPr="00B40DC1">
        <w:t>第三章</w:t>
      </w:r>
      <w:r w:rsidR="00394C1A" w:rsidRPr="00394C1A">
        <w:rPr>
          <w:rFonts w:hint="eastAsia"/>
        </w:rPr>
        <w:t>、</w:t>
      </w:r>
      <w:r w:rsidRPr="00B40DC1">
        <w:t>臺灣評點制技術移民政策之現況、問題與可行之對策</w:t>
      </w:r>
    </w:p>
    <w:p w:rsidR="0049577B" w:rsidRDefault="0049577B" w:rsidP="00016E69">
      <w:pPr>
        <w:jc w:val="center"/>
        <w:rPr>
          <w:b/>
        </w:rPr>
      </w:pPr>
      <w:r w:rsidRPr="00394C1A">
        <w:rPr>
          <w:rStyle w:val="hps"/>
          <w:b/>
        </w:rPr>
        <w:t>A Study on</w:t>
      </w:r>
      <w:r w:rsidRPr="00394C1A">
        <w:rPr>
          <w:b/>
        </w:rPr>
        <w:t xml:space="preserve"> </w:t>
      </w:r>
      <w:r w:rsidRPr="00394C1A">
        <w:rPr>
          <w:rStyle w:val="hps"/>
          <w:b/>
        </w:rPr>
        <w:t>the</w:t>
      </w:r>
      <w:r w:rsidRPr="00394C1A">
        <w:rPr>
          <w:b/>
        </w:rPr>
        <w:t xml:space="preserve"> Contemparary Situations, Problems &amp; Feasible Strategies for the Taiwan Point-Based System of the Skilled Immigration Policy</w:t>
      </w:r>
    </w:p>
    <w:p w:rsidR="005A0586" w:rsidRPr="00B40DC1" w:rsidRDefault="005A0586" w:rsidP="00016E69">
      <w:pPr>
        <w:jc w:val="center"/>
      </w:pPr>
    </w:p>
    <w:tbl>
      <w:tblPr>
        <w:tblW w:w="9614" w:type="dxa"/>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4"/>
      </w:tblGrid>
      <w:tr w:rsidR="0049577B" w:rsidRPr="00B40DC1" w:rsidTr="00016E69">
        <w:tc>
          <w:tcPr>
            <w:tcW w:w="9614" w:type="dxa"/>
            <w:shd w:val="clear" w:color="auto" w:fill="auto"/>
          </w:tcPr>
          <w:p w:rsidR="0049577B" w:rsidRDefault="0049577B" w:rsidP="00AC5921">
            <w:pPr>
              <w:spacing w:line="240" w:lineRule="auto"/>
              <w:ind w:leftChars="0" w:left="0" w:rightChars="0" w:right="0"/>
              <w:rPr>
                <w:b/>
                <w:color w:val="FFFFFF" w:themeColor="background1"/>
                <w:sz w:val="20"/>
                <w:szCs w:val="20"/>
              </w:rPr>
            </w:pPr>
            <w:bookmarkStart w:id="68" w:name="a3"/>
            <w:bookmarkEnd w:id="68"/>
            <w:r w:rsidRPr="00776F57">
              <w:rPr>
                <w:b/>
                <w:color w:val="990000"/>
              </w:rPr>
              <w:t>目次</w:t>
            </w:r>
            <w:r w:rsidR="00AC5921" w:rsidRPr="00AF69C2">
              <w:rPr>
                <w:rFonts w:hint="eastAsia"/>
                <w:b/>
                <w:color w:val="FFFFFF" w:themeColor="background1"/>
                <w:sz w:val="20"/>
                <w:szCs w:val="20"/>
              </w:rPr>
              <w:t>*</w:t>
            </w:r>
          </w:p>
          <w:p w:rsidR="0049577B" w:rsidRPr="00016E69" w:rsidRDefault="0049577B" w:rsidP="00AC5921">
            <w:pPr>
              <w:spacing w:line="240" w:lineRule="auto"/>
              <w:ind w:leftChars="0" w:left="0" w:rightChars="0" w:right="0"/>
            </w:pPr>
            <w:r w:rsidRPr="00776F57">
              <w:rPr>
                <w:color w:val="990000"/>
              </w:rPr>
              <w:t>壹、</w:t>
            </w:r>
            <w:hyperlink w:anchor="_壹、研究動機與目的_1" w:history="1">
              <w:r w:rsidRPr="008724EE">
                <w:rPr>
                  <w:rStyle w:val="a7"/>
                  <w:rFonts w:cs="Times New Roman"/>
                  <w:lang w:eastAsia="zh-TW" w:bidi="ar-SA"/>
                </w:rPr>
                <w:t>研究動機與目的</w:t>
              </w:r>
            </w:hyperlink>
            <w:r w:rsidR="00AC5921" w:rsidRPr="00FA0216">
              <w:rPr>
                <w:rFonts w:hint="eastAsia"/>
                <w:b/>
                <w:color w:val="FFFFFF" w:themeColor="background1"/>
                <w:sz w:val="20"/>
                <w:szCs w:val="20"/>
              </w:rPr>
              <w:t>*</w:t>
            </w:r>
          </w:p>
          <w:p w:rsidR="003C1792" w:rsidRPr="00016E69" w:rsidRDefault="0049577B" w:rsidP="00AC5921">
            <w:pPr>
              <w:spacing w:line="240" w:lineRule="auto"/>
              <w:ind w:leftChars="0" w:left="0" w:rightChars="0" w:right="0"/>
            </w:pPr>
            <w:r w:rsidRPr="00776F57">
              <w:rPr>
                <w:color w:val="990000"/>
              </w:rPr>
              <w:t>貮、</w:t>
            </w:r>
            <w:hyperlink w:anchor="_貳、重要名詞之定義" w:history="1">
              <w:r w:rsidRPr="008724EE">
                <w:rPr>
                  <w:rStyle w:val="a7"/>
                  <w:rFonts w:cs="Times New Roman"/>
                  <w:lang w:eastAsia="zh-TW" w:bidi="ar-SA"/>
                </w:rPr>
                <w:t>重要名詞之定義</w:t>
              </w:r>
            </w:hyperlink>
            <w:r w:rsidR="00AC5921" w:rsidRPr="00FA0216">
              <w:rPr>
                <w:rFonts w:hint="eastAsia"/>
                <w:b/>
                <w:color w:val="FFFFFF" w:themeColor="background1"/>
                <w:sz w:val="20"/>
                <w:szCs w:val="20"/>
              </w:rPr>
              <w:t>*</w:t>
            </w:r>
          </w:p>
          <w:p w:rsidR="0049577B" w:rsidRPr="00016E69" w:rsidRDefault="0049577B" w:rsidP="00AC5921">
            <w:pPr>
              <w:spacing w:line="240" w:lineRule="auto"/>
              <w:ind w:leftChars="0" w:left="0" w:rightChars="0" w:right="0"/>
            </w:pPr>
            <w:r w:rsidRPr="00776F57">
              <w:rPr>
                <w:color w:val="990000"/>
              </w:rPr>
              <w:t>參、</w:t>
            </w:r>
            <w:hyperlink w:anchor="_參、研究設計與實施" w:history="1">
              <w:r w:rsidRPr="001C1E6A">
                <w:rPr>
                  <w:rStyle w:val="a7"/>
                  <w:rFonts w:cs="Times New Roman"/>
                  <w:lang w:eastAsia="zh-TW" w:bidi="ar-SA"/>
                </w:rPr>
                <w:t>研究設計與實施</w:t>
              </w:r>
            </w:hyperlink>
            <w:r w:rsidR="00AC5921" w:rsidRPr="00FA0216">
              <w:rPr>
                <w:rFonts w:hint="eastAsia"/>
                <w:b/>
                <w:color w:val="FFFFFF" w:themeColor="background1"/>
                <w:sz w:val="20"/>
                <w:szCs w:val="20"/>
              </w:rPr>
              <w:t>*</w:t>
            </w:r>
          </w:p>
          <w:p w:rsidR="003C1792" w:rsidRPr="00016E69" w:rsidRDefault="0049577B" w:rsidP="00AC5921">
            <w:pPr>
              <w:spacing w:line="240" w:lineRule="auto"/>
              <w:ind w:leftChars="0" w:left="0" w:rightChars="0" w:right="0"/>
            </w:pPr>
            <w:bookmarkStart w:id="69" w:name="a3b4"/>
            <w:bookmarkEnd w:id="69"/>
            <w:r w:rsidRPr="00776F57">
              <w:rPr>
                <w:color w:val="990000"/>
              </w:rPr>
              <w:t>肆、</w:t>
            </w:r>
            <w:hyperlink w:anchor="_肆、我國技術移民政策之現況、優勢與困境" w:history="1">
              <w:r w:rsidR="00321574" w:rsidRPr="00A35933">
                <w:rPr>
                  <w:rStyle w:val="a7"/>
                  <w:rFonts w:cs="Times New Roman" w:hint="eastAsia"/>
                  <w:kern w:val="36"/>
                  <w:lang w:eastAsia="zh-TW" w:bidi="ar-SA"/>
                </w:rPr>
                <w:t>我國技術移民政策之現況、優勢與困境</w:t>
              </w:r>
            </w:hyperlink>
            <w:r w:rsidR="00AC5921" w:rsidRPr="00FA0216">
              <w:rPr>
                <w:rFonts w:hint="eastAsia"/>
                <w:b/>
                <w:color w:val="FFFFFF" w:themeColor="background1"/>
                <w:sz w:val="20"/>
                <w:szCs w:val="20"/>
              </w:rPr>
              <w:t>*</w:t>
            </w:r>
          </w:p>
          <w:p w:rsidR="0049577B" w:rsidRPr="00F94BFB" w:rsidRDefault="00321574" w:rsidP="00AC5921">
            <w:pPr>
              <w:spacing w:line="240" w:lineRule="auto"/>
              <w:ind w:leftChars="0" w:left="0" w:rightChars="0" w:right="0"/>
              <w:rPr>
                <w:sz w:val="24"/>
              </w:rPr>
            </w:pPr>
            <w:r w:rsidRPr="00F94BFB">
              <w:rPr>
                <w:rFonts w:hint="eastAsia"/>
                <w:color w:val="990000"/>
                <w:kern w:val="36"/>
                <w:sz w:val="24"/>
              </w:rPr>
              <w:t>》</w:t>
            </w:r>
            <w:r w:rsidR="0049577B" w:rsidRPr="00F94BFB">
              <w:rPr>
                <w:color w:val="990000"/>
                <w:sz w:val="24"/>
              </w:rPr>
              <w:t>一、</w:t>
            </w:r>
            <w:hyperlink w:anchor="_一、我國現行國外專業人員在臺灣居留之情形" w:history="1">
              <w:r w:rsidR="0049577B" w:rsidRPr="00F94BFB">
                <w:rPr>
                  <w:rStyle w:val="a7"/>
                  <w:rFonts w:cs="Times New Roman"/>
                  <w:sz w:val="24"/>
                  <w:lang w:eastAsia="zh-TW" w:bidi="ar-SA"/>
                </w:rPr>
                <w:t>我國現行國外專業人員在臺灣居留之情形</w:t>
              </w:r>
            </w:hyperlink>
          </w:p>
          <w:p w:rsidR="0049577B" w:rsidRPr="00F94BFB" w:rsidRDefault="00321574" w:rsidP="00AC5921">
            <w:pPr>
              <w:spacing w:line="240" w:lineRule="auto"/>
              <w:ind w:leftChars="0" w:left="0" w:rightChars="0" w:right="0"/>
              <w:rPr>
                <w:sz w:val="24"/>
              </w:rPr>
            </w:pPr>
            <w:r w:rsidRPr="00F94BFB">
              <w:rPr>
                <w:rFonts w:hint="eastAsia"/>
                <w:color w:val="990000"/>
                <w:kern w:val="36"/>
                <w:sz w:val="24"/>
              </w:rPr>
              <w:t>》</w:t>
            </w:r>
            <w:r w:rsidR="0049577B" w:rsidRPr="00F94BFB">
              <w:rPr>
                <w:color w:val="990000"/>
                <w:sz w:val="24"/>
              </w:rPr>
              <w:t>二、</w:t>
            </w:r>
            <w:hyperlink w:anchor="_二、我國現行針對技術移民之遴選與審查機制及其標準" w:history="1">
              <w:r w:rsidR="0049577B" w:rsidRPr="00F94BFB">
                <w:rPr>
                  <w:rStyle w:val="a7"/>
                  <w:rFonts w:cs="Times New Roman"/>
                  <w:sz w:val="24"/>
                  <w:lang w:eastAsia="zh-TW" w:bidi="ar-SA"/>
                </w:rPr>
                <w:t>我國現行針對技術移民之遴選與審查機制及其標準</w:t>
              </w:r>
            </w:hyperlink>
          </w:p>
          <w:p w:rsidR="0049577B" w:rsidRPr="00F94BFB" w:rsidRDefault="00321574" w:rsidP="00AC5921">
            <w:pPr>
              <w:spacing w:line="240" w:lineRule="auto"/>
              <w:ind w:leftChars="0" w:left="0" w:rightChars="0" w:right="0"/>
              <w:rPr>
                <w:sz w:val="24"/>
              </w:rPr>
            </w:pPr>
            <w:r w:rsidRPr="00F94BFB">
              <w:rPr>
                <w:rFonts w:hint="eastAsia"/>
                <w:color w:val="990000"/>
                <w:kern w:val="36"/>
                <w:sz w:val="24"/>
              </w:rPr>
              <w:t>》</w:t>
            </w:r>
            <w:r w:rsidR="0049577B" w:rsidRPr="00F94BFB">
              <w:rPr>
                <w:color w:val="990000"/>
                <w:sz w:val="24"/>
              </w:rPr>
              <w:t>三、</w:t>
            </w:r>
            <w:hyperlink w:anchor="_三、我國吸引技術移民之優勢" w:history="1">
              <w:r w:rsidR="0049577B" w:rsidRPr="00F94BFB">
                <w:rPr>
                  <w:rStyle w:val="a7"/>
                  <w:rFonts w:cs="Times New Roman"/>
                  <w:sz w:val="24"/>
                  <w:lang w:eastAsia="zh-TW" w:bidi="ar-SA"/>
                </w:rPr>
                <w:t>我國吸引技術移民之優勢</w:t>
              </w:r>
            </w:hyperlink>
          </w:p>
          <w:p w:rsidR="0049577B" w:rsidRPr="00F94BFB" w:rsidRDefault="00321574" w:rsidP="00AC5921">
            <w:pPr>
              <w:spacing w:line="240" w:lineRule="auto"/>
              <w:ind w:leftChars="0" w:left="0" w:rightChars="0" w:right="0"/>
              <w:rPr>
                <w:sz w:val="24"/>
              </w:rPr>
            </w:pPr>
            <w:r w:rsidRPr="00F94BFB">
              <w:rPr>
                <w:rFonts w:hint="eastAsia"/>
                <w:color w:val="990000"/>
                <w:kern w:val="36"/>
                <w:sz w:val="24"/>
              </w:rPr>
              <w:t>》</w:t>
            </w:r>
            <w:r w:rsidR="0049577B" w:rsidRPr="00F94BFB">
              <w:rPr>
                <w:color w:val="990000"/>
                <w:sz w:val="24"/>
              </w:rPr>
              <w:t>四、</w:t>
            </w:r>
            <w:hyperlink w:anchor="_四、我國吸引技術移民之困境" w:history="1">
              <w:r w:rsidR="0049577B" w:rsidRPr="00F94BFB">
                <w:rPr>
                  <w:rStyle w:val="a7"/>
                  <w:rFonts w:cs="Times New Roman"/>
                  <w:sz w:val="24"/>
                  <w:lang w:eastAsia="zh-TW" w:bidi="ar-SA"/>
                </w:rPr>
                <w:t>我國吸引技術移民之困境</w:t>
              </w:r>
            </w:hyperlink>
            <w:r w:rsidR="008724EE" w:rsidRPr="00F94BFB">
              <w:rPr>
                <w:rFonts w:hint="eastAsia"/>
                <w:b/>
                <w:color w:val="FFFFFF" w:themeColor="background1"/>
                <w:sz w:val="18"/>
                <w:szCs w:val="20"/>
              </w:rPr>
              <w:t>*</w:t>
            </w:r>
          </w:p>
          <w:p w:rsidR="0049577B" w:rsidRPr="00016E69" w:rsidRDefault="0049577B" w:rsidP="00AC5921">
            <w:pPr>
              <w:spacing w:line="240" w:lineRule="auto"/>
              <w:ind w:leftChars="0" w:left="0" w:rightChars="0" w:right="0"/>
            </w:pPr>
            <w:bookmarkStart w:id="70" w:name="a3b5"/>
            <w:bookmarkEnd w:id="70"/>
            <w:r w:rsidRPr="00776F57">
              <w:rPr>
                <w:color w:val="990000"/>
              </w:rPr>
              <w:t>伍、</w:t>
            </w:r>
            <w:hyperlink w:anchor="_伍、僑外生留臺計畫評點制之現況與困境" w:history="1">
              <w:r w:rsidR="00321574" w:rsidRPr="003E18C8">
                <w:rPr>
                  <w:rStyle w:val="a7"/>
                  <w:rFonts w:cs="Times New Roman" w:hint="eastAsia"/>
                  <w:kern w:val="36"/>
                  <w:lang w:eastAsia="zh-TW" w:bidi="ar-SA"/>
                </w:rPr>
                <w:t>僑外生留臺計畫評點制之現況與困境</w:t>
              </w:r>
            </w:hyperlink>
          </w:p>
          <w:p w:rsidR="0049577B" w:rsidRPr="00F94BFB" w:rsidRDefault="00321574" w:rsidP="00AC5921">
            <w:pPr>
              <w:spacing w:line="240" w:lineRule="auto"/>
              <w:ind w:leftChars="0" w:left="0" w:rightChars="0" w:right="0"/>
              <w:rPr>
                <w:sz w:val="24"/>
              </w:rPr>
            </w:pPr>
            <w:r w:rsidRPr="00F94BFB">
              <w:rPr>
                <w:rFonts w:hint="eastAsia"/>
                <w:color w:val="990000"/>
                <w:kern w:val="36"/>
                <w:sz w:val="24"/>
              </w:rPr>
              <w:t>》</w:t>
            </w:r>
            <w:r w:rsidR="0049577B" w:rsidRPr="00F94BFB">
              <w:rPr>
                <w:color w:val="990000"/>
                <w:sz w:val="24"/>
              </w:rPr>
              <w:t>一、</w:t>
            </w:r>
            <w:hyperlink w:anchor="_一、採行僑外生留臺計畫評點制乃為現行法令解套" w:history="1">
              <w:r w:rsidR="0049577B" w:rsidRPr="00F94BFB">
                <w:rPr>
                  <w:rStyle w:val="a7"/>
                  <w:rFonts w:cs="Times New Roman"/>
                  <w:sz w:val="24"/>
                  <w:lang w:eastAsia="zh-TW" w:bidi="ar-SA"/>
                </w:rPr>
                <w:t>採行僑外生留臺計畫評點制乃為現行法令解套</w:t>
              </w:r>
            </w:hyperlink>
          </w:p>
          <w:p w:rsidR="003C1792" w:rsidRPr="00F94BFB" w:rsidRDefault="00321574" w:rsidP="00AC5921">
            <w:pPr>
              <w:spacing w:line="240" w:lineRule="auto"/>
              <w:ind w:leftChars="0" w:left="0" w:rightChars="0" w:right="0"/>
              <w:rPr>
                <w:sz w:val="24"/>
              </w:rPr>
            </w:pPr>
            <w:r w:rsidRPr="00F94BFB">
              <w:rPr>
                <w:rFonts w:hint="eastAsia"/>
                <w:color w:val="990000"/>
                <w:kern w:val="36"/>
                <w:sz w:val="24"/>
              </w:rPr>
              <w:t>》</w:t>
            </w:r>
            <w:r w:rsidR="0049577B" w:rsidRPr="00F94BFB">
              <w:rPr>
                <w:color w:val="990000"/>
                <w:sz w:val="24"/>
              </w:rPr>
              <w:t>二、</w:t>
            </w:r>
            <w:hyperlink w:anchor="_二、目前僑外生留臺計畫之困境" w:history="1">
              <w:r w:rsidR="0049577B" w:rsidRPr="00F94BFB">
                <w:rPr>
                  <w:rStyle w:val="a7"/>
                  <w:rFonts w:cs="Times New Roman"/>
                  <w:sz w:val="24"/>
                  <w:lang w:eastAsia="zh-TW" w:bidi="ar-SA"/>
                </w:rPr>
                <w:t>目前僑外生留臺計畫之困境</w:t>
              </w:r>
            </w:hyperlink>
            <w:r w:rsidR="008724EE" w:rsidRPr="00F94BFB">
              <w:rPr>
                <w:rFonts w:hint="eastAsia"/>
                <w:b/>
                <w:color w:val="FFFFFF" w:themeColor="background1"/>
                <w:sz w:val="18"/>
                <w:szCs w:val="20"/>
              </w:rPr>
              <w:t>*</w:t>
            </w:r>
          </w:p>
          <w:p w:rsidR="003C1792" w:rsidRPr="00016E69" w:rsidRDefault="0049577B" w:rsidP="00AC5921">
            <w:pPr>
              <w:spacing w:line="240" w:lineRule="auto"/>
              <w:ind w:leftChars="0" w:left="0" w:rightChars="0" w:right="0"/>
            </w:pPr>
            <w:bookmarkStart w:id="71" w:name="a3b6"/>
            <w:bookmarkEnd w:id="71"/>
            <w:r w:rsidRPr="00776F57">
              <w:rPr>
                <w:color w:val="990000"/>
              </w:rPr>
              <w:t>陸、</w:t>
            </w:r>
            <w:hyperlink w:anchor="_陸、我國評點制技術移民政策尚待解決之問題與未來可行發展之方向" w:history="1">
              <w:r w:rsidR="00321574" w:rsidRPr="003E18C8">
                <w:rPr>
                  <w:rStyle w:val="a7"/>
                  <w:rFonts w:cs="Times New Roman" w:hint="eastAsia"/>
                  <w:kern w:val="36"/>
                  <w:lang w:eastAsia="zh-TW" w:bidi="ar-SA"/>
                </w:rPr>
                <w:t>我國評點制技術移民政策尚待解決之問題與未來可行發展之方向</w:t>
              </w:r>
            </w:hyperlink>
          </w:p>
          <w:p w:rsidR="0049577B" w:rsidRPr="00F94BFB" w:rsidRDefault="00321574" w:rsidP="00AC5921">
            <w:pPr>
              <w:spacing w:line="240" w:lineRule="auto"/>
              <w:ind w:leftChars="0" w:left="0" w:rightChars="0" w:right="0"/>
              <w:rPr>
                <w:sz w:val="24"/>
                <w:szCs w:val="24"/>
              </w:rPr>
            </w:pPr>
            <w:r w:rsidRPr="00F94BFB">
              <w:rPr>
                <w:rFonts w:hint="eastAsia"/>
                <w:color w:val="990000"/>
                <w:kern w:val="36"/>
                <w:sz w:val="24"/>
                <w:szCs w:val="24"/>
              </w:rPr>
              <w:t>》</w:t>
            </w:r>
            <w:r w:rsidR="0049577B" w:rsidRPr="00F94BFB">
              <w:rPr>
                <w:color w:val="990000"/>
                <w:sz w:val="24"/>
                <w:szCs w:val="24"/>
              </w:rPr>
              <w:t>一、</w:t>
            </w:r>
            <w:hyperlink w:anchor="_一、我國採行「評點制」技術移民制度乃屬於可行之方向──公開、客觀、可量" w:history="1">
              <w:r w:rsidR="0049577B" w:rsidRPr="00F94BFB">
                <w:rPr>
                  <w:rStyle w:val="a7"/>
                  <w:rFonts w:cs="Times New Roman"/>
                  <w:sz w:val="24"/>
                  <w:szCs w:val="24"/>
                  <w:lang w:eastAsia="zh-TW" w:bidi="ar-SA"/>
                </w:rPr>
                <w:t>我國採行「評點制」技術移民制度乃屬於可行之方向</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二、</w:t>
            </w:r>
            <w:hyperlink w:anchor="_二、我國採行「評點制」技術移民制度可能面臨之困難點" w:history="1">
              <w:r w:rsidR="0049577B" w:rsidRPr="00F94BFB">
                <w:rPr>
                  <w:rStyle w:val="a7"/>
                  <w:rFonts w:cs="Times New Roman"/>
                  <w:sz w:val="24"/>
                  <w:szCs w:val="24"/>
                  <w:lang w:eastAsia="zh-TW" w:bidi="ar-SA"/>
                </w:rPr>
                <w:t>我國採行「評點制」技術移民制度可能面臨之困難點</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三、</w:t>
            </w:r>
            <w:hyperlink w:anchor="_三、針對技術專業移民之遴選及審查機制與標準可採行折衷之機制" w:history="1">
              <w:r w:rsidR="0049577B" w:rsidRPr="00E43C92">
                <w:rPr>
                  <w:rStyle w:val="a7"/>
                  <w:rFonts w:cs="Times New Roman"/>
                  <w:sz w:val="24"/>
                  <w:szCs w:val="24"/>
                  <w:lang w:eastAsia="zh-TW" w:bidi="ar-SA"/>
                </w:rPr>
                <w:t>針對技術專業移民之遴選及審查機制與標準可採行折衷之機制</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四、</w:t>
            </w:r>
            <w:hyperlink w:anchor="_四、法令與政策宜適時檢討修正" w:history="1">
              <w:r w:rsidR="0049577B" w:rsidRPr="00E43C92">
                <w:rPr>
                  <w:rStyle w:val="a7"/>
                  <w:rFonts w:cs="Times New Roman"/>
                  <w:sz w:val="24"/>
                  <w:szCs w:val="24"/>
                  <w:lang w:eastAsia="zh-TW" w:bidi="ar-SA"/>
                </w:rPr>
                <w:t>法令與政策宜適時檢討修正</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五、</w:t>
            </w:r>
            <w:hyperlink w:anchor="_五、放寬技術移民者雙重國籍之限制" w:history="1">
              <w:r w:rsidR="0049577B" w:rsidRPr="00E43C92">
                <w:rPr>
                  <w:rStyle w:val="a7"/>
                  <w:rFonts w:cs="Times New Roman"/>
                  <w:sz w:val="24"/>
                  <w:szCs w:val="24"/>
                  <w:lang w:eastAsia="zh-TW" w:bidi="ar-SA"/>
                </w:rPr>
                <w:t>放寬技術移民者雙重國籍之限制</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六、</w:t>
            </w:r>
            <w:hyperlink w:anchor="_六、建置技術移民永久居留之人才資料庫" w:history="1">
              <w:r w:rsidR="0049577B" w:rsidRPr="00E43C92">
                <w:rPr>
                  <w:rStyle w:val="a7"/>
                  <w:rFonts w:cs="Times New Roman"/>
                  <w:sz w:val="24"/>
                  <w:szCs w:val="24"/>
                  <w:lang w:eastAsia="zh-TW" w:bidi="ar-SA"/>
                </w:rPr>
                <w:t>建置技術移民永久居留之人才資料庫</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七、</w:t>
            </w:r>
            <w:hyperlink w:anchor="_七、透由我國健保資源之利基，吸引高科技技術人才" w:history="1">
              <w:r w:rsidR="0049577B" w:rsidRPr="00E43C92">
                <w:rPr>
                  <w:rStyle w:val="a7"/>
                  <w:rFonts w:cs="Times New Roman"/>
                  <w:sz w:val="24"/>
                  <w:szCs w:val="24"/>
                  <w:lang w:eastAsia="zh-TW" w:bidi="ar-SA"/>
                </w:rPr>
                <w:t>透由我國健保資源之利基，吸引高科技技術人才</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八、</w:t>
            </w:r>
            <w:hyperlink w:anchor="_八、公私部門宜緊密合作，強化我國經濟發展之潛力與條件，並積極改善工作與" w:history="1">
              <w:r w:rsidR="0049577B" w:rsidRPr="00E43C92">
                <w:rPr>
                  <w:rStyle w:val="a7"/>
                  <w:rFonts w:cs="Times New Roman"/>
                  <w:sz w:val="24"/>
                  <w:szCs w:val="24"/>
                  <w:lang w:eastAsia="zh-TW" w:bidi="ar-SA"/>
                </w:rPr>
                <w:t>公私部門宜緊密合作，強化我國經濟發展之潛力與條件，並積極改善工作與生活條件</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九、</w:t>
            </w:r>
            <w:hyperlink w:anchor="_九、在行政院之層級宜建置一個常設性之移民政策、融合與輔導之主導機關" w:history="1">
              <w:r w:rsidR="0049577B" w:rsidRPr="00E43C92">
                <w:rPr>
                  <w:rStyle w:val="a7"/>
                  <w:rFonts w:cs="Times New Roman"/>
                  <w:sz w:val="24"/>
                  <w:szCs w:val="24"/>
                  <w:lang w:eastAsia="zh-TW" w:bidi="ar-SA"/>
                </w:rPr>
                <w:t>在行政院之層級宜建置一個常設性之移民政策、融合與輔導之主導機關</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十、</w:t>
            </w:r>
            <w:hyperlink w:anchor="_十、適切地增加移民署人力" w:history="1">
              <w:r w:rsidR="0049577B" w:rsidRPr="00E43C92">
                <w:rPr>
                  <w:rStyle w:val="a7"/>
                  <w:rFonts w:cs="Times New Roman"/>
                  <w:sz w:val="24"/>
                  <w:szCs w:val="24"/>
                  <w:lang w:eastAsia="zh-TW" w:bidi="ar-SA"/>
                </w:rPr>
                <w:t>適切地增加移民署人力</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十一、</w:t>
            </w:r>
            <w:hyperlink w:anchor="_十一、改善公部門之橫向聯繫機制" w:history="1">
              <w:r w:rsidR="0049577B" w:rsidRPr="00E43C92">
                <w:rPr>
                  <w:rStyle w:val="a7"/>
                  <w:rFonts w:cs="Times New Roman"/>
                  <w:sz w:val="24"/>
                  <w:szCs w:val="24"/>
                  <w:lang w:eastAsia="zh-TW" w:bidi="ar-SA"/>
                </w:rPr>
                <w:t>改善公部門之橫向聯繫機制</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十二、</w:t>
            </w:r>
            <w:hyperlink w:anchor="_十二、改善政黨惡性競爭之氛圍，且令國家政策具有可持續性與發展性" w:history="1">
              <w:r w:rsidR="0049577B" w:rsidRPr="00E43C92">
                <w:rPr>
                  <w:rStyle w:val="a7"/>
                  <w:rFonts w:cs="Times New Roman"/>
                  <w:sz w:val="24"/>
                  <w:szCs w:val="24"/>
                  <w:lang w:eastAsia="zh-TW" w:bidi="ar-SA"/>
                </w:rPr>
                <w:t>改善政黨惡性競爭之氛圍，且令國家政策具有可持續性與發展性</w:t>
              </w:r>
            </w:hyperlink>
            <w:r w:rsidR="008724EE" w:rsidRPr="00F94BFB">
              <w:rPr>
                <w:rFonts w:hint="eastAsia"/>
                <w:b/>
                <w:color w:val="FFFFFF" w:themeColor="background1"/>
                <w:sz w:val="24"/>
                <w:szCs w:val="24"/>
              </w:rPr>
              <w:t>*</w:t>
            </w:r>
          </w:p>
          <w:p w:rsidR="0049577B" w:rsidRPr="00016E69" w:rsidRDefault="0049577B" w:rsidP="00AC5921">
            <w:pPr>
              <w:spacing w:line="240" w:lineRule="auto"/>
              <w:ind w:leftChars="0" w:left="0" w:rightChars="0" w:right="0"/>
            </w:pPr>
            <w:bookmarkStart w:id="72" w:name="a3b7"/>
            <w:bookmarkEnd w:id="72"/>
            <w:r w:rsidRPr="00321574">
              <w:rPr>
                <w:color w:val="990000"/>
              </w:rPr>
              <w:t>柒、</w:t>
            </w:r>
            <w:hyperlink w:anchor="_柒、結論與建議" w:history="1">
              <w:r w:rsidR="00321574" w:rsidRPr="003E18C8">
                <w:rPr>
                  <w:rStyle w:val="a7"/>
                  <w:rFonts w:cs="Times New Roman" w:hint="eastAsia"/>
                  <w:kern w:val="36"/>
                  <w:lang w:eastAsia="zh-TW" w:bidi="ar-SA"/>
                </w:rPr>
                <w:t>結論與建議</w:t>
              </w:r>
            </w:hyperlink>
          </w:p>
          <w:p w:rsidR="0049577B" w:rsidRPr="00776F57" w:rsidRDefault="00321574" w:rsidP="00AC5921">
            <w:pPr>
              <w:spacing w:line="240" w:lineRule="auto"/>
              <w:ind w:leftChars="0" w:left="0" w:rightChars="0" w:right="0"/>
              <w:rPr>
                <w:color w:val="990000"/>
              </w:rPr>
            </w:pPr>
            <w:r w:rsidRPr="00587E93">
              <w:rPr>
                <w:rFonts w:hint="eastAsia"/>
                <w:color w:val="990000"/>
                <w:kern w:val="36"/>
              </w:rPr>
              <w:t>》</w:t>
            </w:r>
            <w:r w:rsidR="0049577B" w:rsidRPr="00776F57">
              <w:rPr>
                <w:color w:val="990000"/>
              </w:rPr>
              <w:t>一、</w:t>
            </w:r>
            <w:hyperlink w:anchor="_一、結論_1" w:history="1">
              <w:r w:rsidR="0049577B" w:rsidRPr="003C2947">
                <w:rPr>
                  <w:rStyle w:val="a7"/>
                  <w:rFonts w:cs="Times New Roman"/>
                  <w:lang w:eastAsia="zh-TW" w:bidi="ar-SA"/>
                </w:rPr>
                <w:t>結論</w:t>
              </w:r>
            </w:hyperlink>
          </w:p>
          <w:p w:rsidR="0049577B" w:rsidRPr="00776F57" w:rsidRDefault="00321574" w:rsidP="00AC5921">
            <w:pPr>
              <w:spacing w:line="240" w:lineRule="auto"/>
              <w:ind w:leftChars="0" w:left="0" w:rightChars="0" w:right="0"/>
              <w:rPr>
                <w:color w:val="990000"/>
              </w:rPr>
            </w:pPr>
            <w:r w:rsidRPr="00776F57">
              <w:rPr>
                <w:rFonts w:hint="eastAsia"/>
                <w:color w:val="990000"/>
                <w:kern w:val="36"/>
              </w:rPr>
              <w:t>》</w:t>
            </w:r>
            <w:r w:rsidR="0049577B" w:rsidRPr="00776F57">
              <w:rPr>
                <w:color w:val="990000"/>
              </w:rPr>
              <w:t>二、</w:t>
            </w:r>
            <w:hyperlink w:anchor="_二、建議_1" w:history="1">
              <w:r w:rsidR="0049577B" w:rsidRPr="00F94BFB">
                <w:rPr>
                  <w:rStyle w:val="a7"/>
                  <w:rFonts w:cs="Times New Roman"/>
                  <w:lang w:eastAsia="zh-TW" w:bidi="ar-SA"/>
                </w:rPr>
                <w:t>建議</w:t>
              </w:r>
            </w:hyperlink>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(一)</w:t>
            </w:r>
            <w:hyperlink w:anchor="_(一)政策面建議" w:history="1">
              <w:r w:rsidR="0049577B" w:rsidRPr="00E43C92">
                <w:rPr>
                  <w:rStyle w:val="a7"/>
                  <w:rFonts w:cs="Times New Roman"/>
                  <w:sz w:val="24"/>
                  <w:szCs w:val="24"/>
                  <w:lang w:eastAsia="zh-TW" w:bidi="ar-SA"/>
                </w:rPr>
                <w:t>政策面建議</w:t>
              </w:r>
            </w:hyperlink>
          </w:p>
          <w:p w:rsidR="0049577B" w:rsidRPr="00E43C92" w:rsidRDefault="00321574" w:rsidP="00AC5921">
            <w:pPr>
              <w:spacing w:line="240" w:lineRule="auto"/>
              <w:ind w:leftChars="0" w:left="0" w:rightChars="0" w:right="0"/>
              <w:rPr>
                <w:sz w:val="24"/>
                <w:szCs w:val="24"/>
              </w:rPr>
            </w:pPr>
            <w:r w:rsidRPr="00E43C92">
              <w:rPr>
                <w:rFonts w:hint="eastAsia"/>
                <w:kern w:val="36"/>
                <w:sz w:val="24"/>
                <w:szCs w:val="24"/>
              </w:rPr>
              <w:t>》》</w:t>
            </w:r>
            <w:r w:rsidR="0049577B" w:rsidRPr="00E43C92">
              <w:rPr>
                <w:sz w:val="24"/>
                <w:szCs w:val="24"/>
              </w:rPr>
              <w:t>1.我國技術移民制度可適時與適度地採行評點制</w:t>
            </w:r>
          </w:p>
          <w:p w:rsidR="0049577B" w:rsidRPr="00E43C92" w:rsidRDefault="00321574" w:rsidP="00AC5921">
            <w:pPr>
              <w:spacing w:line="240" w:lineRule="auto"/>
              <w:ind w:leftChars="0" w:left="0" w:rightChars="0" w:right="0"/>
              <w:rPr>
                <w:sz w:val="24"/>
                <w:szCs w:val="24"/>
              </w:rPr>
            </w:pPr>
            <w:r w:rsidRPr="00E43C92">
              <w:rPr>
                <w:rFonts w:hint="eastAsia"/>
                <w:kern w:val="36"/>
                <w:sz w:val="24"/>
                <w:szCs w:val="24"/>
              </w:rPr>
              <w:t>》》</w:t>
            </w:r>
            <w:r w:rsidR="0049577B" w:rsidRPr="00E43C92">
              <w:rPr>
                <w:sz w:val="24"/>
                <w:szCs w:val="24"/>
              </w:rPr>
              <w:t>2.梅花卡永久居留權宜和技術移民之工作結合</w:t>
            </w:r>
          </w:p>
          <w:p w:rsidR="0049577B" w:rsidRPr="00E43C92" w:rsidRDefault="00321574" w:rsidP="00AC5921">
            <w:pPr>
              <w:spacing w:line="240" w:lineRule="auto"/>
              <w:ind w:leftChars="0" w:left="0" w:rightChars="0" w:right="0"/>
              <w:rPr>
                <w:sz w:val="24"/>
                <w:szCs w:val="24"/>
              </w:rPr>
            </w:pPr>
            <w:r w:rsidRPr="00E43C92">
              <w:rPr>
                <w:rFonts w:hint="eastAsia"/>
                <w:kern w:val="36"/>
                <w:sz w:val="24"/>
                <w:szCs w:val="24"/>
              </w:rPr>
              <w:t>》》</w:t>
            </w:r>
            <w:r w:rsidR="0049577B" w:rsidRPr="00E43C92">
              <w:rPr>
                <w:sz w:val="24"/>
                <w:szCs w:val="24"/>
              </w:rPr>
              <w:t>3.建置技術移民永久居留人才資料庫</w:t>
            </w:r>
          </w:p>
          <w:p w:rsidR="0049577B" w:rsidRPr="00E43C92" w:rsidRDefault="00321574" w:rsidP="00AC5921">
            <w:pPr>
              <w:spacing w:line="240" w:lineRule="auto"/>
              <w:ind w:leftChars="0" w:left="0" w:rightChars="0" w:right="0"/>
              <w:rPr>
                <w:sz w:val="24"/>
                <w:szCs w:val="24"/>
              </w:rPr>
            </w:pPr>
            <w:r w:rsidRPr="00E43C92">
              <w:rPr>
                <w:rFonts w:hint="eastAsia"/>
                <w:kern w:val="36"/>
                <w:sz w:val="24"/>
                <w:szCs w:val="24"/>
              </w:rPr>
              <w:t>》》</w:t>
            </w:r>
            <w:r w:rsidR="0049577B" w:rsidRPr="00E43C92">
              <w:rPr>
                <w:sz w:val="24"/>
                <w:szCs w:val="24"/>
              </w:rPr>
              <w:t>4.強化我國經濟發展之潛力與條件，並積極改善工作條件與生活環境，營造一個有利於外國專技人才工作與生活之溫馨環境</w:t>
            </w:r>
          </w:p>
          <w:p w:rsidR="0049577B" w:rsidRPr="00E43C92" w:rsidRDefault="00321574" w:rsidP="00AC5921">
            <w:pPr>
              <w:spacing w:line="240" w:lineRule="auto"/>
              <w:ind w:leftChars="0" w:left="0" w:rightChars="0" w:right="0"/>
              <w:rPr>
                <w:sz w:val="24"/>
                <w:szCs w:val="24"/>
              </w:rPr>
            </w:pPr>
            <w:r w:rsidRPr="00E43C92">
              <w:rPr>
                <w:rFonts w:hint="eastAsia"/>
                <w:kern w:val="36"/>
                <w:sz w:val="24"/>
                <w:szCs w:val="24"/>
              </w:rPr>
              <w:t>》》</w:t>
            </w:r>
            <w:r w:rsidR="0049577B" w:rsidRPr="00E43C92">
              <w:rPr>
                <w:sz w:val="24"/>
                <w:szCs w:val="24"/>
              </w:rPr>
              <w:t>5.放寬技術移民者單一國籍之限制</w:t>
            </w:r>
          </w:p>
          <w:p w:rsidR="0049577B" w:rsidRPr="00E43C92" w:rsidRDefault="00321574" w:rsidP="00AC5921">
            <w:pPr>
              <w:spacing w:line="240" w:lineRule="auto"/>
              <w:ind w:leftChars="0" w:left="0" w:rightChars="0" w:right="0"/>
              <w:rPr>
                <w:sz w:val="24"/>
                <w:szCs w:val="24"/>
              </w:rPr>
            </w:pPr>
            <w:r w:rsidRPr="00E43C92">
              <w:rPr>
                <w:rFonts w:hint="eastAsia"/>
                <w:kern w:val="36"/>
                <w:sz w:val="24"/>
                <w:szCs w:val="24"/>
              </w:rPr>
              <w:t>》》</w:t>
            </w:r>
            <w:r w:rsidR="0049577B" w:rsidRPr="00E43C92">
              <w:rPr>
                <w:sz w:val="24"/>
                <w:szCs w:val="24"/>
              </w:rPr>
              <w:t>6.改善政黨惡鬥之氛圍，強化國家政策具有可持續性與可發展性之機制</w:t>
            </w:r>
          </w:p>
          <w:p w:rsidR="003C1792"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(二)</w:t>
            </w:r>
            <w:hyperlink w:anchor="_(二)法律建議" w:history="1">
              <w:r w:rsidR="0049577B" w:rsidRPr="00E43C92">
                <w:rPr>
                  <w:rStyle w:val="a7"/>
                  <w:rFonts w:cs="Times New Roman"/>
                  <w:sz w:val="24"/>
                  <w:szCs w:val="24"/>
                  <w:lang w:eastAsia="zh-TW" w:bidi="ar-SA"/>
                </w:rPr>
                <w:t>法律面建議</w:t>
              </w:r>
            </w:hyperlink>
          </w:p>
          <w:p w:rsidR="0049577B" w:rsidRPr="003C2947" w:rsidRDefault="00321574" w:rsidP="00AC5921">
            <w:pPr>
              <w:spacing w:line="240" w:lineRule="auto"/>
              <w:ind w:leftChars="0" w:left="0" w:rightChars="0" w:right="0"/>
              <w:rPr>
                <w:sz w:val="24"/>
                <w:szCs w:val="24"/>
              </w:rPr>
            </w:pPr>
            <w:r w:rsidRPr="003C2947">
              <w:rPr>
                <w:rFonts w:hint="eastAsia"/>
                <w:kern w:val="36"/>
                <w:sz w:val="24"/>
                <w:szCs w:val="24"/>
              </w:rPr>
              <w:t>》</w:t>
            </w:r>
            <w:r w:rsidR="0049577B" w:rsidRPr="003C2947">
              <w:rPr>
                <w:sz w:val="24"/>
                <w:szCs w:val="24"/>
              </w:rPr>
              <w:t>1.宜強化國會議事之功能，縮短相關移民法令審議期，以立法授權方式，機動地調整移民政策</w:t>
            </w:r>
          </w:p>
          <w:p w:rsidR="0049577B" w:rsidRPr="003C2947" w:rsidRDefault="00321574" w:rsidP="00AC5921">
            <w:pPr>
              <w:spacing w:line="240" w:lineRule="auto"/>
              <w:ind w:leftChars="0" w:left="0" w:rightChars="0" w:right="0"/>
              <w:rPr>
                <w:sz w:val="24"/>
                <w:szCs w:val="24"/>
              </w:rPr>
            </w:pPr>
            <w:r w:rsidRPr="003C2947">
              <w:rPr>
                <w:rFonts w:hint="eastAsia"/>
                <w:kern w:val="36"/>
                <w:sz w:val="24"/>
                <w:szCs w:val="24"/>
              </w:rPr>
              <w:t>》</w:t>
            </w:r>
            <w:r w:rsidR="0049577B" w:rsidRPr="003C2947">
              <w:rPr>
                <w:sz w:val="24"/>
                <w:szCs w:val="24"/>
              </w:rPr>
              <w:t>2.移民法令對技術移民定義應明確</w:t>
            </w:r>
          </w:p>
          <w:p w:rsidR="0049577B" w:rsidRPr="003C2947" w:rsidRDefault="00321574" w:rsidP="00AC5921">
            <w:pPr>
              <w:spacing w:line="240" w:lineRule="auto"/>
              <w:ind w:leftChars="0" w:left="0" w:rightChars="0" w:right="0"/>
              <w:rPr>
                <w:sz w:val="24"/>
                <w:szCs w:val="24"/>
              </w:rPr>
            </w:pPr>
            <w:r w:rsidRPr="003C2947">
              <w:rPr>
                <w:rFonts w:hint="eastAsia"/>
                <w:kern w:val="36"/>
                <w:sz w:val="24"/>
                <w:szCs w:val="24"/>
              </w:rPr>
              <w:t>》</w:t>
            </w:r>
            <w:r w:rsidR="0049577B" w:rsidRPr="003C2947">
              <w:rPr>
                <w:sz w:val="24"/>
                <w:szCs w:val="24"/>
              </w:rPr>
              <w:t>3.強化梅花卡利基適時給予高級專業人才準國民權</w:t>
            </w:r>
          </w:p>
          <w:p w:rsidR="0049577B" w:rsidRPr="00F94BFB" w:rsidRDefault="00321574" w:rsidP="00AC5921">
            <w:pPr>
              <w:spacing w:line="240" w:lineRule="auto"/>
              <w:ind w:leftChars="0" w:left="0" w:rightChars="0" w:right="0"/>
              <w:rPr>
                <w:color w:val="990000"/>
                <w:sz w:val="24"/>
                <w:szCs w:val="24"/>
              </w:rPr>
            </w:pPr>
            <w:r w:rsidRPr="00F94BFB">
              <w:rPr>
                <w:rFonts w:hint="eastAsia"/>
                <w:color w:val="990000"/>
                <w:kern w:val="36"/>
                <w:sz w:val="24"/>
                <w:szCs w:val="24"/>
              </w:rPr>
              <w:t>》</w:t>
            </w:r>
            <w:r w:rsidR="0049577B" w:rsidRPr="00F94BFB">
              <w:rPr>
                <w:color w:val="990000"/>
                <w:sz w:val="24"/>
                <w:szCs w:val="24"/>
              </w:rPr>
              <w:t>(三)</w:t>
            </w:r>
            <w:hyperlink w:anchor="_(三)實務面建議" w:history="1">
              <w:r w:rsidR="0049577B" w:rsidRPr="003C2947">
                <w:rPr>
                  <w:rStyle w:val="a7"/>
                  <w:rFonts w:cs="Times New Roman"/>
                  <w:sz w:val="24"/>
                  <w:szCs w:val="24"/>
                  <w:lang w:eastAsia="zh-TW" w:bidi="ar-SA"/>
                </w:rPr>
                <w:t>實務面建議</w:t>
              </w:r>
            </w:hyperlink>
          </w:p>
          <w:p w:rsidR="0049577B" w:rsidRPr="003C2947" w:rsidRDefault="00321574" w:rsidP="00AC5921">
            <w:pPr>
              <w:spacing w:line="240" w:lineRule="auto"/>
              <w:ind w:leftChars="0" w:left="0" w:rightChars="0" w:right="0"/>
              <w:rPr>
                <w:sz w:val="24"/>
                <w:szCs w:val="24"/>
              </w:rPr>
            </w:pPr>
            <w:r w:rsidRPr="003C2947">
              <w:rPr>
                <w:rFonts w:hint="eastAsia"/>
                <w:kern w:val="36"/>
                <w:sz w:val="24"/>
                <w:szCs w:val="24"/>
              </w:rPr>
              <w:t>》》</w:t>
            </w:r>
            <w:r w:rsidR="0049577B" w:rsidRPr="003C2947">
              <w:rPr>
                <w:sz w:val="24"/>
                <w:szCs w:val="24"/>
              </w:rPr>
              <w:t>1.公部門宜及國內企業緊密聯繫以利掌握國內人才需求，並建置技術移民永久居留之人才資料庫</w:t>
            </w:r>
          </w:p>
          <w:p w:rsidR="0049577B" w:rsidRPr="003C2947" w:rsidRDefault="00321574" w:rsidP="00AC5921">
            <w:pPr>
              <w:spacing w:line="240" w:lineRule="auto"/>
              <w:ind w:leftChars="0" w:left="0" w:rightChars="0" w:right="0"/>
              <w:rPr>
                <w:sz w:val="24"/>
                <w:szCs w:val="24"/>
              </w:rPr>
            </w:pPr>
            <w:r w:rsidRPr="003C2947">
              <w:rPr>
                <w:rFonts w:hint="eastAsia"/>
                <w:kern w:val="36"/>
                <w:sz w:val="24"/>
                <w:szCs w:val="24"/>
              </w:rPr>
              <w:t>》》</w:t>
            </w:r>
            <w:r w:rsidR="0049577B" w:rsidRPr="003C2947">
              <w:rPr>
                <w:sz w:val="24"/>
                <w:szCs w:val="24"/>
              </w:rPr>
              <w:t>2.移民機關組織再造，以利全權主導移民政策──在行政院之下，宜建置一個常設性之「行政院移民政策、融合與輔導委員會」</w:t>
            </w:r>
          </w:p>
          <w:p w:rsidR="0049577B" w:rsidRPr="003C2947" w:rsidRDefault="00321574" w:rsidP="00AC5921">
            <w:pPr>
              <w:spacing w:line="240" w:lineRule="auto"/>
              <w:ind w:leftChars="0" w:left="0" w:rightChars="0" w:right="0"/>
              <w:rPr>
                <w:sz w:val="24"/>
                <w:szCs w:val="24"/>
              </w:rPr>
            </w:pPr>
            <w:r w:rsidRPr="003C2947">
              <w:rPr>
                <w:rFonts w:hint="eastAsia"/>
                <w:kern w:val="36"/>
                <w:sz w:val="24"/>
                <w:szCs w:val="24"/>
              </w:rPr>
              <w:t>》》</w:t>
            </w:r>
            <w:r w:rsidR="0049577B" w:rsidRPr="003C2947">
              <w:rPr>
                <w:sz w:val="24"/>
                <w:szCs w:val="24"/>
              </w:rPr>
              <w:t>3.宜增添移民政策規畫之人力</w:t>
            </w:r>
          </w:p>
          <w:p w:rsidR="0049577B" w:rsidRPr="003C2947" w:rsidRDefault="00321574" w:rsidP="00AC5921">
            <w:pPr>
              <w:spacing w:line="240" w:lineRule="auto"/>
              <w:ind w:leftChars="0" w:left="0" w:rightChars="0" w:right="0"/>
              <w:rPr>
                <w:sz w:val="24"/>
                <w:szCs w:val="24"/>
              </w:rPr>
            </w:pPr>
            <w:r w:rsidRPr="003C2947">
              <w:rPr>
                <w:rFonts w:hint="eastAsia"/>
                <w:kern w:val="36"/>
                <w:sz w:val="24"/>
                <w:szCs w:val="24"/>
              </w:rPr>
              <w:t>》》</w:t>
            </w:r>
            <w:r w:rsidR="0049577B" w:rsidRPr="003C2947">
              <w:rPr>
                <w:sz w:val="24"/>
                <w:szCs w:val="24"/>
              </w:rPr>
              <w:t>4.強化公部門之橫向聯繫及合作</w:t>
            </w:r>
          </w:p>
          <w:p w:rsidR="0049577B" w:rsidRPr="00016E69" w:rsidRDefault="00321574" w:rsidP="00AC5921">
            <w:pPr>
              <w:spacing w:line="240" w:lineRule="auto"/>
              <w:ind w:leftChars="0" w:left="0" w:rightChars="0" w:right="0"/>
            </w:pPr>
            <w:r w:rsidRPr="003C2947">
              <w:rPr>
                <w:rFonts w:hint="eastAsia"/>
                <w:kern w:val="36"/>
                <w:sz w:val="24"/>
                <w:szCs w:val="24"/>
              </w:rPr>
              <w:t>》》</w:t>
            </w:r>
            <w:r w:rsidR="0049577B" w:rsidRPr="003C2947">
              <w:rPr>
                <w:sz w:val="24"/>
                <w:szCs w:val="24"/>
              </w:rPr>
              <w:t>5.破除梅花卡永久居留之績效迷思</w:t>
            </w:r>
          </w:p>
        </w:tc>
      </w:tr>
    </w:tbl>
    <w:p w:rsidR="0049577B" w:rsidRPr="00B40DC1" w:rsidRDefault="0049577B" w:rsidP="000D26BB">
      <w:pPr>
        <w:pStyle w:val="affffffe"/>
        <w:spacing w:after="180"/>
      </w:pP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2"/>
      </w:tblGrid>
      <w:tr w:rsidR="0049577B" w:rsidRPr="00B40DC1" w:rsidTr="00016E69">
        <w:tc>
          <w:tcPr>
            <w:tcW w:w="9472" w:type="dxa"/>
            <w:shd w:val="clear" w:color="auto" w:fill="auto"/>
          </w:tcPr>
          <w:p w:rsidR="0049577B" w:rsidRPr="00B40DC1" w:rsidRDefault="0049577B" w:rsidP="00AC5921">
            <w:pPr>
              <w:spacing w:line="240" w:lineRule="auto"/>
              <w:ind w:leftChars="0" w:left="0" w:rightChars="0" w:right="0"/>
            </w:pPr>
            <w:r w:rsidRPr="00AC5921">
              <w:rPr>
                <w:b/>
              </w:rPr>
              <w:t>摘要</w:t>
            </w:r>
          </w:p>
          <w:p w:rsidR="0049577B" w:rsidRPr="00B40DC1" w:rsidRDefault="00016E69" w:rsidP="00AC5921">
            <w:pPr>
              <w:spacing w:line="240" w:lineRule="auto"/>
              <w:ind w:leftChars="0" w:left="0" w:rightChars="0" w:right="0"/>
            </w:pPr>
            <w:r>
              <w:t xml:space="preserve">　　</w:t>
            </w:r>
            <w:r w:rsidR="0049577B" w:rsidRPr="00B40DC1">
              <w:t>本研究之目的，旨在於探討臺灣評點制技術移民政策之現況、問題與可行之對策，本文針對我國現行技術移民法律面、政策面及實務面如何運作之現況、問題點，及我國是否可在技術移民遴選制度上，能採取評點制之議題，進行研析與討論，並提出對策。本研究訪談我國8名移民署官員，8位受訪者之公務年資平均超過20年以上，且負責技術移民政策相關業務執行、政策規畫及法規研修等，期望藉由受訪者相關業務經驗之不同面向來探討技術移民評點制政策。本研究將訪談資料加以整理歸納，並補充相關之文獻，期能從我國政策面、法律面與實務面等三方面作探討，並提出具體之改善建議。</w:t>
            </w:r>
          </w:p>
          <w:p w:rsidR="0049577B" w:rsidRPr="00B40DC1" w:rsidRDefault="00016E69" w:rsidP="00AC5921">
            <w:pPr>
              <w:spacing w:line="240" w:lineRule="auto"/>
              <w:ind w:leftChars="0" w:left="0" w:rightChars="0" w:right="0"/>
            </w:pPr>
            <w:r>
              <w:t xml:space="preserve">　　</w:t>
            </w:r>
            <w:r w:rsidR="0049577B" w:rsidRPr="00B40DC1">
              <w:t>綜合受訪者之建議與相關之文獻，本文提出以下之建言：在遴選技術移民政策上，可採取評點制及審查制之「雙軌併行制」之方式，一方面能體現評點制公平、客觀、透明及可量化之優點，另一方面，又能衡酌我國國情之彈性作法。我國在採納實施評點制之同時，仍需有完善之配套措施，包括強化政府各部門間之橫向聯繫，政府部門宜和國內企業緊密聯繫，以利政府不僅能掌握國內人才需求，政府更精算出國內所需職業類別及數額。復次，梅花卡永久居留權和技術移民之工作應結合，讓技術移民可繼續在臺灣貢獻其專業技術，另外建議適時給予梅花卡永久居留居民有準國民之權利，包括有部分之參政權等。期望本研究所歸納之建議能提供我國技術移民政策研擬之參考，並能有效吸引更多技術移民進入我國，且能迅速提升我國競爭力。</w:t>
            </w:r>
          </w:p>
        </w:tc>
      </w:tr>
    </w:tbl>
    <w:p w:rsidR="0049577B" w:rsidRPr="00B40DC1" w:rsidRDefault="001B6AED" w:rsidP="000D26BB">
      <w:r>
        <w:t>【關鍵詞】</w:t>
      </w:r>
      <w:r w:rsidR="0049577B" w:rsidRPr="00B40DC1">
        <w:t>移民政策、技術移民、評點制</w:t>
      </w:r>
    </w:p>
    <w:p w:rsidR="0049577B" w:rsidRPr="00B40DC1" w:rsidRDefault="0049577B" w:rsidP="000D26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9577B" w:rsidRPr="00394C1A" w:rsidTr="00394C1A">
        <w:tc>
          <w:tcPr>
            <w:tcW w:w="9776" w:type="dxa"/>
            <w:shd w:val="clear" w:color="auto" w:fill="auto"/>
          </w:tcPr>
          <w:p w:rsidR="0049577B" w:rsidRPr="00394C1A" w:rsidRDefault="0049577B" w:rsidP="00394C1A">
            <w:pPr>
              <w:spacing w:line="240" w:lineRule="auto"/>
              <w:ind w:leftChars="0" w:left="0" w:rightChars="0" w:right="0"/>
              <w:jc w:val="center"/>
              <w:rPr>
                <w:b/>
                <w:sz w:val="24"/>
                <w:szCs w:val="24"/>
              </w:rPr>
            </w:pPr>
            <w:r w:rsidRPr="00394C1A">
              <w:rPr>
                <w:b/>
                <w:sz w:val="24"/>
                <w:szCs w:val="24"/>
              </w:rPr>
              <w:t>A Study on the Contemparary Situations, Problems &amp; Feasible Strategies for the Taiwan Point-Based System of the Skilled Immigration Policy</w:t>
            </w:r>
            <w:r w:rsidR="00394C1A" w:rsidRPr="00D30BC8">
              <w:rPr>
                <w:color w:val="FFFFFF" w:themeColor="background1"/>
              </w:rPr>
              <w:t>*</w:t>
            </w:r>
          </w:p>
          <w:p w:rsidR="0049577B" w:rsidRPr="00394C1A" w:rsidRDefault="0049577B" w:rsidP="00394C1A">
            <w:pPr>
              <w:spacing w:line="240" w:lineRule="auto"/>
              <w:ind w:leftChars="0" w:left="0" w:rightChars="0" w:right="0"/>
              <w:jc w:val="center"/>
              <w:rPr>
                <w:b/>
                <w:sz w:val="24"/>
                <w:szCs w:val="24"/>
              </w:rPr>
            </w:pPr>
            <w:r w:rsidRPr="00394C1A">
              <w:rPr>
                <w:b/>
                <w:sz w:val="24"/>
                <w:szCs w:val="24"/>
              </w:rPr>
              <w:t>Abstract</w:t>
            </w:r>
          </w:p>
          <w:p w:rsidR="003C1792" w:rsidRPr="00394C1A" w:rsidRDefault="00394C1A" w:rsidP="00394C1A">
            <w:pPr>
              <w:spacing w:line="240" w:lineRule="auto"/>
              <w:ind w:leftChars="0" w:left="0" w:rightChars="0" w:right="0"/>
              <w:rPr>
                <w:sz w:val="24"/>
                <w:szCs w:val="24"/>
              </w:rPr>
            </w:pPr>
            <w:r w:rsidRPr="00394C1A">
              <w:rPr>
                <w:sz w:val="24"/>
                <w:szCs w:val="24"/>
              </w:rPr>
              <w:t xml:space="preserve">　　</w:t>
            </w:r>
            <w:r w:rsidR="0049577B" w:rsidRPr="00394C1A">
              <w:rPr>
                <w:sz w:val="24"/>
                <w:szCs w:val="24"/>
              </w:rPr>
              <w:t>The aim of this thesis is to explore and discuss the contemparary situations, problems &amp; feasible strategies of the point-based system of the skilled immigration policy for the Taiwan</w:t>
            </w:r>
            <w:r w:rsidR="003C1792" w:rsidRPr="00394C1A">
              <w:rPr>
                <w:sz w:val="24"/>
                <w:szCs w:val="24"/>
              </w:rPr>
              <w:t>.</w:t>
            </w:r>
            <w:r w:rsidR="0049577B" w:rsidRPr="00394C1A">
              <w:rPr>
                <w:sz w:val="24"/>
                <w:szCs w:val="24"/>
              </w:rPr>
              <w:t>This article analyzes the existing situations and problems of the skilled immigration law, policies and complementary measures of Taiwan, and furtherly discuss the feasible strategies for the point-based system in order to select high, professional and skilled immigrants to Taiwan</w:t>
            </w:r>
            <w:r w:rsidR="003C1792" w:rsidRPr="00394C1A">
              <w:rPr>
                <w:sz w:val="24"/>
                <w:szCs w:val="24"/>
              </w:rPr>
              <w:t>.</w:t>
            </w:r>
            <w:r w:rsidR="0049577B" w:rsidRPr="00394C1A">
              <w:rPr>
                <w:sz w:val="24"/>
                <w:szCs w:val="24"/>
              </w:rPr>
              <w:t>In this thesis, 8 National Immigration Agency officers have been interviewed; and they have an average seniority of 20 years and they are in charge of skilled immigration affairs which are related to the duties, policy planning, research, developments and amendment of skilled immigration laws and regulations</w:t>
            </w:r>
            <w:r w:rsidR="003C1792" w:rsidRPr="00394C1A">
              <w:rPr>
                <w:sz w:val="24"/>
                <w:szCs w:val="24"/>
              </w:rPr>
              <w:t>.</w:t>
            </w:r>
            <w:r w:rsidR="0049577B" w:rsidRPr="00394C1A">
              <w:rPr>
                <w:sz w:val="24"/>
                <w:szCs w:val="24"/>
              </w:rPr>
              <w:t>The thesis wishes to gain an insight into the skilled immigration point-based system with the help from the interviewees’ expertise, knowledge and professions</w:t>
            </w:r>
            <w:r w:rsidR="003C1792" w:rsidRPr="00394C1A">
              <w:rPr>
                <w:sz w:val="24"/>
                <w:szCs w:val="24"/>
              </w:rPr>
              <w:t>.</w:t>
            </w:r>
            <w:r w:rsidR="0049577B" w:rsidRPr="00394C1A">
              <w:rPr>
                <w:sz w:val="24"/>
                <w:szCs w:val="24"/>
              </w:rPr>
              <w:t>The information collected in the interviews is then organized and complied with the related literature to form the conclusions and recommendations</w:t>
            </w:r>
            <w:r w:rsidR="003C1792" w:rsidRPr="00394C1A">
              <w:rPr>
                <w:sz w:val="24"/>
                <w:szCs w:val="24"/>
              </w:rPr>
              <w:t>.</w:t>
            </w:r>
            <w:r w:rsidR="0049577B" w:rsidRPr="00394C1A">
              <w:rPr>
                <w:sz w:val="24"/>
                <w:szCs w:val="24"/>
              </w:rPr>
              <w:t>In the process, a discussion with regards to the policy, legal and practical sides and dimmentions of the topic will be conducted; and then concrete suggestions for improvement on the skilled immigration issue will be proposed by the authors.</w:t>
            </w:r>
          </w:p>
          <w:p w:rsidR="0049577B" w:rsidRPr="00394C1A" w:rsidRDefault="00016E69" w:rsidP="00394C1A">
            <w:pPr>
              <w:spacing w:line="240" w:lineRule="auto"/>
              <w:ind w:leftChars="0" w:left="0" w:rightChars="0" w:right="0"/>
              <w:rPr>
                <w:sz w:val="24"/>
                <w:szCs w:val="24"/>
              </w:rPr>
            </w:pPr>
            <w:r>
              <w:rPr>
                <w:sz w:val="24"/>
                <w:szCs w:val="24"/>
              </w:rPr>
              <w:t xml:space="preserve">　　</w:t>
            </w:r>
            <w:r w:rsidR="0049577B" w:rsidRPr="00394C1A">
              <w:rPr>
                <w:sz w:val="24"/>
                <w:szCs w:val="24"/>
              </w:rPr>
              <w:t>This article proposes the following valuable and feasible suggestions for Taiwan: the point-based system can be adopted for the skilled immigration selection mechanism</w:t>
            </w:r>
            <w:r w:rsidR="003C1792" w:rsidRPr="00394C1A">
              <w:rPr>
                <w:sz w:val="24"/>
                <w:szCs w:val="24"/>
              </w:rPr>
              <w:t>.</w:t>
            </w:r>
            <w:r w:rsidR="0049577B" w:rsidRPr="00394C1A">
              <w:rPr>
                <w:sz w:val="24"/>
                <w:szCs w:val="24"/>
              </w:rPr>
              <w:t>The dual-track system mechanism—a combination of the point-based system and a review committee that reviews the qualification of a permanent residency applicant perhaps can be adopted by our immigration government</w:t>
            </w:r>
            <w:r w:rsidR="003C1792" w:rsidRPr="00394C1A">
              <w:rPr>
                <w:sz w:val="24"/>
                <w:szCs w:val="24"/>
              </w:rPr>
              <w:t>.</w:t>
            </w:r>
            <w:r w:rsidR="0049577B" w:rsidRPr="00394C1A">
              <w:rPr>
                <w:sz w:val="24"/>
                <w:szCs w:val="24"/>
              </w:rPr>
              <w:t>Under this way, the advantages of the point-based system’s fairness, objectiveness, transparency, quantitativeness can be demonstrated and evaluated</w:t>
            </w:r>
            <w:r w:rsidR="003C1792" w:rsidRPr="00394C1A">
              <w:rPr>
                <w:sz w:val="24"/>
                <w:szCs w:val="24"/>
              </w:rPr>
              <w:t>.</w:t>
            </w:r>
            <w:r w:rsidR="0049577B" w:rsidRPr="00394C1A">
              <w:rPr>
                <w:sz w:val="24"/>
                <w:szCs w:val="24"/>
              </w:rPr>
              <w:t>In addition, the dual-track system can be tailor-made to meet the need of the state of Taiwan and also can leave its specific and special flexibility</w:t>
            </w:r>
            <w:r w:rsidR="003C1792" w:rsidRPr="00394C1A">
              <w:rPr>
                <w:sz w:val="24"/>
                <w:szCs w:val="24"/>
              </w:rPr>
              <w:t>.</w:t>
            </w:r>
            <w:r w:rsidR="0049577B" w:rsidRPr="00394C1A">
              <w:rPr>
                <w:sz w:val="24"/>
                <w:szCs w:val="24"/>
              </w:rPr>
              <w:t>When using the point-based system, we still need some complementary measures, such as to strengthen the horizontal departmental communication between the governments, and to establish a close contact between the governmental departments and the domestic companies</w:t>
            </w:r>
            <w:r w:rsidR="003C1792" w:rsidRPr="00394C1A">
              <w:rPr>
                <w:sz w:val="24"/>
                <w:szCs w:val="24"/>
              </w:rPr>
              <w:t>.</w:t>
            </w:r>
            <w:r w:rsidR="0049577B" w:rsidRPr="00394C1A">
              <w:rPr>
                <w:sz w:val="24"/>
                <w:szCs w:val="24"/>
              </w:rPr>
              <w:t>On the same time, the government can better assess that the domestic industries are lacking what job categories and how many skilled workers can be taken to fill the jobs gap</w:t>
            </w:r>
            <w:r w:rsidR="003C1792" w:rsidRPr="00394C1A">
              <w:rPr>
                <w:sz w:val="24"/>
                <w:szCs w:val="24"/>
              </w:rPr>
              <w:t>.</w:t>
            </w:r>
            <w:r w:rsidR="0049577B" w:rsidRPr="00394C1A">
              <w:rPr>
                <w:sz w:val="24"/>
                <w:szCs w:val="24"/>
              </w:rPr>
              <w:t>The article also suggests that alien permanent resident card applicants can be assessed along with their work status, and let this card can combine the residence and working, so that skilled immigrants who actually work can continue their stay and contribute their professional and high expertise to Taiwan</w:t>
            </w:r>
            <w:r w:rsidR="003C1792" w:rsidRPr="00394C1A">
              <w:rPr>
                <w:sz w:val="24"/>
                <w:szCs w:val="24"/>
              </w:rPr>
              <w:t>.</w:t>
            </w:r>
            <w:r w:rsidR="0049577B" w:rsidRPr="00394C1A">
              <w:rPr>
                <w:sz w:val="24"/>
                <w:szCs w:val="24"/>
              </w:rPr>
              <w:t>This article also recommends that alien permanent resident card holders can be given the right to become a semi-citizen of Taiwan and to participate in their political activities</w:t>
            </w:r>
            <w:r w:rsidR="003C1792" w:rsidRPr="00394C1A">
              <w:rPr>
                <w:sz w:val="24"/>
                <w:szCs w:val="24"/>
              </w:rPr>
              <w:t>.</w:t>
            </w:r>
            <w:r w:rsidR="0049577B" w:rsidRPr="00394C1A">
              <w:rPr>
                <w:sz w:val="24"/>
                <w:szCs w:val="24"/>
              </w:rPr>
              <w:t>The hope and goals of this thesis are to draw more skilled immigrants to Taiwan and to quickly elevate Taiwan’s competitiveness, and let our nation become more better, competitive, and wonderful.</w:t>
            </w:r>
          </w:p>
        </w:tc>
      </w:tr>
    </w:tbl>
    <w:p w:rsidR="0049577B" w:rsidRPr="00016E69" w:rsidRDefault="00016E69" w:rsidP="00016E69">
      <w:pPr>
        <w:spacing w:line="240" w:lineRule="auto"/>
        <w:ind w:leftChars="0" w:left="0" w:rightChars="0" w:right="0"/>
        <w:rPr>
          <w:sz w:val="24"/>
          <w:szCs w:val="24"/>
        </w:rPr>
      </w:pPr>
      <w:r w:rsidRPr="00016E69">
        <w:rPr>
          <w:rFonts w:hint="eastAsia"/>
          <w:sz w:val="24"/>
          <w:szCs w:val="24"/>
        </w:rPr>
        <w:t>【</w:t>
      </w:r>
      <w:r w:rsidR="0049577B" w:rsidRPr="00016E69">
        <w:rPr>
          <w:sz w:val="24"/>
          <w:szCs w:val="24"/>
        </w:rPr>
        <w:t>Keywords</w:t>
      </w:r>
      <w:r w:rsidRPr="00016E69">
        <w:rPr>
          <w:rFonts w:hint="eastAsia"/>
          <w:sz w:val="24"/>
          <w:szCs w:val="24"/>
        </w:rPr>
        <w:t>】</w:t>
      </w:r>
      <w:r w:rsidR="0049577B" w:rsidRPr="00016E69">
        <w:rPr>
          <w:sz w:val="24"/>
          <w:szCs w:val="24"/>
        </w:rPr>
        <w:t>immigration policy, high-skilled immigrants, high-skilled workers, point-based system, point system</w:t>
      </w:r>
    </w:p>
    <w:p w:rsidR="0049577B" w:rsidRPr="00B40DC1" w:rsidRDefault="00AF69C2" w:rsidP="00AF69C2">
      <w:pPr>
        <w:jc w:val="right"/>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Pr>
            <w:rStyle w:val="a7"/>
            <w:sz w:val="24"/>
            <w:lang w:eastAsia="zh-TW"/>
          </w:rPr>
          <w:t>回總目次</w:t>
        </w:r>
      </w:hyperlink>
      <w:r w:rsidRPr="0008714D">
        <w:rPr>
          <w:color w:val="808000"/>
          <w:sz w:val="20"/>
        </w:rPr>
        <w:t>〉〉</w:t>
      </w:r>
    </w:p>
    <w:p w:rsidR="003C1792" w:rsidRDefault="0049577B" w:rsidP="002F19DE">
      <w:pPr>
        <w:pStyle w:val="2"/>
      </w:pPr>
      <w:bookmarkStart w:id="73" w:name="_壹、研究動機與目的_1"/>
      <w:bookmarkEnd w:id="73"/>
      <w:r w:rsidRPr="00B40DC1">
        <w:t>壹、研究動機與目的</w:t>
      </w:r>
    </w:p>
    <w:p w:rsidR="0049577B" w:rsidRPr="00B40DC1" w:rsidRDefault="00EC0EE2" w:rsidP="00394C1A">
      <w:pPr>
        <w:spacing w:line="240" w:lineRule="auto"/>
        <w:ind w:leftChars="0" w:left="0" w:rightChars="0" w:right="0"/>
      </w:pPr>
      <w:r>
        <w:t xml:space="preserve">　　</w:t>
      </w:r>
      <w:r w:rsidR="0049577B" w:rsidRPr="00B40DC1">
        <w:t>目前多數先進國家均面臨少子化、人口老化及工作人口比例逐年降低之問題。現今亦是知識經濟之時代，國家要強盛，一定要有技術人才作為後盾，各國遂進行一項搶技術人才之大戰之中。再者，由於交通便利及網路發達等因素，縮短國家與國家，城市與城市間之距離，促成現今為國際化及全球化（</w:t>
      </w:r>
      <w:r w:rsidR="0049577B" w:rsidRPr="00B40DC1">
        <w:rPr>
          <w:rStyle w:val="st"/>
          <w:bCs/>
        </w:rPr>
        <w:t>globalization）</w:t>
      </w:r>
      <w:r w:rsidR="0049577B" w:rsidRPr="00B40DC1">
        <w:t>之時代，因此更加促成人口移動之便捷與頻繁。在「知識經濟」（knowledge economics）</w:t>
      </w:r>
      <w:r w:rsidR="0049577B" w:rsidRPr="00394C1A">
        <w:rPr>
          <w:rStyle w:val="af7"/>
          <w:rFonts w:eastAsia="新細明體"/>
          <w:sz w:val="20"/>
        </w:rPr>
        <w:footnoteReference w:id="407"/>
      </w:r>
      <w:r w:rsidR="0049577B" w:rsidRPr="00B40DC1">
        <w:t>之時代當中，如何爭取有利於本國發展之「高附加價值勞動力」與專技人才之「移入」（無論短期居留或長期移民），更成為各國政府苦思經營之重要課題與焦點之所在</w:t>
      </w:r>
      <w:r w:rsidR="0049577B" w:rsidRPr="00394C1A">
        <w:rPr>
          <w:rStyle w:val="af7"/>
          <w:rFonts w:eastAsia="新細明體"/>
          <w:sz w:val="20"/>
        </w:rPr>
        <w:footnoteReference w:id="408"/>
      </w:r>
      <w:r w:rsidR="0049577B" w:rsidRPr="00B40DC1">
        <w:t>。在思考吸引專技人才「移入」目的國之同時，如何亦能兼顧目的國之國土安全（國境安全），避免移入者於其移入目的國之後進行軍事情蒐或反政府之敵對作為，而對移入國之國家安全（國土安全、國境安全），造成一大隱憂</w:t>
      </w:r>
      <w:r w:rsidR="0049577B" w:rsidRPr="00394C1A">
        <w:rPr>
          <w:rStyle w:val="af7"/>
          <w:rFonts w:eastAsia="新細明體"/>
          <w:sz w:val="20"/>
        </w:rPr>
        <w:footnoteReference w:id="409"/>
      </w:r>
      <w:r w:rsidR="0049577B" w:rsidRPr="00B40DC1">
        <w:t>，亦是值得須加以兼顧之處。</w:t>
      </w:r>
    </w:p>
    <w:p w:rsidR="0049577B" w:rsidRDefault="0049577B" w:rsidP="00394C1A">
      <w:pPr>
        <w:spacing w:line="240" w:lineRule="auto"/>
        <w:ind w:leftChars="0" w:left="0" w:rightChars="0" w:right="0"/>
      </w:pPr>
      <w:r w:rsidRPr="00B40DC1">
        <w:t>為因應人口老化及少子化之現象，並適時留住專業技術人才，各國莫不在移民制度上鑽研</w:t>
      </w:r>
      <w:r w:rsidRPr="00B40DC1">
        <w:rPr>
          <w:w w:val="90"/>
        </w:rPr>
        <w:t>硺</w:t>
      </w:r>
      <w:r w:rsidRPr="00B40DC1">
        <w:t>磨，擬欲設計一套良善之機制，以利積極吸引更多專業技術移民，其主要之目的，一方面以補足國內勞動不足現象，另一方面，乃由於技術人才，更是國家競爭力提升之動力。星、日、韓延攬外國籍人才之做法，如下表所述。</w:t>
      </w:r>
    </w:p>
    <w:p w:rsidR="00394C1A" w:rsidRPr="00B40DC1" w:rsidRDefault="00082F73" w:rsidP="00082F73">
      <w:pPr>
        <w:jc w:val="right"/>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394C1A">
      <w:pPr>
        <w:pStyle w:val="4"/>
        <w:rPr>
          <w:lang w:eastAsia="zh-TW"/>
        </w:rPr>
      </w:pPr>
      <w:r w:rsidRPr="00B40DC1">
        <w:rPr>
          <w:lang w:eastAsia="zh-TW"/>
        </w:rPr>
        <w:t>表一、星、日、韓延攬外國籍人才之做法</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266"/>
        <w:gridCol w:w="2604"/>
        <w:gridCol w:w="2101"/>
        <w:gridCol w:w="3669"/>
      </w:tblGrid>
      <w:tr w:rsidR="0049577B" w:rsidRPr="00B40DC1" w:rsidTr="00394C1A">
        <w:trPr>
          <w:trHeight w:val="312"/>
          <w:tblHeader/>
          <w:jc w:val="center"/>
        </w:trPr>
        <w:tc>
          <w:tcPr>
            <w:tcW w:w="1266" w:type="dxa"/>
            <w:tcBorders>
              <w:top w:val="single" w:sz="8" w:space="0" w:color="auto"/>
              <w:bottom w:val="single" w:sz="4" w:space="0" w:color="auto"/>
            </w:tcBorders>
            <w:shd w:val="clear" w:color="auto" w:fill="FAF0FA"/>
            <w:vAlign w:val="center"/>
          </w:tcPr>
          <w:p w:rsidR="0049577B" w:rsidRPr="00394C1A" w:rsidRDefault="0049577B" w:rsidP="00394C1A">
            <w:pPr>
              <w:pStyle w:val="afffffffa"/>
              <w:ind w:left="-39" w:right="-39"/>
              <w:jc w:val="center"/>
              <w:rPr>
                <w:sz w:val="24"/>
                <w:szCs w:val="24"/>
              </w:rPr>
            </w:pPr>
            <w:r w:rsidRPr="00394C1A">
              <w:rPr>
                <w:sz w:val="24"/>
                <w:szCs w:val="24"/>
              </w:rPr>
              <w:t>國家</w:t>
            </w:r>
          </w:p>
        </w:tc>
        <w:tc>
          <w:tcPr>
            <w:tcW w:w="2604" w:type="dxa"/>
            <w:tcBorders>
              <w:top w:val="single" w:sz="8" w:space="0" w:color="auto"/>
              <w:bottom w:val="single" w:sz="4" w:space="0" w:color="auto"/>
            </w:tcBorders>
            <w:shd w:val="clear" w:color="auto" w:fill="FAF0FA"/>
            <w:vAlign w:val="center"/>
          </w:tcPr>
          <w:p w:rsidR="0049577B" w:rsidRPr="00394C1A" w:rsidRDefault="0049577B" w:rsidP="00394C1A">
            <w:pPr>
              <w:pStyle w:val="afffffffa"/>
              <w:ind w:left="-39" w:right="-39"/>
              <w:jc w:val="center"/>
              <w:rPr>
                <w:sz w:val="24"/>
                <w:szCs w:val="24"/>
              </w:rPr>
            </w:pPr>
            <w:r w:rsidRPr="00394C1A">
              <w:rPr>
                <w:sz w:val="24"/>
                <w:szCs w:val="24"/>
              </w:rPr>
              <w:t>計畫／制度</w:t>
            </w:r>
          </w:p>
        </w:tc>
        <w:tc>
          <w:tcPr>
            <w:tcW w:w="2101" w:type="dxa"/>
            <w:tcBorders>
              <w:top w:val="single" w:sz="8" w:space="0" w:color="auto"/>
              <w:bottom w:val="single" w:sz="4" w:space="0" w:color="auto"/>
            </w:tcBorders>
            <w:shd w:val="clear" w:color="auto" w:fill="FAF0FA"/>
            <w:vAlign w:val="center"/>
          </w:tcPr>
          <w:p w:rsidR="0049577B" w:rsidRPr="00394C1A" w:rsidRDefault="0049577B" w:rsidP="00394C1A">
            <w:pPr>
              <w:pStyle w:val="afffffffa"/>
              <w:ind w:left="-39" w:right="-39"/>
              <w:jc w:val="center"/>
              <w:rPr>
                <w:sz w:val="24"/>
                <w:szCs w:val="24"/>
              </w:rPr>
            </w:pPr>
            <w:r w:rsidRPr="00394C1A">
              <w:rPr>
                <w:sz w:val="24"/>
                <w:szCs w:val="24"/>
              </w:rPr>
              <w:t>策略內容</w:t>
            </w:r>
          </w:p>
        </w:tc>
        <w:tc>
          <w:tcPr>
            <w:tcW w:w="3669" w:type="dxa"/>
            <w:tcBorders>
              <w:top w:val="single" w:sz="8" w:space="0" w:color="auto"/>
              <w:bottom w:val="single" w:sz="4" w:space="0" w:color="auto"/>
            </w:tcBorders>
            <w:shd w:val="clear" w:color="auto" w:fill="FAF0FA"/>
            <w:vAlign w:val="center"/>
          </w:tcPr>
          <w:p w:rsidR="0049577B" w:rsidRPr="00394C1A" w:rsidRDefault="0049577B" w:rsidP="00394C1A">
            <w:pPr>
              <w:pStyle w:val="afffffffa"/>
              <w:ind w:left="-39" w:right="-39"/>
              <w:jc w:val="center"/>
              <w:rPr>
                <w:sz w:val="24"/>
                <w:szCs w:val="24"/>
              </w:rPr>
            </w:pPr>
            <w:r w:rsidRPr="00394C1A">
              <w:rPr>
                <w:sz w:val="24"/>
                <w:szCs w:val="24"/>
              </w:rPr>
              <w:t>可供我國參採之處</w:t>
            </w:r>
          </w:p>
        </w:tc>
      </w:tr>
      <w:tr w:rsidR="0049577B" w:rsidRPr="00B40DC1" w:rsidTr="00394C1A">
        <w:trPr>
          <w:trHeight w:val="312"/>
          <w:jc w:val="center"/>
        </w:trPr>
        <w:tc>
          <w:tcPr>
            <w:tcW w:w="1266" w:type="dxa"/>
            <w:tcBorders>
              <w:top w:val="single" w:sz="4" w:space="0" w:color="auto"/>
            </w:tcBorders>
            <w:shd w:val="clear" w:color="auto" w:fill="auto"/>
            <w:vAlign w:val="center"/>
          </w:tcPr>
          <w:p w:rsidR="0049577B" w:rsidRPr="00394C1A" w:rsidRDefault="0049577B" w:rsidP="000D26BB">
            <w:pPr>
              <w:pStyle w:val="afffffffa"/>
              <w:ind w:left="-39" w:right="-39"/>
              <w:rPr>
                <w:sz w:val="24"/>
                <w:szCs w:val="24"/>
              </w:rPr>
            </w:pPr>
            <w:r w:rsidRPr="00394C1A">
              <w:rPr>
                <w:sz w:val="24"/>
                <w:szCs w:val="24"/>
              </w:rPr>
              <w:t>新加坡</w:t>
            </w:r>
          </w:p>
        </w:tc>
        <w:tc>
          <w:tcPr>
            <w:tcW w:w="2604" w:type="dxa"/>
            <w:tcBorders>
              <w:top w:val="single" w:sz="4" w:space="0" w:color="auto"/>
            </w:tcBorders>
            <w:shd w:val="clear" w:color="auto" w:fill="auto"/>
          </w:tcPr>
          <w:p w:rsidR="0049577B" w:rsidRPr="00394C1A" w:rsidRDefault="0049577B" w:rsidP="000D26BB">
            <w:pPr>
              <w:pStyle w:val="afffffffa"/>
              <w:ind w:left="-39" w:right="-39"/>
              <w:rPr>
                <w:sz w:val="24"/>
                <w:szCs w:val="24"/>
              </w:rPr>
            </w:pPr>
            <w:r w:rsidRPr="00394C1A">
              <w:rPr>
                <w:sz w:val="24"/>
                <w:szCs w:val="24"/>
              </w:rPr>
              <w:sym w:font="Wingdings 2" w:char="F0A1"/>
            </w:r>
            <w:r w:rsidRPr="00394C1A">
              <w:rPr>
                <w:sz w:val="24"/>
                <w:szCs w:val="24"/>
              </w:rPr>
              <w:t>「人力21計畫」（Manpower21）（1990～）</w:t>
            </w:r>
          </w:p>
          <w:p w:rsidR="0049577B" w:rsidRPr="00394C1A" w:rsidRDefault="0049577B" w:rsidP="000D26BB">
            <w:pPr>
              <w:pStyle w:val="afffffffa"/>
              <w:ind w:left="-39" w:right="-39"/>
              <w:rPr>
                <w:sz w:val="24"/>
                <w:szCs w:val="24"/>
              </w:rPr>
            </w:pPr>
            <w:r w:rsidRPr="00394C1A">
              <w:rPr>
                <w:sz w:val="24"/>
                <w:szCs w:val="24"/>
              </w:rPr>
              <w:sym w:font="Wingdings 2" w:char="F0A1"/>
            </w:r>
            <w:r w:rsidRPr="00394C1A">
              <w:rPr>
                <w:sz w:val="24"/>
                <w:szCs w:val="24"/>
              </w:rPr>
              <w:t>Contact Singapore（2008～）</w:t>
            </w:r>
          </w:p>
        </w:tc>
        <w:tc>
          <w:tcPr>
            <w:tcW w:w="2101" w:type="dxa"/>
            <w:tcBorders>
              <w:top w:val="single" w:sz="4" w:space="0" w:color="auto"/>
            </w:tcBorders>
            <w:shd w:val="clear" w:color="auto" w:fill="auto"/>
          </w:tcPr>
          <w:p w:rsidR="0049577B" w:rsidRPr="00394C1A" w:rsidRDefault="0049577B" w:rsidP="000D26BB">
            <w:pPr>
              <w:pStyle w:val="afffffffa"/>
              <w:ind w:left="-39" w:right="-39"/>
              <w:rPr>
                <w:sz w:val="24"/>
                <w:szCs w:val="24"/>
              </w:rPr>
            </w:pPr>
            <w:r w:rsidRPr="00394C1A">
              <w:rPr>
                <w:sz w:val="24"/>
                <w:szCs w:val="24"/>
              </w:rPr>
              <w:t>˙實施「就業准證」制，依不同人才發給P1、P2、Q1及S就業准證</w:t>
            </w:r>
          </w:p>
          <w:p w:rsidR="0049577B" w:rsidRPr="00394C1A" w:rsidRDefault="0049577B" w:rsidP="000D26BB">
            <w:pPr>
              <w:pStyle w:val="afffffffa"/>
              <w:ind w:left="-39" w:right="-39"/>
              <w:rPr>
                <w:sz w:val="24"/>
                <w:szCs w:val="24"/>
              </w:rPr>
            </w:pPr>
            <w:r w:rsidRPr="00394C1A">
              <w:rPr>
                <w:sz w:val="24"/>
                <w:szCs w:val="24"/>
              </w:rPr>
              <w:t>˙個人化就業准證</w:t>
            </w:r>
          </w:p>
        </w:tc>
        <w:tc>
          <w:tcPr>
            <w:tcW w:w="3669" w:type="dxa"/>
            <w:tcBorders>
              <w:top w:val="single" w:sz="4" w:space="0" w:color="auto"/>
            </w:tcBorders>
            <w:shd w:val="clear" w:color="auto" w:fill="auto"/>
          </w:tcPr>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提供「個人化就業准證」</w:t>
            </w:r>
          </w:p>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分級依親制度</w:t>
            </w:r>
          </w:p>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透過積分系統引進中階技術人才（SPASS）</w:t>
            </w:r>
          </w:p>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關鍵技能列表</w:t>
            </w:r>
          </w:p>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全國行銷、主動式積極性海外攬才</w:t>
            </w:r>
          </w:p>
        </w:tc>
      </w:tr>
      <w:tr w:rsidR="0049577B" w:rsidRPr="00B40DC1" w:rsidTr="00394C1A">
        <w:trPr>
          <w:trHeight w:val="312"/>
          <w:jc w:val="center"/>
        </w:trPr>
        <w:tc>
          <w:tcPr>
            <w:tcW w:w="1266" w:type="dxa"/>
            <w:shd w:val="clear" w:color="auto" w:fill="auto"/>
            <w:vAlign w:val="center"/>
          </w:tcPr>
          <w:p w:rsidR="0049577B" w:rsidRPr="00394C1A" w:rsidRDefault="0049577B" w:rsidP="000D26BB">
            <w:pPr>
              <w:pStyle w:val="afffffffa"/>
              <w:ind w:left="-39" w:right="-39"/>
              <w:rPr>
                <w:sz w:val="24"/>
                <w:szCs w:val="24"/>
              </w:rPr>
            </w:pPr>
            <w:r w:rsidRPr="00394C1A">
              <w:rPr>
                <w:sz w:val="24"/>
                <w:szCs w:val="24"/>
              </w:rPr>
              <w:t>日本</w:t>
            </w:r>
          </w:p>
        </w:tc>
        <w:tc>
          <w:tcPr>
            <w:tcW w:w="2604" w:type="dxa"/>
            <w:shd w:val="clear" w:color="auto" w:fill="auto"/>
          </w:tcPr>
          <w:p w:rsidR="0049577B" w:rsidRPr="00394C1A" w:rsidRDefault="0049577B" w:rsidP="000D26BB">
            <w:pPr>
              <w:pStyle w:val="afffffffa"/>
              <w:ind w:left="-39" w:right="-39"/>
              <w:rPr>
                <w:sz w:val="24"/>
                <w:szCs w:val="24"/>
              </w:rPr>
            </w:pPr>
            <w:r w:rsidRPr="00394C1A">
              <w:rPr>
                <w:sz w:val="24"/>
                <w:szCs w:val="24"/>
              </w:rPr>
              <w:sym w:font="Wingdings 2" w:char="F0A1"/>
            </w:r>
            <w:r w:rsidRPr="00394C1A">
              <w:rPr>
                <w:sz w:val="24"/>
                <w:szCs w:val="24"/>
              </w:rPr>
              <w:t>「出入國管理基本計畫」（2009）</w:t>
            </w:r>
          </w:p>
          <w:p w:rsidR="0049577B" w:rsidRPr="00394C1A" w:rsidRDefault="0049577B" w:rsidP="000D26BB">
            <w:pPr>
              <w:pStyle w:val="afffffffa"/>
              <w:ind w:left="-39" w:right="-39"/>
              <w:rPr>
                <w:sz w:val="24"/>
                <w:szCs w:val="24"/>
              </w:rPr>
            </w:pPr>
            <w:r w:rsidRPr="00394C1A">
              <w:rPr>
                <w:sz w:val="24"/>
                <w:szCs w:val="24"/>
              </w:rPr>
              <w:sym w:font="Wingdings 2" w:char="F0A1"/>
            </w:r>
            <w:r w:rsidRPr="00394C1A">
              <w:rPr>
                <w:sz w:val="24"/>
                <w:szCs w:val="24"/>
              </w:rPr>
              <w:t>新入出國管理政策（2010～）</w:t>
            </w:r>
          </w:p>
        </w:tc>
        <w:tc>
          <w:tcPr>
            <w:tcW w:w="2101" w:type="dxa"/>
            <w:shd w:val="clear" w:color="auto" w:fill="auto"/>
          </w:tcPr>
          <w:p w:rsidR="0049577B" w:rsidRPr="00394C1A" w:rsidRDefault="0049577B" w:rsidP="000D26BB">
            <w:pPr>
              <w:pStyle w:val="afffffffa"/>
              <w:ind w:left="-39" w:right="-39"/>
              <w:rPr>
                <w:sz w:val="24"/>
                <w:szCs w:val="24"/>
              </w:rPr>
            </w:pPr>
            <w:r w:rsidRPr="00394C1A">
              <w:rPr>
                <w:sz w:val="24"/>
                <w:szCs w:val="24"/>
              </w:rPr>
              <w:t>˙增加全球前100名大學至日本設立超級國際學校擴大招收外籍留學生</w:t>
            </w:r>
          </w:p>
          <w:p w:rsidR="0049577B" w:rsidRPr="00394C1A" w:rsidRDefault="0049577B" w:rsidP="000D26BB">
            <w:pPr>
              <w:pStyle w:val="afffffffa"/>
              <w:ind w:left="-39" w:right="-39"/>
              <w:rPr>
                <w:sz w:val="24"/>
                <w:szCs w:val="24"/>
              </w:rPr>
            </w:pPr>
            <w:r w:rsidRPr="00394C1A">
              <w:rPr>
                <w:sz w:val="24"/>
                <w:szCs w:val="24"/>
              </w:rPr>
              <w:t>˙「高級人才積分制度」（2011～）</w:t>
            </w:r>
          </w:p>
        </w:tc>
        <w:tc>
          <w:tcPr>
            <w:tcW w:w="3669" w:type="dxa"/>
            <w:shd w:val="clear" w:color="auto" w:fill="auto"/>
          </w:tcPr>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引進評點機制、延攬國際化優秀人才</w:t>
            </w:r>
          </w:p>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擬以設立國際高等教育學校，吸引及留住國外優秀青年</w:t>
            </w:r>
          </w:p>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符合資格之特定活動高級人才尊親屬申請依親</w:t>
            </w:r>
          </w:p>
        </w:tc>
      </w:tr>
      <w:tr w:rsidR="0049577B" w:rsidRPr="00B40DC1" w:rsidTr="00394C1A">
        <w:trPr>
          <w:trHeight w:val="312"/>
          <w:jc w:val="center"/>
        </w:trPr>
        <w:tc>
          <w:tcPr>
            <w:tcW w:w="1266" w:type="dxa"/>
            <w:shd w:val="clear" w:color="auto" w:fill="auto"/>
            <w:vAlign w:val="center"/>
          </w:tcPr>
          <w:p w:rsidR="0049577B" w:rsidRPr="00394C1A" w:rsidRDefault="0049577B" w:rsidP="000D26BB">
            <w:pPr>
              <w:pStyle w:val="afffffffa"/>
              <w:ind w:left="-39" w:right="-39"/>
              <w:rPr>
                <w:sz w:val="24"/>
                <w:szCs w:val="24"/>
              </w:rPr>
            </w:pPr>
            <w:r w:rsidRPr="00394C1A">
              <w:rPr>
                <w:sz w:val="24"/>
                <w:szCs w:val="24"/>
              </w:rPr>
              <w:t>南韓</w:t>
            </w:r>
          </w:p>
        </w:tc>
        <w:tc>
          <w:tcPr>
            <w:tcW w:w="2604" w:type="dxa"/>
            <w:shd w:val="clear" w:color="auto" w:fill="auto"/>
          </w:tcPr>
          <w:p w:rsidR="0049577B" w:rsidRPr="00394C1A" w:rsidRDefault="0049577B" w:rsidP="000D26BB">
            <w:pPr>
              <w:pStyle w:val="afffffffa"/>
              <w:ind w:left="-39" w:right="-39"/>
              <w:rPr>
                <w:sz w:val="24"/>
                <w:szCs w:val="24"/>
              </w:rPr>
            </w:pPr>
            <w:r w:rsidRPr="00394C1A">
              <w:rPr>
                <w:sz w:val="24"/>
                <w:szCs w:val="24"/>
              </w:rPr>
              <w:sym w:font="Wingdings 2" w:char="F0A1"/>
            </w:r>
            <w:r w:rsidRPr="00394C1A">
              <w:rPr>
                <w:sz w:val="24"/>
                <w:szCs w:val="24"/>
              </w:rPr>
              <w:t>三卡制度（2000～）</w:t>
            </w:r>
          </w:p>
          <w:p w:rsidR="0049577B" w:rsidRPr="00394C1A" w:rsidRDefault="0049577B" w:rsidP="000D26BB">
            <w:pPr>
              <w:pStyle w:val="afffffffa"/>
              <w:ind w:left="-39" w:right="-39"/>
              <w:rPr>
                <w:sz w:val="24"/>
                <w:szCs w:val="24"/>
              </w:rPr>
            </w:pPr>
            <w:r w:rsidRPr="00394C1A">
              <w:rPr>
                <w:sz w:val="24"/>
                <w:szCs w:val="24"/>
              </w:rPr>
              <w:sym w:font="Wingdings 2" w:char="F0A1"/>
            </w:r>
            <w:r w:rsidRPr="00394C1A">
              <w:rPr>
                <w:sz w:val="24"/>
                <w:szCs w:val="24"/>
              </w:rPr>
              <w:t>「海外高級科學人才延攬活動計畫」（2003～）</w:t>
            </w:r>
          </w:p>
          <w:p w:rsidR="0049577B" w:rsidRPr="00394C1A" w:rsidRDefault="0049577B" w:rsidP="000D26BB">
            <w:pPr>
              <w:pStyle w:val="afffffffa"/>
              <w:ind w:left="-39" w:right="-39"/>
              <w:rPr>
                <w:sz w:val="24"/>
                <w:szCs w:val="24"/>
                <w:lang w:val="es-ES"/>
              </w:rPr>
            </w:pPr>
            <w:r w:rsidRPr="00394C1A">
              <w:rPr>
                <w:sz w:val="24"/>
                <w:szCs w:val="24"/>
              </w:rPr>
              <w:sym w:font="Wingdings 2" w:char="F0A1"/>
            </w:r>
            <w:r w:rsidRPr="00394C1A">
              <w:rPr>
                <w:sz w:val="24"/>
                <w:szCs w:val="24"/>
                <w:lang w:val="es-ES"/>
              </w:rPr>
              <w:t>Contact Korea（2008</w:t>
            </w:r>
            <w:r w:rsidRPr="00394C1A">
              <w:rPr>
                <w:sz w:val="24"/>
                <w:szCs w:val="24"/>
              </w:rPr>
              <w:t>～</w:t>
            </w:r>
            <w:r w:rsidRPr="00394C1A">
              <w:rPr>
                <w:sz w:val="24"/>
                <w:szCs w:val="24"/>
                <w:lang w:val="es-ES"/>
              </w:rPr>
              <w:t>）</w:t>
            </w:r>
          </w:p>
          <w:p w:rsidR="0049577B" w:rsidRPr="00394C1A" w:rsidRDefault="0049577B" w:rsidP="000D26BB">
            <w:pPr>
              <w:pStyle w:val="afffffffa"/>
              <w:ind w:left="-39" w:right="-39"/>
              <w:rPr>
                <w:sz w:val="24"/>
                <w:szCs w:val="24"/>
                <w:lang w:val="es-ES"/>
              </w:rPr>
            </w:pPr>
            <w:r w:rsidRPr="00394C1A">
              <w:rPr>
                <w:sz w:val="24"/>
                <w:szCs w:val="24"/>
              </w:rPr>
              <w:sym w:font="Wingdings 2" w:char="F0A1"/>
            </w:r>
            <w:r w:rsidRPr="00394C1A">
              <w:rPr>
                <w:sz w:val="24"/>
                <w:szCs w:val="24"/>
              </w:rPr>
              <w:t>「引進外籍專業人才支援事業計畫」（2012～）</w:t>
            </w:r>
          </w:p>
        </w:tc>
        <w:tc>
          <w:tcPr>
            <w:tcW w:w="2101" w:type="dxa"/>
            <w:shd w:val="clear" w:color="auto" w:fill="auto"/>
          </w:tcPr>
          <w:p w:rsidR="0049577B" w:rsidRPr="00394C1A" w:rsidRDefault="0049577B" w:rsidP="000D26BB">
            <w:pPr>
              <w:pStyle w:val="afffffffa"/>
              <w:ind w:left="-39" w:right="-39"/>
              <w:rPr>
                <w:sz w:val="24"/>
                <w:szCs w:val="24"/>
              </w:rPr>
            </w:pPr>
            <w:r w:rsidRPr="00394C1A">
              <w:rPr>
                <w:sz w:val="24"/>
                <w:szCs w:val="24"/>
              </w:rPr>
              <w:t>˙延攬外國優秀技術及科學人才，延長居留及自由入出境及就業</w:t>
            </w:r>
          </w:p>
          <w:p w:rsidR="0049577B" w:rsidRPr="00394C1A" w:rsidRDefault="0049577B" w:rsidP="000D26BB">
            <w:pPr>
              <w:pStyle w:val="afffffffa"/>
              <w:ind w:left="-39" w:right="-39"/>
              <w:rPr>
                <w:sz w:val="24"/>
                <w:szCs w:val="24"/>
              </w:rPr>
            </w:pPr>
            <w:r w:rsidRPr="00394C1A">
              <w:rPr>
                <w:sz w:val="24"/>
                <w:szCs w:val="24"/>
              </w:rPr>
              <w:t>˙支援中小及創投企業引進外籍關鍵技術人才，協助企業升級轉型、開拓海外市場</w:t>
            </w:r>
          </w:p>
        </w:tc>
        <w:tc>
          <w:tcPr>
            <w:tcW w:w="3669" w:type="dxa"/>
            <w:shd w:val="clear" w:color="auto" w:fill="auto"/>
          </w:tcPr>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實施評點延攬無聘僱許可外籍優秀人才（point-based visa）</w:t>
            </w:r>
          </w:p>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有條件放寬雙重國籍</w:t>
            </w:r>
          </w:p>
          <w:p w:rsidR="0049577B" w:rsidRPr="00394C1A" w:rsidRDefault="0049577B" w:rsidP="000D26BB">
            <w:pPr>
              <w:pStyle w:val="afffffffa"/>
              <w:ind w:left="-39" w:right="-39"/>
              <w:rPr>
                <w:sz w:val="24"/>
                <w:szCs w:val="24"/>
              </w:rPr>
            </w:pPr>
            <w:r w:rsidRPr="00394C1A">
              <w:rPr>
                <w:sz w:val="24"/>
                <w:szCs w:val="24"/>
              </w:rPr>
              <w:sym w:font="Wingdings 2" w:char="F050"/>
            </w:r>
            <w:r w:rsidRPr="00394C1A">
              <w:rPr>
                <w:sz w:val="24"/>
                <w:szCs w:val="24"/>
              </w:rPr>
              <w:t>補助公會協助中小企業進用外籍專業人才，助益企業升級、轉型</w:t>
            </w:r>
          </w:p>
        </w:tc>
      </w:tr>
    </w:tbl>
    <w:p w:rsidR="0049577B" w:rsidRPr="00394C1A" w:rsidRDefault="00817A92" w:rsidP="00394C1A">
      <w:pPr>
        <w:spacing w:line="240" w:lineRule="auto"/>
        <w:ind w:leftChars="0" w:left="0" w:rightChars="0" w:right="0"/>
      </w:pPr>
      <w:r w:rsidRPr="00394C1A">
        <w:t>【資料來源】</w:t>
      </w:r>
      <w:r w:rsidR="0049577B" w:rsidRPr="00394C1A">
        <w:t>行政院國家發展委員會</w:t>
      </w:r>
      <w:r w:rsidR="0049577B" w:rsidRPr="00394C1A">
        <w:rPr>
          <w:rFonts w:ascii="Arial Unicode MS" w:eastAsia="新細明體" w:hAnsi="Arial Unicode MS"/>
          <w:color w:val="FF6600"/>
          <w:sz w:val="20"/>
        </w:rPr>
        <w:footnoteReference w:id="410"/>
      </w:r>
    </w:p>
    <w:p w:rsidR="0049577B" w:rsidRPr="00B40DC1" w:rsidRDefault="0049577B" w:rsidP="000D26BB"/>
    <w:p w:rsidR="0049577B" w:rsidRPr="00B40DC1" w:rsidRDefault="00394C1A" w:rsidP="00394C1A">
      <w:pPr>
        <w:spacing w:line="240" w:lineRule="auto"/>
        <w:ind w:leftChars="0" w:left="0" w:rightChars="0" w:right="0"/>
      </w:pPr>
      <w:r>
        <w:t xml:space="preserve">　　</w:t>
      </w:r>
      <w:r w:rsidR="0049577B" w:rsidRPr="00B40DC1">
        <w:t>為因應國內勞動力不足之現象及為留住技術人才，先進國家莫不在吸引外國技術移民之政策上下足功夫，以期能遴選出符合國內需求之技術人才。不少先進國家亦設計出客觀、透明、可量化之「評點制」作為遴選國外技術人才之機制，其中以申請者之年齡、教育程度、語言能力、工作經驗、在該國留學經驗及配偶條件等項目作為計分之標準，條件愈好之申請者便給予較高分數，申請者若符合一定門檻分數即可申請該國技術移民，有些國家更不吝立即給予永久居留之資格。</w:t>
      </w:r>
    </w:p>
    <w:p w:rsidR="0049577B" w:rsidRPr="00B40DC1" w:rsidRDefault="00016E69" w:rsidP="00394C1A">
      <w:pPr>
        <w:spacing w:line="240" w:lineRule="auto"/>
        <w:ind w:leftChars="0" w:left="0" w:rightChars="0" w:right="0"/>
      </w:pPr>
      <w:r>
        <w:t xml:space="preserve">　　</w:t>
      </w:r>
      <w:r w:rsidR="0049577B" w:rsidRPr="00B40DC1">
        <w:t>本研究之主要研究目的，可歸納成以下數點：</w:t>
      </w:r>
    </w:p>
    <w:p w:rsidR="003C1792" w:rsidRDefault="00394C1A" w:rsidP="00394C1A">
      <w:pPr>
        <w:spacing w:line="240" w:lineRule="auto"/>
        <w:ind w:leftChars="0" w:left="0" w:rightChars="0" w:right="0"/>
      </w:pPr>
      <w:r>
        <w:t xml:space="preserve">　　</w:t>
      </w:r>
      <w:r w:rsidR="0049577B" w:rsidRPr="00B40DC1">
        <w:t>(一)旨在於探討臺灣評點制技術移民政策之現況、問題與可行之對策。</w:t>
      </w:r>
    </w:p>
    <w:p w:rsidR="0049577B" w:rsidRPr="00B40DC1" w:rsidRDefault="00394C1A" w:rsidP="00394C1A">
      <w:pPr>
        <w:spacing w:line="240" w:lineRule="auto"/>
        <w:ind w:leftChars="0" w:left="0" w:rightChars="0" w:right="0"/>
      </w:pPr>
      <w:r>
        <w:t xml:space="preserve">　　</w:t>
      </w:r>
      <w:r w:rsidR="0049577B" w:rsidRPr="00B40DC1">
        <w:t>(二)本文針對我國現行技術移民法律面、政策面及實務面如何運作之現況、問題點，及我國是否可在技術移民遴選制度上，能採取評點制之議題，進行研析與討論，並提出對策。</w:t>
      </w:r>
    </w:p>
    <w:p w:rsidR="0049577B" w:rsidRPr="00B40DC1" w:rsidRDefault="00321574" w:rsidP="00321574">
      <w:pPr>
        <w:jc w:val="right"/>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3C1792" w:rsidRDefault="0049577B" w:rsidP="002F19DE">
      <w:pPr>
        <w:pStyle w:val="2"/>
      </w:pPr>
      <w:bookmarkStart w:id="74" w:name="_貳、重要名詞之定義"/>
      <w:bookmarkEnd w:id="74"/>
      <w:r w:rsidRPr="00B40DC1">
        <w:t xml:space="preserve">貳、重要名詞之定義 </w:t>
      </w:r>
    </w:p>
    <w:p w:rsidR="0049577B" w:rsidRPr="00EC0EE2" w:rsidRDefault="0049577B" w:rsidP="00EC0EE2">
      <w:pPr>
        <w:pStyle w:val="3"/>
        <w:rPr>
          <w:lang w:eastAsia="zh-TW"/>
        </w:rPr>
      </w:pPr>
      <w:r w:rsidRPr="00EC0EE2">
        <w:rPr>
          <w:lang w:eastAsia="zh-TW"/>
        </w:rPr>
        <w:t>一、評點制定義</w:t>
      </w:r>
    </w:p>
    <w:p w:rsidR="0049577B" w:rsidRDefault="00EC0EE2" w:rsidP="00394C1A">
      <w:pPr>
        <w:spacing w:line="240" w:lineRule="auto"/>
        <w:ind w:leftChars="0" w:left="0" w:rightChars="0" w:right="0"/>
      </w:pPr>
      <w:r>
        <w:t xml:space="preserve">　　</w:t>
      </w:r>
      <w:r w:rsidR="0049577B" w:rsidRPr="00EC0EE2">
        <w:t>本文認為，所謂之評點制之定義，乃指一套相當科學化、公正化、公平化、透明化與客觀化之評量機制，其用來客觀地評估與衡量技術移民資格之指標，計分之標準項目，可包括以下之各式指標：技術移民申請者擬進入目的國之語文能力、教育程度、工作經驗、技能（術）、專長、職業、留學年資與經驗、年齡、就業邀請及適應性。分數</w:t>
      </w:r>
      <w:r w:rsidR="0049577B" w:rsidRPr="00B40DC1">
        <w:t>愈高者，愈有機會獲選為擁有永久居留權之技術移民。反之，分數愈低者，愈沒有機會獲選為擁有居留權之技術移民。</w:t>
      </w:r>
    </w:p>
    <w:p w:rsidR="00394C1A" w:rsidRPr="00B40DC1" w:rsidRDefault="00394C1A" w:rsidP="00394C1A">
      <w:pPr>
        <w:spacing w:line="240" w:lineRule="auto"/>
        <w:ind w:leftChars="0" w:left="0" w:rightChars="0" w:right="0"/>
      </w:pPr>
    </w:p>
    <w:p w:rsidR="0049577B" w:rsidRPr="00B40DC1" w:rsidRDefault="0049577B" w:rsidP="00EC0EE2">
      <w:pPr>
        <w:pStyle w:val="3"/>
      </w:pPr>
      <w:r w:rsidRPr="00B40DC1">
        <w:t>二、技術者定義</w:t>
      </w:r>
    </w:p>
    <w:p w:rsidR="0049577B" w:rsidRPr="00B40DC1" w:rsidRDefault="00EC0EE2" w:rsidP="00394C1A">
      <w:pPr>
        <w:spacing w:line="240" w:lineRule="auto"/>
        <w:ind w:leftChars="0" w:left="0" w:rightChars="0" w:right="0"/>
      </w:pPr>
      <w:r>
        <w:t xml:space="preserve">　　</w:t>
      </w:r>
      <w:r w:rsidR="0049577B" w:rsidRPr="00B40DC1">
        <w:t>(一)王如哲君在其大作</w:t>
      </w:r>
      <w:r w:rsidR="0049577B" w:rsidRPr="00B40DC1">
        <w:rPr>
          <w:spacing w:val="-8"/>
        </w:rPr>
        <w:t>─</w:t>
      </w:r>
      <w:r w:rsidR="0049577B" w:rsidRPr="00B40DC1">
        <w:t>─知識經濟與教育一書中</w:t>
      </w:r>
      <w:r w:rsidR="0049577B" w:rsidRPr="00B40DC1">
        <w:rPr>
          <w:lang w:val="fr-FR"/>
        </w:rPr>
        <w:t>，</w:t>
      </w:r>
      <w:r w:rsidR="0049577B" w:rsidRPr="00B40DC1">
        <w:t>引述經濟合作暨發展組織（</w:t>
      </w:r>
      <w:r w:rsidR="0049577B" w:rsidRPr="00B40DC1">
        <w:rPr>
          <w:lang w:val="fr-FR"/>
        </w:rPr>
        <w:t xml:space="preserve">OECD, </w:t>
      </w:r>
      <w:r w:rsidR="0049577B" w:rsidRPr="00B40DC1">
        <w:t>Organization for Economic Co-operation and Development,簡稱OECD）</w:t>
      </w:r>
      <w:r w:rsidR="0049577B" w:rsidRPr="00B40DC1">
        <w:rPr>
          <w:lang w:val="fr-FR"/>
        </w:rPr>
        <w:t>1996</w:t>
      </w:r>
      <w:r w:rsidR="0049577B" w:rsidRPr="00B40DC1">
        <w:t>年「</w:t>
      </w:r>
      <w:r w:rsidR="0049577B" w:rsidRPr="00B40DC1">
        <w:rPr>
          <w:lang w:val="fr-FR"/>
        </w:rPr>
        <w:t>Employment and Growth in the Knowledge-based Economy</w:t>
      </w:r>
      <w:r w:rsidR="0049577B" w:rsidRPr="00B40DC1">
        <w:t>」出版一書對高技術人員之定義</w:t>
      </w:r>
      <w:r w:rsidR="0049577B" w:rsidRPr="00B40DC1">
        <w:rPr>
          <w:lang w:val="fr-FR"/>
        </w:rPr>
        <w:t>，所謂之</w:t>
      </w:r>
      <w:r w:rsidR="0049577B" w:rsidRPr="00B40DC1">
        <w:t>科學及科技人員，亦即指高技術人員。根據經濟開發暨合作組織在測量人力資源對於科學及科技貢獻之「坎培拉手冊」，有一些不同之方法可將科學和科技人員分類。科學及科技人員是包括擁有高等教育程度，或需要至少是大學畢業之職業，此定義指明不同工作所需之教育和技術程度。</w:t>
      </w:r>
      <w:r w:rsidR="0049577B" w:rsidRPr="00394C1A">
        <w:rPr>
          <w:rStyle w:val="af7"/>
          <w:rFonts w:eastAsia="新細明體"/>
          <w:sz w:val="20"/>
        </w:rPr>
        <w:footnoteReference w:id="411"/>
      </w:r>
    </w:p>
    <w:p w:rsidR="0049577B" w:rsidRPr="00B40DC1" w:rsidRDefault="00EC0EE2" w:rsidP="00394C1A">
      <w:pPr>
        <w:spacing w:line="240" w:lineRule="auto"/>
        <w:ind w:leftChars="0" w:left="0" w:rightChars="0" w:right="0"/>
      </w:pPr>
      <w:r>
        <w:t xml:space="preserve">　　</w:t>
      </w:r>
      <w:r w:rsidR="0049577B" w:rsidRPr="00B40DC1">
        <w:t>(二)技術移民有多種不同之名稱，亦有將技術移民稱為「技術勞工」（skilled worker or labour），「技術勞工」（技術移民）通常與「教育成就」（educational attainment）之概念有關。王孟平教授與張世強君（2006）指出，「技術勞工」通常意指至少在受過「初等和中等」（primary and secondary school）12年教育之後，還受過4年以上教育者，此即受過「高等教育者」（tertiary educated）。通常具有較高學術訓練（指具有高等教育以上之學歷）、專業技能（擁有職業證照或非替代性專才）或豐富工作經歷之人士，均會被包含在「技術勞工」這個概念之分析範疇之內。王孟平教授與張世強君兩人（2006）並具體舉例加以闡釋，例如：專家（highly skilled specialists）、獨立經理人（independent executives）、資深主管（senior managers）、專技人員（specialized technicians）、通路自營商（trades people）、投資者（investors）、醫生（physicians）與商人（business people）等（OECD SOPEMI, 1997），均可作為「技術勞工」（技術移民）之角色性之代表。王孟平教授與張世強君兩人（2006）認為，「技術勞工」（技術移民）除擁有較優越之教育背景、專業技能和工作經歷之外，這些「技術勞工」不僅因此擁有爭取高薪和高層職位之能力，更具有「跨越疆界」（cross-border）提供勞務之資格與意願；而謀</w:t>
      </w:r>
      <w:r w:rsidR="0049577B" w:rsidRPr="00B40DC1">
        <w:rPr>
          <w:spacing w:val="-6"/>
        </w:rPr>
        <w:t>求較佳就業機會和生活水平，常常是他們願意跨界工作之重要動機。</w:t>
      </w:r>
      <w:r w:rsidR="0049577B" w:rsidRPr="00394C1A">
        <w:rPr>
          <w:rStyle w:val="af7"/>
          <w:rFonts w:eastAsia="新細明體"/>
          <w:sz w:val="20"/>
        </w:rPr>
        <w:footnoteReference w:id="412"/>
      </w:r>
    </w:p>
    <w:p w:rsidR="0049577B" w:rsidRDefault="00EC0EE2" w:rsidP="00394C1A">
      <w:pPr>
        <w:spacing w:line="240" w:lineRule="auto"/>
        <w:ind w:leftChars="0" w:left="0" w:rightChars="0" w:right="0"/>
        <w:rPr>
          <w:spacing w:val="-6"/>
        </w:rPr>
      </w:pPr>
      <w:r>
        <w:rPr>
          <w:kern w:val="0"/>
        </w:rPr>
        <w:t xml:space="preserve">　　</w:t>
      </w:r>
      <w:r w:rsidR="0049577B" w:rsidRPr="00B40DC1">
        <w:rPr>
          <w:kern w:val="0"/>
        </w:rPr>
        <w:t>(三)Shklyar（2012）認為，</w:t>
      </w:r>
      <w:r w:rsidR="0049577B" w:rsidRPr="00B40DC1">
        <w:t>有關於「高技術」之概念及定義均不盡相同，但它們多是指擁有一個或多個大學學位之人才。在許多學術採討中可以發現，「高技術」為「最好和最聰明」之代名詞。管理者、專業人員及高技術均屬於此類別。該定義亦考慮其教育程度及職業中所獲得薪水多寡，另需要具有</w:t>
      </w:r>
      <w:r w:rsidR="0049577B" w:rsidRPr="00B40DC1">
        <w:rPr>
          <w:spacing w:val="-2"/>
        </w:rPr>
        <w:t>至少4年學術或大學學歷。高技術移民經常為競爭激烈之私部</w:t>
      </w:r>
      <w:r w:rsidR="0049577B" w:rsidRPr="00B40DC1">
        <w:rPr>
          <w:spacing w:val="-6"/>
        </w:rPr>
        <w:t>門工作，亦可能在公共部門，如教育和醫療保健體系內工作。</w:t>
      </w:r>
      <w:r w:rsidR="0049577B" w:rsidRPr="00394C1A">
        <w:rPr>
          <w:rStyle w:val="af7"/>
          <w:rFonts w:eastAsia="新細明體"/>
          <w:sz w:val="20"/>
        </w:rPr>
        <w:footnoteReference w:id="413"/>
      </w:r>
    </w:p>
    <w:p w:rsidR="00394C1A" w:rsidRPr="00B40DC1" w:rsidRDefault="00306B20" w:rsidP="00306B20">
      <w:pPr>
        <w:spacing w:line="240" w:lineRule="auto"/>
        <w:ind w:leftChars="0" w:left="0" w:rightChars="0" w:right="0"/>
        <w:jc w:val="right"/>
        <w:rPr>
          <w:spacing w:val="-6"/>
        </w:rPr>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EC0EE2">
      <w:pPr>
        <w:pStyle w:val="3"/>
        <w:rPr>
          <w:lang w:eastAsia="zh-TW"/>
        </w:rPr>
      </w:pPr>
      <w:r w:rsidRPr="00B40DC1">
        <w:rPr>
          <w:lang w:eastAsia="zh-TW"/>
        </w:rPr>
        <w:t>三、技術移民定義</w:t>
      </w:r>
      <w:r w:rsidRPr="00394C1A">
        <w:rPr>
          <w:rStyle w:val="af7"/>
          <w:rFonts w:eastAsia="新細明體"/>
          <w:kern w:val="2"/>
          <w:sz w:val="20"/>
          <w:szCs w:val="24"/>
        </w:rPr>
        <w:footnoteReference w:id="414"/>
      </w:r>
    </w:p>
    <w:p w:rsidR="0049577B" w:rsidRDefault="00EC0EE2" w:rsidP="00394C1A">
      <w:pPr>
        <w:spacing w:line="240" w:lineRule="auto"/>
        <w:ind w:leftChars="0" w:left="0" w:rightChars="0" w:right="0"/>
      </w:pPr>
      <w:r>
        <w:t xml:space="preserve">　　</w:t>
      </w:r>
      <w:r w:rsidR="0049577B" w:rsidRPr="00B40DC1">
        <w:t>黃慶堂教授認為，所謂之專門技術移民，其定義係具備高科技或專門技術之人才，以取得移民資格之人</w:t>
      </w:r>
      <w:r w:rsidR="0049577B" w:rsidRPr="00394C1A">
        <w:rPr>
          <w:rStyle w:val="af7"/>
          <w:rFonts w:eastAsia="新細明體"/>
          <w:sz w:val="20"/>
        </w:rPr>
        <w:footnoteReference w:id="415"/>
      </w:r>
      <w:r w:rsidR="0049577B" w:rsidRPr="00B40DC1">
        <w:t>。</w:t>
      </w:r>
    </w:p>
    <w:p w:rsidR="0049577B" w:rsidRPr="00B40DC1" w:rsidRDefault="0049577B" w:rsidP="00EC0EE2">
      <w:pPr>
        <w:pStyle w:val="3"/>
        <w:rPr>
          <w:rStyle w:val="af7"/>
          <w:rFonts w:ascii="標楷體" w:hAnsi="標楷體"/>
          <w:color w:val="auto"/>
          <w:sz w:val="24"/>
          <w:szCs w:val="24"/>
          <w:lang w:eastAsia="zh-TW"/>
        </w:rPr>
      </w:pPr>
      <w:r w:rsidRPr="00B40DC1">
        <w:rPr>
          <w:lang w:eastAsia="zh-TW"/>
        </w:rPr>
        <w:t>四、移民政策定義</w:t>
      </w:r>
      <w:r w:rsidRPr="00394C1A">
        <w:rPr>
          <w:rStyle w:val="af7"/>
          <w:rFonts w:eastAsia="新細明體"/>
          <w:kern w:val="2"/>
          <w:sz w:val="20"/>
          <w:szCs w:val="24"/>
        </w:rPr>
        <w:footnoteReference w:id="416"/>
      </w:r>
    </w:p>
    <w:p w:rsidR="00394C1A" w:rsidRPr="00B40DC1" w:rsidRDefault="00EC0EE2" w:rsidP="00394C1A">
      <w:pPr>
        <w:spacing w:line="240" w:lineRule="auto"/>
        <w:ind w:leftChars="0" w:left="0" w:rightChars="0" w:right="0"/>
      </w:pPr>
      <w:r>
        <w:rPr>
          <w:kern w:val="0"/>
          <w:lang w:bidi="sa-IN"/>
        </w:rPr>
        <w:t xml:space="preserve">　　</w:t>
      </w:r>
      <w:r w:rsidR="0049577B" w:rsidRPr="00B40DC1">
        <w:rPr>
          <w:kern w:val="0"/>
          <w:lang w:bidi="sa-IN"/>
        </w:rPr>
        <w:t>政策，乃指一個主權國家，為解決該國所面對之各式各樣之問題，其所提供之一系列有效、且可被檢測之步驟方法。是以，移民政策是國家為解決與</w:t>
      </w:r>
      <w:r w:rsidR="0049577B" w:rsidRPr="00B40DC1">
        <w:t>處理涉及</w:t>
      </w:r>
      <w:r w:rsidR="0049577B" w:rsidRPr="00B40DC1">
        <w:rPr>
          <w:kern w:val="0"/>
          <w:lang w:bidi="sa-IN"/>
        </w:rPr>
        <w:t>人口分佈與遷徙等之</w:t>
      </w:r>
      <w:r w:rsidR="0049577B" w:rsidRPr="00B40DC1">
        <w:t>移民問題所採取之</w:t>
      </w:r>
      <w:r w:rsidR="0049577B" w:rsidRPr="00B40DC1">
        <w:rPr>
          <w:kern w:val="0"/>
          <w:lang w:bidi="sa-IN"/>
        </w:rPr>
        <w:t>一系列有效，且可被檢測之</w:t>
      </w:r>
      <w:r w:rsidR="0049577B" w:rsidRPr="00B40DC1">
        <w:t>步驟、方法、方針及策略。亦即，移民政策是解決移民問題之基本原則方針。移民政策包括移民立法、移民輔導、執行（主管）機關（移民署），此三者可說是移民政策之主要成分</w:t>
      </w:r>
      <w:r w:rsidR="0049577B" w:rsidRPr="00394C1A">
        <w:rPr>
          <w:rStyle w:val="af7"/>
          <w:rFonts w:eastAsia="新細明體"/>
          <w:sz w:val="20"/>
        </w:rPr>
        <w:footnoteReference w:id="417"/>
      </w:r>
      <w:r w:rsidR="0049577B" w:rsidRPr="00B40DC1">
        <w:t>。</w:t>
      </w:r>
    </w:p>
    <w:p w:rsidR="0049577B" w:rsidRPr="00EC0EE2" w:rsidRDefault="0049577B" w:rsidP="00394C1A">
      <w:pPr>
        <w:pStyle w:val="3"/>
        <w:rPr>
          <w:lang w:eastAsia="zh-TW"/>
        </w:rPr>
      </w:pPr>
      <w:r w:rsidRPr="00EC0EE2">
        <w:rPr>
          <w:lang w:eastAsia="zh-TW"/>
        </w:rPr>
        <w:t>五、評點制技術移民政策之定義</w:t>
      </w:r>
    </w:p>
    <w:p w:rsidR="0049577B" w:rsidRPr="00B40DC1" w:rsidRDefault="00EC0EE2" w:rsidP="00EC0EE2">
      <w:pPr>
        <w:spacing w:line="240" w:lineRule="auto"/>
        <w:ind w:leftChars="0" w:left="0" w:rightChars="0" w:right="0"/>
      </w:pPr>
      <w:r>
        <w:t xml:space="preserve">　　</w:t>
      </w:r>
      <w:r w:rsidR="0049577B" w:rsidRPr="00B40DC1">
        <w:t>有關評點制技術移民政策之定義，本文認為，乃指國家為達到吸引擁有高等教育程度，或需要至少是大學畢業之職業者，移入地主國之終極目的，所須處理與解決之各式評估技術移民資格之指標課題之</w:t>
      </w:r>
      <w:r w:rsidR="0049577B" w:rsidRPr="00B40DC1">
        <w:rPr>
          <w:kern w:val="0"/>
          <w:lang w:bidi="sa-IN"/>
        </w:rPr>
        <w:t>一系列有效，且可被檢測之</w:t>
      </w:r>
      <w:r w:rsidR="0049577B" w:rsidRPr="00B40DC1">
        <w:t>步驟、方法、方針及策略。及涉及此一課題之相關各式移民問題，國家所採取之基本原則方針及策略。</w:t>
      </w:r>
    </w:p>
    <w:p w:rsidR="0049577B" w:rsidRPr="00B40DC1" w:rsidRDefault="00321574" w:rsidP="00321574">
      <w:pPr>
        <w:jc w:val="right"/>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2F19DE">
      <w:pPr>
        <w:pStyle w:val="2"/>
      </w:pPr>
      <w:bookmarkStart w:id="75" w:name="_參、研究設計與實施"/>
      <w:bookmarkEnd w:id="75"/>
      <w:r w:rsidRPr="00B40DC1">
        <w:t>參、研究設計與實施</w:t>
      </w:r>
    </w:p>
    <w:p w:rsidR="0049577B" w:rsidRPr="00B40DC1" w:rsidRDefault="00EC0EE2" w:rsidP="00525791">
      <w:pPr>
        <w:spacing w:line="240" w:lineRule="auto"/>
        <w:ind w:leftChars="0" w:left="0" w:rightChars="0" w:right="0"/>
      </w:pPr>
      <w:r>
        <w:t xml:space="preserve">　　</w:t>
      </w:r>
      <w:r w:rsidR="0049577B" w:rsidRPr="00B40DC1">
        <w:t>本研究屬於應用性及政策性之研究；從研究目標而言，則結合探索性研究及描述性研究；從資料蒐集情形而言，以初級資料及次級資料，初級資料包含半結構式訪談，另次級資料包括既有文獻探討、政策法規探討，本研究則偏向於質化研究 ，其採用之研究方法如下：一、文獻分析法；二、深入訪談法。</w:t>
      </w:r>
    </w:p>
    <w:p w:rsidR="0049577B" w:rsidRPr="00B40DC1" w:rsidRDefault="004501CB" w:rsidP="00525791">
      <w:pPr>
        <w:spacing w:line="240" w:lineRule="auto"/>
        <w:ind w:leftChars="0" w:left="0" w:rightChars="0" w:right="0"/>
      </w:pPr>
      <w:r>
        <w:t xml:space="preserve">　　</w:t>
      </w:r>
      <w:r w:rsidR="0049577B" w:rsidRPr="00B40DC1">
        <w:t>在深入訪談法部分，本研究偏向以非結構式訪談進行，以較彈性之訪談結構、訪談內容及訪談問題為主。本研究訪談之對象乃採立意抽樣之方式進行，本研究共訪談我國移民署官員共8名（詳如下表），8位受訪者之公務年資平均20年以上，且負責技術移民政策業務相關執行、政策規畫等法規研修等，8位受訪者之背景包括移民署之科員、視察、科長、專門委員及秘書等，且受訪者其中有好幾位均有外派至國外之工作經驗，藉由其所負責相關業務，能從不同之面向來探討技術移民政策，甚且藉著一些曾經有外派經驗之受訪者之經驗談，更能協助本研究對國外移民制度之探討。本研究聚焦於我國現行延攬國外技術人才制度之現況與困境，並提出可行之建言，期望提供我國可行之遴選技術移民之政策。</w:t>
      </w:r>
    </w:p>
    <w:p w:rsidR="0049577B" w:rsidRPr="00B40DC1" w:rsidRDefault="0049577B" w:rsidP="00525791">
      <w:pPr>
        <w:pStyle w:val="4"/>
      </w:pPr>
      <w:r w:rsidRPr="00B40DC1">
        <w:t>表二</w:t>
      </w:r>
      <w:r w:rsidR="0044169F">
        <w:rPr>
          <w:rFonts w:ascii="新細明體" w:eastAsia="新細明體" w:hAnsi="新細明體" w:hint="eastAsia"/>
        </w:rPr>
        <w:t>、</w:t>
      </w:r>
      <w:r w:rsidRPr="00B40DC1">
        <w:t>訪談對象表</w:t>
      </w:r>
    </w:p>
    <w:tbl>
      <w:tblPr>
        <w:tblW w:w="90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369"/>
        <w:gridCol w:w="1734"/>
        <w:gridCol w:w="1734"/>
        <w:gridCol w:w="3236"/>
      </w:tblGrid>
      <w:tr w:rsidR="0049577B" w:rsidRPr="00B40DC1" w:rsidTr="00525791">
        <w:trPr>
          <w:tblHeader/>
          <w:jc w:val="center"/>
        </w:trPr>
        <w:tc>
          <w:tcPr>
            <w:tcW w:w="2369" w:type="dxa"/>
            <w:tcBorders>
              <w:top w:val="single" w:sz="8" w:space="0" w:color="auto"/>
              <w:bottom w:val="single" w:sz="4" w:space="0" w:color="auto"/>
            </w:tcBorders>
            <w:shd w:val="clear" w:color="auto" w:fill="FAF0FA"/>
            <w:vAlign w:val="center"/>
          </w:tcPr>
          <w:p w:rsidR="0049577B" w:rsidRPr="00525791" w:rsidRDefault="0049577B" w:rsidP="00525791">
            <w:pPr>
              <w:pStyle w:val="afffffffa"/>
              <w:ind w:left="-39" w:right="-39"/>
              <w:jc w:val="center"/>
              <w:rPr>
                <w:sz w:val="24"/>
                <w:szCs w:val="24"/>
              </w:rPr>
            </w:pPr>
            <w:r w:rsidRPr="00525791">
              <w:rPr>
                <w:sz w:val="24"/>
                <w:szCs w:val="24"/>
              </w:rPr>
              <w:t>編號</w:t>
            </w:r>
          </w:p>
        </w:tc>
        <w:tc>
          <w:tcPr>
            <w:tcW w:w="1734" w:type="dxa"/>
            <w:tcBorders>
              <w:top w:val="single" w:sz="8" w:space="0" w:color="auto"/>
              <w:bottom w:val="single" w:sz="4" w:space="0" w:color="auto"/>
            </w:tcBorders>
            <w:shd w:val="clear" w:color="auto" w:fill="FAF0FA"/>
            <w:vAlign w:val="center"/>
          </w:tcPr>
          <w:p w:rsidR="0049577B" w:rsidRPr="00525791" w:rsidRDefault="0049577B" w:rsidP="00525791">
            <w:pPr>
              <w:pStyle w:val="afffffffa"/>
              <w:ind w:left="-39" w:right="-39"/>
              <w:jc w:val="center"/>
              <w:rPr>
                <w:sz w:val="24"/>
                <w:szCs w:val="24"/>
              </w:rPr>
            </w:pPr>
            <w:r w:rsidRPr="00525791">
              <w:rPr>
                <w:sz w:val="24"/>
                <w:szCs w:val="24"/>
              </w:rPr>
              <w:t>職稱</w:t>
            </w:r>
          </w:p>
        </w:tc>
        <w:tc>
          <w:tcPr>
            <w:tcW w:w="1734" w:type="dxa"/>
            <w:tcBorders>
              <w:top w:val="single" w:sz="8" w:space="0" w:color="auto"/>
              <w:bottom w:val="single" w:sz="4" w:space="0" w:color="auto"/>
            </w:tcBorders>
            <w:shd w:val="clear" w:color="auto" w:fill="FAF0FA"/>
            <w:vAlign w:val="center"/>
          </w:tcPr>
          <w:p w:rsidR="0049577B" w:rsidRPr="00525791" w:rsidRDefault="0049577B" w:rsidP="00525791">
            <w:pPr>
              <w:pStyle w:val="afffffffa"/>
              <w:ind w:left="-39" w:right="-39"/>
              <w:jc w:val="center"/>
              <w:rPr>
                <w:sz w:val="24"/>
                <w:szCs w:val="24"/>
              </w:rPr>
            </w:pPr>
            <w:r w:rsidRPr="00525791">
              <w:rPr>
                <w:sz w:val="24"/>
                <w:szCs w:val="24"/>
              </w:rPr>
              <w:t>年資</w:t>
            </w:r>
          </w:p>
        </w:tc>
        <w:tc>
          <w:tcPr>
            <w:tcW w:w="3236" w:type="dxa"/>
            <w:tcBorders>
              <w:top w:val="single" w:sz="8" w:space="0" w:color="auto"/>
              <w:bottom w:val="single" w:sz="4" w:space="0" w:color="auto"/>
            </w:tcBorders>
            <w:shd w:val="clear" w:color="auto" w:fill="FAF0FA"/>
            <w:vAlign w:val="center"/>
          </w:tcPr>
          <w:p w:rsidR="0049577B" w:rsidRPr="00525791" w:rsidRDefault="0049577B" w:rsidP="00525791">
            <w:pPr>
              <w:pStyle w:val="afffffffa"/>
              <w:ind w:left="-39" w:right="-39"/>
              <w:jc w:val="center"/>
              <w:rPr>
                <w:sz w:val="24"/>
                <w:szCs w:val="24"/>
              </w:rPr>
            </w:pPr>
            <w:r w:rsidRPr="00525791">
              <w:rPr>
                <w:sz w:val="24"/>
                <w:szCs w:val="24"/>
              </w:rPr>
              <w:t>訪談日期</w:t>
            </w:r>
          </w:p>
        </w:tc>
      </w:tr>
      <w:tr w:rsidR="0049577B" w:rsidRPr="00B40DC1" w:rsidTr="00525791">
        <w:trPr>
          <w:jc w:val="center"/>
        </w:trPr>
        <w:tc>
          <w:tcPr>
            <w:tcW w:w="2369" w:type="dxa"/>
            <w:tcBorders>
              <w:top w:val="single" w:sz="4" w:space="0" w:color="auto"/>
            </w:tcBorders>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A</w:t>
            </w:r>
          </w:p>
        </w:tc>
        <w:tc>
          <w:tcPr>
            <w:tcW w:w="1734" w:type="dxa"/>
            <w:tcBorders>
              <w:top w:val="single" w:sz="4" w:space="0" w:color="auto"/>
            </w:tcBorders>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科員</w:t>
            </w:r>
          </w:p>
        </w:tc>
        <w:tc>
          <w:tcPr>
            <w:tcW w:w="1734" w:type="dxa"/>
            <w:tcBorders>
              <w:top w:val="single" w:sz="4" w:space="0" w:color="auto"/>
            </w:tcBorders>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23年</w:t>
            </w:r>
          </w:p>
        </w:tc>
        <w:tc>
          <w:tcPr>
            <w:tcW w:w="3236" w:type="dxa"/>
            <w:tcBorders>
              <w:top w:val="single" w:sz="4" w:space="0" w:color="auto"/>
            </w:tcBorders>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2015/03/22</w:t>
            </w:r>
          </w:p>
        </w:tc>
      </w:tr>
      <w:tr w:rsidR="0049577B" w:rsidRPr="00B40DC1" w:rsidTr="00525791">
        <w:trPr>
          <w:jc w:val="center"/>
        </w:trPr>
        <w:tc>
          <w:tcPr>
            <w:tcW w:w="2369"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B</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科長</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25年</w:t>
            </w:r>
          </w:p>
        </w:tc>
        <w:tc>
          <w:tcPr>
            <w:tcW w:w="3236"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2015/03/28</w:t>
            </w:r>
          </w:p>
        </w:tc>
      </w:tr>
      <w:tr w:rsidR="0049577B" w:rsidRPr="00B40DC1" w:rsidTr="00525791">
        <w:trPr>
          <w:jc w:val="center"/>
        </w:trPr>
        <w:tc>
          <w:tcPr>
            <w:tcW w:w="2369"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C</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科員</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20年</w:t>
            </w:r>
          </w:p>
        </w:tc>
        <w:tc>
          <w:tcPr>
            <w:tcW w:w="3236"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2015/04/01</w:t>
            </w:r>
          </w:p>
        </w:tc>
      </w:tr>
      <w:tr w:rsidR="0049577B" w:rsidRPr="00B40DC1" w:rsidTr="00525791">
        <w:trPr>
          <w:jc w:val="center"/>
        </w:trPr>
        <w:tc>
          <w:tcPr>
            <w:tcW w:w="2369"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D</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視察</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18年</w:t>
            </w:r>
          </w:p>
        </w:tc>
        <w:tc>
          <w:tcPr>
            <w:tcW w:w="3236"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2015/04/08</w:t>
            </w:r>
          </w:p>
        </w:tc>
      </w:tr>
      <w:tr w:rsidR="0049577B" w:rsidRPr="00B40DC1" w:rsidTr="00525791">
        <w:trPr>
          <w:jc w:val="center"/>
        </w:trPr>
        <w:tc>
          <w:tcPr>
            <w:tcW w:w="2369"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E</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專門委員</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23年</w:t>
            </w:r>
          </w:p>
        </w:tc>
        <w:tc>
          <w:tcPr>
            <w:tcW w:w="3236"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2015/04/10</w:t>
            </w:r>
          </w:p>
        </w:tc>
      </w:tr>
      <w:tr w:rsidR="0049577B" w:rsidRPr="00B40DC1" w:rsidTr="00525791">
        <w:trPr>
          <w:jc w:val="center"/>
        </w:trPr>
        <w:tc>
          <w:tcPr>
            <w:tcW w:w="2369"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F</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秘書</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20幾年</w:t>
            </w:r>
          </w:p>
        </w:tc>
        <w:tc>
          <w:tcPr>
            <w:tcW w:w="3236"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2015/04/15</w:t>
            </w:r>
          </w:p>
        </w:tc>
      </w:tr>
      <w:tr w:rsidR="0049577B" w:rsidRPr="00B40DC1" w:rsidTr="00525791">
        <w:trPr>
          <w:jc w:val="center"/>
        </w:trPr>
        <w:tc>
          <w:tcPr>
            <w:tcW w:w="2369"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G</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科員</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20幾年</w:t>
            </w:r>
          </w:p>
        </w:tc>
        <w:tc>
          <w:tcPr>
            <w:tcW w:w="3236"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2015/04/17</w:t>
            </w:r>
          </w:p>
        </w:tc>
      </w:tr>
      <w:tr w:rsidR="0049577B" w:rsidRPr="00B40DC1" w:rsidTr="00525791">
        <w:trPr>
          <w:jc w:val="center"/>
        </w:trPr>
        <w:tc>
          <w:tcPr>
            <w:tcW w:w="2369"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H</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視察</w:t>
            </w:r>
          </w:p>
        </w:tc>
        <w:tc>
          <w:tcPr>
            <w:tcW w:w="1734"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30年</w:t>
            </w:r>
          </w:p>
        </w:tc>
        <w:tc>
          <w:tcPr>
            <w:tcW w:w="3236"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2015/04/22</w:t>
            </w:r>
          </w:p>
        </w:tc>
      </w:tr>
      <w:tr w:rsidR="0049577B" w:rsidRPr="00B40DC1" w:rsidTr="00525791">
        <w:trPr>
          <w:jc w:val="center"/>
        </w:trPr>
        <w:tc>
          <w:tcPr>
            <w:tcW w:w="2369" w:type="dxa"/>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合計</w:t>
            </w:r>
          </w:p>
        </w:tc>
        <w:tc>
          <w:tcPr>
            <w:tcW w:w="6704" w:type="dxa"/>
            <w:gridSpan w:val="3"/>
            <w:shd w:val="clear" w:color="auto" w:fill="auto"/>
            <w:vAlign w:val="center"/>
          </w:tcPr>
          <w:p w:rsidR="0049577B" w:rsidRPr="00525791" w:rsidRDefault="0049577B" w:rsidP="00525791">
            <w:pPr>
              <w:pStyle w:val="afffffffa"/>
              <w:ind w:left="-39" w:right="-39"/>
              <w:jc w:val="center"/>
              <w:rPr>
                <w:sz w:val="24"/>
                <w:szCs w:val="24"/>
              </w:rPr>
            </w:pPr>
            <w:r w:rsidRPr="00525791">
              <w:rPr>
                <w:sz w:val="24"/>
                <w:szCs w:val="24"/>
              </w:rPr>
              <w:t>8名</w:t>
            </w:r>
          </w:p>
        </w:tc>
      </w:tr>
    </w:tbl>
    <w:p w:rsidR="0049577B" w:rsidRDefault="00817A92" w:rsidP="00525791">
      <w:r w:rsidRPr="00525791">
        <w:t>【資料來源】</w:t>
      </w:r>
      <w:r w:rsidR="0049577B" w:rsidRPr="00525791">
        <w:t>作者自行整理</w:t>
      </w:r>
    </w:p>
    <w:p w:rsidR="00525791" w:rsidRPr="00B40DC1" w:rsidRDefault="00525791" w:rsidP="00525791"/>
    <w:p w:rsidR="0049577B" w:rsidRPr="00B40DC1" w:rsidRDefault="00525791" w:rsidP="00525791">
      <w:pPr>
        <w:spacing w:line="240" w:lineRule="auto"/>
        <w:ind w:leftChars="0" w:left="0" w:rightChars="0" w:right="0"/>
      </w:pPr>
      <w:r>
        <w:t xml:space="preserve">　　</w:t>
      </w:r>
      <w:r w:rsidR="0049577B" w:rsidRPr="00B40DC1">
        <w:t>在移民署辦相關業務從今年1月份迄今。專技移民部份的梅花卡的申請只針對外籍人士，不含大陸、港澳人士，是否具有雙重國籍、多重國籍則不管，但重點是不能已具有我國國籍又來申請梅花卡的永久居留，這要排除適用，不然在身份的單一性會有問題，因為拿中華民國護照進出，又以梅花卡永久居留的身份進出，我國在國境線上會難以控管。(A-2-1)</w:t>
      </w:r>
    </w:p>
    <w:p w:rsidR="0049577B" w:rsidRPr="00B40DC1" w:rsidRDefault="00525791" w:rsidP="00525791">
      <w:pPr>
        <w:spacing w:line="240" w:lineRule="auto"/>
        <w:ind w:leftChars="0" w:left="0" w:rightChars="0" w:right="0"/>
      </w:pPr>
      <w:r>
        <w:t xml:space="preserve">　　</w:t>
      </w:r>
      <w:r w:rsidR="0049577B" w:rsidRPr="00B40DC1">
        <w:t>我在84年自創一個理論，政府施政分5大領域，包含政策研擬、整體規畫、法令研修、認識用法(認定事實適用法律)、實際執行。移民事務組居留定居二科業務是負責外國人的居留、無戶籍國民居留、定居，所有的政策研擬、整體規畫、法令研修、認識用法、實際執行都在居二科手裡。要到立法院備詢，行政院對專技移民政策研擬、整體規畫、法律的認定修正、法律的適用(就是法律的解釋)、到實際執行，這樣的單位在中華民國單位已經不多了，所以需要各界提供意見。(B-2-2)</w:t>
      </w:r>
    </w:p>
    <w:p w:rsidR="0049577B" w:rsidRPr="00B40DC1" w:rsidRDefault="00525791" w:rsidP="00525791">
      <w:pPr>
        <w:spacing w:line="240" w:lineRule="auto"/>
        <w:ind w:leftChars="0" w:left="0" w:rightChars="0" w:right="0"/>
      </w:pPr>
      <w:r>
        <w:t xml:space="preserve">　　</w:t>
      </w:r>
      <w:r w:rsidR="0049577B" w:rsidRPr="00B40DC1">
        <w:t>我曾承辦技術移民相關業務，承辦梅花卡的時間是1年10個月。那時候是在移民署移民事務組居留定居二科。因為一般居留是服務站就已經在處理了，就是說初審複審後這些服務站發，那我們那邊是永久居留。那永久居留專技的部份就是梅花卡。然後梅花卡要辦審查會，就是以申請人所提的文件來審查。那這個部份有一些是才藝技能，那也有特殊貢獻，所以梅花卡它是分成三類嘛。那其中一類就是類似這種專技移民，然後另外一個是投資移民及特殊貢獻。(C-2-1)</w:t>
      </w:r>
    </w:p>
    <w:p w:rsidR="0049577B" w:rsidRPr="00B40DC1" w:rsidRDefault="00525791" w:rsidP="00525791">
      <w:pPr>
        <w:spacing w:line="240" w:lineRule="auto"/>
        <w:ind w:leftChars="0" w:left="0" w:rightChars="0" w:right="0"/>
      </w:pPr>
      <w:r>
        <w:t xml:space="preserve">　　</w:t>
      </w:r>
      <w:r w:rsidR="0049577B" w:rsidRPr="00B40DC1">
        <w:t>承辦相關業務99年迄今斷斷續續4年。關於專技移民的話，我們國家在99年100年經建會有去推招攬優秀的人才進來，我在署裡面辦的有外人三卡的業務，外人三卡就是所謂的梅花卡、就業PASS卡、學商卡</w:t>
      </w:r>
      <w:r w:rsidR="003C1792">
        <w:t>(</w:t>
      </w:r>
      <w:r w:rsidR="0049577B" w:rsidRPr="00B40DC1">
        <w:t>學術商務卡)，外人三卡也是要配合整個人才進來，這等一下細部可以再講。還有整個國發會在辦的育才、留才、攬才方案，整個窗口也是我那邊在辦的，還有整個國家政策發展的窗口也是我那邊在辦的，我是我們署裡面這些業務的窗口，這些業務跟專技移民比較相關，內容的話待會再講。(D-2-1)</w:t>
      </w:r>
    </w:p>
    <w:p w:rsidR="0049577B" w:rsidRPr="00B40DC1" w:rsidRDefault="00525791" w:rsidP="00525791">
      <w:pPr>
        <w:spacing w:line="240" w:lineRule="auto"/>
        <w:ind w:leftChars="0" w:left="0" w:rightChars="0" w:right="0"/>
      </w:pPr>
      <w:r>
        <w:t xml:space="preserve">　　</w:t>
      </w:r>
      <w:r w:rsidR="0049577B" w:rsidRPr="00B40DC1">
        <w:t>整個國家發展政策就是有一套國家訂出來的東西在那，比較像指導綱領，裡面對人才的部份也較重視，所以之前也有人才宣言的東西，所以我們在國家發展政策也是把這些東西都納到裡面去。其實我們就是一直在做修法，跟在實務上讓外國人在臺灣怎麼生活及申請程序會更好，這是我的業務範圍，這是綜合計畫科的業務….。我們綜合計畫科是政策的窗口，要做所有署的政策規畫和計畫，所以把所有的政策都包在綜合計畫科，其實只要整個國家政策和移民署有關的我們都做呀。只要國家發展委員會及行政院開出一個新的東西來，比如說他們現在推一個創業家簽證…。(D-2-6)</w:t>
      </w:r>
    </w:p>
    <w:p w:rsidR="0049577B" w:rsidRPr="00B40DC1" w:rsidRDefault="00525791" w:rsidP="00525791">
      <w:pPr>
        <w:spacing w:line="240" w:lineRule="auto"/>
        <w:ind w:leftChars="0" w:left="0" w:rightChars="0" w:right="0"/>
      </w:pPr>
      <w:r>
        <w:t xml:space="preserve">　　</w:t>
      </w:r>
      <w:r w:rsidR="0049577B" w:rsidRPr="00B40DC1">
        <w:t>我之前在境管局的時候，我就有參與訂定</w:t>
      </w:r>
      <w:hyperlink r:id="rId286" w:history="1">
        <w:r w:rsidR="0049577B" w:rsidRPr="004501CB">
          <w:rPr>
            <w:rStyle w:val="a7"/>
            <w:rFonts w:cs="Times New Roman"/>
            <w:lang w:eastAsia="zh-TW" w:bidi="ar-SA"/>
          </w:rPr>
          <w:t>移民法</w:t>
        </w:r>
      </w:hyperlink>
      <w:r w:rsidR="0049577B" w:rsidRPr="00B40DC1">
        <w:t>跟修</w:t>
      </w:r>
      <w:hyperlink r:id="rId287" w:history="1">
        <w:r w:rsidR="004501CB" w:rsidRPr="004501CB">
          <w:rPr>
            <w:rStyle w:val="a7"/>
            <w:rFonts w:cs="Times New Roman"/>
            <w:lang w:eastAsia="zh-TW" w:bidi="ar-SA"/>
          </w:rPr>
          <w:t>移民法</w:t>
        </w:r>
      </w:hyperlink>
      <w:r w:rsidR="0049577B" w:rsidRPr="00B40DC1">
        <w:t>，我沒有實際去審，因為所謂我認知的專技移民，大概就移民署的角度，大概我們就是發居留證，居留跟永久居留，但是那個審查，收件審查在我們服務站。像永久居留的話是在我們移民事務組，所以我沒有實際去收件審案，但是我大概都是參與政策的擬定還有法規的修訂。法規的修訂，我從86年吧，86年開始就參與，就是相關的有關法規的修訂，然後大概一直到現在。(E-2-2)</w:t>
      </w:r>
    </w:p>
    <w:p w:rsidR="0049577B" w:rsidRPr="00B40DC1" w:rsidRDefault="00525791" w:rsidP="00525791">
      <w:pPr>
        <w:spacing w:line="240" w:lineRule="auto"/>
        <w:ind w:leftChars="0" w:left="0" w:rightChars="0" w:right="0"/>
      </w:pPr>
      <w:r>
        <w:t xml:space="preserve">　　</w:t>
      </w:r>
      <w:r w:rsidR="0049577B" w:rsidRPr="00B40DC1">
        <w:t>我曾經在移民事務組移民規劃科並負責移民政策規劃及協調聯繫的業務3年多。那你後續再去問國發會，可能只有我們這個部份，若有一些疑問或者是我們就沒有辦法回答國發會。他們比較沒有法令的比較少，他們比較是政策面的。通常他們會來問我們，你們法令是怎麼規定啊然後怎麼樣哪邊可以做，哪邊不能做，如果他們真的要做，然後法令又沒有這樣規定，他們就會請我們修法啊。(F-2-1)</w:t>
      </w:r>
    </w:p>
    <w:p w:rsidR="0049577B" w:rsidRPr="00B40DC1" w:rsidRDefault="00525791" w:rsidP="00525791">
      <w:pPr>
        <w:spacing w:line="240" w:lineRule="auto"/>
        <w:ind w:leftChars="0" w:left="0" w:rightChars="0" w:right="0"/>
      </w:pPr>
      <w:r>
        <w:t xml:space="preserve">　　</w:t>
      </w:r>
      <w:r w:rsidR="0049577B" w:rsidRPr="00B40DC1">
        <w:t>96到100年過去5年，我承辦過專技方面的永久居留，其實說應該是說前置的作業啦，就是法規。就是配合整個上面的整個政策去配合調整我們現有的法規，然後去讓這些人才能夠適應我們的法規，能夠進來。但是其實剛開始實施的時候，其實效率非常有限。進來的專技人才真的用手指頭可以數得出來啦。(G-2-5)</w:t>
      </w:r>
    </w:p>
    <w:p w:rsidR="0049577B" w:rsidRPr="00B40DC1" w:rsidRDefault="00525791" w:rsidP="00525791">
      <w:pPr>
        <w:spacing w:line="240" w:lineRule="auto"/>
        <w:ind w:leftChars="0" w:left="0" w:rightChars="0" w:right="0"/>
      </w:pPr>
      <w:r>
        <w:t xml:space="preserve">　　</w:t>
      </w:r>
      <w:r w:rsidR="0049577B" w:rsidRPr="00B40DC1">
        <w:t>承辦過專技相關這樣的業務的時間，那剛好就是我去越南回來的時候，因為那時候剛好就是為了要我那時候政府的政策就是要放寬，加法規鬆綁嘛。怎麼樣就是說來吸引這個外國人能夠到臺灣來，然後能夠把一些像我們現有的移民相關的政策可能就是做一些修正。所以那時候剛好我在等於是97年在2008年8月1號的時候，剛好修那個</w:t>
      </w:r>
      <w:hyperlink r:id="rId288" w:history="1">
        <w:r w:rsidR="0049577B" w:rsidRPr="00966D02">
          <w:rPr>
            <w:rStyle w:val="a7"/>
            <w:rFonts w:cs="Times New Roman"/>
            <w:lang w:eastAsia="zh-TW" w:bidi="ar-SA"/>
          </w:rPr>
          <w:t>外國人永久居留辦法</w:t>
        </w:r>
      </w:hyperlink>
      <w:r w:rsidR="0049577B" w:rsidRPr="00B40DC1">
        <w:t>。8月1號修正之後，然後不到半年的時候，就是在98年的時候，等於是2009年的2月26號又再修一次</w:t>
      </w:r>
      <w:hyperlink r:id="rId289" w:history="1">
        <w:r w:rsidR="0049577B" w:rsidRPr="00966D02">
          <w:rPr>
            <w:rStyle w:val="a7"/>
            <w:rFonts w:cs="Times New Roman"/>
            <w:lang w:eastAsia="zh-TW" w:bidi="ar-SA"/>
          </w:rPr>
          <w:t>外國人停留永久居留的辦法</w:t>
        </w:r>
      </w:hyperlink>
      <w:r w:rsidR="0049577B" w:rsidRPr="00B40DC1">
        <w:t>。那跟你現在訪談有關係，就是在修投資移民那個條例，因為以前我們都沒有那個投資移民，那為什麼會要修?因為那時候我們的</w:t>
      </w:r>
      <w:hyperlink r:id="rId290" w:history="1">
        <w:r w:rsidR="0049577B" w:rsidRPr="00966D02">
          <w:rPr>
            <w:rStyle w:val="a7"/>
            <w:rFonts w:cs="Times New Roman"/>
            <w:lang w:eastAsia="zh-TW" w:bidi="ar-SA"/>
          </w:rPr>
          <w:t>入出國移民法</w:t>
        </w:r>
      </w:hyperlink>
      <w:r w:rsidR="0049577B" w:rsidRPr="00B40DC1">
        <w:t>裡面，</w:t>
      </w:r>
      <w:hyperlink r:id="rId291" w:anchor="b35" w:history="1">
        <w:r w:rsidR="0049577B" w:rsidRPr="00966D02">
          <w:rPr>
            <w:rStyle w:val="a7"/>
            <w:rFonts w:cs="Times New Roman"/>
            <w:lang w:eastAsia="zh-TW" w:bidi="ar-SA"/>
          </w:rPr>
          <w:t>第35條</w:t>
        </w:r>
      </w:hyperlink>
      <w:r w:rsidR="0049577B" w:rsidRPr="00B40DC1">
        <w:t>裡面有講到，裡面有提到就是說我們要投資移民的那個基金的運用啊，還有投資的標的啊，必須要由主管機關，那主管機關當然就是我們內政部移民署啊。那主管機關來訂定這個相關後續的辦法。(H-2-2)</w:t>
      </w:r>
    </w:p>
    <w:p w:rsidR="0049577B" w:rsidRPr="00B40DC1" w:rsidRDefault="00525791" w:rsidP="00525791">
      <w:pPr>
        <w:spacing w:line="240" w:lineRule="auto"/>
        <w:ind w:leftChars="0" w:left="0" w:rightChars="0" w:right="0"/>
      </w:pPr>
      <w:r>
        <w:rPr>
          <w:kern w:val="0"/>
        </w:rPr>
        <w:t xml:space="preserve">　　</w:t>
      </w:r>
      <w:r w:rsidR="0049577B" w:rsidRPr="00B40DC1">
        <w:rPr>
          <w:kern w:val="0"/>
        </w:rPr>
        <w:t>本研究</w:t>
      </w:r>
      <w:r w:rsidR="0049577B" w:rsidRPr="00B40DC1">
        <w:t>接續依據深入訪訪談所獲得之資料，先進行整理並作後續分析，並從所有之訪談問題中逐一作訪談結果之歸納，有關本研究資料分析步驟如下：一、訪談逐字稿繕打；二、分類及編碼；三、歸納分析；四、研究發現 。最後將分析後受訪資料建立有系統性之主題，並結合文獻分析內容及研究者觀點，將訪談結果萃練成有脈絡及有參考價值之研究結果。</w:t>
      </w:r>
    </w:p>
    <w:p w:rsidR="0049577B" w:rsidRPr="00B40DC1" w:rsidRDefault="00306B20" w:rsidP="00306B20">
      <w:pPr>
        <w:jc w:val="right"/>
      </w:pPr>
      <w:r w:rsidRPr="00D45AD2">
        <w:rPr>
          <w:rFonts w:hint="eastAsia"/>
          <w:sz w:val="22"/>
        </w:rPr>
        <w:t>。。。。。。。。。。。。。。</w:t>
      </w:r>
      <w:hyperlink w:anchor="a3b4"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3C1792" w:rsidRDefault="0049577B" w:rsidP="002F19DE">
      <w:pPr>
        <w:pStyle w:val="2"/>
      </w:pPr>
      <w:bookmarkStart w:id="76" w:name="_肆、我國技術移民政策之現況、優勢與困境"/>
      <w:bookmarkEnd w:id="76"/>
      <w:r w:rsidRPr="00B40DC1">
        <w:t>肆、我國技術移民政策之現況、優勢與困境</w:t>
      </w:r>
    </w:p>
    <w:p w:rsidR="0049577B" w:rsidRPr="00B40DC1" w:rsidRDefault="0049577B" w:rsidP="00525791">
      <w:pPr>
        <w:pStyle w:val="3"/>
        <w:rPr>
          <w:lang w:eastAsia="zh-TW"/>
        </w:rPr>
      </w:pPr>
      <w:bookmarkStart w:id="77" w:name="_一、我國現行國外專業人員在臺灣居留之情形"/>
      <w:bookmarkEnd w:id="77"/>
      <w:r w:rsidRPr="00B40DC1">
        <w:rPr>
          <w:lang w:eastAsia="zh-TW"/>
        </w:rPr>
        <w:t>一、我國現行國外專業人員在臺灣居留之情形</w:t>
      </w:r>
    </w:p>
    <w:p w:rsidR="0049577B" w:rsidRPr="00525791" w:rsidRDefault="00525791" w:rsidP="00525791">
      <w:pPr>
        <w:spacing w:line="240" w:lineRule="auto"/>
        <w:ind w:leftChars="0" w:left="0" w:rightChars="0" w:right="0"/>
      </w:pPr>
      <w:r w:rsidRPr="00525791">
        <w:rPr>
          <w:rFonts w:hint="eastAsia"/>
        </w:rPr>
        <w:t xml:space="preserve">　　</w:t>
      </w:r>
      <w:r w:rsidR="0049577B" w:rsidRPr="00525791">
        <w:t>(一)現行白領專業人士在臺灣居留受聘雇之情形</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依據勞動部統計處2017年1月份資料顯示，外國專業人員</w:t>
      </w:r>
      <w:r w:rsidR="0049577B" w:rsidRPr="00525791">
        <w:rPr>
          <w:rStyle w:val="af7"/>
          <w:rFonts w:eastAsia="新細明體"/>
          <w:sz w:val="20"/>
        </w:rPr>
        <w:footnoteReference w:id="418"/>
      </w:r>
      <w:r w:rsidR="0049577B" w:rsidRPr="00B40DC1">
        <w:rPr>
          <w:noProof/>
        </w:rPr>
        <w:t>目前在臺灣總計為30,815人，其中包括從事專門性技術性工作18,121人，華僑或外國人投資設立事業之主管工作2,652人，學校教師工作2,394人，補習班語文教師工作4,461人，運動教練及運動員工作62人，宗教、藝術及演藝工作1,704人，履約1,412人。</w:t>
      </w:r>
      <w:r w:rsidR="0049577B" w:rsidRPr="00525791">
        <w:rPr>
          <w:rStyle w:val="af7"/>
          <w:rFonts w:eastAsia="新細明體"/>
          <w:sz w:val="20"/>
        </w:rPr>
        <w:footnoteReference w:id="419"/>
      </w:r>
    </w:p>
    <w:p w:rsidR="0049577B" w:rsidRPr="00B40DC1" w:rsidRDefault="00525791" w:rsidP="00525791">
      <w:pPr>
        <w:spacing w:line="240" w:lineRule="auto"/>
        <w:ind w:leftChars="0" w:left="0" w:rightChars="0" w:right="0"/>
        <w:rPr>
          <w:rStyle w:val="af7"/>
          <w:rFonts w:ascii="標楷體" w:hAnsi="標楷體"/>
        </w:rPr>
      </w:pPr>
      <w:r>
        <w:t xml:space="preserve">　　</w:t>
      </w:r>
      <w:r w:rsidR="0049577B" w:rsidRPr="00B40DC1">
        <w:t>那如果在居留方面的話的這些白領的專業人士，當然主要都是集中在教師，外籍教師，還有所謂的商務方面嘛，這其實占很多，然後再來就是工程，就是工程師的部份。就是早期臺灣在蓋那些重大工程，其實很多都是國外廠商標售的，所以他們必須做所謂的一個工程師進來協助國內的一個重大工程，都是主要是在這方面的人才進來。那通常他們隨著工程結束，他們可能也就跟著離開臺灣。為什麼他們沒有辦法讓這些人留下來?其實存在許多因素嘛。(G-2-6)</w:t>
      </w:r>
    </w:p>
    <w:p w:rsidR="0049577B" w:rsidRPr="00525791" w:rsidRDefault="00525791" w:rsidP="00525791">
      <w:pPr>
        <w:spacing w:line="240" w:lineRule="auto"/>
        <w:ind w:leftChars="0" w:left="0" w:rightChars="0" w:right="0"/>
      </w:pPr>
      <w:r w:rsidRPr="00525791">
        <w:rPr>
          <w:rFonts w:hint="eastAsia"/>
        </w:rPr>
        <w:t xml:space="preserve">　　</w:t>
      </w:r>
      <w:r w:rsidR="0049577B" w:rsidRPr="00525791">
        <w:t>(二)現行技術移民申請一般永久居留之情形</w:t>
      </w:r>
    </w:p>
    <w:p w:rsidR="0049577B" w:rsidRPr="00B40DC1" w:rsidRDefault="00525791" w:rsidP="00525791">
      <w:pPr>
        <w:spacing w:line="240" w:lineRule="auto"/>
        <w:ind w:leftChars="0" w:left="0" w:rightChars="0" w:right="0"/>
      </w:pPr>
      <w:r>
        <w:t xml:space="preserve">　　</w:t>
      </w:r>
      <w:r w:rsidR="0049577B" w:rsidRPr="00B40DC1">
        <w:t>依我國出入國及移民法</w:t>
      </w:r>
      <w:hyperlink r:id="rId292" w:anchor="b25" w:history="1">
        <w:r w:rsidR="0049577B" w:rsidRPr="00966D02">
          <w:rPr>
            <w:rStyle w:val="a7"/>
            <w:rFonts w:cs="Times New Roman"/>
            <w:lang w:eastAsia="zh-TW" w:bidi="ar-SA"/>
          </w:rPr>
          <w:t>第25條</w:t>
        </w:r>
      </w:hyperlink>
      <w:r w:rsidR="0049577B" w:rsidRPr="00B40DC1">
        <w:t>規定，外國受聘雇之專業人員5年內每年居留超過</w:t>
      </w:r>
      <w:r w:rsidR="0049577B" w:rsidRPr="00B40DC1">
        <w:rPr>
          <w:noProof/>
        </w:rPr>
        <w:t>183</w:t>
      </w:r>
      <w:r w:rsidR="0049577B" w:rsidRPr="00B40DC1">
        <w:t>日，滿20歲以上、品行端正、有相當之財產或技能，足以自立、符合我國國家利益，符合上述要件者，得向入出國及移民署申請永久居留。</w:t>
      </w:r>
    </w:p>
    <w:p w:rsidR="0049577B" w:rsidRPr="00B40DC1" w:rsidRDefault="00525791" w:rsidP="00525791">
      <w:pPr>
        <w:spacing w:line="240" w:lineRule="auto"/>
        <w:ind w:leftChars="0" w:left="0" w:rightChars="0" w:right="0"/>
      </w:pPr>
      <w:r>
        <w:t xml:space="preserve">　　</w:t>
      </w:r>
      <w:r w:rsidR="0049577B" w:rsidRPr="00B40DC1">
        <w:t>另依我國出入國及移民法</w:t>
      </w:r>
      <w:hyperlink r:id="rId293" w:anchor="b33" w:history="1">
        <w:r w:rsidR="0049577B" w:rsidRPr="00966D02">
          <w:rPr>
            <w:rStyle w:val="a7"/>
            <w:rFonts w:cs="Times New Roman"/>
            <w:lang w:eastAsia="zh-TW" w:bidi="ar-SA"/>
          </w:rPr>
          <w:t>第33條</w:t>
        </w:r>
      </w:hyperlink>
      <w:r w:rsidR="0049577B" w:rsidRPr="00B40DC1">
        <w:t>規定，入出國及移民署對有下列情形之一者，撤銷或</w:t>
      </w:r>
      <w:r w:rsidR="0049577B" w:rsidRPr="00B40DC1">
        <w:rPr>
          <w:noProof/>
        </w:rPr>
        <w:t>廢止</w:t>
      </w:r>
      <w:r w:rsidR="0049577B" w:rsidRPr="00B40DC1">
        <w:t>其永久居留許可，並註銷其外僑永久居留證：申請資料虛偽或不實、持用不法取得、偽造或變造之證件、經判處一年有期徒刑以上之刑確定，但因過失犯罪者，不在此限、永久居留期間，每年居住未達183日。但因出國就學、就醫或其他特殊原因經入出國及移民署同意者，不在此限。</w:t>
      </w:r>
    </w:p>
    <w:p w:rsidR="0049577B" w:rsidRPr="00B40DC1" w:rsidRDefault="00525791" w:rsidP="00525791">
      <w:pPr>
        <w:spacing w:line="240" w:lineRule="auto"/>
        <w:ind w:leftChars="0" w:left="0" w:rightChars="0" w:right="0"/>
      </w:pPr>
      <w:r>
        <w:t xml:space="preserve">　　</w:t>
      </w:r>
      <w:r w:rsidR="0049577B" w:rsidRPr="00B40DC1">
        <w:t>另依我國國籍法</w:t>
      </w:r>
      <w:hyperlink r:id="rId294" w:anchor="a3" w:history="1">
        <w:r w:rsidR="0049577B" w:rsidRPr="00966D02">
          <w:rPr>
            <w:rStyle w:val="a7"/>
            <w:rFonts w:cs="Times New Roman"/>
            <w:lang w:eastAsia="zh-TW" w:bidi="ar-SA"/>
          </w:rPr>
          <w:t>第3條</w:t>
        </w:r>
      </w:hyperlink>
      <w:r w:rsidR="0049577B" w:rsidRPr="00B40DC1">
        <w:t>規定，外國人或無國籍人，現於中華民國領域內有住所，並具備下列各款要件者，得申請歸化：一、於中華民國領域內，每年合計有183日以上合法居留之事實繼續5年以上。二、年滿20歲並依中華民國法律及其本國法均有行為能力。三、無不良素行，且無警察刑事紀錄證明之刑事案件紀錄。四、有相當之財產或專業技能，足以自立，或生活保障無虞。五、具備我國基本語言能力及國民權利義務基本常識。</w:t>
      </w:r>
    </w:p>
    <w:p w:rsidR="0049577B" w:rsidRPr="00B40DC1" w:rsidRDefault="00525791" w:rsidP="00525791">
      <w:pPr>
        <w:spacing w:line="240" w:lineRule="auto"/>
        <w:ind w:leftChars="0" w:left="0" w:rightChars="0" w:right="0"/>
      </w:pPr>
      <w:r>
        <w:t xml:space="preserve">　　</w:t>
      </w:r>
      <w:r w:rsidR="0049577B" w:rsidRPr="00B40DC1">
        <w:t>依</w:t>
      </w:r>
      <w:hyperlink r:id="rId295" w:history="1">
        <w:r w:rsidR="004B3637" w:rsidRPr="004B3637">
          <w:rPr>
            <w:rStyle w:val="a7"/>
            <w:rFonts w:cs="Times New Roman"/>
            <w:lang w:eastAsia="zh-TW" w:bidi="ar-SA"/>
          </w:rPr>
          <w:t>入出國及移民法</w:t>
        </w:r>
      </w:hyperlink>
      <w:r w:rsidR="0049577B" w:rsidRPr="00B40DC1">
        <w:t>及</w:t>
      </w:r>
      <w:hyperlink r:id="rId296" w:history="1">
        <w:r w:rsidR="004B3637" w:rsidRPr="004B3637">
          <w:rPr>
            <w:rStyle w:val="a7"/>
            <w:rFonts w:cs="Times New Roman"/>
            <w:lang w:eastAsia="zh-TW" w:bidi="ar-SA"/>
          </w:rPr>
          <w:t>國籍法</w:t>
        </w:r>
      </w:hyperlink>
      <w:r w:rsidR="0049577B" w:rsidRPr="00B40DC1">
        <w:t>規定，外國受聘雇之專業人員5年內每年居留超過183日，且符合上述積極要件及未有消極條件，即可申請我國永久居留或申請歸化。</w:t>
      </w:r>
    </w:p>
    <w:p w:rsidR="0049577B" w:rsidRPr="00B40DC1" w:rsidRDefault="00525791" w:rsidP="00525791">
      <w:pPr>
        <w:spacing w:line="240" w:lineRule="auto"/>
        <w:ind w:leftChars="0" w:left="0" w:rightChars="0" w:right="0"/>
      </w:pPr>
      <w:r>
        <w:t xml:space="preserve">　　</w:t>
      </w:r>
      <w:r w:rsidR="0049577B" w:rsidRPr="00B40DC1">
        <w:t>目前外國人即使取得我國永久居留權我們仍有設限，在臺灣仍有居住上的限制，需要每年居住183天，若沒辦法配合要事先跟移民事務組報備，目前這在法律上已經開始做放寬限制並做修法，如果因出國就學、就醫或其他特殊原因，若有事前報備，2年若沒累積住183天，才會取消申請者的永久居留資格。未來將修法的方向是連續5年內，如果有上述原因有事前報備，若沒有在臺灣累積住183天，才會取消永久居留資格，目前這是目前在立法院第八屆第七會期優先審議法案。(A-2-3)</w:t>
      </w:r>
    </w:p>
    <w:p w:rsidR="0049577B" w:rsidRPr="00B40DC1" w:rsidRDefault="00525791" w:rsidP="00525791">
      <w:pPr>
        <w:spacing w:line="240" w:lineRule="auto"/>
        <w:ind w:leftChars="0" w:left="0" w:rightChars="0" w:right="0"/>
      </w:pPr>
      <w:r>
        <w:t xml:space="preserve">　　</w:t>
      </w:r>
      <w:r w:rsidR="0049577B" w:rsidRPr="00B40DC1">
        <w:t>一般永久居留是依親、應聘、或一般投資到達一定的金額，每年住183天，住5年就可以拿到永久居留證。(B-5-1)</w:t>
      </w:r>
    </w:p>
    <w:p w:rsidR="0049577B" w:rsidRPr="00B40DC1" w:rsidRDefault="00525791" w:rsidP="00525791">
      <w:pPr>
        <w:spacing w:line="240" w:lineRule="auto"/>
        <w:ind w:leftChars="0" w:left="0" w:rightChars="0" w:right="0"/>
      </w:pPr>
      <w:r>
        <w:t xml:space="preserve">　　</w:t>
      </w:r>
      <w:r w:rsidR="0049577B" w:rsidRPr="00B40DC1">
        <w:t>臺灣永久居留分成一般永久居留及特殊永久居留。特殊永久居留又分為特殊貢獻、專技、投資。一般永久居留又分為一般外國人、配偶子女、常住外國人，很多專門性及技術性已經隱身在一般永久居留中。</w:t>
      </w:r>
      <w:r w:rsidR="003C1792">
        <w:t>(</w:t>
      </w:r>
      <w:r w:rsidR="0049577B" w:rsidRPr="00B40DC1">
        <w:t>B-5-2)</w:t>
      </w:r>
    </w:p>
    <w:p w:rsidR="0049577B" w:rsidRPr="00B40DC1" w:rsidRDefault="00525791" w:rsidP="00525791">
      <w:pPr>
        <w:spacing w:line="240" w:lineRule="auto"/>
        <w:ind w:leftChars="0" w:left="0" w:rightChars="0" w:right="0"/>
      </w:pPr>
      <w:r>
        <w:t xml:space="preserve">　　</w:t>
      </w:r>
      <w:r w:rsidR="0049577B" w:rsidRPr="00B40DC1">
        <w:t>臺灣實際上的專技人才大部份都在外僑居留，有一部份在一般的永久居留。臺灣的專技一進來臺灣就是分三塊，一般居留拿外僑居留證，第二種直接拿梅花卡，第三種是歸化，這三個就是專技人才的選項。一般居留5年住183天就可申請歸化，一般居留後可選永久居留或歸化，梅花卡是可以直接拿永久居留。大部份專技都停留在一般居留的階段，居住久了就可以選擇永久居留或歸化，但申請梅花卡的就少了…。(B-7-6)</w:t>
      </w:r>
    </w:p>
    <w:p w:rsidR="0049577B" w:rsidRPr="00B40DC1" w:rsidRDefault="00525791" w:rsidP="00525791">
      <w:pPr>
        <w:spacing w:line="240" w:lineRule="auto"/>
        <w:ind w:leftChars="0" w:left="0" w:rightChars="0" w:right="0"/>
      </w:pPr>
      <w:r>
        <w:t xml:space="preserve">　　</w:t>
      </w:r>
      <w:r w:rsidR="0049577B" w:rsidRPr="00B40DC1">
        <w:t>目前我們專技的人才若要在我國永久居留的話，他可以尋兩條路，一條是一般的永久居留，他5年住了183天，另外一條途徑就是拿梅花卡。目前的制度那一個分岐那個永久居留就不用綁5年，他只要經過審查會就好了。(E-5-6)</w:t>
      </w:r>
    </w:p>
    <w:p w:rsidR="0049577B" w:rsidRPr="00525791" w:rsidRDefault="00525791" w:rsidP="00525791">
      <w:pPr>
        <w:spacing w:line="240" w:lineRule="auto"/>
        <w:ind w:leftChars="0" w:left="0" w:rightChars="0" w:right="0"/>
      </w:pPr>
      <w:r w:rsidRPr="00525791">
        <w:rPr>
          <w:rFonts w:hint="eastAsia"/>
        </w:rPr>
        <w:t xml:space="preserve">　　</w:t>
      </w:r>
      <w:r w:rsidR="0049577B" w:rsidRPr="00525791">
        <w:t>(三)現行技術移民申請梅花卡永久居留之情形</w:t>
      </w:r>
    </w:p>
    <w:p w:rsidR="0049577B" w:rsidRPr="00B40DC1" w:rsidRDefault="00966D02" w:rsidP="00525791">
      <w:pPr>
        <w:spacing w:line="240" w:lineRule="auto"/>
        <w:ind w:leftChars="0" w:left="0" w:rightChars="0" w:right="0"/>
        <w:rPr>
          <w:noProof/>
        </w:rPr>
      </w:pPr>
      <w:r>
        <w:t xml:space="preserve">　　</w:t>
      </w:r>
      <w:r w:rsidR="0049577B" w:rsidRPr="00525791">
        <w:t>梅花卡永久居留之法源為我國入出國及移民</w:t>
      </w:r>
      <w:r w:rsidRPr="00B40DC1">
        <w:t>法</w:t>
      </w:r>
      <w:hyperlink r:id="rId297" w:anchor="b25" w:history="1">
        <w:r w:rsidRPr="00966D02">
          <w:rPr>
            <w:rStyle w:val="a7"/>
            <w:rFonts w:cs="Times New Roman"/>
            <w:lang w:eastAsia="zh-TW" w:bidi="ar-SA"/>
          </w:rPr>
          <w:t>第25條</w:t>
        </w:r>
      </w:hyperlink>
      <w:r w:rsidR="0049577B" w:rsidRPr="00525791">
        <w:t>，外國人雖未在我國居留5年且每年住滿183天之要件，但有下列情形之一者，亦得向入出國及移民署申請永久居</w:t>
      </w:r>
      <w:r w:rsidR="0049577B" w:rsidRPr="00B40DC1">
        <w:rPr>
          <w:noProof/>
        </w:rPr>
        <w:t>留：一、對我國有特殊貢獻。二、為我國所需之高級專業人才。三、在文化、藝術、科技、體育、產業等各專業領域，參加國際公認之比賽、競技、評鑑得有首獎者。外國人得向入出國及移民署申請在我國投資移民，經審核許可且實行投資者，同意其永久居留。我國目前僅開放外國專業人員申請梅花卡，申請梅花卡之對象並不包括大陸人士及港澳人士，另外國人兼具有我國國籍者，亦不得申請永久居留。</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目前梅花卡申請者以對我國有特殊貢獻者較多，且多為外籍神職人員，另外高級專業人才之申請者相對較少。在高級專業人才申請者中多為已在我國任教之外籍大學教授及在科學園區工作且有申請專利之外籍技術人員，另外之申請者則分布在各新興工業及各科技領域內。</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目前欲申請我國永久居留之外國專業人員可循兩種途徑，其一為申請一般之永久居留，僅要在我國以應聘居留事由住滿5年，每年居住超過183天；其二為申請梅花卡之永久居留，若符合申請梅花卡之資格，國外專門技術人員無須有居住我國天數之限制，提出梅花卡永久居留之申請後，經聯合審查會通過，即可獲得永久居留。惟目前我國官方統計數據無法推估出因國外專門技術人員已經申請永久居留並通過之人數。目前已取得我國永久居留之外國專門技術人員，早期已有一部分已循申請一般永久居留之途徑取得永久居留資格，另外一部分若符合梅花卡高級專業人才之部分，亦可提出梅花卡永久居留之申請。惟因我國申請一般永久居留之限制有放寬之趨勢，包括外國人申請永久居留，於合法連續居留5年期間，每次出國在3個月以內者，得免附健康檢查合格證明及申請者本國刑事紀錄證明</w:t>
      </w:r>
      <w:r w:rsidR="0049577B" w:rsidRPr="00525791">
        <w:rPr>
          <w:rStyle w:val="af7"/>
          <w:rFonts w:eastAsia="新細明體"/>
          <w:sz w:val="20"/>
        </w:rPr>
        <w:footnoteReference w:id="420"/>
      </w:r>
      <w:r w:rsidR="0049577B" w:rsidRPr="00B40DC1">
        <w:rPr>
          <w:noProof/>
        </w:rPr>
        <w:t>，遂有些因應聘資格在我國工作之技術工作者，大多在我國工作5年後，直接申請一般之永久居留，這亦減少梅花卡永久居留之申請。</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目前梅花卡高級專業人才之申請者大多已經居住在我國之外國人為主，目前甚少有直接從國外提出申請。梅花卡之申請者除可從移民署服務站送件外，目前移民署亦已請外交部駐外官員及境外秘書協助宣導，並且移民署境外秘書亦能直接受理，收件後可將梅花卡申請之案件轉移民署移民事務組居留定居二科。原本梅花卡僅開放在移民署服務站作受理，近來為吸引外國技術人才，更開放境外秘書可受理國外之申請案件。梅花卡自民國97年開始推行，移民署並於民國104年4月24日，舉辦（召開）第34屆梅花卡永久居留之審查會，梅花卡申請人數截至33屆審查會之統計如下：</w:t>
      </w:r>
    </w:p>
    <w:p w:rsidR="0049577B" w:rsidRPr="00B40DC1" w:rsidRDefault="00306B20" w:rsidP="00306B20">
      <w:pPr>
        <w:jc w:val="right"/>
        <w:rPr>
          <w:noProof/>
        </w:rPr>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525791">
      <w:pPr>
        <w:pStyle w:val="4"/>
        <w:rPr>
          <w:noProof/>
          <w:lang w:eastAsia="zh-TW"/>
        </w:rPr>
      </w:pPr>
      <w:r w:rsidRPr="00B40DC1">
        <w:rPr>
          <w:lang w:eastAsia="zh-TW"/>
        </w:rPr>
        <w:t>表三</w:t>
      </w:r>
      <w:r w:rsidR="0044169F">
        <w:rPr>
          <w:rFonts w:ascii="新細明體" w:eastAsia="新細明體" w:hAnsi="新細明體" w:hint="eastAsia"/>
          <w:lang w:eastAsia="zh-TW"/>
        </w:rPr>
        <w:t>、</w:t>
      </w:r>
      <w:r w:rsidRPr="00B40DC1">
        <w:rPr>
          <w:lang w:eastAsia="zh-TW"/>
        </w:rPr>
        <w:t>外僑永久居留證（梅花卡）核發統計表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478"/>
        <w:gridCol w:w="4181"/>
      </w:tblGrid>
      <w:tr w:rsidR="0049577B" w:rsidRPr="00B40DC1" w:rsidTr="00E6315D">
        <w:trPr>
          <w:jc w:val="center"/>
        </w:trPr>
        <w:tc>
          <w:tcPr>
            <w:tcW w:w="5478" w:type="dxa"/>
            <w:shd w:val="clear" w:color="auto" w:fill="auto"/>
          </w:tcPr>
          <w:p w:rsidR="0049577B" w:rsidRPr="00525791" w:rsidRDefault="0049577B" w:rsidP="00525791">
            <w:pPr>
              <w:pStyle w:val="afffffffa"/>
              <w:autoSpaceDN/>
              <w:adjustRightInd/>
              <w:spacing w:line="240" w:lineRule="auto"/>
              <w:ind w:leftChars="0" w:left="0" w:rightChars="0" w:right="0"/>
              <w:rPr>
                <w:noProof/>
                <w:sz w:val="24"/>
                <w:szCs w:val="24"/>
              </w:rPr>
            </w:pPr>
            <w:r w:rsidRPr="00525791">
              <w:rPr>
                <w:noProof/>
                <w:sz w:val="24"/>
                <w:szCs w:val="24"/>
              </w:rPr>
              <w:t>對我國有特殊貢獻者</w:t>
            </w:r>
          </w:p>
        </w:tc>
        <w:tc>
          <w:tcPr>
            <w:tcW w:w="4181" w:type="dxa"/>
            <w:shd w:val="clear" w:color="auto" w:fill="auto"/>
          </w:tcPr>
          <w:p w:rsidR="0049577B" w:rsidRPr="00525791" w:rsidRDefault="0049577B" w:rsidP="00525791">
            <w:pPr>
              <w:pStyle w:val="afffffffa"/>
              <w:autoSpaceDN/>
              <w:adjustRightInd/>
              <w:spacing w:line="240" w:lineRule="auto"/>
              <w:ind w:leftChars="0" w:left="0" w:rightChars="0" w:right="0"/>
              <w:rPr>
                <w:noProof/>
                <w:sz w:val="24"/>
                <w:szCs w:val="24"/>
              </w:rPr>
            </w:pPr>
            <w:r w:rsidRPr="00525791">
              <w:rPr>
                <w:noProof/>
                <w:sz w:val="24"/>
                <w:szCs w:val="24"/>
              </w:rPr>
              <w:t>41人</w:t>
            </w:r>
          </w:p>
        </w:tc>
      </w:tr>
      <w:tr w:rsidR="0049577B" w:rsidRPr="00B40DC1" w:rsidTr="00E6315D">
        <w:trPr>
          <w:jc w:val="center"/>
        </w:trPr>
        <w:tc>
          <w:tcPr>
            <w:tcW w:w="5478" w:type="dxa"/>
            <w:shd w:val="clear" w:color="auto" w:fill="auto"/>
          </w:tcPr>
          <w:p w:rsidR="0049577B" w:rsidRPr="00525791" w:rsidRDefault="0049577B" w:rsidP="00525791">
            <w:pPr>
              <w:pStyle w:val="afffffffa"/>
              <w:autoSpaceDN/>
              <w:adjustRightInd/>
              <w:spacing w:line="240" w:lineRule="auto"/>
              <w:ind w:leftChars="0" w:left="0" w:rightChars="0" w:right="0"/>
              <w:rPr>
                <w:noProof/>
                <w:sz w:val="24"/>
                <w:szCs w:val="24"/>
              </w:rPr>
            </w:pPr>
            <w:r w:rsidRPr="00525791">
              <w:rPr>
                <w:noProof/>
                <w:sz w:val="24"/>
                <w:szCs w:val="24"/>
              </w:rPr>
              <w:t>為我國所需之高級專業人才</w:t>
            </w:r>
          </w:p>
        </w:tc>
        <w:tc>
          <w:tcPr>
            <w:tcW w:w="4181" w:type="dxa"/>
            <w:shd w:val="clear" w:color="auto" w:fill="auto"/>
          </w:tcPr>
          <w:p w:rsidR="0049577B" w:rsidRPr="00525791" w:rsidRDefault="0049577B" w:rsidP="00525791">
            <w:pPr>
              <w:pStyle w:val="afffffffa"/>
              <w:autoSpaceDN/>
              <w:adjustRightInd/>
              <w:spacing w:line="240" w:lineRule="auto"/>
              <w:ind w:leftChars="0" w:left="0" w:rightChars="0" w:right="0"/>
              <w:rPr>
                <w:noProof/>
                <w:sz w:val="24"/>
                <w:szCs w:val="24"/>
              </w:rPr>
            </w:pPr>
            <w:r w:rsidRPr="00525791">
              <w:rPr>
                <w:noProof/>
                <w:sz w:val="24"/>
                <w:szCs w:val="24"/>
              </w:rPr>
              <w:t>54人</w:t>
            </w:r>
          </w:p>
        </w:tc>
      </w:tr>
      <w:tr w:rsidR="0049577B" w:rsidRPr="00B40DC1" w:rsidTr="00E6315D">
        <w:trPr>
          <w:jc w:val="center"/>
        </w:trPr>
        <w:tc>
          <w:tcPr>
            <w:tcW w:w="5478" w:type="dxa"/>
            <w:shd w:val="clear" w:color="auto" w:fill="auto"/>
          </w:tcPr>
          <w:p w:rsidR="0049577B" w:rsidRPr="00525791" w:rsidRDefault="0049577B" w:rsidP="00525791">
            <w:pPr>
              <w:pStyle w:val="afffffffa"/>
              <w:autoSpaceDN/>
              <w:adjustRightInd/>
              <w:spacing w:line="240" w:lineRule="auto"/>
              <w:ind w:leftChars="0" w:left="0" w:rightChars="0" w:right="0"/>
              <w:rPr>
                <w:noProof/>
                <w:sz w:val="24"/>
                <w:szCs w:val="24"/>
              </w:rPr>
            </w:pPr>
            <w:r w:rsidRPr="00525791">
              <w:rPr>
                <w:noProof/>
                <w:sz w:val="24"/>
                <w:szCs w:val="24"/>
              </w:rPr>
              <w:t>投資移民</w:t>
            </w:r>
          </w:p>
        </w:tc>
        <w:tc>
          <w:tcPr>
            <w:tcW w:w="4181" w:type="dxa"/>
            <w:shd w:val="clear" w:color="auto" w:fill="auto"/>
          </w:tcPr>
          <w:p w:rsidR="0049577B" w:rsidRPr="00525791" w:rsidRDefault="0049577B" w:rsidP="00525791">
            <w:pPr>
              <w:pStyle w:val="afffffffa"/>
              <w:autoSpaceDN/>
              <w:adjustRightInd/>
              <w:spacing w:line="240" w:lineRule="auto"/>
              <w:ind w:leftChars="0" w:left="0" w:rightChars="0" w:right="0"/>
              <w:rPr>
                <w:noProof/>
                <w:sz w:val="24"/>
                <w:szCs w:val="24"/>
              </w:rPr>
            </w:pPr>
            <w:r w:rsidRPr="00525791">
              <w:rPr>
                <w:noProof/>
                <w:sz w:val="24"/>
                <w:szCs w:val="24"/>
              </w:rPr>
              <w:t>11人</w:t>
            </w:r>
          </w:p>
        </w:tc>
      </w:tr>
      <w:tr w:rsidR="0049577B" w:rsidRPr="00B40DC1" w:rsidTr="00E6315D">
        <w:trPr>
          <w:jc w:val="center"/>
        </w:trPr>
        <w:tc>
          <w:tcPr>
            <w:tcW w:w="5478" w:type="dxa"/>
            <w:shd w:val="clear" w:color="auto" w:fill="auto"/>
          </w:tcPr>
          <w:p w:rsidR="0049577B" w:rsidRPr="00525791" w:rsidRDefault="0049577B" w:rsidP="00525791">
            <w:pPr>
              <w:pStyle w:val="afffffffa"/>
              <w:autoSpaceDN/>
              <w:adjustRightInd/>
              <w:spacing w:line="240" w:lineRule="auto"/>
              <w:ind w:leftChars="0" w:left="0" w:rightChars="0" w:right="0"/>
              <w:rPr>
                <w:noProof/>
                <w:sz w:val="24"/>
                <w:szCs w:val="24"/>
              </w:rPr>
            </w:pPr>
            <w:r w:rsidRPr="00525791">
              <w:rPr>
                <w:noProof/>
                <w:sz w:val="24"/>
                <w:szCs w:val="24"/>
              </w:rPr>
              <w:t>總計</w:t>
            </w:r>
          </w:p>
        </w:tc>
        <w:tc>
          <w:tcPr>
            <w:tcW w:w="4181" w:type="dxa"/>
            <w:shd w:val="clear" w:color="auto" w:fill="auto"/>
          </w:tcPr>
          <w:p w:rsidR="0049577B" w:rsidRPr="00525791" w:rsidRDefault="0049577B" w:rsidP="00525791">
            <w:pPr>
              <w:pStyle w:val="afffffffa"/>
              <w:autoSpaceDN/>
              <w:adjustRightInd/>
              <w:spacing w:line="240" w:lineRule="auto"/>
              <w:ind w:leftChars="0" w:left="0" w:rightChars="0" w:right="0"/>
              <w:rPr>
                <w:noProof/>
                <w:sz w:val="24"/>
                <w:szCs w:val="24"/>
              </w:rPr>
            </w:pPr>
            <w:r w:rsidRPr="00525791">
              <w:rPr>
                <w:noProof/>
                <w:sz w:val="24"/>
                <w:szCs w:val="24"/>
              </w:rPr>
              <w:t>106人</w:t>
            </w:r>
          </w:p>
        </w:tc>
      </w:tr>
    </w:tbl>
    <w:p w:rsidR="0049577B" w:rsidRDefault="00817A92" w:rsidP="00525791">
      <w:pPr>
        <w:spacing w:line="240" w:lineRule="auto"/>
        <w:ind w:leftChars="0" w:left="0" w:rightChars="0" w:right="0"/>
      </w:pPr>
      <w:r w:rsidRPr="00525791">
        <w:t>【資料來源】</w:t>
      </w:r>
      <w:r w:rsidR="0049577B" w:rsidRPr="00525791">
        <w:t>內政部移民署</w:t>
      </w:r>
    </w:p>
    <w:p w:rsidR="00525791" w:rsidRPr="00525791" w:rsidRDefault="00525791" w:rsidP="00525791">
      <w:pPr>
        <w:spacing w:line="240" w:lineRule="auto"/>
        <w:ind w:leftChars="0" w:left="0" w:rightChars="0" w:right="0"/>
      </w:pP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我們業務單位會先確認申請者是否已具有我國國籍，以利做排除。我國目前沒有開放大陸人士及港澳人士給予永久居留及投資移民的申請。目前我國政策未給大陸永久居留，因為大陸也沒有給我們同等的對待，這有政治上的考量。港澳的部份有婚姻移民，沒有專技移民，但有投資移民。梅花卡完全排除大陸、港澳居民。(A-2-2)</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目前有音樂領域、科技領域等申請人前來申請梅花卡。目前我們以「</w:t>
      </w:r>
      <w:hyperlink r:id="rId298" w:history="1">
        <w:r w:rsidR="00CC30C7" w:rsidRPr="0059675B">
          <w:rPr>
            <w:rStyle w:val="a7"/>
            <w:rFonts w:cs="Times New Roman"/>
            <w:lang w:eastAsia="zh-TW" w:bidi="ar-SA"/>
          </w:rPr>
          <w:t>外國人申請永久居留案件審查基準</w:t>
        </w:r>
      </w:hyperlink>
      <w:r w:rsidR="0049577B" w:rsidRPr="00B40DC1">
        <w:rPr>
          <w:noProof/>
        </w:rPr>
        <w:t>」作為申請梅花卡永久居留的標準為主，例如新興工業，我們臺灣在這方面領域是較陌生的，假設電動車相關的零組件，這是新興工業嘛，還有假設我們的汽車產業在起步階段，在這部份在工業上有一個關鍵技術或關鍵零組件、產品及有專業技能的部份。目前臺灣沒有職業類別表，因為我們不能條列式的把它給說死了，你這個表有可能隨著時間的變化，這個東西若是現在沒有的，那以後有的東西，若你沒有在這個表裡面，你要我們依這個表，但若這個表沒有，可是它明明就是屬於新興工業的關鍵技術呀。(A-2-4)</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申請案件由服務站、駐外秘書或中華民國的外館來的受理，服務站及駐外秘書受理為最大宗，駐外秘書的受理最近才開放，案件受理後送至居二科。但有些部分仍是可以量化，例如在國際上拿到數學諾貝爾獎，有就有，沒有就沒有，這是可以判斷的；但有些部分涉及到事實的認定較主觀，例如對我國所急需或特殊貢獻。(B-2-7)</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所以梅花卡過的也有一些比較是專門的技術嘛，高科技有過的很多，高科技蠻多的。而且，高科技你只要說有申請到專利，我們曾經看過有申請者有參與好幾百項的專利，因為他其實早在臺灣工作很久，那是一個研發團隊，那他可能是其中的一員，所以他的公司很大，可能他們專利有好幾百種…。因為科技業的蠻多的，那科技業一般都是有專利，可能是研發，或者是什麼。上百種也有啦，幾十種的是一般都有，一兩種都有，但是一兩種如果說是他確實是有專利，可能也符合…。基本上高科技就有半導體人才，奈米科技人才。(C-2-14)</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也許他來臺灣很久了，那人家是早期來的，早就已經有永久居留了，所以這些他不用再去特別轉一個身份，變成那個梅花卡，因為梅花卡它本質就是永久居留，那人家早期來，早就拿到永久居留了。(C-3-3)</w:t>
      </w:r>
    </w:p>
    <w:p w:rsidR="0049577B" w:rsidRPr="00B40DC1" w:rsidRDefault="00E6315D" w:rsidP="00525791">
      <w:pPr>
        <w:spacing w:line="240" w:lineRule="auto"/>
        <w:ind w:leftChars="0" w:left="0" w:rightChars="0" w:right="0"/>
        <w:rPr>
          <w:noProof/>
        </w:rPr>
      </w:pPr>
      <w:r>
        <w:rPr>
          <w:noProof/>
        </w:rPr>
        <w:t xml:space="preserve">　　</w:t>
      </w:r>
      <w:r w:rsidR="0049577B" w:rsidRPr="00B40DC1">
        <w:rPr>
          <w:noProof/>
        </w:rPr>
        <w:t>科技業的人才來申請梅花卡就蠻多的，那他們這些目前都已經在業界工作了。都是已經來了，幾乎都是已經在臺灣有工作經驗的。所以我在想說是不是外國人，就是說外國人不知道梅花卡這個管道。但是也有可能說，他有這個才能，但是他沒有來臺灣，但也許說別的國家薪水更高他就跑了。所以根本上會來申請梅花卡的，就是已經住在臺灣的了，那可能就是很適應臺灣，那也他想要長久居留，就會很有意願來申請這個梅花卡。所以目前申請人大部份都已經是在臺灣，而且有一些都有居留證，都已經居留了。署裡邊也請駐外秘書也在當地去宣導，因為國外可能不知道我們這個資訊。然後甚至也請駐外秘書是要收件、代轉，其實這樣子我覺得很可行，因為我們也是服務站收了，把它收起之後，寄到二科，那二科來處理。我覺得這樣子反而可能有一點效果，因為如果你駐外館你可能知道當地有哪些人才，可以去挖掘那些人才過來臺灣。(C-2-16)</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之前如果是申請人辦一般的永久居留會比較麻煩，因為良民證這個原因，所以申請一般的永久居留就比較少。而現在體檢表也不用，就是出國沒有超過3個月，良民證跟體檢表也都不用附，所以也省了體檢表。因為體檢表以前還是蠻方便，國內做就可以，但是影響比較大的是良民證。所以現在他們也不一定要來申請這個梅花卡永久居留。而且你申請梅花卡永久居留的期程又不見得好掌握，我又沒辦法掌握到底什麼時候梅花卡會過，因為你的命運操控在別人的手中，那到底會不會過就看委員，我會覺得有些委員就蠻主觀的，有一些我曾經遇過啦，就是說委員會覺得這個不算什麼特殊的貢獻，或者什麼專業人才，委員就會有意見。(C-2-19)</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申請梅花卡永久居留的數量不多，以我在的那個時候大概一個月可能5到10件。那也有可能3個月下來才十來件。因為通常大概審查會兩三個月開一次，大概人數就是十幾個人。(C-3-1)</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那麼有一些其實有專技已經混在那個一般的居留裡面，他也透過一般的居留，居住一段時間已經拿到永久居留了，所以他就他也不可能說又來申請這個梅花卡。其實一般的永久居留及梅花卡的永久居留都是一樣的。(C-3-3)</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然後目前永久居留，我覺得也已經普遍了啦，所以才削弱了梅花卡的吸引力了。因為早期如果說永久居留還要回去他們國家辦什麼良民證及其他一些文件，人家就比較想要去辦梅花卡會比較快。另外用梅花卡來算專技人才人數，又有一點太狹隘，哪有說要求你一定要達到一個量，所以我覺得統計資料應該專技不能用梅花卡來算，其實有些專技人才都已經散在一般的永久居留裡面了，其實並不是這麼少，這個可能應該就是榮耀卡，榮耀及尊貴的一個象徵而已啦，並不是說真的專技人才只有這一些。(C-8-6)</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國外對於專技的定義比較清楚。我國目前對於專技移民的定義比較偏向…就業服務法</w:t>
      </w:r>
      <w:hyperlink r:id="rId299" w:anchor="b42" w:history="1">
        <w:r w:rsidR="0049577B" w:rsidRPr="00966D02">
          <w:rPr>
            <w:rStyle w:val="a7"/>
            <w:rFonts w:cs="Times New Roman"/>
            <w:noProof/>
            <w:lang w:eastAsia="zh-TW" w:bidi="ar-SA"/>
          </w:rPr>
          <w:t>第42條</w:t>
        </w:r>
      </w:hyperlink>
      <w:r w:rsidR="0049577B" w:rsidRPr="00B40DC1">
        <w:rPr>
          <w:noProof/>
        </w:rPr>
        <w:t>第1項第1款至第6款工作資格審查標準…。所以回過頭來講梅花卡就是我們現有的專技移民的對象，我們去頒發梅花卡給他。(D-2-3)</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當初專技的部份給梅花卡的用意是要鼓勵說，你不用住那麼久，經過我們的審核，你就可以有永久居留，可是目前梅花卡專技的部份比較少，比較多申請的是特殊貢獻的，大部份都是神父居多。…倒比較少有說我是一個外國人，我很喜歡住在臺灣，我專技移民住在臺灣，然後我來申請梅花卡。(D-3-5)</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就你研究這個專技移民的這一個部份的話，所謂的一個專技移民比較高階無法取代的，它反而是比如說他到一個移民國家，他甚至於給他永久居留的這一種。所以在我國就是白領嘛。就我國這一部份的話，比較像的就是那個梅花卡這一個部份，特殊專長啊。高級專業人才嘛，外國人對我國有特殊貢獻高級人才及投資移民，那專技移民應該是屬於高級專業人才嘛，對不對?最像專技移民的地方就是這個，這個直接給永久居留了。(F-3-4)</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曾經其實早期在行政院那個國家發展委員會，曾經在推動仿照其他國家發一個專業的證照，就是發給的證件比一般外國人不同，外國人的證會有不同的一個樣式。國發會前身是經建會。經建會當時推動的想法是，當然為了要吸引那個所謂的外來的一個，所以早期叫專技人才，後來就把改成專業人才。那專業人才，原則上希望這些專業人才進來可以感受不同的一個倍感尊榮，然後發給他不同樣態的一個證別。(G-2-1)</w:t>
      </w:r>
    </w:p>
    <w:p w:rsidR="0049577B" w:rsidRPr="00B40DC1" w:rsidRDefault="00525791" w:rsidP="00525791">
      <w:pPr>
        <w:spacing w:line="240" w:lineRule="auto"/>
        <w:ind w:leftChars="0" w:left="0" w:rightChars="0" w:right="0"/>
        <w:rPr>
          <w:noProof/>
        </w:rPr>
      </w:pPr>
      <w:r>
        <w:rPr>
          <w:noProof/>
        </w:rPr>
        <w:t xml:space="preserve">　　</w:t>
      </w:r>
      <w:r w:rsidR="0049577B" w:rsidRPr="00B40DC1">
        <w:rPr>
          <w:noProof/>
        </w:rPr>
        <w:t>民國97、98年，所以那時候就推動了所謂的三卡。第一卡叫做梅花卡，梅花卡的一個效用就比照永久居留，這個梅花卡當時主要是要發給那些投資移民，跟那些具有特殊貢獻的這些人，然後還有就是專業的這些，應該就是專技長才的這些人啊。然後他們如果符合資格之後，他其實真的不同，像特殊貢獻的話，當時是考量說他們這些人，其實這個梅花卡都沒有限定居留的一個年限，除了投資移民有限定之外，就是說你這些學有專長的這些專技人才，你要來臺灣，你不一定要居留，也許你用停留，你也可以進來，你只要在國外有輝煌的成就，你有異於常人的一個特殊專長，那你把你的相關資料提到我們國家來，不管你年齡，原則上我們都希望你來，那你來之後我們就希望透過一個審查會，那當時不就定了一個所謂作業要點，跟一個那個所謂的SOP，讓這些人可以拿到所謂的一個梅花卡。(G-2-2)</w:t>
      </w:r>
    </w:p>
    <w:p w:rsidR="0049577B" w:rsidRDefault="00525791" w:rsidP="00525791">
      <w:pPr>
        <w:spacing w:line="240" w:lineRule="auto"/>
        <w:ind w:leftChars="0" w:left="0" w:rightChars="0" w:right="0"/>
        <w:rPr>
          <w:noProof/>
        </w:rPr>
      </w:pPr>
      <w:r>
        <w:rPr>
          <w:noProof/>
        </w:rPr>
        <w:t xml:space="preserve">　　</w:t>
      </w:r>
      <w:r w:rsidR="0049577B" w:rsidRPr="00B40DC1">
        <w:rPr>
          <w:noProof/>
        </w:rPr>
        <w:t>外國有些專技移民就給予永久居留的話，跟我國比較像的制度就是梅花卡的一個制度。如果說像…說實在的，如果以綠卡來說的話，那我們也有永久居留卡，對不對?就是我們的永久居留證跟梅花卡的差異在哪裡，我們梅花卡的話，等於說是那種特殊，比如剛剛提到特殊貢獻、專業人士，或者是我們投資移民的那些我們給他，然後他可以這樣子等於說他可以拿那個卡是有進出…。所以沒有錯，我們的梅花卡是跟國外的是比較像，就是國外的像美國的綠卡或者是加拿大的楓葉卡一樣，那樣子的一個方式。(H-3-7)</w:t>
      </w:r>
    </w:p>
    <w:p w:rsidR="00525791" w:rsidRPr="00B40DC1" w:rsidRDefault="00321574" w:rsidP="00321574">
      <w:pPr>
        <w:spacing w:line="240" w:lineRule="auto"/>
        <w:ind w:leftChars="0" w:left="0" w:rightChars="0" w:right="0"/>
        <w:jc w:val="right"/>
        <w:rPr>
          <w:noProof/>
        </w:rPr>
      </w:pPr>
      <w:r w:rsidRPr="00D45AD2">
        <w:rPr>
          <w:rFonts w:hint="eastAsia"/>
          <w:sz w:val="22"/>
        </w:rPr>
        <w:t>。。。。。。。。。。。。。。</w:t>
      </w:r>
      <w:hyperlink w:anchor="a3b4" w:history="1">
        <w:r w:rsidR="00E43C92">
          <w:rPr>
            <w:rStyle w:val="a7"/>
            <w:sz w:val="24"/>
            <w:lang w:eastAsia="zh-TW"/>
          </w:rPr>
          <w:t>回本章</w:t>
        </w:r>
      </w:hyperlink>
      <w:r w:rsidR="00E43C92"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525791" w:rsidRDefault="0049577B" w:rsidP="00525791">
      <w:pPr>
        <w:pStyle w:val="3"/>
        <w:rPr>
          <w:lang w:eastAsia="zh-TW"/>
        </w:rPr>
      </w:pPr>
      <w:bookmarkStart w:id="78" w:name="_二、我國現行針對技術移民之遴選與審查機制及其標準"/>
      <w:bookmarkEnd w:id="78"/>
      <w:r w:rsidRPr="00525791">
        <w:rPr>
          <w:lang w:eastAsia="zh-TW"/>
        </w:rPr>
        <w:t>二、我國現行針對技術移民之遴選與審查機制及其標準</w:t>
      </w:r>
    </w:p>
    <w:p w:rsidR="0049577B" w:rsidRPr="00B40DC1" w:rsidRDefault="00525791" w:rsidP="00525791">
      <w:pPr>
        <w:spacing w:line="240" w:lineRule="auto"/>
        <w:ind w:leftChars="0" w:left="0" w:rightChars="0" w:right="0"/>
      </w:pPr>
      <w:r>
        <w:t xml:space="preserve">　　</w:t>
      </w:r>
      <w:r w:rsidR="0049577B" w:rsidRPr="00B40DC1">
        <w:t>加拿大、紐西蘭及澳洲三國在技術移民政策上，採「評點制」作為遴選機制，並直接給予符合條件及資格之技術移民永久居留權，該些技術移民並不需要經過一般居留程序，不需要有在該國居住之期限，即可直接取得永久居留權。在我國較相符之移民制度乃國外籍高級專業人才，不需要有在我國有居住期間之限制，若符合資格並經過審查會許可，可直接取得梅花卡永久居留。當初梅花卡開放高級專業人才可申請之設計乃為將高級專業人才從應聘之外國專業人員（俗稱白領工作者）中區隔出來，所謂之白領工作者乃就業服務法</w:t>
      </w:r>
      <w:hyperlink r:id="rId300" w:anchor="a46" w:history="1">
        <w:r w:rsidR="0049577B" w:rsidRPr="0059675B">
          <w:rPr>
            <w:rStyle w:val="a7"/>
            <w:rFonts w:cs="Times New Roman"/>
            <w:lang w:eastAsia="zh-TW" w:bidi="ar-SA"/>
          </w:rPr>
          <w:t>第46條</w:t>
        </w:r>
      </w:hyperlink>
      <w:r w:rsidR="0049577B" w:rsidRPr="00B40DC1">
        <w:t>第1項第1款至第6款規定工作之外國人。</w:t>
      </w:r>
    </w:p>
    <w:p w:rsidR="0049577B" w:rsidRPr="00B40DC1" w:rsidRDefault="00D10C9A" w:rsidP="00525791">
      <w:pPr>
        <w:spacing w:line="240" w:lineRule="auto"/>
        <w:ind w:leftChars="0" w:left="0" w:rightChars="0" w:right="0"/>
      </w:pPr>
      <w:r>
        <w:t xml:space="preserve">　　</w:t>
      </w:r>
      <w:r w:rsidR="0049577B" w:rsidRPr="00B40DC1">
        <w:t>梅花卡核發之法源為入出國及移民</w:t>
      </w:r>
      <w:r w:rsidR="0059675B" w:rsidRPr="00B40DC1">
        <w:t>法</w:t>
      </w:r>
      <w:hyperlink r:id="rId301" w:anchor="b25" w:history="1">
        <w:r w:rsidR="0059675B" w:rsidRPr="00966D02">
          <w:rPr>
            <w:rStyle w:val="a7"/>
            <w:rFonts w:cs="Times New Roman"/>
            <w:lang w:eastAsia="zh-TW" w:bidi="ar-SA"/>
          </w:rPr>
          <w:t>第25條</w:t>
        </w:r>
      </w:hyperlink>
      <w:r w:rsidR="0049577B" w:rsidRPr="00B40DC1">
        <w:t>第3項、第4項、入出國及移民法施行細則</w:t>
      </w:r>
      <w:hyperlink r:id="rId302" w:anchor="c39" w:history="1">
        <w:r w:rsidR="0049577B" w:rsidRPr="0059675B">
          <w:rPr>
            <w:rStyle w:val="a7"/>
            <w:rFonts w:cs="Times New Roman"/>
            <w:lang w:eastAsia="zh-TW" w:bidi="ar-SA"/>
          </w:rPr>
          <w:t>第39條</w:t>
        </w:r>
      </w:hyperlink>
      <w:r w:rsidR="0049577B" w:rsidRPr="00B40DC1">
        <w:t>第2項、外國人停留居留及永久居留辦法</w:t>
      </w:r>
      <w:hyperlink r:id="rId303" w:anchor="b12" w:history="1">
        <w:r w:rsidR="0049577B" w:rsidRPr="0059675B">
          <w:rPr>
            <w:rStyle w:val="a7"/>
            <w:rFonts w:cs="Times New Roman"/>
            <w:lang w:eastAsia="zh-TW" w:bidi="ar-SA"/>
          </w:rPr>
          <w:t>第12條</w:t>
        </w:r>
      </w:hyperlink>
      <w:r w:rsidR="0049577B" w:rsidRPr="00B40DC1">
        <w:t>及</w:t>
      </w:r>
      <w:hyperlink r:id="rId304" w:history="1">
        <w:r w:rsidR="0049577B" w:rsidRPr="0059675B">
          <w:rPr>
            <w:rStyle w:val="a7"/>
            <w:rFonts w:cs="Times New Roman"/>
            <w:lang w:eastAsia="zh-TW" w:bidi="ar-SA"/>
          </w:rPr>
          <w:t>外國人申請永久居留案件審查基準</w:t>
        </w:r>
      </w:hyperlink>
      <w:r w:rsidR="0049577B" w:rsidRPr="00B40DC1">
        <w:t>等相關法令規定。移民署亦公布外國人對我國有特殊貢獻、高級專業人才及投資移民申請外僑永久居留證（梅花卡）送件須知。</w:t>
      </w:r>
    </w:p>
    <w:p w:rsidR="0049577B" w:rsidRPr="00B40DC1" w:rsidRDefault="00525791" w:rsidP="00525791">
      <w:pPr>
        <w:spacing w:line="240" w:lineRule="auto"/>
        <w:ind w:leftChars="0" w:left="0" w:rightChars="0" w:right="0"/>
      </w:pPr>
      <w:r>
        <w:t xml:space="preserve">　　</w:t>
      </w:r>
      <w:r w:rsidR="0049577B" w:rsidRPr="00B40DC1">
        <w:t>梅花卡受理之程序為收件、審查、許可及發證。目前梅花卡收件之程序為，欲申辦梅花卡之外國高級專業人才，可備妥申請書、護照正本及影本、健康檢查合格證明及相關機構證明等應備文件，可向居留（住）地之移民署服務站申請，或向我駐外館處、香港或澳門臺北經濟文化辦事處、臺灣地區與大陸地區人民關係條例</w:t>
      </w:r>
      <w:hyperlink r:id="rId305" w:anchor="b4" w:history="1">
        <w:r w:rsidR="0049577B" w:rsidRPr="00461F58">
          <w:rPr>
            <w:rStyle w:val="a7"/>
            <w:rFonts w:cs="Times New Roman"/>
            <w:lang w:eastAsia="zh-TW" w:bidi="ar-SA"/>
          </w:rPr>
          <w:t>第4條</w:t>
        </w:r>
      </w:hyperlink>
      <w:r w:rsidR="0049577B" w:rsidRPr="00B40DC1">
        <w:t>第1項所定機構或依同條第2項規定受委託之民間團體在大陸地區設立之分支機構提出申請，由駐外館處核轉移民署辦理。現行移民署駐外秘書亦會受理境外梅花卡之申請。</w:t>
      </w:r>
    </w:p>
    <w:p w:rsidR="0049577B" w:rsidRPr="00B40DC1" w:rsidRDefault="00525791" w:rsidP="00525791">
      <w:pPr>
        <w:spacing w:line="240" w:lineRule="auto"/>
        <w:ind w:leftChars="0" w:left="0" w:rightChars="0" w:right="0"/>
      </w:pPr>
      <w:r>
        <w:t xml:space="preserve">　　</w:t>
      </w:r>
      <w:r w:rsidR="0049577B" w:rsidRPr="00B40DC1">
        <w:t>內政部移民署移民事務組居留定居二科將申請梅花卡之案件彙集後，依梅花卡申請者之背景及屬性函詢各相關機關，各相關機關亦會回覆其專業意見。在</w:t>
      </w:r>
      <w:hyperlink r:id="rId306" w:history="1">
        <w:r w:rsidR="00CC30C7" w:rsidRPr="0059675B">
          <w:rPr>
            <w:rStyle w:val="a7"/>
            <w:rFonts w:cs="Times New Roman"/>
            <w:lang w:eastAsia="zh-TW" w:bidi="ar-SA"/>
          </w:rPr>
          <w:t>外國人申請永久居留案件審查基準</w:t>
        </w:r>
      </w:hyperlink>
      <w:r w:rsidR="0049577B" w:rsidRPr="00B40DC1">
        <w:t>修訂之初，審查基準之中，所列舉我國所需人才之要件，移民署移民事務組居留定居二科會先行函詢相關部會，而由各部會提出之。此外，梅花卡審查程序之法源，為</w:t>
      </w:r>
      <w:hyperlink r:id="rId307" w:history="1">
        <w:r w:rsidR="0049577B" w:rsidRPr="001A201D">
          <w:rPr>
            <w:rStyle w:val="a7"/>
            <w:rFonts w:cs="Times New Roman"/>
            <w:lang w:eastAsia="zh-TW" w:bidi="ar-SA"/>
          </w:rPr>
          <w:t>入出國及移民案件審查會設置要點</w:t>
        </w:r>
      </w:hyperlink>
      <w:r w:rsidR="0049577B" w:rsidRPr="00E6315D">
        <w:rPr>
          <w:rStyle w:val="af7"/>
          <w:rFonts w:eastAsia="新細明體"/>
          <w:sz w:val="20"/>
        </w:rPr>
        <w:footnoteReference w:id="421"/>
      </w:r>
      <w:r w:rsidR="0049577B" w:rsidRPr="00B40DC1">
        <w:t>，移民署移民事務組居留定居二科依據該要點舉辦（召開）梅花卡聯合審查會（簡稱聯審會）。為妥善利用公務資源及各機關冗長之函文過程，該審查會乃聯合其他機閞共同舉辦，故又名聯審會。聯審會中設置委員十五人至十九人，其中一人為召集人，由內政部常務次長兼任之，同時，並兼任召集人，召集人召集開會並擔任主席，其餘委員由內政部（移民署入出國事務組出入國管制科）遴聘各有關機關、單位主管以上人員及社會公正人士擔任委員；其中社會公正人士及任一性別委員，均不得少於委員總數三分之一。行政院公共工程委員會有一學者專家之名單，亦由其中遴聘相關專業委員。委員任期2年，期滿得續聘之，聘任會給予聘書。復次，本會置執行秘書一人，由移民署署長兼任，承召集人之命，處理日常事務；並置工作人員若干人，由移民署人員派兼之。</w:t>
      </w:r>
    </w:p>
    <w:p w:rsidR="0049577B" w:rsidRPr="00B40DC1" w:rsidRDefault="00525791" w:rsidP="00525791">
      <w:pPr>
        <w:spacing w:line="240" w:lineRule="auto"/>
        <w:ind w:leftChars="0" w:left="0" w:rightChars="0" w:right="0"/>
      </w:pPr>
      <w:r>
        <w:t xml:space="preserve">　　</w:t>
      </w:r>
      <w:r w:rsidR="0049577B" w:rsidRPr="00B40DC1">
        <w:t>依據入出國及移民案件審查會設置要點</w:t>
      </w:r>
      <w:hyperlink r:id="rId308" w:anchor="a9" w:history="1">
        <w:r w:rsidR="0049577B" w:rsidRPr="0019463D">
          <w:rPr>
            <w:rStyle w:val="a7"/>
            <w:rFonts w:cs="Times New Roman"/>
            <w:lang w:eastAsia="zh-TW" w:bidi="ar-SA"/>
          </w:rPr>
          <w:t>第9點</w:t>
        </w:r>
      </w:hyperlink>
      <w:r w:rsidR="0049577B" w:rsidRPr="00B40DC1">
        <w:t>之規定：「本會會議應有委員二分之一以上出席，始得開會。決議事項應有出席委員過半數之同意；可否同數時，取決於主席。」但現行梅花卡聯審會運作，均會尊重與會委員之意見，待與會全數委員均無異議，主席始裁示核准梅花卡個案之許可，若會中有委員持反對意見，若個案是因所提出之專業證明不夠有力，該個案將被保留並要求申請者補件，下次審查會再提出審查。另個案若因私人行為，例如先前對臺灣有不友善之言論等，則在聯查會中會被委員提出異議，主席亦會裁示駁回其梅花卡之申請。聯審會中委員之意見亦無一定量化標準，與會委員若認定申請梅花卡之個案不夠專業、年齡過大及出版之書籍對臺灣無貢獻等，該梅花卡之申請亦會被駁回。綜上，目前聯合審查會（簡稱聯審會）運作之客觀性與公平性，如與評點制相較，容有討論之空間。</w:t>
      </w:r>
    </w:p>
    <w:p w:rsidR="0049577B" w:rsidRPr="00B40DC1" w:rsidRDefault="00525791" w:rsidP="00525791">
      <w:pPr>
        <w:spacing w:line="240" w:lineRule="auto"/>
        <w:ind w:leftChars="0" w:left="0" w:rightChars="0" w:right="0"/>
      </w:pPr>
      <w:r>
        <w:t xml:space="preserve">　　</w:t>
      </w:r>
      <w:r w:rsidR="0049577B" w:rsidRPr="00B40DC1">
        <w:t>送件的流程是在服務站</w:t>
      </w:r>
      <w:r w:rsidR="0049577B" w:rsidRPr="00E6315D">
        <w:rPr>
          <w:rStyle w:val="af7"/>
          <w:rFonts w:eastAsia="新細明體"/>
          <w:sz w:val="20"/>
          <w:u w:val="single"/>
        </w:rPr>
        <w:footnoteReference w:id="422"/>
      </w:r>
      <w:r w:rsidR="0049577B" w:rsidRPr="00B40DC1">
        <w:t>送件後，該申請案件會送來署本部業務單位，要檢附的資料有申請表、基本資料、護照基資、檢附勞動部的相關許可、體檢表、相關得獎的證明文件等等，但申請梅花永久居留不一定要有聘僱許可，要有上述這些文件才能向服務站申請，服務站在受理時會作檢核，看申請人送來的文件是否完備，若申請者所送文件有缺件時，移民事務組會請申請者補件完畢後，我們就會發文給就申請人相關領域的各相關的部會，發文過去作函詢的動作，申請人有音樂領域的長才，在世界上具有專業背景，若申請人恰巧在臺灣又有從事教學的工作，我們就會函文給文化部及教育部，文化部是針對申請人音樂背景的審核，教育部是針對申請人專業背景的部份是否在臺灣有作傳承作審核，教育部對其專業背景認定是更有利的，所以我們就要多方去函詢，函詢後會依部會的意見會在審會中提出做審查。(A-3-2)</w:t>
      </w:r>
    </w:p>
    <w:p w:rsidR="0049577B" w:rsidRPr="00B40DC1" w:rsidRDefault="00525791" w:rsidP="00525791">
      <w:pPr>
        <w:spacing w:line="240" w:lineRule="auto"/>
        <w:ind w:leftChars="0" w:left="0" w:rightChars="0" w:right="0"/>
      </w:pPr>
      <w:r>
        <w:t xml:space="preserve">　　</w:t>
      </w:r>
      <w:r w:rsidR="0049577B" w:rsidRPr="00B40DC1">
        <w:t>等梅花卡申請人數到一定時會召開審查會，審查會大約每季都會召開，但也不能因為一季只有一、二個申請人就舉辦審查會，因為不符合辦審查會的成本，我們對於經費的支出要作控管，不過至少半年會辦審查會一次，會邀集各相關領域審查委員作申請，審查會的專業委員是經上級奉核後遴選，通常有一連串專業級名單，名單內有各專業領域的審查委員，由上級隨機作遴選，審查委員非久任制，且非封閉式審查，因為這會對申請人造成不利的影響。我們會主動邀請國內各領域的權威擔任審查委員，審查委員需要在該領域是權威，例如音樂領域的審查委員就不可能聘請單單在YAMAHA教音樂的鋼琴老師。經過審查會召開會請內政部長官作主持，審查會進行時會針對申請人資格作審查，審查委員有正反面意見均會提出，主席依據會議的決議決定申請人的申請是否通過，不能單就單一委員的意見就決定是否准予梅花卡，審查會召開審查委員有15個，審查委員會依部會回函的意見作依據作討論及審查，最後由主席作裁示。若審查委員有提出反對意見時，主席會裁示不予通過，或請申請人補足文件後下次審查會再議。(A-3-3)</w:t>
      </w:r>
    </w:p>
    <w:p w:rsidR="0049577B" w:rsidRPr="00B40DC1" w:rsidRDefault="00525791" w:rsidP="00525791">
      <w:pPr>
        <w:spacing w:line="240" w:lineRule="auto"/>
        <w:ind w:leftChars="0" w:left="0" w:rightChars="0" w:right="0"/>
      </w:pPr>
      <w:r>
        <w:t xml:space="preserve">　　</w:t>
      </w:r>
      <w:r w:rsidR="0049577B" w:rsidRPr="00B40DC1">
        <w:t>認定事實適用法律，專門性技術性在外國人方面要開審查會，審查會是採委員制，委員們對專技這區塊是否熟稔，那可不一定，委員類似陪審團，各部會像法官，例如申請者有時是光電方面的專業，但委員是社工背景、法律背景、...隨委員個人的判斷。(B-2-6)</w:t>
      </w:r>
    </w:p>
    <w:p w:rsidR="0049577B" w:rsidRPr="00B40DC1" w:rsidRDefault="00525791" w:rsidP="00525791">
      <w:pPr>
        <w:spacing w:line="240" w:lineRule="auto"/>
        <w:ind w:leftChars="0" w:left="0" w:rightChars="0" w:right="0"/>
      </w:pPr>
      <w:r>
        <w:t xml:space="preserve">　　</w:t>
      </w:r>
      <w:r w:rsidR="0049577B" w:rsidRPr="00B40DC1">
        <w:t>專技移民審核的標準以審查基準為主，審查會會過的一為教授，二為專技，少見的科技會過，像交通、運輸、電子之類的人才，但不見得每件都過，但實際上找真正這方面的專家來，有時候反而會同行相忌，有時找法律專才，不同法系，英美法、大陸法系，這個有時就會比較麻煩。(B-3-3)</w:t>
      </w:r>
    </w:p>
    <w:p w:rsidR="0049577B" w:rsidRPr="00B40DC1" w:rsidRDefault="00525791" w:rsidP="00525791">
      <w:pPr>
        <w:spacing w:line="240" w:lineRule="auto"/>
        <w:ind w:leftChars="0" w:left="0" w:rightChars="0" w:right="0"/>
      </w:pPr>
      <w:r>
        <w:t xml:space="preserve">　　</w:t>
      </w:r>
      <w:r w:rsidR="0049577B" w:rsidRPr="00B40DC1">
        <w:t>申請專技比較特別的個案讓人印象深刻的。有一個叫OOO，他是斐翠寶石的專家翹楚，他的作品被收錄在大陸故宮博物院，他的作品也被作為金鐘獎、金馬獎頒給貴賓的禮品，這個人申請了兩次專技梅花卡沒過關，因為他的前妻來告他，告他拿偽變造護照來台灣，他的前妻說他只是個礦工，他的作品是別人幫他作的，後來又被送辦，他申請梅花卡2次闖關都沒有成功，以上這個申請案件是有爭議的。這故事告訴我們，若有個人他真的很優秀，但他先前有不良的紀錄，那我們要不要他。(B-3-4)</w:t>
      </w:r>
    </w:p>
    <w:p w:rsidR="0049577B" w:rsidRPr="00B40DC1" w:rsidRDefault="00525791" w:rsidP="00525791">
      <w:pPr>
        <w:spacing w:line="240" w:lineRule="auto"/>
        <w:ind w:leftChars="0" w:left="0" w:rightChars="0" w:right="0"/>
      </w:pPr>
      <w:r>
        <w:t xml:space="preserve">　　</w:t>
      </w:r>
      <w:r w:rsidR="0049577B" w:rsidRPr="00B40DC1">
        <w:t>有些申請梅花卡沒過的，委員認定申請者專業還不夠，且不是我國所必需，還未到達那層次…優不優秀的認定很主觀，像我們就覺得該位申請者很專業。若從獎項來看，有些是全國、有些是全亞洲、有些是全球的，例如金曲獎和葛萊梅就不一樣，但它有一個區別。但諾貝爾拿出來就不用比了，因為得到諾貝爾獎就很優秀了，連委員都不一定能拿到諾貝爾獎了，這是最優秀的部分。…梅花卡申請有四道程序，只要政府機關都分四道程序，收件、審查、許可、發證。若不予許可就發給不予許可處分書，服務站是負責收件及初審，移民秘書也是收件及初審，初審就是分為四區塊，積極條件、消極條件、應備文件、申請程序。積極條件就是審查基準，消極條件就是不予許可事由，積極條件及消極條件怎麼作區隔，除了符合積極條件，那就是看良民證及健康檢查，積極條件及應備文件就無裁量權，但消極條件有裁量權，「得」不予，積極條件要看的是具有中華民國國籍是不能具有永久居留的，例如你有聯結車駕照你就不用來考自小客車駕照了。(B-3-5)</w:t>
      </w:r>
    </w:p>
    <w:p w:rsidR="0049577B" w:rsidRPr="00B40DC1" w:rsidRDefault="00525791" w:rsidP="00525791">
      <w:pPr>
        <w:spacing w:line="240" w:lineRule="auto"/>
        <w:ind w:leftChars="0" w:left="0" w:rightChars="0" w:right="0"/>
      </w:pPr>
      <w:r>
        <w:t xml:space="preserve">　　</w:t>
      </w:r>
      <w:r w:rsidR="0049577B" w:rsidRPr="00B40DC1">
        <w:t>審查委員會委員有十幾位，署裡當然委員有4位，外聘委員有11-12位，有些是相關部會的，有些是學者專家，委員要出席過半才能召開會，否則就流會了，設置要點查就有了。專業審查的部份是各部會負責，因為專業牽涉太廣的範圍了，專業審查的部份不是這些審查會的委員審，因為委員不可能都是這些方面的翹楚，審查會類似陪審團制，委員是一年一聘。(B-3-6)</w:t>
      </w:r>
    </w:p>
    <w:p w:rsidR="0049577B" w:rsidRPr="00B40DC1" w:rsidRDefault="00525791" w:rsidP="00525791">
      <w:pPr>
        <w:spacing w:line="240" w:lineRule="auto"/>
        <w:ind w:leftChars="0" w:left="0" w:rightChars="0" w:right="0"/>
      </w:pPr>
      <w:r>
        <w:t xml:space="preserve">　　</w:t>
      </w:r>
      <w:r w:rsidR="0049577B" w:rsidRPr="00B40DC1">
        <w:t>之前有位申請者是風帆教練，指導學生拿到不錯的成績，審查會時就有通過，不要說是與會的委員，在臺灣可能也沒幾個人會，但若要有這方面專家來當委員，不可能啦，因為開始聘請委員時，你也沒想到這方面人才會來申請，因為申請者專業的背景實在是太廣泛了，所以委員一年一聘在聘請時，不一定會聘請到這方面專業的委員，所以很難強求審查委員是這方面的專家。例如立法委員在立法的嘛，但不是每位立法委員都是學法律的，少之又少，這樣才是正確的，你說每位立法委員都是學法律的，那搞慘了。一開始就會聘請有文化、科技、藝術、法律、政治、經濟、文化、社會的背景的委員，這些都是較大眾的，帆船、潛水、光纖這些是小眾，真正來申請有些是奈米科技。委員制各有利弊，但各部會專業審，最優秀的科技人才一定在科技部嗎，最優秀的法律人才一定在法務部嗎，這不一定嗎，可能被私人公司挖走，基本上尊重各部會專業，因為他們是權責機關嘛，所以有時會被打槍。之前有個在O國文化中心的處長館長，促成很多協定，促成英國大咖人員來訪，但外交部回文他並未這麼優秀，因為他有仇視臺灣的言論，在台租房子沒付房租跟別人有訴訟，外交部書函打槍，署看來卻跟申請者提得資料申請差這麼多，後來經過幾番折騰，最後終於准了O國駐台大使，反對的委員沒來開會，後來文化部就不堅持了，就准了。</w:t>
      </w:r>
      <w:r w:rsidR="0049577B" w:rsidRPr="00B40DC1">
        <w:rPr>
          <w:rFonts w:cs="Cambria Math"/>
        </w:rPr>
        <w:t>△△</w:t>
      </w:r>
      <w:r w:rsidR="0049577B" w:rsidRPr="00B40DC1">
        <w:t>駐台官員駐台大使邀請了他們農業部部長和臺灣簽訂了農業協訂，外交部回答</w:t>
      </w:r>
      <w:r w:rsidR="0049577B" w:rsidRPr="00B40DC1">
        <w:rPr>
          <w:rFonts w:cs="Cambria Math"/>
        </w:rPr>
        <w:t>△△</w:t>
      </w:r>
      <w:r w:rsidR="0049577B" w:rsidRPr="00B40DC1">
        <w:t>農業部部長是外交部人員邀他來的，而不是他促成的，後來沒有准，這不是署的專業範疇，還是尊重各部會意見，特殊貢獻，雖說是你外交部邀他來的，但若駐臺大使反對，外交部你能邀請到農業部長來嗎?所以委員會是相對客觀的。(B-3-7)</w:t>
      </w:r>
    </w:p>
    <w:p w:rsidR="0049577B" w:rsidRPr="00B40DC1" w:rsidRDefault="00525791" w:rsidP="00525791">
      <w:pPr>
        <w:spacing w:line="240" w:lineRule="auto"/>
        <w:ind w:leftChars="0" w:left="0" w:rightChars="0" w:right="0"/>
      </w:pPr>
      <w:r>
        <w:t xml:space="preserve">　　</w:t>
      </w:r>
      <w:r w:rsidR="0049577B" w:rsidRPr="00B40DC1">
        <w:t>你所研究國外的專技移民，對專技移民定義能夠就是直接在那邊有永久居留在那邊工作，就我國的部份，就跟梅花比較像。梅花卡是民國98年才有啊，真正實行的時間。這要去看這個入出國及移民</w:t>
      </w:r>
      <w:r w:rsidR="00CC30C7" w:rsidRPr="00B40DC1">
        <w:t>法</w:t>
      </w:r>
      <w:hyperlink r:id="rId309" w:anchor="b25" w:history="1">
        <w:r w:rsidR="00CC30C7" w:rsidRPr="00966D02">
          <w:rPr>
            <w:rStyle w:val="a7"/>
            <w:rFonts w:cs="Times New Roman"/>
            <w:lang w:eastAsia="zh-TW" w:bidi="ar-SA"/>
          </w:rPr>
          <w:t>第25條</w:t>
        </w:r>
      </w:hyperlink>
      <w:r w:rsidR="0049577B" w:rsidRPr="00B40DC1">
        <w:t>到底這個是什麼時候修的。因為最早最早的梅花卡，只有針對投資移民，後來才併入專業人才跟特殊貢獻這兩樣。所以我們那個買公債是最早的梅花卡。後來這兩個就把它併在裡面，所以目前現在拿到梅花卡的人不多。(C-2-2)</w:t>
      </w:r>
    </w:p>
    <w:p w:rsidR="0049577B" w:rsidRPr="00B40DC1" w:rsidRDefault="00525791" w:rsidP="00525791">
      <w:pPr>
        <w:spacing w:line="240" w:lineRule="auto"/>
        <w:ind w:leftChars="0" w:left="0" w:rightChars="0" w:right="0"/>
      </w:pPr>
      <w:r>
        <w:t xml:space="preserve">　　</w:t>
      </w:r>
      <w:r w:rsidR="0049577B" w:rsidRPr="00B40DC1">
        <w:t>以我覺得梅花卡只是增加那個數字上好看，因為其他方面好像也不是很吸引人，沒有因為人是因為要拿梅花卡而來臺灣。然後我覺得目前拿梅花卡的比例上很多都是大學教授。專技的部份這些大學教授很多都是長期都已經在臺灣的學校任教了。但這有一個優勢就是說有吸收到類似同類的外國人才，…。所以拿梅花卡比較多都是大學的教授，我假設十個，可能會有三個，可能會有三成。梅花卡申請者的國籍都很平均。專技的這個部份其實蠻平均的，就是說美國、加拿大或者是日本，其實蠻平均的，韓國都有，其實蠻多國家都有。(C-2-4)</w:t>
      </w:r>
    </w:p>
    <w:p w:rsidR="0049577B" w:rsidRPr="00B40DC1" w:rsidRDefault="00525791" w:rsidP="00525791">
      <w:pPr>
        <w:spacing w:line="240" w:lineRule="auto"/>
        <w:ind w:leftChars="0" w:left="0" w:rightChars="0" w:right="0"/>
      </w:pPr>
      <w:r>
        <w:t xml:space="preserve">　　</w:t>
      </w:r>
      <w:r w:rsidR="0049577B" w:rsidRPr="00B40DC1">
        <w:t>梅花卡的申請者其實幾乎都是已經住在臺灣的。因為一個外國人他可能不知道這個管道，所以他不曉得怎麼申請，通常在臺灣熟了之後，他知道有這個管道，學校或者是他的服務單位或者是服務站，認識他了，然後就替他申請這個梅花卡。…我們審查委員會會去考慮說，他來臺灣，要對臺灣有貢獻，因為你是專技，但如果你來了是要退休，確實梅花卡是有這一種申請者。…審查委員之後還是考量他，他是不是有辦法把他的那個專門技術能夠應用在臺灣，那後來他有去當公司的顧問嘛，但是其實他拿到居留以後，他到底會不會繼續做就不知道，因為有的年紀蠻大的。(C-2-5)</w:t>
      </w:r>
    </w:p>
    <w:p w:rsidR="0049577B" w:rsidRPr="00B40DC1" w:rsidRDefault="00525791" w:rsidP="00525791">
      <w:pPr>
        <w:spacing w:line="240" w:lineRule="auto"/>
        <w:ind w:leftChars="0" w:left="0" w:rightChars="0" w:right="0"/>
      </w:pPr>
      <w:r>
        <w:t xml:space="preserve">　　</w:t>
      </w:r>
      <w:r w:rsidR="0049577B" w:rsidRPr="00B40DC1">
        <w:t>印度其實優秀人才很多來臺灣申請梅花卡的很多，審查過了的也很多，印度籍的申請者其實高科技、IT、學者的都有，像印度及日本的申請者還蠻多的。之前還有一些是在國外有出書，有一些真的是有特殊專長，他申請時會提出他那些證明。不過也有那種出書很多，他的內容對於臺灣好像沒什麼貢獻的，就被審查會駁回，最後沒通過。(C-2-6)</w:t>
      </w:r>
    </w:p>
    <w:p w:rsidR="0049577B" w:rsidRPr="00B40DC1" w:rsidRDefault="00525791" w:rsidP="00525791">
      <w:pPr>
        <w:spacing w:line="240" w:lineRule="auto"/>
        <w:ind w:leftChars="0" w:left="0" w:rightChars="0" w:right="0"/>
      </w:pPr>
      <w:r>
        <w:t xml:space="preserve">　　</w:t>
      </w:r>
      <w:r w:rsidR="0049577B" w:rsidRPr="00B40DC1">
        <w:t>這一個審查會的委員有15位，開會時至少要有一半要到會，過半到才有辦法開會，然後開完會會決議說有沒有通過，如果說委員有意見會提出來，大家看覺得這不適合就不會通過，就直接否決，然後有一些就是可能要再讓他去補充資料。….這個程序上會蠻複雜的，你不是說今天好我召開審查會，我後天就重新再辦一次，所以它的程序上我覺得有一點複雜，因為要召開審查會，審查會不是我說今天開就開，我還要打電話去問委員會不會來，那有些委員沒空，就要敲他們有空的時間，因為一個委員會兼很多職，他也不是專門的做這個啊。委員好像兩年一聘，委員有15位，裡面有包括署裡面3位當然委員，其實就是說怕流會的話，如果說其他委員不能到，就是變成說我們這3位當然委員一定要到。因為有時候要開會了，我今天一定要聯絡到委員們，要有一半以上的委員與會，不然真的沒有過半就辦不成了。還好所以到目前為止應該就沒有流會過。(C-2-7)</w:t>
      </w:r>
    </w:p>
    <w:p w:rsidR="0049577B" w:rsidRPr="00B40DC1" w:rsidRDefault="00525791" w:rsidP="00525791">
      <w:pPr>
        <w:spacing w:line="240" w:lineRule="auto"/>
        <w:ind w:leftChars="0" w:left="0" w:rightChars="0" w:right="0"/>
      </w:pPr>
      <w:r>
        <w:t xml:space="preserve">　　</w:t>
      </w:r>
      <w:r w:rsidR="0049577B" w:rsidRPr="00B40DC1">
        <w:t>審查會中依大家意見，如果說真的有意見，委員有意見就會提出來，那如果其中有人否決，主席就會裁示保留到下一次再請他補充資料。…我們好像幾乎沒有說審查會中有委員反對，然後就讓你過，還是會尊重委員的意見。(C-2-8)</w:t>
      </w:r>
    </w:p>
    <w:p w:rsidR="0049577B" w:rsidRPr="00B40DC1" w:rsidRDefault="00525791" w:rsidP="00525791">
      <w:pPr>
        <w:spacing w:line="240" w:lineRule="auto"/>
        <w:ind w:leftChars="0" w:left="0" w:rightChars="0" w:right="0"/>
      </w:pPr>
      <w:r>
        <w:t xml:space="preserve">　　</w:t>
      </w:r>
      <w:r w:rsidR="0049577B" w:rsidRPr="00B40DC1">
        <w:t>委員是我們另外一科管制科聘的啦，因為他是跟那個出國管制是同一個會共用的委員，所以這個委員部份我們就不是很清楚，我們通常都是由他們去聘選，遴選後提供名單給我們。入出國事務管制科，他們有一個入出境管制審查會，他們也是半年開一次，就是說外國人有沒有被限制入境，所以和梅花卡會有同樣的委員。委員是各方面的背景應該算都有，學者專家或者是民間的那個像有一些是協會的代表也有。就是各方面的有政府機關的也有。政府機關也有，官方民間都有。(C-2-9)</w:t>
      </w:r>
    </w:p>
    <w:p w:rsidR="0049577B" w:rsidRPr="00B40DC1" w:rsidRDefault="00525791" w:rsidP="00525791">
      <w:pPr>
        <w:spacing w:line="240" w:lineRule="auto"/>
        <w:ind w:leftChars="0" w:left="0" w:rightChars="0" w:right="0"/>
      </w:pPr>
      <w:r>
        <w:t xml:space="preserve">　　</w:t>
      </w:r>
      <w:r w:rsidR="0049577B" w:rsidRPr="00B40DC1">
        <w:t>就是說他是科技的，我們就會行文到相關單位，可能國科會，或者是相關單位請他們表示意見，其實他們表示意見，其實就已經占了一半的份量了，那委員只是說認不認同，所以這個部份在審查會召開前相關部會回函他們的意見，我們都是先提供給委員作參考。…有時候各機關回函的意見和申請人本來他自己交來的資料會有落差，有時看申請人送來的書面資料，我們會覺得這個人還不錯嘛，但等我們函文到各部會，結果他被各部會打槍打回來，那就算了，還寫的很難聽，寫的非常難聽，有的說什麼跟人家有糾紛，什麼敵視臺灣人，什麼負面的意見都有。(C-2-10)</w:t>
      </w:r>
    </w:p>
    <w:p w:rsidR="0049577B" w:rsidRPr="00B40DC1" w:rsidRDefault="00525791" w:rsidP="00525791">
      <w:pPr>
        <w:spacing w:line="240" w:lineRule="auto"/>
        <w:ind w:leftChars="0" w:left="0" w:rightChars="0" w:right="0"/>
      </w:pPr>
      <w:r>
        <w:t xml:space="preserve">　　</w:t>
      </w:r>
      <w:r w:rsidR="0049577B" w:rsidRPr="00B40DC1">
        <w:t>那有時候來提梅花卡申請的人，我們覺得根本就是沾不上邊的也有，但有人要來申請，我沒辦法過濾啊，你來申請，還是要給他送件，然後送去審查會審查就是不予許可啊，有幾個是這樣，然後也有那種後來去行文相關單位表示意見，反而是給他負面的意見也有。所以這個其實有一個淘汰機制，至少有這個審查會去幫你背書。(C-2-11)</w:t>
      </w:r>
    </w:p>
    <w:p w:rsidR="0049577B" w:rsidRPr="00B40DC1" w:rsidRDefault="00E6315D" w:rsidP="00525791">
      <w:pPr>
        <w:spacing w:line="240" w:lineRule="auto"/>
        <w:ind w:leftChars="0" w:left="0" w:rightChars="0" w:right="0"/>
      </w:pPr>
      <w:r>
        <w:t xml:space="preserve">　　</w:t>
      </w:r>
      <w:r w:rsidR="0049577B" w:rsidRPr="00B40DC1">
        <w:t>讓我印象比較深刻的案件，就是有一位中東國家人士，他要申請梅花卡，在送件過程中他是全程說他有專利，就是某某某什麼專利，那個專利都是很專業用語，然後獲得他們國家的專利，但他提出來證明的那些東西，他只是附一些大學的成績單或者是他的英檢成績，其實那個東西看起來就是覺得不太能夠在審查會中通過，但是他是宣稱說他有專利，那他專利就是外國的發的給他，然後請他去驗證，他又不願意。一般要翻譯成中文嘛，然後外館驗證，他又不願意，他又堅持要提，所以只好幫他提了。那提申請的時候，第一次委員就說他這個資料不夠明確，能不能再補強一些其他的。…第一次在審查會中就保留嘛，然後第二次請我們再去幫忙補強一些資料，那我們就去函查他的學校，還有他的服務的單位，結果學校的回函給他寫的很難聽，而且學校寫直接不建議給他通過梅花卡的申請，還說他在臺灣有危害，寫得很難聽，就寫說他在學校可能行為就已經有問題了，反而就是說不建議這一位給他梅花卡的永久居留，所以那時候審查會就沒有給他過了。其實那個審查會若沒通過就沒通過了，因為資料一亮出來就不通過了。(C-2-12)</w:t>
      </w:r>
    </w:p>
    <w:p w:rsidR="0049577B" w:rsidRPr="00B40DC1" w:rsidRDefault="00525791" w:rsidP="00525791">
      <w:pPr>
        <w:spacing w:line="240" w:lineRule="auto"/>
        <w:ind w:leftChars="0" w:left="0" w:rightChars="0" w:right="0"/>
      </w:pPr>
      <w:r>
        <w:t xml:space="preserve">　　</w:t>
      </w:r>
      <w:r w:rsidR="0049577B" w:rsidRPr="00B40DC1">
        <w:t>然後有一些是那種博士生，他一畢業後就想要拿自己博士班論文來申請，但這也是不會過的，因為你沒有實質上的著作，它只是畢業論文，有好幾個是用畢業論文來申請，那也沒過。…他對這個梅花卡的認知不夠，他以為說自己已經是博士了，那我有專技，我可能就是高科技人才，或者我專技人才，我屬於這一類的人才，所以他就來申請，但是他可能不知道說我們審查的機制還會去看你確實已經有做出來一些成就。他們以為說其中申請條件有一條說有著作嘛，那所以有一些就是以為說我有出書，很多是以為我有出書，我就可以申請並會順利拿到梅花卡，那有些書就是心靈哲學的書也有，那些申請人就沒過，所以審查會是會看啊。(C-2-13)</w:t>
      </w:r>
    </w:p>
    <w:p w:rsidR="0049577B" w:rsidRPr="00B40DC1" w:rsidRDefault="00525791" w:rsidP="00525791">
      <w:pPr>
        <w:spacing w:line="240" w:lineRule="auto"/>
        <w:ind w:leftChars="0" w:left="0" w:rightChars="0" w:right="0"/>
      </w:pPr>
      <w:r>
        <w:t xml:space="preserve">　　</w:t>
      </w:r>
      <w:r w:rsidR="0049577B" w:rsidRPr="00B40DC1">
        <w:t>然後審查會議通過的大概會有四分之一沒有通過，或者是五分之一未通過，或者是說會有保留，請他再補資料，再提到下一次的審查會。…審查會前就是要要發文給相關的單位提意見。如果他們的意見都回來了，就可以開審查會，如果說都沒回就是開不成。…這個審查會的委員名單一般就是保密，這樣比較公平，我們也不可能給外面人知道說是誰，因為有些人來會來拜託拜託。(C-3-1)</w:t>
      </w:r>
    </w:p>
    <w:p w:rsidR="0049577B" w:rsidRPr="00B40DC1" w:rsidRDefault="00525791" w:rsidP="00525791">
      <w:pPr>
        <w:spacing w:line="240" w:lineRule="auto"/>
        <w:ind w:leftChars="0" w:left="0" w:rightChars="0" w:right="0"/>
      </w:pPr>
      <w:r>
        <w:t xml:space="preserve">　　</w:t>
      </w:r>
      <w:r w:rsidR="0049577B" w:rsidRPr="00B40DC1">
        <w:t>可能又有一些委員會認為梅花卡是很神聖的，所以有些委員會很嚴格，他會覺得說，不能輕易地通過梅花卡，這樣人的不能給他。那其實實際上梅花卡就是永久居留，如果這個外國人拿不到沒關係，我就等個5年，我就拿到一般永久居留了，所以梅花卡這個數字就更少了。…像以前有一個申請者是外國律師，那通常有一些國家是律師執照很難拿到，結果那一次他沒有過，我心裡就想說連這樣的人都沒有過了，因為就是可能審查會委員有的意見，有委員認為說律師有什麼了不起，但其實在臺灣律師是比較好拿，在外國有的國家是很難拿到那個律師執照的，就是說你要去看看那國家是不是很難拿到，所以後來就沒過啊，我們覺得很可惜，其實我們在看會覺得很可惜，但還是要尊重委員的意見。(C-5-2)</w:t>
      </w:r>
    </w:p>
    <w:p w:rsidR="0049577B" w:rsidRPr="00B40DC1" w:rsidRDefault="00525791" w:rsidP="00525791">
      <w:pPr>
        <w:spacing w:line="240" w:lineRule="auto"/>
        <w:ind w:leftChars="0" w:left="0" w:rightChars="0" w:right="0"/>
      </w:pPr>
      <w:r>
        <w:t xml:space="preserve">　　</w:t>
      </w:r>
      <w:r w:rsidR="0049577B" w:rsidRPr="00B40DC1">
        <w:t>目前專技的部份比較相關的就是就業PASS卡及梅花卡。給他梅花卡的意義到底在哪裡，我們講白的，是給他永久居留，但給他永久居留一定要給他梅花卡嗎?那也不一定，他可以申請一般的永久居留證。(D-3-4)</w:t>
      </w:r>
    </w:p>
    <w:p w:rsidR="0049577B" w:rsidRPr="00B40DC1" w:rsidRDefault="00525791" w:rsidP="00525791">
      <w:pPr>
        <w:spacing w:line="240" w:lineRule="auto"/>
        <w:ind w:leftChars="0" w:left="0" w:rightChars="0" w:right="0"/>
      </w:pPr>
      <w:r>
        <w:t xml:space="preserve">　　</w:t>
      </w:r>
      <w:r w:rsidR="0049577B" w:rsidRPr="00B40DC1">
        <w:t>目前申請梅花卡是由「聯合審查會」來審查，移民署舉辦的聯審會很多，有時審一兩百個案子，比如說最常召開的是大陸地區人民具有一些黨政軍背景要來臺灣的，那個要開聯合審查會，看定居審查會還是永久居留審查會，所謂聯合是指聯合各部會機關，還有一些是大陸地區人民也有專業人士及商務人士也要經過審查會，就像大陸有些作家要來臺灣參訪一些文化的作品之類的，臺灣的一些單位邀請他來的話，那個作家就要提出他的著作出來，那誰審就文化部審，我們移民署就會把相關部會找來說，這個作家要來嘍，文化部這些有沒有意見?陸委會有沒有意見?國安局有沒有意見?好沒有意見，那通過。(D-3-7)</w:t>
      </w:r>
    </w:p>
    <w:p w:rsidR="0049577B" w:rsidRPr="00B40DC1" w:rsidRDefault="00525791" w:rsidP="00525791">
      <w:pPr>
        <w:spacing w:line="240" w:lineRule="auto"/>
        <w:ind w:leftChars="0" w:left="0" w:rightChars="0" w:right="0"/>
      </w:pPr>
      <w:r>
        <w:t xml:space="preserve">　　</w:t>
      </w:r>
      <w:r w:rsidR="0049577B" w:rsidRPr="00B40DC1">
        <w:t>梅花卡也是有它自己的聯合審查會，也是要看申請人是哪一種專技，看會涉及到哪個部會，移民署也是會把相關單位通通找來開會，OK的話就給他梅花卡。我們一般來講那叫做聯審機制，聯合審查機制。這機制倒不是委員制，所謂的委員制是委員是固定的，你某某某就是委員，每次開會你都要來，這就是委員制，可是這審查是請他們機關派人來就好了。這個來的人是怎樣層級，我們一概不管，反正我們要審查這個案子，你們要派人來，他們來的可能是一個科長或是專門委員之類的，會有人來，但不是委員制，委員制是比較固定的，所以我們都叫它機關聯合審查。(D-3-8)</w:t>
      </w:r>
    </w:p>
    <w:p w:rsidR="0049577B" w:rsidRPr="00B40DC1" w:rsidRDefault="00525791" w:rsidP="00525791">
      <w:pPr>
        <w:spacing w:line="240" w:lineRule="auto"/>
        <w:ind w:leftChars="0" w:left="0" w:rightChars="0" w:right="0"/>
      </w:pPr>
      <w:r>
        <w:t xml:space="preserve">　　</w:t>
      </w:r>
      <w:r w:rsidR="0049577B" w:rsidRPr="00B40DC1">
        <w:t>目前移民署很多科都有聯審會，居留科有居留科的聯審會，停留科有停留科的聯審會，有很多案子在進行，很多案子審查都是跨部會型的，不能你移民署說得算，每個案件函文來函文去很麻煩，當這些案子累積到一定的量時，就會開聯審會，現在也不是說累積到一定的量，現在都蠻快的，尤其是大陸人士及港澳人士的定居，定居通過後就要給他身份證了，所以會特別謹慎。(D-3-11)</w:t>
      </w:r>
    </w:p>
    <w:p w:rsidR="0049577B" w:rsidRPr="00B40DC1" w:rsidRDefault="00525791" w:rsidP="00525791">
      <w:pPr>
        <w:spacing w:line="240" w:lineRule="auto"/>
        <w:ind w:leftChars="0" w:left="0" w:rightChars="0" w:right="0"/>
      </w:pPr>
      <w:r>
        <w:t xml:space="preserve">　　</w:t>
      </w:r>
      <w:r w:rsidR="0049577B" w:rsidRPr="00B40DC1">
        <w:t>梅花卡那個部份移民事務組在審那個區塊，我們署大概也是一個窗口，你來送永久居留證，然後我們署開審查會來審，我們大概是這個區塊。然後因為我以前在綜計科當科長，國發會以前叫經建會啊，國發會在大概98、99年的時候，你應該知道他有在推三卡，就是學商卡、梅花卡，還有一個叫就業PASS卡。就是國發會一直有那個企圖心想去整合，就是針對所謂專技這個，就是他也沒有特別啦，他其實主要是要吸引外籍優秀人才的一個方案，就是有一個三卡的方案。(E-3-1)</w:t>
      </w:r>
    </w:p>
    <w:p w:rsidR="0049577B" w:rsidRPr="00B40DC1" w:rsidRDefault="00525791" w:rsidP="00525791">
      <w:pPr>
        <w:spacing w:line="240" w:lineRule="auto"/>
        <w:ind w:leftChars="0" w:left="0" w:rightChars="0" w:right="0"/>
      </w:pPr>
      <w:r>
        <w:t xml:space="preserve">　　</w:t>
      </w:r>
      <w:r w:rsidR="0049577B" w:rsidRPr="00B40DC1">
        <w:t>我國目前這個梅花卡的永久居留的制度是聯審會審查的制度這樣子，那也算是一個個案的審查啦，就是先函文給各相關的部會，然後相關的部會回文。然後在聯審會召開，再來看出席委員有沒有什麼意見，那如果有意見就是說，請他補件，那如果沒有意見就是給他梅花卡。算是一個聯審會一個審查的制度。(E-3-7)</w:t>
      </w:r>
    </w:p>
    <w:p w:rsidR="0049577B" w:rsidRPr="00B40DC1" w:rsidRDefault="00525791" w:rsidP="00525791">
      <w:pPr>
        <w:spacing w:line="240" w:lineRule="auto"/>
        <w:ind w:leftChars="0" w:left="0" w:rightChars="0" w:right="0"/>
      </w:pPr>
      <w:r>
        <w:t xml:space="preserve">　　</w:t>
      </w:r>
      <w:r w:rsidR="0049577B" w:rsidRPr="00B40DC1">
        <w:t>這些審查基準提到的這一些，比如說什麼專技，這些可能就是理想中專技移民的條件，這是我們移民事務組在審查，它有一個審查會。那就我所知我們移民署因為我們的業管的範圍針對這個區塊，我們對有關這些專業人才，他的專業能力的認定，我們沒有辦法去認定，所以現在，現行他就是一個審查會，它可能比如說像提到什麼新興工業專業技術這些，它可能就是可能經濟部的工業局啊…。然後我們大概就是相關部會認為說他符合這個資格了，然後聯審會就是通過我們就是會發永久居留證。(E-5-6)</w:t>
      </w:r>
    </w:p>
    <w:p w:rsidR="0049577B" w:rsidRPr="00B40DC1" w:rsidRDefault="00525791" w:rsidP="00525791">
      <w:pPr>
        <w:spacing w:line="240" w:lineRule="auto"/>
        <w:ind w:leftChars="0" w:left="0" w:rightChars="0" w:right="0"/>
      </w:pPr>
      <w:r>
        <w:t xml:space="preserve">　　</w:t>
      </w:r>
      <w:r w:rsidR="0049577B" w:rsidRPr="00B40DC1">
        <w:t>那目前梅花卡的它的一個遴選方式，是聯審會在審查的。梅花卡的母法第25條第3項，就是這個，它有一個審查基準。我國在採用聯審會這個機制的優點就是它很彈性啊，聯審會第一個就很有彈性嘛，它可以找公正人事來審嘛，而且經濟實惠啊，你不用另外再設計一套評點制啊。因為我們根本現在不知道我們什麼行業需要什麼樣的人，需要多少人。那只好用這個啊，而且這個人數也不多嘛…。(F-3-5)</w:t>
      </w:r>
    </w:p>
    <w:p w:rsidR="0049577B" w:rsidRPr="00B40DC1" w:rsidRDefault="00525791" w:rsidP="00525791">
      <w:pPr>
        <w:spacing w:line="240" w:lineRule="auto"/>
        <w:ind w:leftChars="0" w:left="0" w:rightChars="0" w:right="0"/>
      </w:pPr>
      <w:r>
        <w:t xml:space="preserve">　　</w:t>
      </w:r>
      <w:r w:rsidR="0049577B" w:rsidRPr="00B40DC1">
        <w:t>我們審梅花卡是叫做這個入出國及移民案件審查會。其實它要審的不只是梅花卡，外國人要強制出境的也有啦。那個管制案件也有啦。然後不予許可，就是不讓他入境的案件也有啦，你看</w:t>
      </w:r>
      <w:r w:rsidR="0049577B" w:rsidRPr="00CC30C7">
        <w:rPr>
          <w:bCs/>
          <w:iCs/>
        </w:rPr>
        <w:t>移民法</w:t>
      </w:r>
      <w:hyperlink r:id="rId310" w:anchor="b88" w:history="1">
        <w:r w:rsidR="0049577B" w:rsidRPr="00CC30C7">
          <w:rPr>
            <w:rStyle w:val="a7"/>
            <w:rFonts w:cs="Times New Roman"/>
            <w:lang w:eastAsia="zh-TW" w:bidi="ar-SA"/>
          </w:rPr>
          <w:t>第88條</w:t>
        </w:r>
      </w:hyperlink>
      <w:r w:rsidR="0049577B" w:rsidRPr="00B40DC1">
        <w:t>你就知道了。這個聯審會有很多功能。我們運作的情形是這樣，我們因為不定期開會，我們會把案件累積一個量，就看這一次要審的是，它有高級專業人才的，我們就會根據他的專業，我們去請國內相關的部會還有人出席這個會來審查他的專業。當然不是說現場來審，我們的會議資料就先給他，那有一些比如說他在哪邊有學術成就的，我們就會給教育部，請教育部去審，那他們會在審查會上講他們的意見。那相關部會會派人來開會，那也有固定的委員，可是會出席的，他當天會不會出席就不一定。固定的委員是兩年一聘，我們會找各相關領域的專家學者啦，因為不是我們這一組在聘的，管制科在聘。這個入出國案件審查會設置要點是他們弄的，所以他們要聘。有一次我們審一個機師就是開飛機的，我們就會請交通部民航局先請他書面審，然後開會要到場表示意見。(F-3-6)</w:t>
      </w:r>
    </w:p>
    <w:p w:rsidR="0049577B" w:rsidRPr="00B40DC1" w:rsidRDefault="00525791" w:rsidP="00525791">
      <w:pPr>
        <w:spacing w:line="240" w:lineRule="auto"/>
        <w:ind w:leftChars="0" w:left="0" w:rightChars="0" w:right="0"/>
      </w:pPr>
      <w:r>
        <w:t xml:space="preserve">　　</w:t>
      </w:r>
      <w:r w:rsidR="0049577B" w:rsidRPr="00B40DC1">
        <w:t>你剛問的那會不會有情形說，其實有時候不知道今年會有什麼樣的專技的人才來審查，不一定會剛好聘到這個方面的委員，其實那沒關係啊，我們這些各部會總是會有一個會定得到啦，科技部也可以啊，我們看什麼樣的人申請，我們就會發文給他們，請他們先書面審查。各部會會來列席來開會，但他們不是委員。委員大概會有15-19個啦，是管制科在聘的。我們內政部的常務次長是主席啦。(F-3-7)</w:t>
      </w:r>
    </w:p>
    <w:p w:rsidR="0049577B" w:rsidRPr="00B40DC1" w:rsidRDefault="00525791" w:rsidP="00525791">
      <w:pPr>
        <w:spacing w:line="240" w:lineRule="auto"/>
        <w:ind w:leftChars="0" w:left="0" w:rightChars="0" w:right="0"/>
      </w:pPr>
      <w:r>
        <w:t xml:space="preserve">　　</w:t>
      </w:r>
      <w:r w:rsidR="0049577B" w:rsidRPr="00B40DC1">
        <w:t>專技移民的審查標準，原則上當時考量的其實很多啊，這個資料可以去參考。我們有一個作業要點裡面的專技，它是屬於哪一類的，還是屬於我們想要的，這個當時在做專技的類別區隔的時候，其實有許多，除了經建會、勞動部，還有教育部各相關部會，他們都有參與提供他們認為他們在他們部會所管的這些所需要的人才，都會放到這個裡面來。所以當時在審查的時候是有各部會來討論這個機制，看有哪些人要放到屬於，可以直接放到專技移民，就是不用經過居留的這個部份，是有哪些類別是由各部會提供的。(G-3-1)</w:t>
      </w:r>
    </w:p>
    <w:p w:rsidR="0049577B" w:rsidRPr="00B40DC1" w:rsidRDefault="00525791" w:rsidP="00525791">
      <w:pPr>
        <w:spacing w:line="240" w:lineRule="auto"/>
        <w:ind w:leftChars="0" w:left="0" w:rightChars="0" w:right="0"/>
      </w:pPr>
      <w:r>
        <w:t xml:space="preserve">　　</w:t>
      </w:r>
      <w:r w:rsidR="0049577B" w:rsidRPr="00B40DC1">
        <w:t>我們這一份裡面所提的，當時就是考量跟一般白領的一個區隔，所以在這裡面，當時在各部會討論的時候，就是主要是要跟這個白領做區隔開，因為白領原則上他一樣要居留，居留到一定程度才能夠拿到永久居留，那這些專技是經過審查許可，他就可以直接得到永久居留了，所以是不一樣了。所以專技跟白領其實還是有區隔，就是當時為了延攬這些人才，不要讓他經過這麼長一段時間才可以拿到永久居留，讓他一進來，我就可以馬上發給你永久居留，就是審查後就發給你，那你可以在臺灣永久居留，可以對臺灣多少做一些貢獻，這是最大的一個區隔。(G-3-2)</w:t>
      </w:r>
    </w:p>
    <w:p w:rsidR="0049577B" w:rsidRPr="00B40DC1" w:rsidRDefault="00525791" w:rsidP="00525791">
      <w:pPr>
        <w:spacing w:line="240" w:lineRule="auto"/>
        <w:ind w:leftChars="0" w:left="0" w:rightChars="0" w:right="0"/>
      </w:pPr>
      <w:r>
        <w:t xml:space="preserve">　　</w:t>
      </w:r>
      <w:r w:rsidR="0049577B" w:rsidRPr="00B40DC1">
        <w:t>你提到國外有一套機制，他找好他要的專技進來國內，然後就直接給專技人才永久居留，所以對照成我們國家的話，目前比較像這一塊的是梅花卡。我們這個部份就是只有梅花卡，就是進來審查就可以給他了，就不用再經過那麼冗長的時間的居留，那個就是這個制度而已。(G-3-3)</w:t>
      </w:r>
    </w:p>
    <w:p w:rsidR="0049577B" w:rsidRPr="00B40DC1" w:rsidRDefault="00525791" w:rsidP="00525791">
      <w:pPr>
        <w:spacing w:line="240" w:lineRule="auto"/>
        <w:ind w:leftChars="0" w:left="0" w:rightChars="0" w:right="0"/>
      </w:pPr>
      <w:r>
        <w:t xml:space="preserve">　　</w:t>
      </w:r>
      <w:r w:rsidR="0049577B" w:rsidRPr="00B40DC1">
        <w:t>梅花卡在審查上，就是遴選他哪些人可以適用，其實就是剛剛講的嘛，這個機制裡面的這個需求標準都是由各部會提供來的，所以我們就會看這個部會，這個來的申請者是歸哪一類，我們就請哪一個部會去提供這一方面的建議。就比如說他是屬於在學術領域的，我們都請教育部提供意見，科技領域的我們當然會，比如說他是新竹科技園區，我都會送給新竹科學園區，還有經濟部相關部會去提供意見，你認為這個人是不是可以建議他，是不是可以視為我國所需的這個高級專業人才，如果是屬於我國所需的高級專業人才，原則上回來之後就開審查會，審查會同意就會給他永久居留，這就是所謂的一個遴選，遴選是由各部會去表示的意見。(G-3-4)</w:t>
      </w:r>
    </w:p>
    <w:p w:rsidR="0049577B" w:rsidRPr="00B40DC1" w:rsidRDefault="00525791" w:rsidP="00525791">
      <w:pPr>
        <w:spacing w:line="240" w:lineRule="auto"/>
        <w:ind w:leftChars="0" w:left="0" w:rightChars="0" w:right="0"/>
      </w:pPr>
      <w:r>
        <w:t xml:space="preserve">　　</w:t>
      </w:r>
      <w:r w:rsidR="0049577B" w:rsidRPr="00B40DC1">
        <w:t>梅花卡會召開審查會，原則上就是服務站他們受理案件啊，原則上先收件，收件後會轉到移民事務組來，那移民事務承辦人，當然原則上就會先看案件的這個相關的資料細節，然後看分類，需要哪一些機關來做，請那些機關來做審查的，就是初步的，這個我們其實就要給各機關做一個概略的一個審查，提供這個是不是我國所需的專業人才，如果在初步的審查OK了，不管他有沒有表示什麼意見，或者認為不是，我們都納到審查會來審查，那由審查會委員來認定，但是委員也都是由這些各部會跟這些專家學者組成的，這個部會裡面其實都包含到那個投審會，還有相關的什麼科技領域的專長的來擔任委員。(G-3-5)</w:t>
      </w:r>
    </w:p>
    <w:p w:rsidR="0049577B" w:rsidRPr="00B40DC1" w:rsidRDefault="00525791" w:rsidP="00525791">
      <w:pPr>
        <w:spacing w:line="240" w:lineRule="auto"/>
        <w:ind w:leftChars="0" w:left="0" w:rightChars="0" w:right="0"/>
      </w:pPr>
      <w:r>
        <w:t xml:space="preserve">　　</w:t>
      </w:r>
      <w:r w:rsidR="0049577B" w:rsidRPr="00B40DC1">
        <w:t>目前審查委員的遴聘，約有10幾個。這裡面有分委員，委員有機關代表，然後有每個領域的專業人士，然後各部會就是表示意見的各部會，這個才是屬於列席的。比如說這個他在新興工業，那我就請這個相關機關，那這個機關要表示意見，我們要請他來列席的，是這個意思，就是這個案子剛好卡到這個部會有請他來列席。委員通常是兩年一聘。委員有些固定的就是所謂機關代表啦，機關代表就是固定幾個機關嘛，機關代表原則上當時考量就是有關什麼勞動啊，然後投資的啊跟經建幾個部會有關的幾個主管機關應該是屬於固定的，就是屬於在這一方面專才，就是一個社會公證人士啦，一般正確名稱叫社會公證人士，因為是有特殊貢獻人士跟機關代表。另外列席的就是，比如說看他是申請哪一個部會。(G-3-6)</w:t>
      </w:r>
    </w:p>
    <w:p w:rsidR="0049577B" w:rsidRPr="00B40DC1" w:rsidRDefault="00525791" w:rsidP="00525791">
      <w:pPr>
        <w:spacing w:line="240" w:lineRule="auto"/>
        <w:ind w:leftChars="0" w:left="0" w:rightChars="0" w:right="0"/>
      </w:pPr>
      <w:r>
        <w:t xml:space="preserve">　　</w:t>
      </w:r>
      <w:r w:rsidR="0049577B" w:rsidRPr="00B40DC1">
        <w:t>審查會在召開的狀況，是會讓委員來表示意見，但這個原則上當然一定是先每個委員表示意見完之後，有異議會請列席的代表再補充說明，他們除了說明之外，還會請他補充說明。然後過與不過，准或駁是由會議上決議。那有爭議的就繼續審查，原則上就是委員都認為，應該就是每一個都認為，就是沒有疑慮的、沒有爭議的，應該是委員大家都認同，這個就會給他梅花卡。(G-3-7)</w:t>
      </w:r>
    </w:p>
    <w:p w:rsidR="0049577B" w:rsidRPr="00B40DC1" w:rsidRDefault="00525791" w:rsidP="00525791">
      <w:pPr>
        <w:spacing w:line="240" w:lineRule="auto"/>
        <w:ind w:leftChars="0" w:left="0" w:rightChars="0" w:right="0"/>
      </w:pPr>
      <w:r>
        <w:t xml:space="preserve">　　</w:t>
      </w:r>
      <w:r w:rsidR="0049577B" w:rsidRPr="00B40DC1">
        <w:t>審查制的運作是這樣子，像我們審查這個梅花卡的話，我們會有定期或不定期的會，因為我們目的是要發給他居留證，等於說讓他進來…。所以我們移民署的話，就是變成是我們在發證的雖然是末端，目的就是他是一個優秀的人才嘛，要讓他留下來，…我們就會找各個領域我們相關的主管的部會來開那個會議，定期或不定期的會議。在審查會開完之後呢，那大家都OK沒有意見了，那我們這邊就會發梅花卡。因為他當初像他來申請永久居留的時候，比如說他這個相關的應備的文件，比如說有沒有什麼推薦的文件，比如說有教育部的或者經濟部的，或者是僑委會推薦的文件啊，他把相關書面的文件送來之後，然後我們就會發開會通知單給各個相關的部會的代表，然後把這些他所準備的這些文件攤開來討論。我們這個審查機制，其實在還沒有梅花卡之前就有了，開始就是一些比如說一般比較多的案件，就是說他在臺灣要居留幾年以上，像這種的話我們要去算他有沒有符合在臺灣居留的天數啊…，然後還有就是說沒有犯罪的證明，沒有犯罪的記錄啊，還有你的健康檢查啊。(H-3-10)</w:t>
      </w:r>
    </w:p>
    <w:p w:rsidR="0049577B" w:rsidRPr="00B40DC1" w:rsidRDefault="00525791" w:rsidP="00525791">
      <w:pPr>
        <w:spacing w:line="240" w:lineRule="auto"/>
        <w:ind w:leftChars="0" w:left="0" w:rightChars="0" w:right="0"/>
      </w:pPr>
      <w:r>
        <w:t xml:space="preserve">　　</w:t>
      </w:r>
      <w:r w:rsidR="0049577B" w:rsidRPr="00B40DC1">
        <w:t>聯審會聘請委員的話，我們都有固定的委員。我記得有外聘委員，我記得也有任期制，兩年一聘，約有15位，有包括我們部會的代表，也有包括外聘的嘛，我們有內派的跟外聘的。這個委員聘請是這樣，等於說我們各單位就所需要的，比如說需要是學界方面的或經濟方面的，就是我們需要他有這方面背景的，又因為我們有一個資料庫，這個是行政院公共工程委員會它有一個學者專家的名單。學者專家的話，那你只要我們看各個業務單位的需求，比如說我們剛剛講的那個經濟的，等於說只要我們下一個條件，然後電腦就可以篩選出來說他是有財經背景的人，然後他出來的學者，我們就在裡面去找這樣，然後再來遴聘的，就會給他聘書啊，因為它這個兩年的時間長，我們會給他聘書啊。(H-3-11)</w:t>
      </w:r>
    </w:p>
    <w:p w:rsidR="0049577B" w:rsidRPr="00B40DC1" w:rsidRDefault="00321574" w:rsidP="00321574">
      <w:pPr>
        <w:spacing w:line="240" w:lineRule="auto"/>
        <w:ind w:leftChars="0" w:left="0" w:rightChars="0" w:right="0"/>
        <w:jc w:val="right"/>
      </w:pPr>
      <w:r w:rsidRPr="00D45AD2">
        <w:rPr>
          <w:rFonts w:hint="eastAsia"/>
          <w:sz w:val="22"/>
        </w:rPr>
        <w:t>。。。。。。。。。。。。。。</w:t>
      </w:r>
      <w:hyperlink w:anchor="a3b4" w:history="1">
        <w:r w:rsidR="00E43C92" w:rsidRPr="00E43C92">
          <w:rPr>
            <w:rStyle w:val="a7"/>
            <w:sz w:val="22"/>
            <w:szCs w:val="22"/>
            <w:lang w:eastAsia="zh-TW"/>
          </w:rPr>
          <w:t>回本章</w:t>
        </w:r>
      </w:hyperlink>
      <w:r w:rsidR="00E43C92"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525791" w:rsidRDefault="0049577B" w:rsidP="00525791">
      <w:pPr>
        <w:pStyle w:val="3"/>
        <w:rPr>
          <w:lang w:eastAsia="zh-TW"/>
        </w:rPr>
      </w:pPr>
      <w:bookmarkStart w:id="79" w:name="_三、我國吸引技術移民之優勢"/>
      <w:bookmarkEnd w:id="79"/>
      <w:r w:rsidRPr="00525791">
        <w:rPr>
          <w:lang w:eastAsia="zh-TW"/>
        </w:rPr>
        <w:t>三、我國吸引技術移民之優勢</w:t>
      </w:r>
    </w:p>
    <w:p w:rsidR="0049577B" w:rsidRPr="00525791" w:rsidRDefault="00525791" w:rsidP="00E6315D">
      <w:pPr>
        <w:spacing w:line="240" w:lineRule="auto"/>
        <w:ind w:leftChars="0" w:left="0" w:rightChars="0" w:right="0"/>
      </w:pPr>
      <w:r>
        <w:t xml:space="preserve">　　</w:t>
      </w:r>
      <w:r w:rsidR="0049577B" w:rsidRPr="00525791">
        <w:t>(一)環境之優勢</w:t>
      </w:r>
    </w:p>
    <w:p w:rsidR="0049577B" w:rsidRPr="00B40DC1" w:rsidRDefault="00525791" w:rsidP="00E6315D">
      <w:pPr>
        <w:spacing w:line="240" w:lineRule="auto"/>
        <w:ind w:leftChars="0" w:left="0" w:rightChars="0" w:right="0"/>
      </w:pPr>
      <w:r>
        <w:t xml:space="preserve">　　</w:t>
      </w:r>
      <w:r w:rsidR="0049577B" w:rsidRPr="00B40DC1">
        <w:t>部分受訪者認為，我國在環境上優勢，乃在於台灣國是一個友善之國家，富有人情味，雖然目前我國面臨嚴重之人口老化，但有受訪者認為危機乃是轉機，可藉此時機吸引優秀外國技術移民進入我國。</w:t>
      </w:r>
    </w:p>
    <w:p w:rsidR="0049577B" w:rsidRPr="00B40DC1" w:rsidRDefault="00525791" w:rsidP="00E6315D">
      <w:pPr>
        <w:spacing w:line="240" w:lineRule="auto"/>
        <w:ind w:leftChars="0" w:left="0" w:rightChars="0" w:right="0"/>
      </w:pPr>
      <w:r>
        <w:t xml:space="preserve">　　</w:t>
      </w:r>
      <w:r w:rsidR="0049577B" w:rsidRPr="00B40DC1">
        <w:t>我國是一個友善且適合居住的國家，在臺灣的外國人現在也很多，專業人才世界都在招攬。(A-4-1)</w:t>
      </w:r>
    </w:p>
    <w:p w:rsidR="0049577B" w:rsidRPr="00B40DC1" w:rsidRDefault="00525791" w:rsidP="00E6315D">
      <w:pPr>
        <w:spacing w:line="240" w:lineRule="auto"/>
        <w:ind w:leftChars="0" w:left="0" w:rightChars="0" w:right="0"/>
      </w:pPr>
      <w:r>
        <w:t xml:space="preserve">　　</w:t>
      </w:r>
      <w:r w:rsidR="0049577B" w:rsidRPr="00B40DC1">
        <w:t>我國文化融合且很友善，在國際上是個優勢可提高競爭力。(A-4-2)</w:t>
      </w:r>
    </w:p>
    <w:p w:rsidR="0049577B" w:rsidRPr="00B40DC1" w:rsidRDefault="00525791" w:rsidP="00E6315D">
      <w:pPr>
        <w:spacing w:line="240" w:lineRule="auto"/>
        <w:ind w:leftChars="0" w:left="0" w:rightChars="0" w:right="0"/>
      </w:pPr>
      <w:r>
        <w:t xml:space="preserve">　　</w:t>
      </w:r>
      <w:r w:rsidR="0049577B" w:rsidRPr="00B40DC1">
        <w:t>還有個優勢是我覺得我們比較吸引人的是健保，還有臺灣的那種人情味，因為我們薪水好像沒有比人家的多。(C-4-1)</w:t>
      </w:r>
    </w:p>
    <w:p w:rsidR="0049577B" w:rsidRPr="00B40DC1" w:rsidRDefault="00525791" w:rsidP="00E6315D">
      <w:pPr>
        <w:spacing w:line="240" w:lineRule="auto"/>
        <w:ind w:leftChars="0" w:left="0" w:rightChars="0" w:right="0"/>
      </w:pPr>
      <w:r>
        <w:t xml:space="preserve">　　</w:t>
      </w:r>
      <w:r w:rsidR="0049577B" w:rsidRPr="00B40DC1">
        <w:t>現在其實臺灣有一個很嚴重的問題，當然我們署的層級太低，有一個很嚴重的問題就是人口老化，然後大家都不生育，現在出生率很低，搞不好已經是負成長了。然後我想到的優勢，就是這一個區塊就是因為人口老化，出生率很低，所以唯一的優勢是如果，如果政府去正視這個問題，然後可以去針對你要探討這個區塊去琢磨。(E-4-1)</w:t>
      </w:r>
    </w:p>
    <w:p w:rsidR="0049577B" w:rsidRPr="00E6315D" w:rsidRDefault="00525791" w:rsidP="00E6315D">
      <w:pPr>
        <w:spacing w:line="240" w:lineRule="auto"/>
        <w:ind w:leftChars="0" w:left="0" w:rightChars="0"/>
      </w:pPr>
      <w:r>
        <w:t xml:space="preserve">　　</w:t>
      </w:r>
      <w:r w:rsidR="0049577B" w:rsidRPr="00B40DC1">
        <w:t>我們認為我們的優勢就是現在是一個時機嘛。現在是一個時機就是你看那個國發會提的資料，我們不到2025年的時候老齡人口搞不好就已經占百分之不知道多少了，就會變成一個年輕人不知道養幾個老人。那我們的優勢，這時候不管是依親這個區塊，或者</w:t>
      </w:r>
      <w:r w:rsidR="0049577B" w:rsidRPr="00E6315D">
        <w:t>是這些所謂。所以我想到我們優勢就是我們可能要利用這個timing吸引人…。</w:t>
      </w:r>
      <w:r w:rsidR="003C1792" w:rsidRPr="00E6315D">
        <w:t>(</w:t>
      </w:r>
      <w:r w:rsidR="0049577B" w:rsidRPr="00E6315D">
        <w:t>E-4-2)</w:t>
      </w:r>
    </w:p>
    <w:p w:rsidR="0049577B" w:rsidRPr="00E6315D" w:rsidRDefault="00525791" w:rsidP="00E6315D">
      <w:pPr>
        <w:spacing w:line="240" w:lineRule="auto"/>
        <w:ind w:leftChars="0" w:left="0" w:rightChars="0"/>
      </w:pPr>
      <w:r w:rsidRPr="00E6315D">
        <w:rPr>
          <w:rFonts w:hint="eastAsia"/>
        </w:rPr>
        <w:t xml:space="preserve">　　</w:t>
      </w:r>
      <w:r w:rsidR="0049577B" w:rsidRPr="00E6315D">
        <w:t>(二)法律及政策寬鬆之優勢</w:t>
      </w:r>
    </w:p>
    <w:p w:rsidR="0049577B" w:rsidRPr="00E6315D" w:rsidRDefault="00525791" w:rsidP="00E6315D">
      <w:pPr>
        <w:spacing w:line="240" w:lineRule="auto"/>
        <w:ind w:leftChars="0" w:left="0" w:rightChars="0"/>
      </w:pPr>
      <w:r w:rsidRPr="00E6315D">
        <w:t xml:space="preserve">　　</w:t>
      </w:r>
      <w:r w:rsidR="0049577B" w:rsidRPr="00E6315D">
        <w:t>我國為留下國外之技術人才，持續在作法規之研修及政策方面作調整。目前已鬆綁相關法規及送進立法院待鬆綁法規如以下分述。</w:t>
      </w:r>
    </w:p>
    <w:p w:rsidR="0049577B" w:rsidRPr="00E6315D" w:rsidRDefault="00CC30C7" w:rsidP="00E6315D">
      <w:pPr>
        <w:spacing w:line="240" w:lineRule="auto"/>
        <w:ind w:leftChars="0" w:left="0" w:rightChars="0"/>
      </w:pPr>
      <w:r>
        <w:t xml:space="preserve">　　</w:t>
      </w:r>
      <w:r w:rsidR="0049577B" w:rsidRPr="00E6315D">
        <w:t>外國人若在臺灣住5年，每年住滿183天，即可申請一般之永久居留，惟要收取規費新台幣一萬元，但為要吸引國外技術移民至臺灣，高級專業人才申請梅花卡永久居留，並不需要收取任何規費。</w:t>
      </w:r>
    </w:p>
    <w:p w:rsidR="0049577B" w:rsidRPr="00B40DC1" w:rsidRDefault="00525791" w:rsidP="00E6315D">
      <w:pPr>
        <w:spacing w:line="240" w:lineRule="auto"/>
        <w:ind w:leftChars="0" w:left="0" w:rightChars="0"/>
      </w:pPr>
      <w:r w:rsidRPr="00E6315D">
        <w:t xml:space="preserve">　　</w:t>
      </w:r>
      <w:r w:rsidR="0049577B" w:rsidRPr="00E6315D">
        <w:t>另在取得永久居留者（包括一般永久居留及梅花卡永久居留），依據入出國及移民</w:t>
      </w:r>
      <w:r w:rsidR="00CC30C7" w:rsidRPr="00B40DC1">
        <w:t>法</w:t>
      </w:r>
      <w:hyperlink r:id="rId311" w:anchor="b33" w:history="1">
        <w:r w:rsidR="00CC30C7" w:rsidRPr="00966D02">
          <w:rPr>
            <w:rStyle w:val="a7"/>
            <w:rFonts w:cs="Times New Roman"/>
            <w:lang w:eastAsia="zh-TW" w:bidi="ar-SA"/>
          </w:rPr>
          <w:t>第33條</w:t>
        </w:r>
      </w:hyperlink>
      <w:r w:rsidR="0049577B" w:rsidRPr="00E6315D">
        <w:t>第1項第4款之規定，每年仍需在我國居住183天，惟若因出國就學、就醫或其他特殊原因，出國前有向移民署報備，則2年內在我國住滿183天即可。移民署已提案轉內政部，建議修改外國人停留居留及永久居留辦</w:t>
      </w:r>
      <w:r w:rsidR="00294CC4" w:rsidRPr="00B40DC1">
        <w:t>法</w:t>
      </w:r>
      <w:hyperlink r:id="rId312" w:anchor="b19" w:history="1">
        <w:r w:rsidR="00294CC4" w:rsidRPr="00CC30C7">
          <w:rPr>
            <w:rStyle w:val="a7"/>
            <w:rFonts w:cs="Times New Roman"/>
            <w:lang w:eastAsia="zh-TW" w:bidi="ar-SA"/>
          </w:rPr>
          <w:t>第19條</w:t>
        </w:r>
      </w:hyperlink>
      <w:r w:rsidR="0049577B" w:rsidRPr="00E6315D">
        <w:t>，期望取得永久居留之外籍</w:t>
      </w:r>
      <w:r w:rsidR="0049577B" w:rsidRPr="00B40DC1">
        <w:t>人士，若出國前有向移民署報備，則5年內在我國住滿183天即可，目前已送至立法院內政委員會審議中</w:t>
      </w:r>
      <w:r w:rsidR="0049577B" w:rsidRPr="00E6315D">
        <w:rPr>
          <w:rStyle w:val="af7"/>
          <w:rFonts w:eastAsia="新細明體"/>
          <w:sz w:val="20"/>
        </w:rPr>
        <w:footnoteReference w:id="423"/>
      </w:r>
      <w:r w:rsidR="0049577B" w:rsidRPr="00B40DC1">
        <w:t>，但仍未通過之。</w:t>
      </w:r>
    </w:p>
    <w:p w:rsidR="0049577B" w:rsidRPr="00B40DC1" w:rsidRDefault="00525791" w:rsidP="00525791">
      <w:pPr>
        <w:spacing w:line="240" w:lineRule="auto"/>
        <w:ind w:leftChars="0" w:left="0" w:rightChars="0" w:right="0"/>
      </w:pPr>
      <w:r>
        <w:t xml:space="preserve">　　</w:t>
      </w:r>
      <w:r w:rsidR="0049577B" w:rsidRPr="00B40DC1">
        <w:t>針對國外技術移民攬才及留才之部分，移民署亦已研修並增訂入出國及移民</w:t>
      </w:r>
      <w:r w:rsidR="00CC30C7" w:rsidRPr="00B40DC1">
        <w:t>法</w:t>
      </w:r>
      <w:hyperlink r:id="rId313" w:anchor="b25" w:history="1">
        <w:r w:rsidR="00CC30C7" w:rsidRPr="00966D02">
          <w:rPr>
            <w:rStyle w:val="a7"/>
            <w:rFonts w:cs="Times New Roman"/>
            <w:lang w:eastAsia="zh-TW" w:bidi="ar-SA"/>
          </w:rPr>
          <w:t>第25條</w:t>
        </w:r>
      </w:hyperlink>
      <w:r w:rsidR="0049577B" w:rsidRPr="00B40DC1">
        <w:t>，對我國有特殊貢獻及為我國所需之高級專業人才之配偶及未成年子女，得隨同永久居留申請人申請永久居留。此為法規鬆綁，為留下我國所需外國籍高級專業人才，亦考慮其家庭團聚權，讓有資格取得永久居留權之外國籍專業人才其配偶及未成年子女可同時取得永久居留權。目前該修正草案已於民國103年11月送立法院審議，尚待審議中，但仍未通過之。</w:t>
      </w:r>
    </w:p>
    <w:p w:rsidR="0049577B" w:rsidRPr="00B40DC1" w:rsidRDefault="00525791" w:rsidP="00525791">
      <w:pPr>
        <w:spacing w:line="240" w:lineRule="auto"/>
        <w:ind w:leftChars="0" w:left="0" w:rightChars="0" w:right="0"/>
      </w:pPr>
      <w:r>
        <w:t xml:space="preserve">　　</w:t>
      </w:r>
      <w:r w:rsidR="0049577B" w:rsidRPr="00B40DC1">
        <w:t>為配合國家政策育才留才攬才政策，國家發展委員會於民國103年6月提出「強化優秀僑外生留臺工作行動計畫」。依據「外國人從事就業服務法第四十六條第一項第一款至第六款工作資格及審查標準」</w:t>
      </w:r>
      <w:hyperlink r:id="rId314" w:anchor="a5" w:history="1">
        <w:r w:rsidR="0049577B" w:rsidRPr="00294CC4">
          <w:rPr>
            <w:rStyle w:val="a7"/>
            <w:rFonts w:cs="Times New Roman"/>
            <w:lang w:eastAsia="zh-TW" w:bidi="ar-SA"/>
          </w:rPr>
          <w:t>第5條</w:t>
        </w:r>
      </w:hyperlink>
      <w:r w:rsidR="0049577B" w:rsidRPr="00B40DC1">
        <w:t>及</w:t>
      </w:r>
      <w:hyperlink r:id="rId315" w:anchor="a8" w:history="1">
        <w:r w:rsidR="0049577B" w:rsidRPr="00294CC4">
          <w:rPr>
            <w:rStyle w:val="a7"/>
            <w:rFonts w:cs="Times New Roman"/>
            <w:lang w:eastAsia="zh-TW" w:bidi="ar-SA"/>
          </w:rPr>
          <w:t>第8條</w:t>
        </w:r>
      </w:hyperlink>
      <w:r w:rsidR="0049577B" w:rsidRPr="00B40DC1">
        <w:t>規定，在臺畢業之港澳生、僑生及外籍生需符合滿2年工作經驗及企業擬聘僱薪資達新臺幣47,971元之條件，始可留臺或回臺工作</w:t>
      </w:r>
      <w:r w:rsidR="0049577B" w:rsidRPr="00E6315D">
        <w:rPr>
          <w:rStyle w:val="af7"/>
          <w:rFonts w:eastAsia="新細明體"/>
          <w:sz w:val="20"/>
        </w:rPr>
        <w:footnoteReference w:id="424"/>
      </w:r>
      <w:r w:rsidR="0049577B" w:rsidRPr="00B40DC1">
        <w:t>。但為留下已在臺灣「育才」之僑外生，政府今已鬆綁相關法令</w:t>
      </w:r>
      <w:r w:rsidR="0049577B" w:rsidRPr="00E6315D">
        <w:rPr>
          <w:rStyle w:val="af7"/>
          <w:rFonts w:eastAsia="新細明體"/>
          <w:sz w:val="20"/>
        </w:rPr>
        <w:footnoteReference w:id="425"/>
      </w:r>
      <w:r w:rsidR="0049577B" w:rsidRPr="00B40DC1">
        <w:t>，對於無法達到上述兩條件者，則可由擬聘僱企業代為向勞動部申請「評點配額」機制，經勞動部審查其學歷、工作經驗、薪資水準、多國語言能力、他國成長經驗、企業所需特殊專長，以及配合政府產業政策等多元審查依據，經審查通過者，核發其留臺工作許可。此相關法令之鬆綁乃為留下已在臺灣完成大學以上教育之優秀僑外生，並讓該些僑外生在畢業後能順利進入我國勞動市場。</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另國家發展委員會也於2017年11月22日制定</w:t>
      </w:r>
      <w:r w:rsidR="00654D1D" w:rsidRPr="0065263F">
        <w:rPr>
          <w:sz w:val="24"/>
          <w:szCs w:val="24"/>
        </w:rPr>
        <w:t>「</w:t>
      </w:r>
      <w:hyperlink r:id="rId316" w:history="1">
        <w:r w:rsidR="00654D1D" w:rsidRPr="00654D1D">
          <w:rPr>
            <w:rStyle w:val="a7"/>
            <w:rFonts w:cs="Times New Roman"/>
            <w:sz w:val="24"/>
            <w:szCs w:val="24"/>
            <w:lang w:eastAsia="zh-TW" w:bidi="ar-SA"/>
          </w:rPr>
          <w:t>外國專業人才延攬及僱用法</w:t>
        </w:r>
      </w:hyperlink>
      <w:r w:rsidR="0049577B" w:rsidRPr="00B40DC1">
        <w:rPr>
          <w:lang w:eastAsia="zh-HK"/>
        </w:rPr>
        <w:t>」，並已於2018年2月8日施行，其立法之目的，即為為加強延攬及僱用外國專業人才，以提升國家競爭力</w:t>
      </w:r>
      <w:r w:rsidR="0049577B" w:rsidRPr="00306B20">
        <w:rPr>
          <w:rStyle w:val="af7"/>
          <w:rFonts w:eastAsia="新細明體"/>
          <w:sz w:val="20"/>
          <w:lang w:eastAsia="zh-HK"/>
        </w:rPr>
        <w:footnoteReference w:id="426"/>
      </w:r>
      <w:r w:rsidR="0049577B" w:rsidRPr="00B40DC1">
        <w:rPr>
          <w:lang w:eastAsia="zh-HK"/>
        </w:rPr>
        <w:t>。亦即，上述之</w:t>
      </w:r>
      <w:r w:rsidR="00654D1D" w:rsidRPr="0065263F">
        <w:rPr>
          <w:sz w:val="24"/>
          <w:szCs w:val="24"/>
        </w:rPr>
        <w:t>「</w:t>
      </w:r>
      <w:hyperlink r:id="rId317" w:history="1">
        <w:r w:rsidR="00654D1D" w:rsidRPr="00654D1D">
          <w:rPr>
            <w:rStyle w:val="a7"/>
            <w:rFonts w:cs="Times New Roman"/>
            <w:sz w:val="24"/>
            <w:szCs w:val="24"/>
            <w:lang w:eastAsia="zh-TW" w:bidi="ar-SA"/>
          </w:rPr>
          <w:t>外國專業人才延攬及僱用法</w:t>
        </w:r>
      </w:hyperlink>
      <w:r w:rsidR="0049577B" w:rsidRPr="00B40DC1">
        <w:rPr>
          <w:lang w:eastAsia="zh-HK"/>
        </w:rPr>
        <w:t>」，於2017年10月31日經立法院三讀通過，總統於2017年11月22日公布，並由行政院核定自2018年2月8日正式施行之，</w:t>
      </w:r>
      <w:r w:rsidR="0065263F" w:rsidRPr="00B40DC1">
        <w:rPr>
          <w:lang w:eastAsia="zh-HK"/>
        </w:rPr>
        <w:t>「</w:t>
      </w:r>
      <w:hyperlink r:id="rId318" w:history="1">
        <w:r w:rsidR="0065263F" w:rsidRPr="00EE26E7">
          <w:rPr>
            <w:rStyle w:val="a7"/>
            <w:rFonts w:cs="Times New Roman"/>
            <w:szCs w:val="24"/>
            <w:lang w:eastAsia="zh-TW" w:bidi="ar-SA"/>
          </w:rPr>
          <w:t>外國專業人才延攬及僱用法</w:t>
        </w:r>
      </w:hyperlink>
      <w:r w:rsidR="0049577B" w:rsidRPr="00B40DC1">
        <w:rPr>
          <w:lang w:eastAsia="zh-HK"/>
        </w:rPr>
        <w:t>」之要點如下</w:t>
      </w:r>
      <w:r w:rsidR="0049577B" w:rsidRPr="00E6315D">
        <w:rPr>
          <w:rStyle w:val="af7"/>
          <w:rFonts w:eastAsia="新細明體"/>
          <w:sz w:val="20"/>
          <w:lang w:eastAsia="zh-HK"/>
        </w:rPr>
        <w:footnoteReference w:id="427"/>
      </w:r>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一、鬆綁工作、簽證及居留規定</w:t>
      </w:r>
      <w:r w:rsidR="0049577B" w:rsidRPr="00E6315D">
        <w:rPr>
          <w:rStyle w:val="af7"/>
          <w:rFonts w:eastAsia="新細明體"/>
          <w:sz w:val="20"/>
          <w:lang w:eastAsia="zh-HK"/>
        </w:rPr>
        <w:footnoteReference w:id="428"/>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(一)外國專業人才</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1.開放外國自由藝術工作者來臺：放寬外國藝術工作者得不經雇主申請，可逕向勞動部申請許可。(</w:t>
      </w:r>
      <w:hyperlink r:id="rId319" w:anchor="a10" w:history="1">
        <w:r w:rsidR="0049577B" w:rsidRPr="005B7477">
          <w:rPr>
            <w:rStyle w:val="a7"/>
            <w:rFonts w:cs="Times New Roman"/>
            <w:lang w:eastAsia="zh-HK" w:bidi="ar-SA"/>
          </w:rPr>
          <w:t>第10條</w:t>
        </w:r>
      </w:hyperlink>
      <w:r w:rsidR="00587200">
        <w:rPr>
          <w:lang w:eastAsia="zh-HK"/>
        </w:rPr>
        <w:t>)</w:t>
      </w:r>
      <w:r w:rsidR="0049577B" w:rsidRPr="00E6315D">
        <w:rPr>
          <w:rStyle w:val="af7"/>
          <w:rFonts w:eastAsia="新細明體"/>
          <w:sz w:val="20"/>
          <w:lang w:eastAsia="zh-HK"/>
        </w:rPr>
        <w:footnoteReference w:id="429"/>
      </w:r>
    </w:p>
    <w:p w:rsidR="003C1792" w:rsidRDefault="00525791" w:rsidP="00525791">
      <w:pPr>
        <w:spacing w:line="240" w:lineRule="auto"/>
        <w:ind w:leftChars="0" w:left="0" w:rightChars="0" w:right="0"/>
        <w:rPr>
          <w:rStyle w:val="af7"/>
          <w:rFonts w:ascii="標楷體" w:hAnsi="標楷體"/>
          <w:lang w:eastAsia="zh-HK"/>
        </w:rPr>
      </w:pPr>
      <w:r>
        <w:rPr>
          <w:lang w:eastAsia="zh-HK"/>
        </w:rPr>
        <w:t xml:space="preserve">　　</w:t>
      </w:r>
      <w:r w:rsidR="0049577B" w:rsidRPr="00B40DC1">
        <w:rPr>
          <w:lang w:eastAsia="zh-HK"/>
        </w:rPr>
        <w:t>2.開放補習班聘僱具專門知識或技術之外國教師：除外國語文外，放寬雇主得向勞動部申請許可具專門知識或技術之外國教師得在我國擔任短期補習班教師。(</w:t>
      </w:r>
      <w:hyperlink r:id="rId320" w:anchor="a6" w:history="1">
        <w:r w:rsidR="0049577B" w:rsidRPr="001A201D">
          <w:rPr>
            <w:rStyle w:val="a7"/>
            <w:rFonts w:cs="Times New Roman"/>
            <w:lang w:eastAsia="zh-HK" w:bidi="ar-SA"/>
          </w:rPr>
          <w:t>第6條</w:t>
        </w:r>
      </w:hyperlink>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3.核發「尋職簽證」：針對外國人擬來臺從事專業工作、須長期尋職者，核發「尋職簽證」，總停留期間最長6個月。(</w:t>
      </w:r>
      <w:hyperlink r:id="rId321" w:anchor="a19" w:history="1">
        <w:r w:rsidR="0049577B" w:rsidRPr="005B7477">
          <w:rPr>
            <w:rStyle w:val="a7"/>
            <w:rFonts w:cs="Times New Roman"/>
            <w:lang w:eastAsia="zh-HK" w:bidi="ar-SA"/>
          </w:rPr>
          <w:t>第19條</w:t>
        </w:r>
      </w:hyperlink>
      <w:r w:rsidR="00587200">
        <w:rPr>
          <w:lang w:eastAsia="zh-HK"/>
        </w:rPr>
        <w:t>)</w:t>
      </w:r>
      <w:r w:rsidR="0049577B" w:rsidRPr="00E6315D">
        <w:rPr>
          <w:rStyle w:val="af7"/>
          <w:rFonts w:eastAsia="新細明體"/>
          <w:sz w:val="20"/>
          <w:lang w:eastAsia="zh-HK"/>
        </w:rPr>
        <w:footnoteReference w:id="430"/>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4.放寬廢止永久居留之規定：對外國人才取得內政部移民署許可之永久居留後，鬆綁須每年在臺居留183天之規定。(</w:t>
      </w:r>
      <w:hyperlink r:id="rId322" w:anchor="a18" w:history="1">
        <w:r w:rsidR="0049577B" w:rsidRPr="005B7477">
          <w:rPr>
            <w:rStyle w:val="a7"/>
            <w:rFonts w:cs="Times New Roman"/>
            <w:lang w:eastAsia="zh-HK" w:bidi="ar-SA"/>
          </w:rPr>
          <w:t>第18條</w:t>
        </w:r>
      </w:hyperlink>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5.外國教師之工作許回歸教育部核發：鼓勵學校擴大延攬外國教師。(</w:t>
      </w:r>
      <w:hyperlink r:id="rId323" w:anchor="a5" w:history="1">
        <w:r w:rsidR="0049577B" w:rsidRPr="005B7477">
          <w:rPr>
            <w:rStyle w:val="a7"/>
            <w:rFonts w:cs="Times New Roman"/>
            <w:lang w:eastAsia="zh-HK" w:bidi="ar-SA"/>
          </w:rPr>
          <w:t>第5條</w:t>
        </w:r>
      </w:hyperlink>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(二)外國特定專業人才</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1.核發「就業金卡」：針對外國特定專業人才擬在我國境內從事專業工作者，放寬渠等得向內政部移民署申請核發具工作許可、居留簽證、外僑居留證及重入國許可四證合一之就業金卡(個人工作許可)，有效期間為1至3年，期滿得重新申請，提供渠等自由尋職、就職及轉換工作之便利性。(</w:t>
      </w:r>
      <w:hyperlink r:id="rId324" w:anchor="a8" w:history="1">
        <w:r w:rsidR="0049577B" w:rsidRPr="005B7477">
          <w:rPr>
            <w:rStyle w:val="a7"/>
            <w:rFonts w:cs="Times New Roman"/>
            <w:lang w:eastAsia="zh-HK" w:bidi="ar-SA"/>
          </w:rPr>
          <w:t>第8條</w:t>
        </w:r>
      </w:hyperlink>
      <w:r w:rsidR="0049577B" w:rsidRPr="00B40DC1">
        <w:rPr>
          <w:lang w:eastAsia="zh-HK"/>
        </w:rPr>
        <w:t>)</w:t>
      </w:r>
    </w:p>
    <w:p w:rsidR="003C1792"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2.延長特定專業人才工作許可期間：針對受聘僱從事專業工作之外國特定專業人才，延長聘僱許可期間，由最長3年延長至最長為5年，期滿得申請延期。(</w:t>
      </w:r>
      <w:hyperlink r:id="rId325" w:anchor="a7" w:history="1">
        <w:r w:rsidR="0049577B" w:rsidRPr="005B7477">
          <w:rPr>
            <w:rStyle w:val="a7"/>
            <w:rFonts w:cs="Times New Roman"/>
            <w:lang w:eastAsia="zh-HK" w:bidi="ar-SA"/>
          </w:rPr>
          <w:t>第7條</w:t>
        </w:r>
      </w:hyperlink>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二、鬆綁父母配偶及子女停居留規定</w:t>
      </w:r>
      <w:r w:rsidR="0049577B" w:rsidRPr="00525791">
        <w:rPr>
          <w:rStyle w:val="af7"/>
          <w:rFonts w:eastAsia="新細明體"/>
          <w:sz w:val="20"/>
          <w:lang w:eastAsia="zh-HK"/>
        </w:rPr>
        <w:footnoteReference w:id="431"/>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1.放寬配偶及子女申請永久居留：參考國際慣例及人權考量，對取得永久居留之外國專業人士，其配偶、未成年子女及身心障礙無法自理生活之成年子女得於合法連續居留5年後，申請永久居留，無須財力證明。(</w:t>
      </w:r>
      <w:hyperlink r:id="rId326" w:anchor="a16" w:history="1">
        <w:r w:rsidR="0049577B" w:rsidRPr="005B7477">
          <w:rPr>
            <w:rStyle w:val="a7"/>
            <w:rFonts w:cs="Times New Roman"/>
            <w:lang w:eastAsia="zh-HK" w:bidi="ar-SA"/>
          </w:rPr>
          <w:t>第16條</w:t>
        </w:r>
      </w:hyperlink>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2.放寬高級專業人才註3之配偶及子女得隨同申請永居：配合「</w:t>
      </w:r>
      <w:r w:rsidR="0049577B" w:rsidRPr="00112EF1">
        <w:t>入出國及移民法</w:t>
      </w:r>
      <w:r w:rsidR="0049577B" w:rsidRPr="00B40DC1">
        <w:rPr>
          <w:lang w:eastAsia="zh-HK"/>
        </w:rPr>
        <w:t>」</w:t>
      </w:r>
      <w:hyperlink r:id="rId327" w:anchor="b25" w:history="1">
        <w:r w:rsidR="0049577B" w:rsidRPr="00112EF1">
          <w:rPr>
            <w:rStyle w:val="a7"/>
            <w:rFonts w:cs="Times New Roman"/>
            <w:lang w:eastAsia="zh-HK" w:bidi="ar-SA"/>
          </w:rPr>
          <w:t>第25條</w:t>
        </w:r>
      </w:hyperlink>
      <w:r w:rsidR="0049577B" w:rsidRPr="00B40DC1">
        <w:rPr>
          <w:lang w:eastAsia="zh-HK"/>
        </w:rPr>
        <w:t>修正建議，鬆綁高級專業人才之配偶、未成年子女及身心障礙無法自理生活之成年子女，得隨同申請永居。(</w:t>
      </w:r>
      <w:hyperlink r:id="rId328" w:anchor="a15" w:history="1">
        <w:r w:rsidR="0049577B" w:rsidRPr="005B7477">
          <w:rPr>
            <w:rStyle w:val="a7"/>
            <w:rFonts w:cs="Times New Roman"/>
            <w:lang w:eastAsia="zh-HK" w:bidi="ar-SA"/>
          </w:rPr>
          <w:t>第15條</w:t>
        </w:r>
      </w:hyperlink>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3.核發成年子女留臺個人工作許可：針對取得永久居留之外國專業人才，其成年子女符合延長居留條件者，得比照「就業服務法」</w:t>
      </w:r>
      <w:hyperlink r:id="rId329" w:anchor="a51" w:history="1">
        <w:r w:rsidR="0049577B" w:rsidRPr="005B7477">
          <w:rPr>
            <w:rStyle w:val="a7"/>
            <w:rFonts w:cs="Times New Roman"/>
            <w:lang w:eastAsia="zh-HK" w:bidi="ar-SA"/>
          </w:rPr>
          <w:t>第51條</w:t>
        </w:r>
      </w:hyperlink>
      <w:r w:rsidR="0049577B" w:rsidRPr="00B40DC1">
        <w:rPr>
          <w:lang w:eastAsia="zh-HK"/>
        </w:rPr>
        <w:t>，申請個人工作許可。(</w:t>
      </w:r>
      <w:hyperlink r:id="rId330" w:anchor="a17" w:history="1">
        <w:r w:rsidR="0049577B" w:rsidRPr="005B7477">
          <w:rPr>
            <w:rStyle w:val="a7"/>
            <w:rFonts w:cs="Times New Roman"/>
            <w:lang w:eastAsia="zh-HK" w:bidi="ar-SA"/>
          </w:rPr>
          <w:t>第17條</w:t>
        </w:r>
      </w:hyperlink>
      <w:r w:rsidR="0049577B" w:rsidRPr="00B40DC1">
        <w:rPr>
          <w:lang w:eastAsia="zh-HK"/>
        </w:rPr>
        <w:t>)</w:t>
      </w:r>
    </w:p>
    <w:p w:rsidR="003C1792"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4.延長直系尊親屬探親停留期限：針對外國特定專業人才及其配偶之直系尊親屬探親停留簽證，由總停留期間最長6個月，延長為每次總停留最長為1年。(</w:t>
      </w:r>
      <w:hyperlink r:id="rId331" w:anchor="a13" w:history="1">
        <w:r w:rsidR="0049577B" w:rsidRPr="005B7477">
          <w:rPr>
            <w:rStyle w:val="a7"/>
            <w:rFonts w:cs="Times New Roman"/>
            <w:lang w:eastAsia="zh-HK" w:bidi="ar-SA"/>
          </w:rPr>
          <w:t>第13條</w:t>
        </w:r>
      </w:hyperlink>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三、提供退休、健保及租稅優惠</w:t>
      </w:r>
      <w:r w:rsidR="0049577B" w:rsidRPr="00525791">
        <w:rPr>
          <w:rStyle w:val="af7"/>
          <w:rFonts w:eastAsia="新細明體"/>
          <w:sz w:val="20"/>
          <w:lang w:eastAsia="zh-HK"/>
        </w:rPr>
        <w:footnoteReference w:id="432"/>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1.加強退休保障：受聘僱從事專業工作之外國人，經許可永久居留者，得適用勞退新制。(</w:t>
      </w:r>
      <w:hyperlink r:id="rId332" w:anchor="a11" w:history="1">
        <w:r w:rsidR="0049577B" w:rsidRPr="005B7477">
          <w:rPr>
            <w:rStyle w:val="a7"/>
            <w:rFonts w:cs="Times New Roman"/>
            <w:lang w:eastAsia="zh-HK" w:bidi="ar-SA"/>
          </w:rPr>
          <w:t>第11條</w:t>
        </w:r>
      </w:hyperlink>
      <w:r w:rsidR="0049577B" w:rsidRPr="00B40DC1">
        <w:rPr>
          <w:lang w:eastAsia="zh-HK"/>
        </w:rPr>
        <w:t>)。外國人任我國公立學校現職編制內專任合格有給之教師，經許可永久居留者，其退休事項準用公立學校教師之退休規定，並得擇一支領1次或月退休金。(</w:t>
      </w:r>
      <w:hyperlink r:id="rId333" w:anchor="a12" w:history="1">
        <w:r w:rsidR="0049577B" w:rsidRPr="005B7477">
          <w:rPr>
            <w:rStyle w:val="a7"/>
            <w:rFonts w:cs="Times New Roman"/>
            <w:lang w:eastAsia="zh-HK" w:bidi="ar-SA"/>
          </w:rPr>
          <w:t>第12條</w:t>
        </w:r>
      </w:hyperlink>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2.放寬健保納保限制：受聘僱從事專業工作之外國專業人才，其配偶、未成年子女及身心障礙無法自理生活之成年子女，經領有居留證明文件者，不受健保6個月等待期限制。(</w:t>
      </w:r>
      <w:hyperlink r:id="rId334" w:anchor="a14" w:history="1">
        <w:r w:rsidR="0049577B" w:rsidRPr="005B7477">
          <w:rPr>
            <w:rStyle w:val="a7"/>
            <w:rFonts w:cs="Times New Roman"/>
            <w:lang w:eastAsia="zh-HK" w:bidi="ar-SA"/>
          </w:rPr>
          <w:t>第14條</w:t>
        </w:r>
      </w:hyperlink>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3.提供租稅優惠：外國特定專業人才首次核准來臺工作，且薪資所得超過300萬元起3年內，享有超過部分折半課稅之優惠。(</w:t>
      </w:r>
      <w:hyperlink r:id="rId335" w:anchor="a9" w:history="1">
        <w:r w:rsidR="0049577B" w:rsidRPr="005B7477">
          <w:rPr>
            <w:rStyle w:val="a7"/>
            <w:rFonts w:cs="Times New Roman"/>
            <w:lang w:eastAsia="zh-HK" w:bidi="ar-SA"/>
          </w:rPr>
          <w:t>第9條</w:t>
        </w:r>
      </w:hyperlink>
      <w:r w:rsidR="0049577B" w:rsidRPr="00B40DC1">
        <w:rPr>
          <w:lang w:eastAsia="zh-HK"/>
        </w:rPr>
        <w:t>)</w:t>
      </w:r>
    </w:p>
    <w:p w:rsidR="0049577B" w:rsidRPr="00B40DC1" w:rsidRDefault="00525791" w:rsidP="00525791">
      <w:pPr>
        <w:spacing w:line="240" w:lineRule="auto"/>
        <w:ind w:leftChars="0" w:left="0" w:rightChars="0" w:right="0"/>
        <w:rPr>
          <w:lang w:eastAsia="zh-HK"/>
        </w:rPr>
      </w:pPr>
      <w:r>
        <w:rPr>
          <w:lang w:eastAsia="zh-HK"/>
        </w:rPr>
        <w:t xml:space="preserve">　　</w:t>
      </w:r>
      <w:r w:rsidR="0049577B" w:rsidRPr="00B40DC1">
        <w:rPr>
          <w:lang w:eastAsia="zh-HK"/>
        </w:rPr>
        <w:t>復次，</w:t>
      </w:r>
      <w:r w:rsidR="00654D1D" w:rsidRPr="0065263F">
        <w:rPr>
          <w:sz w:val="24"/>
          <w:szCs w:val="24"/>
        </w:rPr>
        <w:t>「</w:t>
      </w:r>
      <w:hyperlink r:id="rId336" w:history="1">
        <w:r w:rsidR="00654D1D" w:rsidRPr="00654D1D">
          <w:rPr>
            <w:rStyle w:val="a7"/>
            <w:rFonts w:cs="Times New Roman"/>
            <w:sz w:val="24"/>
            <w:szCs w:val="24"/>
            <w:lang w:eastAsia="zh-TW" w:bidi="ar-SA"/>
          </w:rPr>
          <w:t>外國專業人才延攬及僱用法</w:t>
        </w:r>
      </w:hyperlink>
      <w:r w:rsidR="0049577B" w:rsidRPr="00B40DC1">
        <w:rPr>
          <w:lang w:eastAsia="zh-HK"/>
        </w:rPr>
        <w:t>」並明確定義所謂專業工作，係指依就業服務法第</w:t>
      </w:r>
      <w:hyperlink r:id="rId337" w:anchor="a46" w:history="1">
        <w:r w:rsidR="0049577B" w:rsidRPr="005B7477">
          <w:rPr>
            <w:rStyle w:val="a7"/>
            <w:rFonts w:cs="Times New Roman"/>
            <w:lang w:eastAsia="zh-HK" w:bidi="ar-SA"/>
          </w:rPr>
          <w:t>四十六</w:t>
        </w:r>
      </w:hyperlink>
      <w:r w:rsidR="0049577B" w:rsidRPr="00B40DC1">
        <w:rPr>
          <w:lang w:eastAsia="zh-HK"/>
        </w:rPr>
        <w:t>條第一項第一款至第六款之工作，以及具專門知識或技術，且經中央目的事業主管機關會商教育部指定依</w:t>
      </w:r>
      <w:hyperlink r:id="rId338" w:history="1">
        <w:r w:rsidR="0049577B" w:rsidRPr="005B7477">
          <w:rPr>
            <w:rStyle w:val="a7"/>
            <w:rFonts w:cs="Times New Roman"/>
            <w:lang w:eastAsia="zh-HK" w:bidi="ar-SA"/>
          </w:rPr>
          <w:t>補習及進修教育法</w:t>
        </w:r>
      </w:hyperlink>
      <w:r w:rsidR="0049577B" w:rsidRPr="00B40DC1">
        <w:rPr>
          <w:lang w:eastAsia="zh-HK"/>
        </w:rPr>
        <w:t>立案之短期補習班教師</w:t>
      </w:r>
      <w:r w:rsidR="0049577B" w:rsidRPr="00525791">
        <w:rPr>
          <w:rStyle w:val="af7"/>
          <w:rFonts w:eastAsia="新細明體"/>
          <w:sz w:val="20"/>
          <w:lang w:eastAsia="zh-HK"/>
        </w:rPr>
        <w:footnoteReference w:id="433"/>
      </w:r>
      <w:r w:rsidR="0049577B" w:rsidRPr="00B40DC1">
        <w:rPr>
          <w:lang w:eastAsia="zh-HK"/>
        </w:rPr>
        <w:t>。並規定外國特定專業人才擬在我國從事專業工作者，得向內政部移民署申請核發具工作許可、居留簽證、外僑居留證及重入國許可四證合一之就業金卡，持卡之外國人，尚可享受節稅之優惠</w:t>
      </w:r>
      <w:r w:rsidR="0049577B" w:rsidRPr="00525791">
        <w:rPr>
          <w:rStyle w:val="af7"/>
          <w:rFonts w:eastAsia="新細明體"/>
          <w:sz w:val="20"/>
          <w:lang w:eastAsia="zh-HK"/>
        </w:rPr>
        <w:footnoteReference w:id="434"/>
      </w:r>
      <w:r w:rsidR="0049577B" w:rsidRPr="00B40DC1">
        <w:rPr>
          <w:lang w:eastAsia="zh-HK"/>
        </w:rPr>
        <w:t>，有取代移民署原本推動發行就業</w:t>
      </w:r>
      <w:r w:rsidR="0049577B" w:rsidRPr="00B40DC1">
        <w:t>pass</w:t>
      </w:r>
      <w:r w:rsidR="0049577B" w:rsidRPr="00B40DC1">
        <w:rPr>
          <w:lang w:eastAsia="zh-HK"/>
        </w:rPr>
        <w:t>卡之效果。</w:t>
      </w:r>
    </w:p>
    <w:p w:rsidR="0049577B" w:rsidRPr="00B40DC1" w:rsidRDefault="0049577B" w:rsidP="00525791">
      <w:pPr>
        <w:spacing w:line="240" w:lineRule="auto"/>
        <w:ind w:leftChars="0" w:left="0" w:rightChars="0" w:right="0"/>
        <w:rPr>
          <w:lang w:eastAsia="zh-HK"/>
        </w:rPr>
      </w:pPr>
    </w:p>
    <w:p w:rsidR="0049577B" w:rsidRPr="00B40DC1" w:rsidRDefault="0049577B" w:rsidP="000D26BB">
      <w:pPr>
        <w:rPr>
          <w:lang w:eastAsia="zh-HK"/>
        </w:rPr>
      </w:pPr>
      <w:r w:rsidRPr="00B40DC1">
        <w:rPr>
          <w:noProof/>
        </w:rPr>
        <w:drawing>
          <wp:inline distT="0" distB="0" distL="0" distR="0" wp14:anchorId="69D5921F" wp14:editId="41539996">
            <wp:extent cx="4762752" cy="367879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761371" cy="3677728"/>
                    </a:xfrm>
                    <a:prstGeom prst="rect">
                      <a:avLst/>
                    </a:prstGeom>
                    <a:noFill/>
                    <a:ln>
                      <a:noFill/>
                    </a:ln>
                  </pic:spPr>
                </pic:pic>
              </a:graphicData>
            </a:graphic>
          </wp:inline>
        </w:drawing>
      </w:r>
    </w:p>
    <w:p w:rsidR="0049577B" w:rsidRPr="00B40DC1" w:rsidRDefault="0049577B" w:rsidP="00525791">
      <w:pPr>
        <w:pStyle w:val="4"/>
        <w:rPr>
          <w:lang w:eastAsia="zh-TW"/>
        </w:rPr>
      </w:pPr>
      <w:r w:rsidRPr="00B40DC1">
        <w:rPr>
          <w:lang w:eastAsia="zh-TW"/>
        </w:rPr>
        <w:t>圖一、</w:t>
      </w:r>
      <w:r w:rsidR="00654D1D" w:rsidRPr="0065263F">
        <w:rPr>
          <w:sz w:val="24"/>
          <w:szCs w:val="24"/>
          <w:lang w:eastAsia="zh-TW"/>
        </w:rPr>
        <w:t>「</w:t>
      </w:r>
      <w:hyperlink r:id="rId340" w:history="1">
        <w:r w:rsidR="00654D1D" w:rsidRPr="00654D1D">
          <w:rPr>
            <w:rStyle w:val="a7"/>
            <w:rFonts w:cs="Times New Roman"/>
            <w:sz w:val="24"/>
            <w:szCs w:val="24"/>
            <w:lang w:eastAsia="zh-TW" w:bidi="ar-SA"/>
          </w:rPr>
          <w:t>外國專業人才延攬及僱用法</w:t>
        </w:r>
      </w:hyperlink>
      <w:r w:rsidRPr="00B40DC1">
        <w:rPr>
          <w:lang w:eastAsia="zh-TW"/>
        </w:rPr>
        <w:t>」重點圖示</w:t>
      </w:r>
    </w:p>
    <w:p w:rsidR="0049577B" w:rsidRPr="00B40DC1" w:rsidRDefault="00817A92" w:rsidP="00306B20">
      <w:pPr>
        <w:spacing w:line="240" w:lineRule="auto"/>
        <w:ind w:leftChars="0" w:left="0" w:rightChars="0" w:right="0"/>
        <w:rPr>
          <w:lang w:eastAsia="zh-HK"/>
        </w:rPr>
      </w:pPr>
      <w:r>
        <w:rPr>
          <w:lang w:eastAsia="zh-HK"/>
        </w:rPr>
        <w:t>【資料來源】</w:t>
      </w:r>
      <w:r w:rsidR="0049577B" w:rsidRPr="00B40DC1">
        <w:rPr>
          <w:lang w:eastAsia="zh-HK"/>
        </w:rPr>
        <w:t>行政院賴院長記者會(2018)，新經濟移民法規劃重點記者會(20180515簡報)</w:t>
      </w:r>
      <w:r w:rsidR="0049577B" w:rsidRPr="00525791">
        <w:rPr>
          <w:rStyle w:val="af7"/>
          <w:rFonts w:eastAsia="新細明體"/>
          <w:sz w:val="20"/>
          <w:lang w:eastAsia="zh-HK"/>
        </w:rPr>
        <w:footnoteReference w:id="435"/>
      </w:r>
    </w:p>
    <w:p w:rsidR="0049577B" w:rsidRPr="00B40DC1" w:rsidRDefault="00306B20" w:rsidP="00306B20">
      <w:pPr>
        <w:jc w:val="right"/>
        <w:rPr>
          <w:lang w:eastAsia="zh-HK"/>
        </w:rPr>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525791" w:rsidP="00306B20">
      <w:pPr>
        <w:spacing w:line="240" w:lineRule="auto"/>
        <w:ind w:leftChars="0" w:left="0" w:rightChars="0" w:right="0"/>
        <w:rPr>
          <w:lang w:eastAsia="zh-HK"/>
        </w:rPr>
      </w:pPr>
      <w:r>
        <w:rPr>
          <w:lang w:eastAsia="zh-HK"/>
        </w:rPr>
        <w:t xml:space="preserve">　　</w:t>
      </w:r>
      <w:r w:rsidR="0049577B" w:rsidRPr="00B40DC1">
        <w:rPr>
          <w:lang w:eastAsia="zh-HK"/>
        </w:rPr>
        <w:t>此外，行政院賴清德院長亦在2018年5月份公布，將針對外國專業人才、中階外籍技術人力、投資移民、海外國人及其後代等對象，規劃訂定「新經濟移民法」草案(如下數圖之所示)，其立法之目的，在不影響國內就業機會與薪資水準前提下，積極延攬國家發展所需的人力及人才，解決企業界長期面臨人力及人才不足問題，促進產業升級發展；並藉移民政策改善我國少子化危機，調整人口結構，促進國家發展之生生不息</w:t>
      </w:r>
      <w:r w:rsidR="0049577B" w:rsidRPr="00525791">
        <w:rPr>
          <w:rStyle w:val="af7"/>
          <w:rFonts w:eastAsia="新細明體"/>
          <w:sz w:val="20"/>
          <w:lang w:eastAsia="zh-HK"/>
        </w:rPr>
        <w:footnoteReference w:id="436"/>
      </w:r>
      <w:r w:rsidR="0049577B" w:rsidRPr="00B40DC1">
        <w:rPr>
          <w:lang w:eastAsia="zh-HK"/>
        </w:rPr>
        <w:t>，也充分展現出我國為加強吸引專業人才，在法令上不斷突破之決心。</w:t>
      </w:r>
    </w:p>
    <w:p w:rsidR="0049577B" w:rsidRPr="00B40DC1" w:rsidRDefault="0049577B" w:rsidP="000D26BB">
      <w:pPr>
        <w:rPr>
          <w:lang w:eastAsia="zh-HK"/>
        </w:rPr>
      </w:pPr>
    </w:p>
    <w:p w:rsidR="0049577B" w:rsidRPr="00B40DC1" w:rsidRDefault="0049577B" w:rsidP="000D26BB">
      <w:pPr>
        <w:rPr>
          <w:lang w:eastAsia="zh-HK"/>
        </w:rPr>
      </w:pPr>
      <w:r w:rsidRPr="00B40DC1">
        <w:rPr>
          <w:noProof/>
        </w:rPr>
        <w:drawing>
          <wp:inline distT="0" distB="0" distL="0" distR="0" wp14:anchorId="3F37DFAA" wp14:editId="5D8C643B">
            <wp:extent cx="4662834" cy="3790824"/>
            <wp:effectExtent l="0" t="0" r="4445"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663752" cy="3791570"/>
                    </a:xfrm>
                    <a:prstGeom prst="rect">
                      <a:avLst/>
                    </a:prstGeom>
                    <a:noFill/>
                    <a:ln>
                      <a:noFill/>
                    </a:ln>
                  </pic:spPr>
                </pic:pic>
              </a:graphicData>
            </a:graphic>
          </wp:inline>
        </w:drawing>
      </w:r>
    </w:p>
    <w:p w:rsidR="0049577B" w:rsidRPr="00B40DC1" w:rsidRDefault="0049577B" w:rsidP="00525791">
      <w:pPr>
        <w:pStyle w:val="4"/>
        <w:rPr>
          <w:lang w:eastAsia="zh-TW"/>
        </w:rPr>
      </w:pPr>
      <w:r w:rsidRPr="00B40DC1">
        <w:rPr>
          <w:lang w:eastAsia="zh-TW"/>
        </w:rPr>
        <w:t>圖二、「新經濟移民法」草案架構圖示</w:t>
      </w:r>
    </w:p>
    <w:p w:rsidR="0049577B" w:rsidRDefault="00817A92" w:rsidP="00525791">
      <w:pPr>
        <w:spacing w:line="240" w:lineRule="auto"/>
        <w:ind w:leftChars="0" w:left="0" w:rightChars="0" w:right="0"/>
        <w:rPr>
          <w:lang w:eastAsia="zh-HK"/>
        </w:rPr>
      </w:pPr>
      <w:r>
        <w:rPr>
          <w:lang w:eastAsia="zh-HK"/>
        </w:rPr>
        <w:t>【資料來源】</w:t>
      </w:r>
      <w:r w:rsidR="0049577B" w:rsidRPr="00B40DC1">
        <w:rPr>
          <w:lang w:eastAsia="zh-HK"/>
        </w:rPr>
        <w:t>行政院賴院長記者會(2018)，新經濟移民法規劃重點記者會(20180515簡報)</w:t>
      </w:r>
      <w:r w:rsidR="0049577B" w:rsidRPr="00525791">
        <w:rPr>
          <w:rStyle w:val="af7"/>
          <w:rFonts w:eastAsia="新細明體"/>
          <w:sz w:val="20"/>
          <w:lang w:eastAsia="zh-HK"/>
        </w:rPr>
        <w:footnoteReference w:id="437"/>
      </w:r>
    </w:p>
    <w:p w:rsidR="0069516B" w:rsidRPr="00B40DC1" w:rsidRDefault="0069516B" w:rsidP="00525791">
      <w:pPr>
        <w:spacing w:line="240" w:lineRule="auto"/>
        <w:ind w:leftChars="0" w:left="0" w:rightChars="0" w:right="0"/>
        <w:rPr>
          <w:lang w:eastAsia="zh-HK"/>
        </w:rPr>
      </w:pPr>
    </w:p>
    <w:p w:rsidR="0049577B" w:rsidRPr="00B40DC1" w:rsidRDefault="0069516B" w:rsidP="0069516B">
      <w:pPr>
        <w:jc w:val="right"/>
        <w:rPr>
          <w:lang w:eastAsia="zh-HK"/>
        </w:rPr>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0D26BB">
      <w:pPr>
        <w:rPr>
          <w:lang w:eastAsia="zh-HK"/>
        </w:rPr>
      </w:pPr>
      <w:r w:rsidRPr="00B40DC1">
        <w:rPr>
          <w:noProof/>
        </w:rPr>
        <w:drawing>
          <wp:inline distT="0" distB="0" distL="0" distR="0" wp14:anchorId="6DEE25B7" wp14:editId="6429C81A">
            <wp:extent cx="4677973" cy="4811198"/>
            <wp:effectExtent l="0" t="0" r="889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677537" cy="4810750"/>
                    </a:xfrm>
                    <a:prstGeom prst="rect">
                      <a:avLst/>
                    </a:prstGeom>
                    <a:noFill/>
                    <a:ln>
                      <a:noFill/>
                    </a:ln>
                  </pic:spPr>
                </pic:pic>
              </a:graphicData>
            </a:graphic>
          </wp:inline>
        </w:drawing>
      </w:r>
    </w:p>
    <w:p w:rsidR="0049577B" w:rsidRPr="00B40DC1" w:rsidRDefault="0049577B" w:rsidP="00525791">
      <w:pPr>
        <w:pStyle w:val="4"/>
        <w:rPr>
          <w:lang w:eastAsia="zh-TW"/>
        </w:rPr>
      </w:pPr>
      <w:r w:rsidRPr="00B40DC1">
        <w:rPr>
          <w:lang w:eastAsia="zh-TW"/>
        </w:rPr>
        <w:t>圖三、「新經濟移民法」中階外籍技術人力之適用對象圖示</w:t>
      </w:r>
    </w:p>
    <w:p w:rsidR="0049577B" w:rsidRDefault="00817A92" w:rsidP="00525791">
      <w:pPr>
        <w:spacing w:line="240" w:lineRule="auto"/>
        <w:ind w:leftChars="0" w:left="0" w:rightChars="0" w:right="0"/>
        <w:rPr>
          <w:lang w:eastAsia="zh-HK"/>
        </w:rPr>
      </w:pPr>
      <w:r>
        <w:rPr>
          <w:lang w:eastAsia="zh-HK"/>
        </w:rPr>
        <w:t>【資料來源】</w:t>
      </w:r>
      <w:r w:rsidR="0049577B" w:rsidRPr="00B40DC1">
        <w:rPr>
          <w:lang w:eastAsia="zh-HK"/>
        </w:rPr>
        <w:t>行政院賴院長記者會(2018)，新經濟移民法規劃重點記者會(20180515簡報)</w:t>
      </w:r>
      <w:r w:rsidR="0049577B" w:rsidRPr="00525791">
        <w:rPr>
          <w:rStyle w:val="af7"/>
          <w:rFonts w:eastAsia="新細明體"/>
          <w:sz w:val="20"/>
          <w:lang w:eastAsia="zh-HK"/>
        </w:rPr>
        <w:footnoteReference w:id="438"/>
      </w:r>
    </w:p>
    <w:p w:rsidR="002A46F3" w:rsidRPr="00B40DC1" w:rsidRDefault="002A46F3" w:rsidP="00525791">
      <w:pPr>
        <w:spacing w:line="240" w:lineRule="auto"/>
        <w:ind w:leftChars="0" w:left="0" w:rightChars="0" w:right="0"/>
        <w:rPr>
          <w:lang w:eastAsia="zh-HK"/>
        </w:rPr>
      </w:pPr>
    </w:p>
    <w:p w:rsidR="0049577B" w:rsidRPr="00B40DC1" w:rsidRDefault="00306B20" w:rsidP="00306B20">
      <w:pPr>
        <w:jc w:val="right"/>
        <w:rPr>
          <w:lang w:eastAsia="zh-HK"/>
        </w:rPr>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0D26BB">
      <w:pPr>
        <w:rPr>
          <w:lang w:eastAsia="zh-HK"/>
        </w:rPr>
      </w:pPr>
      <w:r w:rsidRPr="00B40DC1">
        <w:rPr>
          <w:noProof/>
        </w:rPr>
        <w:drawing>
          <wp:inline distT="0" distB="0" distL="0" distR="0" wp14:anchorId="31EE7991" wp14:editId="24BA8DA3">
            <wp:extent cx="4905059" cy="4435749"/>
            <wp:effectExtent l="0" t="0" r="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903497" cy="4434336"/>
                    </a:xfrm>
                    <a:prstGeom prst="rect">
                      <a:avLst/>
                    </a:prstGeom>
                    <a:noFill/>
                    <a:ln>
                      <a:noFill/>
                    </a:ln>
                  </pic:spPr>
                </pic:pic>
              </a:graphicData>
            </a:graphic>
          </wp:inline>
        </w:drawing>
      </w:r>
    </w:p>
    <w:p w:rsidR="0049577B" w:rsidRPr="00B40DC1" w:rsidRDefault="0049577B" w:rsidP="001C1E6A">
      <w:pPr>
        <w:pStyle w:val="4"/>
        <w:rPr>
          <w:lang w:eastAsia="zh-TW"/>
        </w:rPr>
      </w:pPr>
      <w:r w:rsidRPr="00B40DC1">
        <w:rPr>
          <w:lang w:eastAsia="zh-TW"/>
        </w:rPr>
        <w:t>圖四、「新經濟移民法」中階外籍技術人力之居留與歸化圖示</w:t>
      </w:r>
    </w:p>
    <w:p w:rsidR="0049577B" w:rsidRPr="00B40DC1" w:rsidRDefault="00817A92" w:rsidP="00525791">
      <w:pPr>
        <w:spacing w:line="240" w:lineRule="auto"/>
        <w:ind w:leftChars="0" w:left="0" w:rightChars="0" w:right="0"/>
        <w:rPr>
          <w:lang w:eastAsia="zh-HK"/>
        </w:rPr>
      </w:pPr>
      <w:r>
        <w:rPr>
          <w:lang w:eastAsia="zh-HK"/>
        </w:rPr>
        <w:t>【資料來源】</w:t>
      </w:r>
      <w:r w:rsidR="0049577B" w:rsidRPr="00B40DC1">
        <w:rPr>
          <w:lang w:eastAsia="zh-HK"/>
        </w:rPr>
        <w:t>行政院賴院長記者會(2018)，新經濟移民法規劃重點記者會(20180515簡報)</w:t>
      </w:r>
      <w:r w:rsidR="0049577B" w:rsidRPr="00525791">
        <w:rPr>
          <w:rStyle w:val="af7"/>
          <w:rFonts w:eastAsia="新細明體"/>
          <w:sz w:val="20"/>
          <w:lang w:eastAsia="zh-HK"/>
        </w:rPr>
        <w:footnoteReference w:id="439"/>
      </w:r>
    </w:p>
    <w:p w:rsidR="0049577B" w:rsidRPr="00B40DC1" w:rsidRDefault="0049577B" w:rsidP="000D26BB">
      <w:pPr>
        <w:rPr>
          <w:lang w:eastAsia="zh-HK"/>
        </w:rPr>
      </w:pPr>
    </w:p>
    <w:p w:rsidR="0049577B" w:rsidRPr="00B40DC1" w:rsidRDefault="0049577B" w:rsidP="000D26BB">
      <w:pPr>
        <w:rPr>
          <w:lang w:eastAsia="zh-HK"/>
        </w:rPr>
      </w:pPr>
      <w:r w:rsidRPr="00B40DC1">
        <w:rPr>
          <w:noProof/>
        </w:rPr>
        <w:drawing>
          <wp:inline distT="0" distB="0" distL="0" distR="0" wp14:anchorId="23D87784" wp14:editId="426DB980">
            <wp:extent cx="4714307" cy="5044340"/>
            <wp:effectExtent l="0" t="0" r="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721056" cy="5051561"/>
                    </a:xfrm>
                    <a:prstGeom prst="rect">
                      <a:avLst/>
                    </a:prstGeom>
                    <a:noFill/>
                    <a:ln>
                      <a:noFill/>
                    </a:ln>
                  </pic:spPr>
                </pic:pic>
              </a:graphicData>
            </a:graphic>
          </wp:inline>
        </w:drawing>
      </w:r>
    </w:p>
    <w:p w:rsidR="0049577B" w:rsidRPr="00B40DC1" w:rsidRDefault="0049577B" w:rsidP="001C1E6A">
      <w:pPr>
        <w:pStyle w:val="4"/>
        <w:rPr>
          <w:lang w:eastAsia="zh-TW"/>
        </w:rPr>
      </w:pPr>
      <w:r w:rsidRPr="00B40DC1">
        <w:rPr>
          <w:lang w:eastAsia="zh-TW"/>
        </w:rPr>
        <w:t>圖五、「新經濟移民法」中階外籍技術人力之評點制圖示</w:t>
      </w:r>
    </w:p>
    <w:p w:rsidR="0049577B" w:rsidRPr="00B40DC1" w:rsidRDefault="00817A92" w:rsidP="00525791">
      <w:pPr>
        <w:spacing w:line="240" w:lineRule="auto"/>
        <w:ind w:leftChars="0" w:left="0" w:rightChars="0" w:right="0"/>
        <w:rPr>
          <w:lang w:eastAsia="zh-HK"/>
        </w:rPr>
      </w:pPr>
      <w:r>
        <w:rPr>
          <w:lang w:eastAsia="zh-HK"/>
        </w:rPr>
        <w:t>【資料來源】</w:t>
      </w:r>
      <w:r w:rsidR="0049577B" w:rsidRPr="00B40DC1">
        <w:rPr>
          <w:lang w:eastAsia="zh-HK"/>
        </w:rPr>
        <w:t>行政院賴院長記者會(2018)，新經濟移民法規劃重點記者會(20180515簡報)</w:t>
      </w:r>
      <w:r w:rsidR="0049577B" w:rsidRPr="00525791">
        <w:rPr>
          <w:rStyle w:val="af7"/>
          <w:rFonts w:eastAsia="新細明體"/>
          <w:sz w:val="20"/>
          <w:lang w:eastAsia="zh-HK"/>
        </w:rPr>
        <w:footnoteReference w:id="440"/>
      </w:r>
    </w:p>
    <w:p w:rsidR="0049577B" w:rsidRPr="00B40DC1" w:rsidRDefault="00306B20" w:rsidP="00306B20">
      <w:pPr>
        <w:jc w:val="right"/>
        <w:rPr>
          <w:lang w:eastAsia="zh-HK"/>
        </w:rPr>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0D26BB">
      <w:pPr>
        <w:rPr>
          <w:lang w:eastAsia="zh-HK"/>
        </w:rPr>
      </w:pPr>
      <w:r w:rsidRPr="00B40DC1">
        <w:rPr>
          <w:noProof/>
        </w:rPr>
        <w:drawing>
          <wp:inline distT="0" distB="0" distL="0" distR="0" wp14:anchorId="06724656" wp14:editId="6900F4C2">
            <wp:extent cx="4662834" cy="4562917"/>
            <wp:effectExtent l="0" t="0" r="4445"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666899" cy="4566895"/>
                    </a:xfrm>
                    <a:prstGeom prst="rect">
                      <a:avLst/>
                    </a:prstGeom>
                    <a:noFill/>
                    <a:ln>
                      <a:noFill/>
                    </a:ln>
                  </pic:spPr>
                </pic:pic>
              </a:graphicData>
            </a:graphic>
          </wp:inline>
        </w:drawing>
      </w:r>
    </w:p>
    <w:p w:rsidR="0049577B" w:rsidRPr="00B40DC1" w:rsidRDefault="0049577B" w:rsidP="00E84370">
      <w:pPr>
        <w:pStyle w:val="4"/>
        <w:rPr>
          <w:lang w:eastAsia="zh-TW"/>
        </w:rPr>
      </w:pPr>
      <w:r w:rsidRPr="00B40DC1">
        <w:rPr>
          <w:lang w:eastAsia="zh-TW"/>
        </w:rPr>
        <w:t>圖六、「新經濟移民法」投資移民機制之圖示</w:t>
      </w:r>
    </w:p>
    <w:p w:rsidR="0049577B" w:rsidRPr="00E84370" w:rsidRDefault="00817A92" w:rsidP="00E84370">
      <w:pPr>
        <w:spacing w:line="240" w:lineRule="auto"/>
        <w:ind w:leftChars="0" w:left="0" w:rightChars="0" w:right="0"/>
      </w:pPr>
      <w:r w:rsidRPr="00E84370">
        <w:t>【資料來源】</w:t>
      </w:r>
      <w:r w:rsidR="0049577B" w:rsidRPr="00E84370">
        <w:t>行政院賴院長記者會(2018)，新經濟移民法規劃重點記者會(20180515簡報)</w:t>
      </w:r>
      <w:r w:rsidR="0049577B" w:rsidRPr="00E84370">
        <w:rPr>
          <w:rFonts w:ascii="Arial Unicode MS" w:eastAsia="新細明體" w:hAnsi="Arial Unicode MS"/>
          <w:color w:val="FF6600"/>
          <w:sz w:val="20"/>
        </w:rPr>
        <w:footnoteReference w:id="441"/>
      </w:r>
    </w:p>
    <w:p w:rsidR="00306B20" w:rsidRDefault="00306B20" w:rsidP="00306B20">
      <w:pPr>
        <w:spacing w:line="240" w:lineRule="auto"/>
        <w:ind w:leftChars="0" w:left="0" w:rightChars="0" w:right="0"/>
        <w:jc w:val="right"/>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E84370" w:rsidRDefault="00E84370" w:rsidP="00FE312B">
      <w:pPr>
        <w:spacing w:line="240" w:lineRule="auto"/>
        <w:ind w:leftChars="0" w:left="0" w:rightChars="0" w:right="0"/>
      </w:pPr>
      <w:r>
        <w:t xml:space="preserve">　　</w:t>
      </w:r>
      <w:r w:rsidR="0049577B" w:rsidRPr="00E84370">
        <w:t>目前外國人即使取得我國永久居留權我們仍有設限，在臺灣仍有居住上的限制，需要每年居住183天，若沒辦法配合要事先跟移民事務組報備，目前這在法律上已經開始做放寬限制並做修法，如果因出國就學、就醫或其他特殊原因，若有事前報備，2年若沒累積住183天，才會取消申請者的永久居留資格。未來將修法的方向是連續5年內，如果有上述原因有事前報備，若沒有在臺灣累積住183天，才會取消永久居留資格，目前這是目前在立法院第八屆第七會期優先審議法案。(A-2-3)</w:t>
      </w:r>
    </w:p>
    <w:p w:rsidR="0049577B" w:rsidRPr="00E84370" w:rsidRDefault="00E84370" w:rsidP="00FE312B">
      <w:pPr>
        <w:spacing w:line="240" w:lineRule="auto"/>
        <w:ind w:leftChars="0" w:left="0" w:rightChars="0" w:right="0"/>
      </w:pPr>
      <w:r>
        <w:t xml:space="preserve">　　</w:t>
      </w:r>
      <w:r w:rsidR="0049577B" w:rsidRPr="00E84370">
        <w:t>在我國梅花卡永久居留的申請方面，針對專業人才及重大貢獻的申請者，目前政府未收規費，但針對投資的申請者要收證件規費新台幣一萬元。另外一般永久居留證要申請也是要收證件規費新台幣一萬元。(A-4-1)</w:t>
      </w:r>
    </w:p>
    <w:p w:rsidR="0049577B" w:rsidRPr="00E84370" w:rsidRDefault="00E84370" w:rsidP="00FE312B">
      <w:pPr>
        <w:spacing w:line="240" w:lineRule="auto"/>
        <w:ind w:leftChars="0" w:left="0" w:rightChars="0" w:right="0"/>
      </w:pPr>
      <w:r>
        <w:t xml:space="preserve">　　</w:t>
      </w:r>
      <w:r w:rsidR="0049577B" w:rsidRPr="00E84370">
        <w:t>梅花卡永久居留是一種身份的給予，是一個榮譽的象徵，可吸引世界各國的專業人才來臺灣，我國專技移民這套遴選制度可以攬才，吸引世界各國優秀的人才來臺灣，只要符合條件都能作申請，吸引專業人才能提高國家競爭力。(A-4-2)</w:t>
      </w:r>
    </w:p>
    <w:p w:rsidR="0049577B" w:rsidRPr="00E84370" w:rsidRDefault="00E84370" w:rsidP="00FE312B">
      <w:pPr>
        <w:spacing w:line="240" w:lineRule="auto"/>
        <w:ind w:leftChars="0" w:left="0" w:rightChars="0" w:right="0"/>
      </w:pPr>
      <w:r>
        <w:t xml:space="preserve">　　</w:t>
      </w:r>
      <w:r w:rsidR="0049577B" w:rsidRPr="00E84370">
        <w:t>若申請人本身在臺灣就有在工作，本來居留在臺灣得受制於聘約，但現在有了梅花卡永久居留，不用受制於聘約，讓當事人可以更安心在臺灣居留及工作，這也是給申請人的優惠，這是優勢的部份。(A-4-3)</w:t>
      </w:r>
    </w:p>
    <w:p w:rsidR="0049577B" w:rsidRPr="00E84370" w:rsidRDefault="00E84370" w:rsidP="00FE312B">
      <w:pPr>
        <w:spacing w:line="240" w:lineRule="auto"/>
        <w:ind w:leftChars="0" w:left="0" w:rightChars="0" w:right="0"/>
      </w:pPr>
      <w:r>
        <w:t xml:space="preserve">　　</w:t>
      </w:r>
      <w:r w:rsidR="0049577B" w:rsidRPr="00E84370">
        <w:t>我國專技移民政策上的優勢，我國政策較寬鬆，這世界是搶人時代，在大陸、日本、韓國、新加坡，這幾個地方離我們最近也都在搶人才，我們專技移民是比較低標的…，我國法令規定還算完善…。(B-4-1)</w:t>
      </w:r>
    </w:p>
    <w:p w:rsidR="0049577B" w:rsidRPr="00E84370" w:rsidRDefault="00E84370" w:rsidP="00FE312B">
      <w:pPr>
        <w:spacing w:line="240" w:lineRule="auto"/>
        <w:ind w:leftChars="0" w:left="0" w:rightChars="0" w:right="0"/>
      </w:pPr>
      <w:r>
        <w:t xml:space="preserve">　　</w:t>
      </w:r>
      <w:r w:rsidR="0049577B" w:rsidRPr="00E84370">
        <w:t>最近我們針對攬才的部份有修了</w:t>
      </w:r>
      <w:hyperlink r:id="rId346" w:history="1">
        <w:r w:rsidR="005B7477" w:rsidRPr="00966D02">
          <w:rPr>
            <w:rStyle w:val="a7"/>
            <w:rFonts w:cs="Times New Roman"/>
            <w:lang w:eastAsia="zh-TW" w:bidi="ar-SA"/>
          </w:rPr>
          <w:t>入出國移民法</w:t>
        </w:r>
      </w:hyperlink>
      <w:r w:rsidR="0049577B" w:rsidRPr="00E84370">
        <w:t>，這個版本在這個會期還沒通過，還在立法院裡面，從去年103年11月就已經送到立法院裡面了。所以這攬才版本主要是說申請人那些高階人才來臺灣的話，我們會開放讓他的配偶子女一起有居留的權利，及相對於那些無國籍國民也會開放一些權利，整個</w:t>
      </w:r>
      <w:hyperlink r:id="rId347" w:history="1">
        <w:r w:rsidR="00E06828" w:rsidRPr="00461F58">
          <w:rPr>
            <w:rStyle w:val="a7"/>
            <w:rFonts w:cs="Times New Roman"/>
            <w:lang w:eastAsia="zh-TW" w:bidi="ar-SA"/>
          </w:rPr>
          <w:t>移民法</w:t>
        </w:r>
      </w:hyperlink>
      <w:r w:rsidR="0049577B" w:rsidRPr="00E84370">
        <w:t>也會配合開放，這整個方案就是放在育才留才攬才裡面。(D-2-5)</w:t>
      </w:r>
    </w:p>
    <w:p w:rsidR="0049577B" w:rsidRPr="00E84370" w:rsidRDefault="00E84370" w:rsidP="00FE312B">
      <w:pPr>
        <w:spacing w:line="240" w:lineRule="auto"/>
        <w:ind w:leftChars="0" w:left="0" w:rightChars="0" w:right="0"/>
      </w:pPr>
      <w:r>
        <w:t xml:space="preserve">　　</w:t>
      </w:r>
      <w:r w:rsidR="0049577B" w:rsidRPr="00E84370">
        <w:t>其實在政策上優勢，其實臺灣是很敢去訂政策，別的國家有的，我們覺得OK的，我們也很敢去訂，我們的政府機關的配合度很高，只要行政院的政策訂出來，所有的政府機關都會去推，我們行政機關的行政效能很不錯，這是優勢。以政府的立場，我們是很敢去訂政策。(D-4-1)</w:t>
      </w:r>
    </w:p>
    <w:p w:rsidR="0049577B" w:rsidRPr="00E84370" w:rsidRDefault="00E84370" w:rsidP="00FE312B">
      <w:pPr>
        <w:spacing w:line="240" w:lineRule="auto"/>
        <w:ind w:leftChars="0" w:left="0" w:rightChars="0" w:right="0"/>
      </w:pPr>
      <w:r>
        <w:t xml:space="preserve">　　</w:t>
      </w:r>
      <w:r w:rsidR="0049577B" w:rsidRPr="00E84370">
        <w:t>僑生評點制是比較單純的，它的立意很明白，就是為了幫2年工作經驗及薪水最低門檻解套做解套，所以用一個評點制。(D-7-1)</w:t>
      </w:r>
    </w:p>
    <w:p w:rsidR="0049577B" w:rsidRPr="00E84370" w:rsidRDefault="00E84370" w:rsidP="00112EF1">
      <w:pPr>
        <w:spacing w:line="240" w:lineRule="auto"/>
        <w:ind w:leftChars="0" w:left="0" w:rightChars="0" w:right="0"/>
      </w:pPr>
      <w:r>
        <w:t xml:space="preserve">　　</w:t>
      </w:r>
      <w:r w:rsidR="0049577B" w:rsidRPr="00E84370">
        <w:t>那目前梅花卡的它的一個遴選方式，是聯審會在審查的。梅花卡的母法第25條第3項，就是這個，它有一個審查基準。我國在採用聯審會這個機制的優點就是它很彈性啊，聯審會第一個就很有彈性嘛，它可以找公正人事來審嘛，而且經濟實惠啊，你不用另外再設計一套評點制啊。(F-3-5)</w:t>
      </w:r>
    </w:p>
    <w:p w:rsidR="0049577B" w:rsidRPr="00E84370" w:rsidRDefault="00E84370" w:rsidP="00FE312B">
      <w:pPr>
        <w:spacing w:line="240" w:lineRule="auto"/>
        <w:ind w:leftChars="0" w:left="0" w:rightChars="0" w:right="0"/>
      </w:pPr>
      <w:r>
        <w:t xml:space="preserve">　　</w:t>
      </w:r>
      <w:r w:rsidR="0049577B" w:rsidRPr="00E84370">
        <w:t>我們的專技移民在政策上的優勢，就是很鬆。就是法規面很鬆，也沒有什麼政策啊，因為我不知道有什麼政策。你只要是符合</w:t>
      </w:r>
      <w:hyperlink r:id="rId348" w:history="1">
        <w:r w:rsidR="00B4647C" w:rsidRPr="00B4647C">
          <w:rPr>
            <w:rStyle w:val="a7"/>
            <w:rFonts w:cs="Times New Roman"/>
            <w:lang w:eastAsia="zh-TW" w:bidi="ar-SA"/>
          </w:rPr>
          <w:t>就業服務法</w:t>
        </w:r>
      </w:hyperlink>
      <w:r w:rsidR="0049577B" w:rsidRPr="00E84370">
        <w:t>那幾個，你都可以來申請居留，那你不覺得很鬆嗎?(F-4-1)</w:t>
      </w:r>
    </w:p>
    <w:p w:rsidR="0049577B" w:rsidRPr="00E84370" w:rsidRDefault="00E84370" w:rsidP="00FE312B">
      <w:pPr>
        <w:spacing w:line="240" w:lineRule="auto"/>
        <w:ind w:leftChars="0" w:left="0" w:rightChars="0" w:right="0"/>
      </w:pPr>
      <w:r>
        <w:t xml:space="preserve">　　</w:t>
      </w:r>
      <w:r w:rsidR="0049577B" w:rsidRPr="00E84370">
        <w:t>除此之外，其他的話，跟其他國家比較，如果是來講我國的政策，在某一方面來講是算非常有彈性，我們不用經過居留的階段，只要符合，你願意提出來了，那我們認為可以的，通過我們就直接給他梅花卡的永久居留。這個比起其他國家來講，我們的一個政策上的一個優勢啦。(G-4-2)</w:t>
      </w:r>
    </w:p>
    <w:p w:rsidR="0049577B" w:rsidRPr="00E84370" w:rsidRDefault="00E84370" w:rsidP="00FE312B">
      <w:pPr>
        <w:spacing w:line="240" w:lineRule="auto"/>
        <w:ind w:leftChars="0" w:left="0" w:rightChars="0" w:right="0"/>
      </w:pPr>
      <w:r>
        <w:t xml:space="preserve">　　</w:t>
      </w:r>
      <w:r w:rsidR="0049577B" w:rsidRPr="00E84370">
        <w:t>我國在移民政策上專技移民上的優勢，我們有永久居留證之外我們還有梅花卡嘛。像美國它沒有說你機場可以快速通關啊，我們還可以機場快速通關，就是說你拿到學術商務卡的時候，就是很方便。(H-4-1)</w:t>
      </w:r>
    </w:p>
    <w:p w:rsidR="0049577B" w:rsidRPr="00E84370" w:rsidRDefault="00E84370" w:rsidP="00FE312B">
      <w:pPr>
        <w:spacing w:line="240" w:lineRule="auto"/>
        <w:ind w:leftChars="0" w:left="0" w:rightChars="0" w:right="0"/>
      </w:pPr>
      <w:r>
        <w:t xml:space="preserve">　　</w:t>
      </w:r>
      <w:r w:rsidR="0049577B" w:rsidRPr="00E84370">
        <w:t>(三)梅花卡審查機制有利於發現人才之優勢</w:t>
      </w:r>
    </w:p>
    <w:p w:rsidR="0049577B" w:rsidRPr="00E84370" w:rsidRDefault="00FE312B" w:rsidP="00FE312B">
      <w:pPr>
        <w:spacing w:line="240" w:lineRule="auto"/>
        <w:ind w:leftChars="0" w:left="0" w:rightChars="0" w:right="0"/>
      </w:pPr>
      <w:r>
        <w:t xml:space="preserve">　　</w:t>
      </w:r>
      <w:r w:rsidR="0049577B" w:rsidRPr="00E84370">
        <w:t>梅花卡透過審查機制較彈性化，可有討論空間，藉由審查會中委員們之專業討論及審查，可以依申請個案之專業背景一一作審查及討論，這有利於人才之發現，並能適時地給予我國需要之外國籍技術人才永久居留權，這利於我國留才及攬才。</w:t>
      </w:r>
    </w:p>
    <w:p w:rsidR="0049577B" w:rsidRPr="00E84370" w:rsidRDefault="00E84370" w:rsidP="00FE312B">
      <w:pPr>
        <w:spacing w:line="240" w:lineRule="auto"/>
        <w:ind w:leftChars="0" w:left="0" w:rightChars="0" w:right="0"/>
      </w:pPr>
      <w:r>
        <w:t xml:space="preserve">　　</w:t>
      </w:r>
      <w:r w:rsidR="0049577B" w:rsidRPr="00E84370">
        <w:t>我覺得梅花卡審查會有一個優點就是說我可以瞭解這個人的特質。那也許說我們以前國家從來沒有發現這個人才，那因為今天透過他來申請，我們發覺到我們國內竟然有這樣的一個外國人在我們國內。…所以其實這一套審查制，也有它的一個優勢，就是說可以找出原來其實還是有這些人才的存在這樣子，只是沒有去善用這人才資料庫。(C-4-1)</w:t>
      </w:r>
    </w:p>
    <w:p w:rsidR="0049577B" w:rsidRPr="00E84370" w:rsidRDefault="00E84370" w:rsidP="00FE312B">
      <w:pPr>
        <w:spacing w:line="240" w:lineRule="auto"/>
        <w:ind w:leftChars="0" w:left="0" w:rightChars="0" w:right="0"/>
      </w:pPr>
      <w:r>
        <w:t xml:space="preserve">　　</w:t>
      </w:r>
      <w:r w:rsidR="0049577B" w:rsidRPr="00E84370">
        <w:t>優點的話就是跟計分制是反過來的，它可以去撈到一些計分制撈不進來的人，因為它不用被制度綁得死死的，可經過人的討論，有些人的比較專業部份的人，若用計分制的話，人的專業性可能在計分制上是看不出來的，可是他又是很重要的，這些專業部份的人就能在會議中提出這重點是哪，比如說國外律師很不好考呀，但計分制看不出來國外律師不好考，若這些重點被提出來，經過人的討論會比較理性去接受讓申請者進來的話，這是優點，就不會是死板板的。(D-3-10)</w:t>
      </w:r>
    </w:p>
    <w:p w:rsidR="0049577B" w:rsidRPr="00E84370" w:rsidRDefault="00E84370" w:rsidP="00FE312B">
      <w:pPr>
        <w:spacing w:line="240" w:lineRule="auto"/>
        <w:ind w:leftChars="0" w:left="0" w:rightChars="0" w:right="0"/>
      </w:pPr>
      <w:r>
        <w:t xml:space="preserve">　　</w:t>
      </w:r>
      <w:r w:rsidR="0049577B" w:rsidRPr="00E84370">
        <w:t>審查制的優點就是比較彈性，也可以兼顧專業啦。譬如說有一些他在國外的大學教書的啊，那我們就會請教育部，教育部它自己會有辦法審。之前有中研院的院士來申請梅花卡，我們就請中研院表示意見就可以了。(F-4-2)</w:t>
      </w:r>
    </w:p>
    <w:p w:rsidR="0049577B" w:rsidRPr="00E84370" w:rsidRDefault="00E84370" w:rsidP="00FE312B">
      <w:pPr>
        <w:spacing w:line="240" w:lineRule="auto"/>
        <w:ind w:leftChars="0" w:left="0" w:rightChars="0" w:right="0"/>
      </w:pPr>
      <w:r>
        <w:t xml:space="preserve">　　</w:t>
      </w:r>
      <w:r w:rsidR="0049577B" w:rsidRPr="00E84370">
        <w:t>(四)申請梅花卡永久居留不需有居留期間限制及繳納規費之優勢</w:t>
      </w:r>
    </w:p>
    <w:p w:rsidR="0049577B" w:rsidRPr="00E84370" w:rsidRDefault="00E84370" w:rsidP="00FE312B">
      <w:pPr>
        <w:spacing w:line="240" w:lineRule="auto"/>
        <w:ind w:leftChars="0" w:left="0" w:rightChars="0" w:right="0"/>
      </w:pPr>
      <w:r>
        <w:t xml:space="preserve">　　</w:t>
      </w:r>
      <w:r w:rsidR="0049577B" w:rsidRPr="00E84370">
        <w:t>目前外國人欲申請我國永久居留可循兩種途徑，一種為一般永久居留，在臺灣居留5年，每年住滿183天即可申請永久居留，申請時需付規費新臺幣一萬元；另一種為申請梅花卡之永久居留，申請者先前不需要在臺灣有居住期限之規定，僅要符合梅花卡申請之要件，可直接提出梅花卡永久居留申請，並無須繳納任何規費。</w:t>
      </w:r>
    </w:p>
    <w:p w:rsidR="0049577B" w:rsidRPr="00E84370" w:rsidRDefault="00E84370" w:rsidP="00FE312B">
      <w:pPr>
        <w:spacing w:line="240" w:lineRule="auto"/>
        <w:ind w:leftChars="0" w:left="0" w:rightChars="0" w:right="0"/>
      </w:pPr>
      <w:r>
        <w:t xml:space="preserve">　　</w:t>
      </w:r>
      <w:r w:rsidR="0049577B" w:rsidRPr="00E84370">
        <w:t>若申請人本身在臺灣就有在工作，本來居留在臺灣得受制於聘約，但現在有了梅花卡永久居留，不用受制於聘約，讓當事人可以更安心在臺灣居留及工作，這也是給申請人的優惠，這是優勢的部份。(A-4-3)</w:t>
      </w:r>
    </w:p>
    <w:p w:rsidR="0049577B" w:rsidRPr="00E84370" w:rsidRDefault="00E84370" w:rsidP="00FE312B">
      <w:pPr>
        <w:spacing w:line="240" w:lineRule="auto"/>
        <w:ind w:leftChars="0" w:left="0" w:rightChars="0" w:right="0"/>
      </w:pPr>
      <w:r>
        <w:t xml:space="preserve">　　</w:t>
      </w:r>
      <w:r w:rsidR="0049577B" w:rsidRPr="00E84370">
        <w:t>兩套制度，梅花卡永久居留比一般永久居留有多了什麼優惠沒有，梅花卡永久居留只是一種尊榮，可以馬上拿永久居留而已…，一般永久居留是5年住183天。</w:t>
      </w:r>
      <w:r w:rsidR="003C1792" w:rsidRPr="00E84370">
        <w:t>(</w:t>
      </w:r>
      <w:r w:rsidR="0049577B" w:rsidRPr="00E84370">
        <w:t>B-5-3)</w:t>
      </w:r>
    </w:p>
    <w:p w:rsidR="0049577B" w:rsidRPr="00E84370" w:rsidRDefault="00E84370" w:rsidP="00FE312B">
      <w:pPr>
        <w:spacing w:line="240" w:lineRule="auto"/>
        <w:ind w:leftChars="0" w:left="0" w:rightChars="0" w:right="0"/>
      </w:pPr>
      <w:r>
        <w:t xml:space="preserve">　　</w:t>
      </w:r>
      <w:r w:rsidR="0049577B" w:rsidRPr="00E84370">
        <w:t>會來申請的都是幾乎，因為一個好處就它免費，不用規費。除了申請一般永久居留要規費一萬元，那如果我有這個梅花卡的申請資格，我又可以省一萬元，那我就來申請看看，而且外國人他們會覺得，這個梅花卡比較讓我那種榮耀感，好像金卡銀卡鑽石卡，所以我這個是鑽石卡才有的榮譽，會這樣子。(C-2-3)</w:t>
      </w:r>
    </w:p>
    <w:p w:rsidR="0049577B" w:rsidRPr="00E84370" w:rsidRDefault="00E84370" w:rsidP="00FE312B">
      <w:pPr>
        <w:spacing w:line="240" w:lineRule="auto"/>
        <w:ind w:leftChars="0" w:left="0" w:rightChars="0" w:right="0"/>
      </w:pPr>
      <w:r>
        <w:t xml:space="preserve">　　</w:t>
      </w:r>
      <w:r w:rsidR="0049577B" w:rsidRPr="00E84370">
        <w:t>申請梅花卡的永久居留比申請一般永久居留好在於免費。然後卡上有一朵梅花。榮譽的象徵，但其他都一樣。然後它就是等於永久居留，它只是好在你就是直接取得，不用跟人家等3年或者5年，可以直接取得。(C-4-2)</w:t>
      </w:r>
    </w:p>
    <w:p w:rsidR="0049577B" w:rsidRPr="00E84370" w:rsidRDefault="00E84370" w:rsidP="00FE312B">
      <w:pPr>
        <w:spacing w:line="240" w:lineRule="auto"/>
        <w:ind w:leftChars="0" w:left="0" w:rightChars="0" w:right="0"/>
      </w:pPr>
      <w:r>
        <w:t xml:space="preserve">　　</w:t>
      </w:r>
      <w:r w:rsidR="0049577B" w:rsidRPr="00E84370">
        <w:t>所謂的一個專技移民比較高階無法取代的，它反而是比如說他到一個移民國家，他甚至於給他永久居留的這一種。所以在我國就是白領嘛。就我國這一部份的話，比較像的就是那個梅花卡這一個部份，特殊專長啊。高級專業人才嘛，外國人對我國有特殊貢獻高級人才及投資移民，那專技移民應該是屬於高級專業人才嘛，對不對?最像專技移民的地方就是這個，這個直接給永久居留了。(F-3-4)</w:t>
      </w:r>
    </w:p>
    <w:p w:rsidR="0049577B" w:rsidRPr="00E84370" w:rsidRDefault="00E84370" w:rsidP="00FE312B">
      <w:pPr>
        <w:spacing w:line="240" w:lineRule="auto"/>
        <w:ind w:leftChars="0" w:left="0" w:rightChars="0" w:right="0"/>
      </w:pPr>
      <w:r>
        <w:t xml:space="preserve">　　</w:t>
      </w:r>
      <w:r w:rsidR="0049577B" w:rsidRPr="00E84370">
        <w:t>就是說你這些學有專長的這些專技人才，你要來臺灣，你不一定要居留，也許你用停留，你也可以進來，你只要在國外有輝煌的成就，你有異於常人的一個特殊專長，那你把你的相關資料提到我們國家來，不管你年齡，原則上我們都希望你來，那你來之後我們就希望透過一個審查會，那當時不就定了一個所謂作業要點，跟一個那個所謂的SOP，讓這些人可以拿到所謂的一個梅花卡。(G-2-2)</w:t>
      </w:r>
    </w:p>
    <w:p w:rsidR="0049577B" w:rsidRPr="00E84370" w:rsidRDefault="00E84370" w:rsidP="00FE312B">
      <w:pPr>
        <w:spacing w:line="240" w:lineRule="auto"/>
        <w:ind w:leftChars="0" w:left="0" w:rightChars="0" w:right="0"/>
      </w:pPr>
      <w:r>
        <w:t xml:space="preserve">　　</w:t>
      </w:r>
      <w:r w:rsidR="0049577B" w:rsidRPr="00E84370">
        <w:t>那梅花卡其實是比較永久居留，可以在國內無限期的一個居留。那除非有出境，有報備另當別論。…他其實就是為了，特殊貢獻及專技人才的部份不限在臺灣是否有居留年限。(G-2-3)</w:t>
      </w:r>
    </w:p>
    <w:p w:rsidR="0049577B" w:rsidRPr="00E84370" w:rsidRDefault="00E84370" w:rsidP="00FE312B">
      <w:pPr>
        <w:spacing w:line="240" w:lineRule="auto"/>
        <w:ind w:leftChars="0" w:left="0" w:rightChars="0" w:right="0"/>
      </w:pPr>
      <w:r>
        <w:t xml:space="preserve">　　</w:t>
      </w:r>
      <w:r w:rsidR="0049577B" w:rsidRPr="00E84370">
        <w:t>(五)享有全民健保及勞工保險之優勢</w:t>
      </w:r>
    </w:p>
    <w:p w:rsidR="0049577B" w:rsidRPr="00E84370" w:rsidRDefault="00E84370" w:rsidP="00FE312B">
      <w:pPr>
        <w:spacing w:line="240" w:lineRule="auto"/>
        <w:ind w:leftChars="0" w:left="0" w:rightChars="0" w:right="0"/>
      </w:pPr>
      <w:r>
        <w:t xml:space="preserve">　　</w:t>
      </w:r>
      <w:r w:rsidR="0049577B" w:rsidRPr="00E84370">
        <w:t>全民健康保險</w:t>
      </w:r>
      <w:r w:rsidR="002D4379" w:rsidRPr="00B40DC1">
        <w:t>法</w:t>
      </w:r>
      <w:hyperlink r:id="rId349" w:anchor="b8" w:history="1">
        <w:r w:rsidR="002D4379" w:rsidRPr="003C20F7">
          <w:rPr>
            <w:rStyle w:val="a7"/>
            <w:rFonts w:cs="Times New Roman"/>
            <w:lang w:eastAsia="zh-TW" w:bidi="ar-SA"/>
          </w:rPr>
          <w:t>第8條</w:t>
        </w:r>
      </w:hyperlink>
      <w:r w:rsidR="0049577B" w:rsidRPr="00E84370">
        <w:t>規定具中華民國國籍者能納保之外，</w:t>
      </w:r>
      <w:hyperlink r:id="rId350" w:anchor="b9" w:history="1">
        <w:r w:rsidR="0049577B" w:rsidRPr="002D4379">
          <w:rPr>
            <w:rStyle w:val="a7"/>
            <w:rFonts w:cs="Times New Roman"/>
            <w:lang w:eastAsia="zh-TW" w:bidi="ar-SA"/>
          </w:rPr>
          <w:t>第9條</w:t>
        </w:r>
      </w:hyperlink>
      <w:r w:rsidR="0049577B" w:rsidRPr="00E84370">
        <w:t>亦明定持有居留證之外籍人士，若在臺居留滿6個月或有雇主之受雇者，亦得參加全民健保。另依勞工保險條例</w:t>
      </w:r>
      <w:hyperlink r:id="rId351" w:anchor="a6" w:history="1">
        <w:r w:rsidR="0049577B" w:rsidRPr="00FE312B">
          <w:rPr>
            <w:rStyle w:val="a7"/>
            <w:rFonts w:cs="Times New Roman"/>
            <w:lang w:eastAsia="zh-TW" w:bidi="ar-SA"/>
          </w:rPr>
          <w:t>第6條</w:t>
        </w:r>
      </w:hyperlink>
      <w:r w:rsidR="0049577B" w:rsidRPr="00E84370">
        <w:t>第3項規定，在職外國籍員工亦可參加勞工保險，且為強制投保對象。目前在臺灣工作之外籍人士所繳納之全民健保費用及勞工保險費用，並未超過於其所能負擔，但其保障卻是很大，相較於其他國家，這是臺灣給予外籍從業人員之福利。</w:t>
      </w:r>
    </w:p>
    <w:p w:rsidR="0049577B" w:rsidRPr="00E84370" w:rsidRDefault="00E84370" w:rsidP="00FE312B">
      <w:pPr>
        <w:spacing w:line="240" w:lineRule="auto"/>
        <w:ind w:leftChars="0" w:left="0" w:rightChars="0" w:right="0"/>
      </w:pPr>
      <w:r>
        <w:t xml:space="preserve">　　</w:t>
      </w:r>
      <w:r w:rsidR="0049577B" w:rsidRPr="00E84370">
        <w:t>還有個優勢是我覺得我們比較吸引人的是健保，還有臺灣的那種人情味，因為我們薪水好像沒有比人家的多。(C-4-1)</w:t>
      </w:r>
    </w:p>
    <w:p w:rsidR="0049577B" w:rsidRPr="00E84370" w:rsidRDefault="00E84370" w:rsidP="00FE312B">
      <w:pPr>
        <w:spacing w:line="240" w:lineRule="auto"/>
        <w:ind w:leftChars="0" w:left="0" w:rightChars="0" w:right="0"/>
      </w:pPr>
      <w:r>
        <w:t xml:space="preserve">　　</w:t>
      </w:r>
      <w:r w:rsidR="0049577B" w:rsidRPr="00E84370">
        <w:t>另外，永久居留可能會牽涉到我們的健保，我們健保也是要考量的因素之一，…那這些健保的資源，我覺得是要去考量的，因為外國人一來只要有居留權，馬上就可以有健保…。(C-8-2)</w:t>
      </w:r>
    </w:p>
    <w:p w:rsidR="0049577B" w:rsidRPr="00E84370" w:rsidRDefault="00E84370" w:rsidP="00FE312B">
      <w:pPr>
        <w:spacing w:line="240" w:lineRule="auto"/>
        <w:ind w:leftChars="0" w:left="0" w:rightChars="0" w:right="0"/>
      </w:pPr>
      <w:r>
        <w:t xml:space="preserve">　　</w:t>
      </w:r>
      <w:r w:rsidR="0049577B" w:rsidRPr="00E84370">
        <w:t>現在你只要有居留證你就可以加入健保，所以就造成只要有居留就能享有健保…。目前好像外勞一來就有健保嘛，據我所知有居留權就有健保。(C-8-5)</w:t>
      </w:r>
    </w:p>
    <w:p w:rsidR="0049577B" w:rsidRPr="00E84370" w:rsidRDefault="00E84370" w:rsidP="00FE312B">
      <w:pPr>
        <w:spacing w:line="240" w:lineRule="auto"/>
        <w:ind w:leftChars="0" w:left="0" w:rightChars="0" w:right="0"/>
      </w:pPr>
      <w:r>
        <w:t xml:space="preserve">　　</w:t>
      </w:r>
      <w:r w:rsidR="0049577B" w:rsidRPr="00E84370">
        <w:t>就我國專技移民政策上優勢，其實我國在這些人士取得永久居留，那原則上可以享受，除了健保、勞工保險，應該就是一般的所謂的勞工保險吧，已經就是最大的福利，健保跟勞工保險，應該就是最大的優勢。比如說這些人進來的話，他可以享有健保，因為原則上沒有每個國家全部統統有健保嘛，然後還可以享有當地的那個保險，在我國有兩個部份，一個是國人可以納保，一個是外國人可以納保的。應該是屬於外國人可以納保的那個勞保就對了。(G-4-1)</w:t>
      </w:r>
    </w:p>
    <w:p w:rsidR="0049577B" w:rsidRPr="00E43C92" w:rsidRDefault="00321574" w:rsidP="00321574">
      <w:pPr>
        <w:spacing w:line="240" w:lineRule="auto"/>
        <w:ind w:leftChars="0" w:left="0" w:rightChars="0" w:right="0"/>
        <w:jc w:val="right"/>
        <w:rPr>
          <w:sz w:val="22"/>
          <w:szCs w:val="22"/>
        </w:rPr>
      </w:pPr>
      <w:r w:rsidRPr="00E43C92">
        <w:rPr>
          <w:rFonts w:hint="eastAsia"/>
          <w:sz w:val="22"/>
          <w:szCs w:val="22"/>
        </w:rPr>
        <w:t>。。。。。。。。。。。。。。</w:t>
      </w:r>
      <w:hyperlink w:anchor="a3b4" w:history="1">
        <w:r w:rsidR="00E43C92" w:rsidRPr="00E43C92">
          <w:rPr>
            <w:rStyle w:val="a7"/>
            <w:sz w:val="22"/>
            <w:szCs w:val="22"/>
            <w:lang w:eastAsia="zh-TW"/>
          </w:rPr>
          <w:t>回本章</w:t>
        </w:r>
      </w:hyperlink>
      <w:r w:rsidR="00E43C92"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E84370" w:rsidRDefault="0049577B" w:rsidP="00E84370">
      <w:pPr>
        <w:pStyle w:val="3"/>
        <w:keepNext w:val="0"/>
        <w:adjustRightInd/>
        <w:snapToGrid/>
        <w:spacing w:beforeLines="0" w:before="0" w:afterLines="0" w:after="0"/>
        <w:jc w:val="both"/>
        <w:rPr>
          <w:lang w:eastAsia="zh-TW"/>
        </w:rPr>
      </w:pPr>
      <w:bookmarkStart w:id="80" w:name="_四、我國吸引技術移民之困境"/>
      <w:bookmarkEnd w:id="80"/>
      <w:r w:rsidRPr="00E84370">
        <w:rPr>
          <w:lang w:eastAsia="zh-TW"/>
        </w:rPr>
        <w:t>四、我國吸引技術移民之困境</w:t>
      </w:r>
    </w:p>
    <w:p w:rsidR="0049577B" w:rsidRPr="00E84370" w:rsidRDefault="00E84370" w:rsidP="00E84370">
      <w:pPr>
        <w:spacing w:line="240" w:lineRule="auto"/>
        <w:ind w:leftChars="0" w:left="0" w:rightChars="0" w:right="0"/>
      </w:pPr>
      <w:r>
        <w:t xml:space="preserve">　　</w:t>
      </w:r>
      <w:r w:rsidR="0049577B" w:rsidRPr="00E84370">
        <w:t>(一)技術</w:t>
      </w:r>
      <w:hyperlink r:id="rId352" w:history="1">
        <w:r w:rsidR="00E06828" w:rsidRPr="00461F58">
          <w:rPr>
            <w:rStyle w:val="a7"/>
            <w:rFonts w:cs="Times New Roman"/>
            <w:lang w:eastAsia="zh-TW" w:bidi="ar-SA"/>
          </w:rPr>
          <w:t>移民法</w:t>
        </w:r>
      </w:hyperlink>
      <w:r w:rsidR="0049577B" w:rsidRPr="00E84370">
        <w:t>令寬鬆，對技術移民定義模糊</w:t>
      </w:r>
    </w:p>
    <w:p w:rsidR="0049577B" w:rsidRPr="00E84370" w:rsidRDefault="00E84370" w:rsidP="00E84370">
      <w:pPr>
        <w:spacing w:line="240" w:lineRule="auto"/>
        <w:ind w:leftChars="0" w:left="0" w:rightChars="0" w:right="0"/>
      </w:pPr>
      <w:r>
        <w:t xml:space="preserve">　　</w:t>
      </w:r>
      <w:r w:rsidR="0049577B" w:rsidRPr="00E84370">
        <w:t>在我國目前一般居留權和永久居留權，若已在國內工作者，其享有全民健保及勞工保險等社會福利權益之差異並不大。另外申請一般永久居留之資格並不會太嚴苛，故國外技術工作者申請梅花卡之比例相對降低，且因申請一般永久居留目前有放寬趨勢，依外國人停留居留及永久居留辦法</w:t>
      </w:r>
      <w:hyperlink r:id="rId353" w:anchor="b11" w:history="1">
        <w:r w:rsidR="0049577B" w:rsidRPr="005B7477">
          <w:rPr>
            <w:rStyle w:val="a7"/>
            <w:rFonts w:cs="Times New Roman"/>
            <w:lang w:eastAsia="zh-TW" w:bidi="ar-SA"/>
          </w:rPr>
          <w:t>第11條</w:t>
        </w:r>
      </w:hyperlink>
      <w:r w:rsidR="0049577B" w:rsidRPr="00E84370">
        <w:t>第3項規定，外國人申請永久居留，連續居留5年，期間出國每次不超過3個月，則可免附健康檢查合格證明及其本國刑事紀錄證明書</w:t>
      </w:r>
      <w:r w:rsidR="0049577B" w:rsidRPr="00E84370">
        <w:rPr>
          <w:rFonts w:ascii="Arial Unicode MS" w:eastAsia="新細明體" w:hAnsi="Arial Unicode MS"/>
          <w:color w:val="FF6600"/>
          <w:sz w:val="20"/>
        </w:rPr>
        <w:footnoteReference w:id="442"/>
      </w:r>
      <w:r w:rsidR="0049577B" w:rsidRPr="00E84370">
        <w:t>，此可令欲申請一般永久居留之申請者，省時又省錢。由於一般永久居留和梅花卡之永久居留之權益亦無差別，故梅花卡永久居留申請之數量並不多，且擁有我國永久居留權居民其擁有準國民之待遇不足，目前並無選舉權、被選舉權及服公職之權利。綜合受訪者之意見，由於我國技術</w:t>
      </w:r>
      <w:hyperlink r:id="rId354" w:history="1">
        <w:r w:rsidR="00E06828" w:rsidRPr="00461F58">
          <w:rPr>
            <w:rStyle w:val="a7"/>
            <w:rFonts w:cs="Times New Roman"/>
            <w:lang w:eastAsia="zh-TW" w:bidi="ar-SA"/>
          </w:rPr>
          <w:t>移民法</w:t>
        </w:r>
      </w:hyperlink>
      <w:r w:rsidR="0049577B" w:rsidRPr="00E84370">
        <w:t>令寬鬆，一般居留、一般永久居留及梅花卡永久居留，其權益及差異並不大，故申請梅花卡之永久居留，並無太大誘因。部分受訪者建議上述這三種居留需有一定之鑑別，並適時給予永久居留有準國民之待遇。</w:t>
      </w:r>
      <w:r w:rsidR="0049577B" w:rsidRPr="00E84370">
        <w:rPr>
          <w:rFonts w:ascii="Arial Unicode MS" w:eastAsia="新細明體" w:hAnsi="Arial Unicode MS"/>
          <w:color w:val="FF6600"/>
          <w:sz w:val="20"/>
        </w:rPr>
        <w:footnoteReference w:id="443"/>
      </w:r>
    </w:p>
    <w:p w:rsidR="0049577B" w:rsidRPr="00E84370" w:rsidRDefault="00E84370" w:rsidP="00E84370">
      <w:pPr>
        <w:spacing w:line="240" w:lineRule="auto"/>
        <w:ind w:leftChars="0" w:left="0" w:rightChars="0" w:right="0"/>
      </w:pPr>
      <w:r>
        <w:t xml:space="preserve">　　</w:t>
      </w:r>
      <w:r w:rsidR="0049577B" w:rsidRPr="00E84370">
        <w:t>綜合受訪者意見，多數受訪者認為我國對技術移民之定義相當模糊，目前國內對技術移民亦無明確定義，即使新上路之</w:t>
      </w:r>
      <w:r w:rsidR="00654D1D" w:rsidRPr="0065263F">
        <w:rPr>
          <w:sz w:val="24"/>
          <w:szCs w:val="24"/>
        </w:rPr>
        <w:t>「</w:t>
      </w:r>
      <w:hyperlink r:id="rId355" w:history="1">
        <w:r w:rsidR="00654D1D" w:rsidRPr="00654D1D">
          <w:rPr>
            <w:rStyle w:val="a7"/>
            <w:rFonts w:cs="Times New Roman"/>
            <w:sz w:val="24"/>
            <w:szCs w:val="24"/>
            <w:lang w:eastAsia="zh-TW" w:bidi="ar-SA"/>
          </w:rPr>
          <w:t>外國專業人才延攬及僱用法</w:t>
        </w:r>
      </w:hyperlink>
      <w:r w:rsidR="0049577B" w:rsidRPr="00E84370">
        <w:t>」亦定義何謂「專業人才」，並無定義技術移民之類別，因此在定義技術移民之過程就像瞎子摸象，受訪者普遍認為目前我國對技術移民之定義相當於是外國人從事就業服務法第四十六條第一項第一款至第六款工作資格及審查標準中</w:t>
      </w:r>
      <w:hyperlink r:id="rId356" w:anchor="a4" w:history="1">
        <w:r w:rsidR="0049577B" w:rsidRPr="00461F58">
          <w:rPr>
            <w:rStyle w:val="a7"/>
            <w:rFonts w:cs="Times New Roman"/>
            <w:lang w:eastAsia="zh-TW" w:bidi="ar-SA"/>
          </w:rPr>
          <w:t>第4條</w:t>
        </w:r>
      </w:hyperlink>
      <w:r w:rsidR="0049577B" w:rsidRPr="00E84370">
        <w:t>對白領之定義，即符合</w:t>
      </w:r>
      <w:r w:rsidR="00654D1D" w:rsidRPr="0065263F">
        <w:rPr>
          <w:sz w:val="24"/>
          <w:szCs w:val="24"/>
        </w:rPr>
        <w:t>「</w:t>
      </w:r>
      <w:hyperlink r:id="rId357" w:history="1">
        <w:r w:rsidR="00654D1D" w:rsidRPr="00654D1D">
          <w:rPr>
            <w:rStyle w:val="a7"/>
            <w:rFonts w:cs="Times New Roman"/>
            <w:sz w:val="24"/>
            <w:szCs w:val="24"/>
            <w:lang w:eastAsia="zh-TW" w:bidi="ar-SA"/>
          </w:rPr>
          <w:t>外國專業人才延攬及僱用法</w:t>
        </w:r>
      </w:hyperlink>
      <w:r w:rsidR="0049577B" w:rsidRPr="00E84370">
        <w:t>」所稱專業工作之定義，若從此一觀點論之，</w:t>
      </w:r>
      <w:r w:rsidR="00654D1D" w:rsidRPr="0065263F">
        <w:rPr>
          <w:sz w:val="24"/>
          <w:szCs w:val="24"/>
        </w:rPr>
        <w:t>「</w:t>
      </w:r>
      <w:hyperlink r:id="rId358" w:history="1">
        <w:r w:rsidR="00654D1D" w:rsidRPr="00654D1D">
          <w:rPr>
            <w:rStyle w:val="a7"/>
            <w:rFonts w:cs="Times New Roman"/>
            <w:sz w:val="24"/>
            <w:szCs w:val="24"/>
            <w:lang w:eastAsia="zh-TW" w:bidi="ar-SA"/>
          </w:rPr>
          <w:t>外國專業人才延攬及僱用法</w:t>
        </w:r>
      </w:hyperlink>
      <w:r w:rsidR="0049577B" w:rsidRPr="00E84370">
        <w:t>」所規範之專業人才，或符技術移民之範圍。</w:t>
      </w:r>
    </w:p>
    <w:p w:rsidR="0049577B" w:rsidRPr="00E84370" w:rsidRDefault="0049577B" w:rsidP="00E84370">
      <w:pPr>
        <w:spacing w:line="240" w:lineRule="auto"/>
        <w:ind w:leftChars="0" w:left="0" w:rightChars="0" w:right="0"/>
      </w:pPr>
      <w:r w:rsidRPr="00E84370">
        <w:t>由於國內對技術移民之定位及定義未釐清，故在技術移民之政策亦無法清楚被區分，目前技術移民之政策是為人口政策底下一部分，並無法單獨獨立出來，多數受訪者更直言，我國根本無技術移民相關政策可言。目前政府所推之人口政策裡含移民政策，人口政策就像一個大包裹，移民政策就被包在大包裹一起推動。多數受訪者認為加拿大、紐西蘭及澳洲等國家就很清楚其國家內技術移民定義及技術移民所需類別。</w:t>
      </w:r>
    </w:p>
    <w:p w:rsidR="0049577B" w:rsidRPr="00E84370" w:rsidRDefault="00E84370" w:rsidP="00E84370">
      <w:pPr>
        <w:spacing w:line="240" w:lineRule="auto"/>
        <w:ind w:leftChars="0" w:left="0" w:rightChars="0" w:right="0"/>
      </w:pPr>
      <w:r>
        <w:t xml:space="preserve">　　</w:t>
      </w:r>
      <w:r w:rsidR="0049577B" w:rsidRPr="00E84370">
        <w:t>每年大約10幾個來申請梅花卡專技的永久居留，數量並不多，但希望未來數量能遞增，目前也有遞增趨勢，從1月份迄今至少18-19個申請，4月底要再辦一場審查會。(A-5-2)</w:t>
      </w:r>
    </w:p>
    <w:p w:rsidR="0049577B" w:rsidRPr="00E84370" w:rsidRDefault="00E84370" w:rsidP="00E84370">
      <w:pPr>
        <w:spacing w:line="240" w:lineRule="auto"/>
        <w:ind w:leftChars="0" w:left="0" w:rightChars="0" w:right="0"/>
      </w:pPr>
      <w:r>
        <w:t xml:space="preserve">　　</w:t>
      </w:r>
      <w:r w:rsidR="0049577B" w:rsidRPr="00E84370">
        <w:t>在台灣一般永久居留及專技的永久居留的權利方面並無太大的差別，在台灣準國民的待遇還不夠，例如選舉權、被選舉權、參政權、考試擔任公職、稅租優惠，但上述這些規畫牽涉太多部會了，所以目前台灣無法快速地去吸引外國人才來申請梅花卡。(B-5-1)</w:t>
      </w:r>
    </w:p>
    <w:p w:rsidR="0049577B" w:rsidRPr="00E84370" w:rsidRDefault="00E84370" w:rsidP="00E84370">
      <w:pPr>
        <w:spacing w:line="240" w:lineRule="auto"/>
        <w:ind w:leftChars="0" w:left="0" w:rightChars="0" w:right="0"/>
      </w:pPr>
      <w:r>
        <w:t xml:space="preserve">　　</w:t>
      </w:r>
      <w:r w:rsidR="0049577B" w:rsidRPr="00E84370">
        <w:t>有一些確實人家是高科技人才，但是他也不會來申請梅花卡，因為他可能人家拿一般永久居留就不用那麼複雜。(C-2-14)</w:t>
      </w:r>
    </w:p>
    <w:p w:rsidR="0049577B" w:rsidRPr="00E84370" w:rsidRDefault="00E84370" w:rsidP="00E84370">
      <w:pPr>
        <w:spacing w:line="240" w:lineRule="auto"/>
        <w:ind w:leftChars="0" w:left="0" w:rightChars="0" w:right="0"/>
      </w:pPr>
      <w:r>
        <w:t xml:space="preserve">　　</w:t>
      </w:r>
      <w:r w:rsidR="0049577B" w:rsidRPr="00E84370">
        <w:t>我覺得梅花卡申請的人為什麼少，就是可能知道的人不多，有些已經有永久居留了，他也不會再來申請梅花卡。而且有些外國人已經有居留權了，我覺得會越來越少來申請這個梅花卡，因為現在永久居留很容易拿到，所以可能申請梅花卡的數目不會很多。一般永久居留可是他也要自己5年住183天。雖然要在臺灣住5年，但他如果聘雇有那麼久，其實5年很快就到了。因為早期我們是查在那個良民證，他要本國的良民證。那一般為什麼沒有，那個永久居留人數早期沒有那麼多，是因為他要回國去辦那個警察記錄，那現在就是從好像前年，前年好像是102、103年，好像有修法，如果說在臺灣連續居住，已經有一般的居留權，就是說你每次出國，這5年內每次出國，每一趟出境時間不超過3個月，那你就不用再附你原屬國的那個警察記錄，所以這個省很多，省錢又省時，因為你如果回去申請一趟，又要驗證，可能又要花幾萬元。所以有些是沒有申請一般的永久居留，是因為卡在這個良民證的部份。…以前就是卡在良民證的問題，所以很多沒有馬上申請一般的永久居留，但是剛講的政策一開放之後，就可以馬上申請永久居留，那個永久居留的人數就爆增，從前年就爆增了，就是因為這樣，大家就不會想去申請梅花卡。(C-2-17)</w:t>
      </w:r>
    </w:p>
    <w:p w:rsidR="0049577B" w:rsidRPr="00E84370" w:rsidRDefault="00E84370" w:rsidP="00E84370">
      <w:pPr>
        <w:spacing w:line="240" w:lineRule="auto"/>
        <w:ind w:leftChars="0" w:left="0" w:rightChars="0" w:right="0"/>
      </w:pPr>
      <w:r>
        <w:t xml:space="preserve">　　</w:t>
      </w:r>
      <w:r w:rsidR="0049577B" w:rsidRPr="00E84370">
        <w:t>這是一個關鍵點，就是這個警察記錄不用附了。所以這個部份就開放了，其實我覺得這個部份就已經對專技移民就已經有開放了，這個是一般的永久居留。那因為就是說這個已經很好拿，所以人家才很少拿梅花卡。不會再走這個階段了，因為我本來就已經在臺灣好幾年了，我沒差拿那個梅花卡，而且你有永久居留，跟沒有永久居留都是，它權利都差不多啦。(C-2-18)</w:t>
      </w:r>
    </w:p>
    <w:p w:rsidR="0049577B" w:rsidRPr="00E84370" w:rsidRDefault="00E84370" w:rsidP="00E84370">
      <w:pPr>
        <w:spacing w:line="240" w:lineRule="auto"/>
        <w:ind w:leftChars="0" w:left="0" w:rightChars="0" w:right="0"/>
      </w:pPr>
      <w:r>
        <w:t xml:space="preserve">　　</w:t>
      </w:r>
      <w:r w:rsidR="0049577B" w:rsidRPr="00E84370">
        <w:t>我覺得我們現在的國外技術工作者，不管是外勞或白領，其實來臺灣有工作所取得的居留權或永久居留的居留權，其實權益都是一樣的，那所以未來你要吸引他們，除非你再從永久居留的部份有更吸引他們的地方。(C-8-1)</w:t>
      </w:r>
    </w:p>
    <w:p w:rsidR="0049577B" w:rsidRPr="00E84370" w:rsidRDefault="00E84370" w:rsidP="00E84370">
      <w:pPr>
        <w:spacing w:line="240" w:lineRule="auto"/>
        <w:ind w:leftChars="0" w:left="0" w:rightChars="0" w:right="0"/>
      </w:pPr>
      <w:r>
        <w:t xml:space="preserve">　　</w:t>
      </w:r>
      <w:r w:rsidR="0049577B" w:rsidRPr="00E84370">
        <w:t>國外對於專技的定義比較清楚。我國目前對於專技移民的定義比較偏向</w:t>
      </w:r>
      <w:hyperlink r:id="rId359" w:history="1">
        <w:r w:rsidR="00B4647C" w:rsidRPr="00B4647C">
          <w:rPr>
            <w:rStyle w:val="a7"/>
            <w:rFonts w:cs="Times New Roman"/>
            <w:lang w:eastAsia="zh-TW" w:bidi="ar-SA"/>
          </w:rPr>
          <w:t>就業服務法</w:t>
        </w:r>
      </w:hyperlink>
      <w:r w:rsidR="0049577B" w:rsidRPr="00E84370">
        <w:t>規定比較細，就業服務</w:t>
      </w:r>
      <w:r w:rsidR="00461F58" w:rsidRPr="00B40DC1">
        <w:rPr>
          <w:noProof/>
        </w:rPr>
        <w:t>法</w:t>
      </w:r>
      <w:hyperlink r:id="rId360" w:anchor="b42" w:history="1">
        <w:r w:rsidR="00461F58" w:rsidRPr="00966D02">
          <w:rPr>
            <w:rStyle w:val="a7"/>
            <w:rFonts w:cs="Times New Roman"/>
            <w:noProof/>
            <w:lang w:eastAsia="zh-TW" w:bidi="ar-SA"/>
          </w:rPr>
          <w:t>第42條</w:t>
        </w:r>
      </w:hyperlink>
      <w:r w:rsidR="0049577B" w:rsidRPr="00E84370">
        <w:t>第1項第1款至第6款工作資格審查標準，在</w:t>
      </w:r>
      <w:hyperlink r:id="rId361" w:anchor="a4" w:history="1">
        <w:r w:rsidR="00461F58" w:rsidRPr="00461F58">
          <w:rPr>
            <w:rStyle w:val="a7"/>
            <w:rFonts w:cs="Times New Roman"/>
            <w:lang w:eastAsia="zh-TW" w:bidi="ar-SA"/>
          </w:rPr>
          <w:t>第4條</w:t>
        </w:r>
      </w:hyperlink>
      <w:r w:rsidR="0049577B" w:rsidRPr="00E84370">
        <w:t>就有提到專門技術類的人員一大堆，這是我國對於專技的定義，但我國對於專技的定義跟國外對於專技的定義比較廣泛一點，再講白一點就是比較空一點，就是沒辦法鎖定目標。所以回過頭來講梅花卡就是我們現有的專技移民的對象，我們去頒發梅花卡給他。(D-2-3)</w:t>
      </w:r>
    </w:p>
    <w:p w:rsidR="0049577B" w:rsidRPr="00E84370" w:rsidRDefault="00E84370" w:rsidP="00E84370">
      <w:pPr>
        <w:spacing w:line="240" w:lineRule="auto"/>
        <w:ind w:leftChars="0" w:left="0" w:rightChars="0" w:right="0"/>
      </w:pPr>
      <w:r>
        <w:t xml:space="preserve">　　</w:t>
      </w:r>
      <w:r w:rsidR="0049577B" w:rsidRPr="00E84370">
        <w:t>我們對於專技移民比較沒有一套遴選標準，目前對專技的審查就是對白領階級的審查標準，這套是勞動部對白領訂得審查標準，比較是工作面的。(D-3-2)</w:t>
      </w:r>
    </w:p>
    <w:p w:rsidR="0049577B" w:rsidRPr="00E84370" w:rsidRDefault="00E84370" w:rsidP="00E84370">
      <w:pPr>
        <w:spacing w:line="240" w:lineRule="auto"/>
        <w:ind w:leftChars="0" w:left="0" w:rightChars="0" w:right="0"/>
      </w:pPr>
      <w:r>
        <w:t xml:space="preserve">　　</w:t>
      </w:r>
      <w:r w:rsidR="0049577B" w:rsidRPr="00E84370">
        <w:t>以我們臺灣目前訂的東西來講，它倒沒有對專技人才去訂出一個所謂的專技政策出來。目前我們臺灣訂得都是一個人才政策，專技人才、投資人才還是我們優秀的外籍學生，站在政策角度的話，它其實是包含在同一個移民政策底下的東西，它倒沒有獨立去把它列出來說我專技的部份。(D-4-2)</w:t>
      </w:r>
    </w:p>
    <w:p w:rsidR="0049577B" w:rsidRPr="00E84370" w:rsidRDefault="00E84370" w:rsidP="00E84370">
      <w:pPr>
        <w:spacing w:line="240" w:lineRule="auto"/>
        <w:ind w:leftChars="0" w:left="0" w:rightChars="0" w:right="0"/>
      </w:pPr>
      <w:r>
        <w:t xml:space="preserve">　　</w:t>
      </w:r>
      <w:r w:rsidR="0049577B" w:rsidRPr="00E84370">
        <w:t>不過這也是待會要講到比較困境的部份，目前我國比較沒有針對專業性或技術性是哪些，我們沒有去把他釐出來，我們要投資的部份，我們要哪一種的投資，是要房地產投資，還是要哪一種的投資，我們也沒有去把它釐出來，我們就有一個大政策，但沒有去做細分。所以說要獨立說專技移民上的優勢的話，以我的工作經驗，是沒有辦法去做切割的，沒有辦法把政策獨立出來說，這個就是專技移民政策，那個就是投資移民政策。所以相對的政府在推的話，也是一大包一起推，它不會說我是經濟部只推投資的，我是勞動部我只推專技的，不會的，就一大包一起推。(D-5-1)</w:t>
      </w:r>
    </w:p>
    <w:p w:rsidR="0049577B" w:rsidRPr="00E84370" w:rsidRDefault="00E84370" w:rsidP="00E84370">
      <w:pPr>
        <w:spacing w:line="240" w:lineRule="auto"/>
        <w:ind w:leftChars="0" w:left="0" w:rightChars="0" w:right="0"/>
      </w:pPr>
      <w:r>
        <w:t xml:space="preserve">　　</w:t>
      </w:r>
      <w:r w:rsidR="0049577B" w:rsidRPr="00E84370">
        <w:t>我們臺灣一直未搞清楚我們自己要的是什麼樣的人才，我們一直沒有搞清楚，比如說加拿大就很清楚，這2年就是要紡織類別及名額。為什麼臺灣切割不出來也執行不出去，其實一方面來講，我們根本不清楚我們要的是什麼，我們對我們企業能不能掌握得住，這是一個問題。(D-5-3)</w:t>
      </w:r>
    </w:p>
    <w:p w:rsidR="0049577B" w:rsidRPr="00E84370" w:rsidRDefault="00E84370" w:rsidP="00E84370">
      <w:pPr>
        <w:spacing w:line="240" w:lineRule="auto"/>
        <w:ind w:leftChars="0" w:left="0" w:rightChars="0" w:right="0"/>
      </w:pPr>
      <w:r>
        <w:t xml:space="preserve">　　</w:t>
      </w:r>
      <w:r w:rsidR="0049577B" w:rsidRPr="00E84370">
        <w:t>臺灣目前有沒有辦法統計出專技在臺灣的人數及職業類別，沒有辦法，以我的工作經驗掃過去是沒辦法，回到我一剛開始講的，第一個臺灣政府對於專技的定義到底在哪邊，根本沒有去做一個很明確的篩選出來，除非你像加拿大、紐西蘭這個樣子，每個項目都很清楚了以後，比如說我醫療業的我缺9個人，我去找8個人進來了，我還缺1個人，我就都統計得很清楚，這8個人你衛福部就給我管好，類似是這個樣子。比如說我缺10個籃球員，這10個籃球員進來了，你教育部體育署就給我管好，我幫你把人招進來了，應該要是這個樣子，但是我們並沒有這樣的一個制度。(D-5-8)</w:t>
      </w:r>
    </w:p>
    <w:p w:rsidR="0049577B" w:rsidRPr="00E84370" w:rsidRDefault="00E84370" w:rsidP="00E84370">
      <w:pPr>
        <w:spacing w:line="240" w:lineRule="auto"/>
        <w:ind w:leftChars="0" w:left="0" w:rightChars="0" w:right="0"/>
      </w:pPr>
      <w:r>
        <w:t xml:space="preserve">　　</w:t>
      </w:r>
      <w:r w:rsidR="0049577B" w:rsidRPr="00E84370">
        <w:t>我的認知啦，就算移民署成立到現在，沒有特別針對所謂專技移民去探討。然後現在大概，我們大概就是在</w:t>
      </w:r>
      <w:hyperlink r:id="rId362" w:history="1">
        <w:r w:rsidR="00461F58" w:rsidRPr="00461F58">
          <w:rPr>
            <w:rStyle w:val="a7"/>
            <w:rFonts w:cs="Times New Roman"/>
            <w:lang w:eastAsia="zh-TW" w:bidi="ar-SA"/>
          </w:rPr>
          <w:t>移民法</w:t>
        </w:r>
      </w:hyperlink>
      <w:r w:rsidR="0049577B" w:rsidRPr="00E84370">
        <w:t>，像</w:t>
      </w:r>
      <w:hyperlink r:id="rId363" w:anchor="b23" w:history="1">
        <w:r w:rsidR="0049577B" w:rsidRPr="00461F58">
          <w:rPr>
            <w:rStyle w:val="a7"/>
            <w:rFonts w:cs="Times New Roman"/>
            <w:lang w:eastAsia="zh-TW" w:bidi="ar-SA"/>
          </w:rPr>
          <w:t>23條</w:t>
        </w:r>
      </w:hyperlink>
      <w:r w:rsidR="0049577B" w:rsidRPr="00E84370">
        <w:t>還有相關的，就是</w:t>
      </w:r>
      <w:hyperlink r:id="rId364" w:history="1">
        <w:r w:rsidR="0049577B" w:rsidRPr="00461F58">
          <w:rPr>
            <w:rStyle w:val="a7"/>
            <w:rFonts w:cs="Times New Roman"/>
            <w:lang w:eastAsia="zh-TW" w:bidi="ar-SA"/>
          </w:rPr>
          <w:t>移民法</w:t>
        </w:r>
      </w:hyperlink>
      <w:r w:rsidR="0049577B" w:rsidRPr="00E84370">
        <w:t>那幾條，外國人那一章，就是有關居留那一章，它也沒有特別探討所謂專技移民，就是一般我們大概就是受聘雇那種，大概就是白領，我們一般俗稱就是白領啊。然後另外比較就移民署這個區塊，比較有那個的大概就是在</w:t>
      </w:r>
      <w:hyperlink r:id="rId365" w:anchor="b25" w:history="1">
        <w:r w:rsidR="00E06828" w:rsidRPr="00461F58">
          <w:rPr>
            <w:rStyle w:val="a7"/>
            <w:rFonts w:cs="Times New Roman"/>
            <w:lang w:eastAsia="zh-TW" w:bidi="ar-SA"/>
          </w:rPr>
          <w:t>25條</w:t>
        </w:r>
      </w:hyperlink>
      <w:r w:rsidR="0049577B" w:rsidRPr="00E84370">
        <w:t>，</w:t>
      </w:r>
      <w:hyperlink r:id="rId366" w:anchor="b25" w:history="1">
        <w:r w:rsidR="0049577B" w:rsidRPr="00461F58">
          <w:rPr>
            <w:rStyle w:val="a7"/>
            <w:rFonts w:cs="Times New Roman"/>
            <w:lang w:eastAsia="zh-TW" w:bidi="ar-SA"/>
          </w:rPr>
          <w:t>25條</w:t>
        </w:r>
      </w:hyperlink>
      <w:r w:rsidR="0049577B" w:rsidRPr="00E84370">
        <w:t>就是永久居留，那個區塊大概就我們有一個審查會啊，我們有一個審查會在審那個。(E-2-3)</w:t>
      </w:r>
    </w:p>
    <w:p w:rsidR="0049577B" w:rsidRPr="00E84370" w:rsidRDefault="00E84370" w:rsidP="00E84370">
      <w:pPr>
        <w:spacing w:line="240" w:lineRule="auto"/>
        <w:ind w:leftChars="0" w:left="0" w:rightChars="0" w:right="0"/>
      </w:pPr>
      <w:r>
        <w:t xml:space="preserve">　　</w:t>
      </w:r>
      <w:r w:rsidR="0049577B" w:rsidRPr="00E84370">
        <w:t>那我們留不住自己的人才，然後去留那些其實也不是很好的僑生，然後你說就我剛才提到那些，政府其實整個政策根本，講白一點啊，根本也沒有所謂比較好的人口政策的移民政策。這是目前我國在專技移民政策上的一個困境。(E-3-6)</w:t>
      </w:r>
    </w:p>
    <w:p w:rsidR="0049577B" w:rsidRPr="00E84370" w:rsidRDefault="00E84370" w:rsidP="00E84370">
      <w:pPr>
        <w:spacing w:line="240" w:lineRule="auto"/>
        <w:ind w:leftChars="0" w:left="0" w:rightChars="0" w:right="0"/>
      </w:pPr>
      <w:r>
        <w:t xml:space="preserve">　　</w:t>
      </w:r>
      <w:r w:rsidR="0049577B" w:rsidRPr="00E84370">
        <w:t>你剛有談到加拿大、紐西蘭、澳洲可以把那個職業類別，比如說今年要招多少人，什麼樣職業類型分的很細，好幾百種、好幾千種，甚至於每個職業類別的名額都有統計，我們臺灣沒有這方面統計資料。我前2年都參與那個服貿，去立法院開了N場的公聽會…我們的職業類別跟服貿，服貿其實是ECFA基礎下的一個東西，你去看那個服貿那些業別，我們臺灣的很多，就是有關商業司的我們業別分類，我們根本跟國外沒辦法接軌，根本match不起來，…那就是我們經濟部的分類跟ECFA那些分類根本就沒辦法match。(E-5-1)</w:t>
      </w:r>
    </w:p>
    <w:p w:rsidR="0049577B" w:rsidRPr="00E84370" w:rsidRDefault="00E84370" w:rsidP="00E84370">
      <w:pPr>
        <w:spacing w:line="240" w:lineRule="auto"/>
        <w:ind w:leftChars="0" w:left="0" w:rightChars="0" w:right="0"/>
      </w:pPr>
      <w:r>
        <w:t xml:space="preserve">　　</w:t>
      </w:r>
      <w:r w:rsidR="0049577B" w:rsidRPr="00E84370">
        <w:t>我們現在的制度永久居留跟外僑居留證，只是差在一個，外僑居留證，你居留事由消失你就要回去了，那你永久居留的話，你居留事由就不會消失，你只要一年住滿183天還是多少。那有什麼誘因，我不認為有誘因啦。(E-6-2)</w:t>
      </w:r>
    </w:p>
    <w:p w:rsidR="0049577B" w:rsidRPr="00E84370" w:rsidRDefault="00E84370" w:rsidP="00E84370">
      <w:pPr>
        <w:spacing w:line="240" w:lineRule="auto"/>
        <w:ind w:leftChars="0" w:left="0" w:rightChars="0" w:right="0"/>
      </w:pPr>
      <w:r>
        <w:t xml:space="preserve">　　</w:t>
      </w:r>
      <w:r w:rsidR="0049577B" w:rsidRPr="00E84370">
        <w:t>單單比如說一個飛航，我這邊飛航很明確，航政司，交通部航政司，航運，航港局還是什麼，深水建設，這個分下去，這個到底要分給誰，氣象還有一個中央氣象局，地震可能跟氣象局。…假設有三個機關跟這有關，我可以很肯定的告訴你，這三個機關根本不知道，你叫他提一個說好，我們現在永久居留你提一個標準出來說，單單這個電信，你覺得一年我們需要多少人才，他講不出來。他講不出來，那講不出來就定不出來。我們現在都是，都是業者反正就是依照那個就業服務法</w:t>
      </w:r>
      <w:hyperlink r:id="rId367" w:anchor="a46" w:history="1">
        <w:r w:rsidR="0049577B" w:rsidRPr="00461F58">
          <w:rPr>
            <w:rStyle w:val="a7"/>
            <w:rFonts w:cs="Times New Roman"/>
            <w:lang w:eastAsia="zh-TW" w:bidi="ar-SA"/>
          </w:rPr>
          <w:t>46條</w:t>
        </w:r>
      </w:hyperlink>
      <w:r w:rsidR="0049577B" w:rsidRPr="00E84370">
        <w:t>嘛，施行10幾年了，其實白領跟藍領嘛，1到6款是白領，8到10款是藍領嘛。你看這些都好概括，這是捷運，這是海運，船運，捷運，還是鐵路還是汽車，像是我就會認為這些交通部業管，我就會認為這是交通部業管嘛，交通嘛，財政金融，財稅可能財政部，金融在經建會，這些不動產，移民服務，我的意思是說看這些都很概括，都很籠統，定得出來才奇怪。(E-7-8)</w:t>
      </w:r>
    </w:p>
    <w:p w:rsidR="0049577B" w:rsidRPr="00E84370" w:rsidRDefault="00E84370" w:rsidP="00E84370">
      <w:pPr>
        <w:spacing w:line="240" w:lineRule="auto"/>
        <w:ind w:leftChars="0" w:left="0" w:rightChars="0" w:right="0"/>
      </w:pPr>
      <w:r>
        <w:t xml:space="preserve">　　</w:t>
      </w:r>
      <w:r w:rsidR="0049577B" w:rsidRPr="00E84370">
        <w:t>我國移民目前也沒有設配額，移民政策很寬鬆。目前大環境的影響，薪水低、環境差、基礎建設也差，國際化程度也不夠。而且國發會及經濟部也沒有統計出各類職業需要的數額，整個移民政策就像瞎子在摸象一樣。</w:t>
      </w:r>
      <w:r w:rsidR="003C1792" w:rsidRPr="00E84370">
        <w:t>(</w:t>
      </w:r>
      <w:r w:rsidR="0049577B" w:rsidRPr="00E84370">
        <w:t>F-3-1)</w:t>
      </w:r>
    </w:p>
    <w:p w:rsidR="0049577B" w:rsidRPr="00E84370" w:rsidRDefault="00E84370" w:rsidP="00E84370">
      <w:pPr>
        <w:spacing w:line="240" w:lineRule="auto"/>
        <w:ind w:leftChars="0" w:left="0" w:rightChars="0" w:right="0"/>
      </w:pPr>
      <w:r>
        <w:t xml:space="preserve">　　</w:t>
      </w:r>
      <w:r w:rsidR="0049577B" w:rsidRPr="00E84370">
        <w:t>其實你可以發現，他們的移民政策這幾個國家的移民政策，有點像他們的勞動政策，幾乎是密不可分嘛，我不知道你有沒有這種看法…。(F-3-2)</w:t>
      </w:r>
    </w:p>
    <w:p w:rsidR="0049577B" w:rsidRPr="00E84370" w:rsidRDefault="00E84370" w:rsidP="00E84370">
      <w:pPr>
        <w:spacing w:line="240" w:lineRule="auto"/>
        <w:ind w:leftChars="0" w:left="0" w:rightChars="0" w:right="0"/>
      </w:pPr>
      <w:r>
        <w:t xml:space="preserve">　　</w:t>
      </w:r>
      <w:r w:rsidR="0049577B" w:rsidRPr="00E84370">
        <w:t>所以目前我國也比較沒有一個專技的移民政策，勞動部也沒有列它需要什麼樣的專技人才啊。那我們自己的法規裡面我們就把它定得很寬嘛，就是只要是科技的、文化的什麼幾乎都可以用啊。國發會現在也不敢直接把「專技移民」講出來，因為擔心國內一聽到移民又會反彈，又覺得別人要來搶我們的飯碗了。(F-3-3)</w:t>
      </w:r>
    </w:p>
    <w:p w:rsidR="0049577B" w:rsidRPr="00E84370" w:rsidRDefault="00E84370" w:rsidP="00E84370">
      <w:pPr>
        <w:spacing w:line="240" w:lineRule="auto"/>
        <w:ind w:leftChars="0" w:left="0" w:rightChars="0" w:right="0"/>
      </w:pPr>
      <w:r>
        <w:t xml:space="preserve">　　</w:t>
      </w:r>
      <w:r w:rsidR="0049577B" w:rsidRPr="00E84370">
        <w:t>因為那個O科長他們跟您講的，可能會是法規面的東西。那我是講整個國家政策面，目前就是這樣子的。沒有特別的政策啦，現在就是走一步算一步啦。(F-3-5)</w:t>
      </w:r>
    </w:p>
    <w:p w:rsidR="0049577B" w:rsidRPr="00E84370" w:rsidRDefault="00E84370" w:rsidP="00E84370">
      <w:pPr>
        <w:spacing w:line="240" w:lineRule="auto"/>
        <w:ind w:leftChars="0" w:left="0" w:rightChars="0" w:right="0"/>
      </w:pPr>
      <w:r>
        <w:t xml:space="preserve">　　</w:t>
      </w:r>
      <w:r w:rsidR="0049577B" w:rsidRPr="00E84370">
        <w:t>我們的專技移民在政策上的優勢，就是很鬆。就是法規面很鬆，也沒有什麼政策啊，因為我不知道有什麼政策。你只要是符合</w:t>
      </w:r>
      <w:hyperlink r:id="rId368" w:history="1">
        <w:r w:rsidR="00B4647C" w:rsidRPr="00B4647C">
          <w:rPr>
            <w:rStyle w:val="a7"/>
            <w:rFonts w:cs="Times New Roman"/>
            <w:lang w:eastAsia="zh-TW" w:bidi="ar-SA"/>
          </w:rPr>
          <w:t>就業服務法</w:t>
        </w:r>
      </w:hyperlink>
      <w:r w:rsidR="0049577B" w:rsidRPr="00E84370">
        <w:t>那幾個，你都可以來申請居留，那你不覺得很鬆嗎?所以那個教英文的佔那麼多啊，所以真正有專門技術的大概只有一半。(F-4-1)</w:t>
      </w:r>
    </w:p>
    <w:p w:rsidR="0049577B" w:rsidRPr="00E84370" w:rsidRDefault="00E84370" w:rsidP="00E84370">
      <w:pPr>
        <w:spacing w:line="240" w:lineRule="auto"/>
        <w:ind w:leftChars="0" w:left="0" w:rightChars="0" w:right="0"/>
      </w:pPr>
      <w:r>
        <w:t xml:space="preserve">　　</w:t>
      </w:r>
      <w:r w:rsidR="0049577B" w:rsidRPr="00E84370">
        <w:t>(二)梅花卡永久居留權和技術移民之工作未結合</w:t>
      </w:r>
    </w:p>
    <w:p w:rsidR="0049577B" w:rsidRPr="00E84370" w:rsidRDefault="00E84370" w:rsidP="00E84370">
      <w:pPr>
        <w:spacing w:line="240" w:lineRule="auto"/>
        <w:ind w:leftChars="0" w:left="0" w:rightChars="0" w:right="0"/>
      </w:pPr>
      <w:r>
        <w:t xml:space="preserve">　　</w:t>
      </w:r>
      <w:r w:rsidR="0049577B" w:rsidRPr="00E84370">
        <w:t>外國籍高級專業人才若符合相關專業技能之資格則可申請我國梅花卡永久居留，但目前我國梅花卡永久居留制度並未和申請者所申請專業技術作結合，故具有相當專業技術背景之梅花卡申請者在獲得梅花卡永久居留後，是否有再進到我國就業市場及是否有進到相關專業技術領域繼續作貢獻則不得而知。相較於加拿大、紐西蘭及澳洲等國家，該些被認定為其國家所需要之專業技術移民，在申請高技術之工作時，一方面該些國家提供國內高技術工作機會，另一方面並給予這些技術移民永久居留權利，一則可讓高技術人才可以安心在其專業領域作貢獻，另一方面永久居留權和工作相結合，更可確保國家攬進來之高技術人才繼續在其國家作貢獻。受訪者普遍覺得我國梅花卡給予永久居留之制度，和申請者之工作未結合實屬相當可惜。</w:t>
      </w:r>
    </w:p>
    <w:p w:rsidR="0049577B" w:rsidRPr="00E84370" w:rsidRDefault="00E84370" w:rsidP="00E84370">
      <w:pPr>
        <w:spacing w:line="240" w:lineRule="auto"/>
        <w:ind w:leftChars="0" w:left="0" w:rightChars="0" w:right="0"/>
      </w:pPr>
      <w:r>
        <w:t xml:space="preserve">　　</w:t>
      </w:r>
      <w:r w:rsidR="0049577B" w:rsidRPr="00E84370">
        <w:t>上述之情形，於2018年正式施行之後，有獲得部分之改善，依據外國專業人才延攬及僱用</w:t>
      </w:r>
      <w:r w:rsidR="00FE312B" w:rsidRPr="00B40DC1">
        <w:t>法</w:t>
      </w:r>
      <w:hyperlink r:id="rId369" w:anchor="a8" w:history="1">
        <w:r w:rsidR="00FE312B" w:rsidRPr="00FE312B">
          <w:rPr>
            <w:rStyle w:val="a7"/>
            <w:rFonts w:cs="Times New Roman"/>
            <w:lang w:eastAsia="zh-TW" w:bidi="ar-SA"/>
          </w:rPr>
          <w:t>第8條</w:t>
        </w:r>
      </w:hyperlink>
      <w:r w:rsidR="0049577B" w:rsidRPr="00E84370">
        <w:t>之規定：</w:t>
      </w:r>
    </w:p>
    <w:p w:rsidR="0049577B" w:rsidRPr="00E84370" w:rsidRDefault="00E84370" w:rsidP="00E84370">
      <w:pPr>
        <w:spacing w:line="240" w:lineRule="auto"/>
        <w:ind w:leftChars="0" w:left="0" w:rightChars="0" w:right="0"/>
      </w:pPr>
      <w:r>
        <w:t xml:space="preserve">　　</w:t>
      </w:r>
      <w:r w:rsidR="0049577B" w:rsidRPr="00E84370">
        <w:t>「8.1外國特定專業人才擬在我國從事專業工作者，得向內政部移民署申請核發具工作許可、居留簽證、外僑居留證及重入國許可四證合一之就業金卡。</w:t>
      </w:r>
    </w:p>
    <w:p w:rsidR="0049577B" w:rsidRPr="00E84370" w:rsidRDefault="00E84370" w:rsidP="00E84370">
      <w:pPr>
        <w:spacing w:line="240" w:lineRule="auto"/>
        <w:ind w:leftChars="0" w:left="0" w:rightChars="0" w:right="0"/>
      </w:pPr>
      <w:r>
        <w:t xml:space="preserve">　　</w:t>
      </w:r>
      <w:r w:rsidR="0049577B" w:rsidRPr="00E84370">
        <w:t>8.2內政部移民署許可核發就業金卡前，應會同勞動部及外交部審查，不受就業服務法第</w:t>
      </w:r>
      <w:hyperlink r:id="rId370" w:anchor="a43" w:history="1">
        <w:r w:rsidR="0049577B" w:rsidRPr="00FE312B">
          <w:rPr>
            <w:rStyle w:val="a7"/>
            <w:rFonts w:cs="Times New Roman"/>
            <w:lang w:eastAsia="zh-TW" w:bidi="ar-SA"/>
          </w:rPr>
          <w:t>四十三</w:t>
        </w:r>
      </w:hyperlink>
      <w:r w:rsidR="0049577B" w:rsidRPr="00E84370">
        <w:t>條及第</w:t>
      </w:r>
      <w:hyperlink r:id="rId371" w:anchor="a53" w:history="1">
        <w:r w:rsidR="0049577B" w:rsidRPr="00FE312B">
          <w:rPr>
            <w:rStyle w:val="a7"/>
            <w:rFonts w:cs="Times New Roman"/>
            <w:lang w:eastAsia="zh-TW" w:bidi="ar-SA"/>
          </w:rPr>
          <w:t>五十三</w:t>
        </w:r>
      </w:hyperlink>
      <w:r w:rsidR="0049577B" w:rsidRPr="00E84370">
        <w:t>條第一項規定之限制。</w:t>
      </w:r>
    </w:p>
    <w:p w:rsidR="0049577B" w:rsidRPr="00E84370" w:rsidRDefault="00E84370" w:rsidP="00E84370">
      <w:pPr>
        <w:spacing w:line="240" w:lineRule="auto"/>
        <w:ind w:leftChars="0" w:left="0" w:rightChars="0" w:right="0"/>
      </w:pPr>
      <w:r>
        <w:t xml:space="preserve">　　</w:t>
      </w:r>
      <w:r w:rsidR="0049577B" w:rsidRPr="00E84370">
        <w:t>8.3前項就業金卡有效期間為一年至三年；符合一定條件者，得於有效期間屆滿前重新申請。</w:t>
      </w:r>
    </w:p>
    <w:p w:rsidR="0049577B" w:rsidRPr="00E84370" w:rsidRDefault="00E84370" w:rsidP="00E84370">
      <w:pPr>
        <w:spacing w:line="240" w:lineRule="auto"/>
        <w:ind w:leftChars="0" w:left="0" w:rightChars="0" w:right="0"/>
      </w:pPr>
      <w:r>
        <w:t xml:space="preserve">　　</w:t>
      </w:r>
      <w:r w:rsidR="0049577B" w:rsidRPr="00E84370">
        <w:t>8.4前二項就業金卡之申請程序、審查、重新申請之一定條件及其他相關事項之辦法，由內政部會商勞動部及外交部定之。</w:t>
      </w:r>
    </w:p>
    <w:p w:rsidR="0049577B" w:rsidRPr="00E84370" w:rsidRDefault="00E84370" w:rsidP="00E84370">
      <w:pPr>
        <w:spacing w:line="240" w:lineRule="auto"/>
        <w:ind w:leftChars="0" w:left="0" w:rightChars="0" w:right="0"/>
      </w:pPr>
      <w:r>
        <w:t xml:space="preserve">　　</w:t>
      </w:r>
      <w:r w:rsidR="0049577B" w:rsidRPr="00E84370">
        <w:t>8.5依第一項或第二項申請就業金卡者，由內政部移民署收取規費；其收費標準，由內政部會商勞動部及外交部定之。」</w:t>
      </w:r>
    </w:p>
    <w:p w:rsidR="0049577B" w:rsidRPr="00E84370" w:rsidRDefault="00E84370" w:rsidP="00E84370">
      <w:pPr>
        <w:spacing w:line="240" w:lineRule="auto"/>
        <w:ind w:leftChars="0" w:left="0" w:rightChars="0" w:right="0"/>
      </w:pPr>
      <w:r>
        <w:t xml:space="preserve">　　</w:t>
      </w:r>
      <w:r w:rsidR="0049577B" w:rsidRPr="00E84370">
        <w:t>四證合一之就業金卡之居留期限，係屬於居留簽證、外僑居留證及重入國許可之性質，其與梅花卡給予永久居留之制度，仍有根本上之差異存在。</w:t>
      </w:r>
    </w:p>
    <w:p w:rsidR="0049577B" w:rsidRPr="00E84370" w:rsidRDefault="00E84370" w:rsidP="00E84370">
      <w:pPr>
        <w:spacing w:line="240" w:lineRule="auto"/>
        <w:ind w:leftChars="0" w:left="0" w:rightChars="0" w:right="0"/>
      </w:pPr>
      <w:r>
        <w:t xml:space="preserve">　　</w:t>
      </w:r>
      <w:r w:rsidR="0049577B" w:rsidRPr="00E84370">
        <w:t>受訪者對我國梅花卡給予永久居留之制度之意見，如下：</w:t>
      </w:r>
    </w:p>
    <w:p w:rsidR="0049577B" w:rsidRPr="00E84370" w:rsidRDefault="00E84370" w:rsidP="00E84370">
      <w:pPr>
        <w:spacing w:line="240" w:lineRule="auto"/>
        <w:ind w:leftChars="0" w:left="0" w:rightChars="0" w:right="0"/>
      </w:pPr>
      <w:r>
        <w:t xml:space="preserve">　　</w:t>
      </w:r>
      <w:r w:rsidR="0049577B" w:rsidRPr="00E84370">
        <w:t>劣勢的部份，申請人取得梅花卡永久居留後，之後留在臺灣是否有真正從事專業領域的工作，對臺灣是否有作相當的付出及貢獻，未來可以作追蹤，目前在短期無法看出。目前我國未有一套機制去測量申請梅花永久居留卡的貢獻度。(A-5-1)</w:t>
      </w:r>
    </w:p>
    <w:p w:rsidR="0049577B" w:rsidRPr="00E84370" w:rsidRDefault="00E84370" w:rsidP="00E84370">
      <w:pPr>
        <w:spacing w:line="240" w:lineRule="auto"/>
        <w:ind w:leftChars="0" w:left="0" w:rightChars="0" w:right="0"/>
      </w:pPr>
      <w:r>
        <w:t xml:space="preserve">　　</w:t>
      </w:r>
      <w:r w:rsidR="0049577B" w:rsidRPr="00E84370">
        <w:t>臺灣雖然給予專技移民永久居留，但他留在臺灣工作卻要自己找，臺灣的居留和工作卻是分開的。又例如在臺灣給10萬台幣，而在大陸月薪給20萬台幣，錢雖然非唯一的考量，但也是重要因素之一，但這不是政府機關單獨就能去完成的，政府機關是一平台，申請者來申請，但政府機關不會去幫你找工作媒合。(B-4-1)</w:t>
      </w:r>
    </w:p>
    <w:p w:rsidR="0049577B" w:rsidRPr="00E84370" w:rsidRDefault="00E84370" w:rsidP="00E84370">
      <w:pPr>
        <w:spacing w:line="240" w:lineRule="auto"/>
        <w:ind w:leftChars="0" w:left="0" w:rightChars="0" w:right="0"/>
      </w:pPr>
      <w:r>
        <w:t xml:space="preserve">　　</w:t>
      </w:r>
      <w:r w:rsidR="0049577B" w:rsidRPr="00E84370">
        <w:t>臺灣給了專技移民一個梅花卡永久居留，但卻沒有跟他的工作結合，兩個是無關的。在國外永久居留及工作是綁在一塊的，永久居留可變公民，移民國家啦這樣才OK。(B-5-1)</w:t>
      </w:r>
    </w:p>
    <w:p w:rsidR="0049577B" w:rsidRPr="00E84370" w:rsidRDefault="00E84370" w:rsidP="00E84370">
      <w:pPr>
        <w:spacing w:line="240" w:lineRule="auto"/>
        <w:ind w:leftChars="0" w:left="0" w:rightChars="0" w:right="0"/>
      </w:pPr>
      <w:r>
        <w:t xml:space="preserve">　　</w:t>
      </w:r>
      <w:r w:rsidR="0049577B" w:rsidRPr="00E84370">
        <w:t>梅花卡是從96年迄今，已經8年了，目前外國人對梅花卡也興趣缺缺。目前拿了梅花卡的外國人，政府是否有再去後續作追蹤，看他對我國專技有沒有貢獻，目前也沒有這套追蹤制度，拿了就拿了，我國是民主國家不會去干涉他們的自由。但有拿到梅花卡的人跳出來說建議要有個梅花卡俱樂部，因為大家都是專業人才，但這又牽涉到語言不通，但層級不一樣。但這就算社會上的顯達，後續很難去追蹤。(B-7-7)</w:t>
      </w:r>
    </w:p>
    <w:p w:rsidR="0049577B" w:rsidRPr="00E84370" w:rsidRDefault="00E84370" w:rsidP="00E84370">
      <w:pPr>
        <w:spacing w:line="240" w:lineRule="auto"/>
        <w:ind w:leftChars="0" w:left="0" w:rightChars="0" w:right="0"/>
      </w:pPr>
      <w:r>
        <w:t xml:space="preserve">　　</w:t>
      </w:r>
      <w:r w:rsidR="0049577B" w:rsidRPr="00E84370">
        <w:t>所以我覺得有時候，這個政策因為梅花卡通過後，他只是拿一個永久居留，但是實際上他也不一定會住在臺灣，到底有沒有臺灣在繼續貢獻他的專技，其實後續也沒有一個追蹤的機制嘛。反而像學校的大學教授感覺就是任職很久，那種感覺比較延續。(C-2-6)</w:t>
      </w:r>
    </w:p>
    <w:p w:rsidR="0049577B" w:rsidRPr="00E84370" w:rsidRDefault="00E84370" w:rsidP="00E84370">
      <w:pPr>
        <w:spacing w:line="240" w:lineRule="auto"/>
        <w:ind w:leftChars="0" w:left="0" w:rightChars="0" w:right="0"/>
      </w:pPr>
      <w:r>
        <w:t xml:space="preserve">　　</w:t>
      </w:r>
      <w:r w:rsidR="0049577B" w:rsidRPr="00E84370">
        <w:t>這一套制度目前的一個困境就是，其實在我國一般永久居留是很容易拿了，…。而且拿這個，有沒有工作，他也沒有影響。還有就是拿到以後，對臺灣有沒有一個專技的貢獻，其實沒有很明確的追蹤制度。那追蹤也不是我們移民署做的對不對?到底這個誰要來追蹤，目前也沒有這一套機制，也沒有人來做。而且通常外國人拿到永久居留，不管你是梅花卡或者是一般的永久居留，他拿到永久居留你很少會去追蹤他現在在做什麼，除非他護照換新的，他才會來換證，不然你可能知道他後來在做什麼，他拿了永久居留20年後，你也不曉得這個人在哪。(C-5-3)</w:t>
      </w:r>
    </w:p>
    <w:p w:rsidR="0049577B" w:rsidRPr="00E84370" w:rsidRDefault="00E84370" w:rsidP="00E84370">
      <w:pPr>
        <w:spacing w:line="240" w:lineRule="auto"/>
        <w:ind w:leftChars="0" w:left="0" w:rightChars="0" w:right="0"/>
      </w:pPr>
      <w:r>
        <w:t xml:space="preserve">　　</w:t>
      </w:r>
      <w:r w:rsidR="0049577B" w:rsidRPr="00E84370">
        <w:t>(三)公部門無法適時掌握國內人才需求狀況</w:t>
      </w:r>
    </w:p>
    <w:p w:rsidR="0049577B" w:rsidRPr="00E84370" w:rsidRDefault="00E84370" w:rsidP="00E84370">
      <w:pPr>
        <w:spacing w:line="240" w:lineRule="auto"/>
        <w:ind w:leftChars="0" w:left="0" w:rightChars="0" w:right="0"/>
      </w:pPr>
      <w:r>
        <w:t xml:space="preserve">　　</w:t>
      </w:r>
      <w:r w:rsidR="0049577B" w:rsidRPr="00E84370">
        <w:t>多數受訪者均表示國內公部門蹤然作田野調查、民間調查、委外報告及相關統計資料等，惟我國公部門因和國內企業緊密度不夠，目前仍無法適時掌握國內產業之人才缺口及人才需求。因著國內無法掌握技術人才需求，這亦會產生直接影響，而無法訂出有適切之技術移民政策，以致於政策推行流於喊口號之形式。受訪者們亦建議可借鏡國外經驗，公部門先需掌握國內產業人才需求，並可進一步推估3年內國內需要哪些技術類別之人才及數額，及推估3年後需要技術類別之人才及數額。若國內公部門能精確掌握國內技術人才之需求並推估近程、中程及遠程技術人才需求之職業類別及數額，攬進來之技術移民亦不致於不足與過剩。</w:t>
      </w:r>
    </w:p>
    <w:p w:rsidR="0049577B" w:rsidRPr="00E84370" w:rsidRDefault="00E84370" w:rsidP="00E84370">
      <w:pPr>
        <w:spacing w:line="240" w:lineRule="auto"/>
        <w:ind w:leftChars="0" w:left="0" w:rightChars="0" w:right="0"/>
      </w:pPr>
      <w:r>
        <w:t xml:space="preserve">　　</w:t>
      </w:r>
      <w:r w:rsidR="0049577B" w:rsidRPr="00E84370">
        <w:t>目前我們也沒有一個系統可以篩出這些專技人才的數據。因為早期可能我們沒有去考量到以後怎麼會流行這個專技人才，其實這些專技人才很早期就進來了，那只是我們現在才要標出這個專技人才，所以我們目前沒有這個電腦資料。如果當初key建檔的時候，若就把他設定為專業人才，現在這個數據就會比較好掌握。(C-8-8)</w:t>
      </w:r>
    </w:p>
    <w:p w:rsidR="0049577B" w:rsidRPr="00E84370" w:rsidRDefault="00E84370" w:rsidP="00E84370">
      <w:pPr>
        <w:spacing w:line="240" w:lineRule="auto"/>
        <w:ind w:leftChars="0" w:left="0" w:rightChars="0" w:right="0"/>
      </w:pPr>
      <w:r>
        <w:t xml:space="preserve">　　</w:t>
      </w:r>
      <w:r w:rsidR="0049577B" w:rsidRPr="00E84370">
        <w:t>我們臺灣一直未搞清楚我們自己要的是什麼樣的人才，我們一直沒有搞清楚，比如說加拿大就很清楚，這2年就是要紡織類別及名額。為什麼臺灣切割不出來也執行不出去，其實一方面來講，我們根本不清楚我們要的是什麼，我們對我們企業能不能掌握得住，這是一個問題(D-5-3)</w:t>
      </w:r>
    </w:p>
    <w:p w:rsidR="0049577B" w:rsidRPr="00E84370" w:rsidRDefault="00E84370" w:rsidP="00E84370">
      <w:pPr>
        <w:spacing w:line="240" w:lineRule="auto"/>
        <w:ind w:leftChars="0" w:left="0" w:rightChars="0" w:right="0"/>
      </w:pPr>
      <w:r>
        <w:t xml:space="preserve">　　</w:t>
      </w:r>
      <w:r w:rsidR="0049577B" w:rsidRPr="00E84370">
        <w:t>我國政府和企業的緊密度不夠緊密，這是公共行政及公共治理的領域了。如果你去問經濟部部長說我們國內現在缺什麼樣的人才，他有資料，經濟部會做這個統計，但這只是供他們內部參考資料，他們不敢對外公佈，不敢對外公佈的原因是，那個不是目前臺灣企業真正的生態及情況，但他們怎樣去研究出來的，我也真的不知道，因為我不是在他們單位工作，所以我真的不知道，可是感覺就不是整體企業的生態，他們有沒有辦法去掌握到跟企業緊密的聯結度，我也沒有辦法去做確認，但我們在末端作研究感覺這塊是比較缺乏的，這是我們的困境。(D-5-4)</w:t>
      </w:r>
    </w:p>
    <w:p w:rsidR="0049577B" w:rsidRPr="00E84370" w:rsidRDefault="00E84370" w:rsidP="00E84370">
      <w:pPr>
        <w:spacing w:line="240" w:lineRule="auto"/>
        <w:ind w:leftChars="0" w:left="0" w:rightChars="0" w:right="0"/>
      </w:pPr>
      <w:r>
        <w:t xml:space="preserve">　　</w:t>
      </w:r>
      <w:r w:rsidR="0049577B" w:rsidRPr="00E84370">
        <w:t>其實政府攬才進來不是要攬進來政府機關，而是要攬進去民間企業，那你招攬進來的人才是不是企業要的，有沒有針對企業去做，當然經濟部說我們都有辦公聽會，我們都有去企業做一些田野調查及民間調查，我們都有請專家學者做委外研究報告，這個一定都會做，可是他們做的東西感覺跟實務沒辦法很貼近，所以人家才會說政府常做些讓人民無感的事情。結果實務上專技進來的並不多，但類專技的，像補習班老師一大堆，在</w:t>
      </w:r>
      <w:hyperlink r:id="rId372" w:history="1">
        <w:r w:rsidR="0049577B" w:rsidRPr="00B4647C">
          <w:rPr>
            <w:rStyle w:val="a7"/>
            <w:rFonts w:cs="Times New Roman"/>
            <w:lang w:eastAsia="zh-TW" w:bidi="ar-SA"/>
          </w:rPr>
          <w:t>就業服務法</w:t>
        </w:r>
      </w:hyperlink>
      <w:r w:rsidR="0049577B" w:rsidRPr="00E84370">
        <w:t>裡面也被列為是白領的，那個想就知道那個是我們要的專技嗎，以我個人認知的專技至少要是醫生啦，高級技術工，像是審查標準列出來的這一些。政策上困境就是我們真的無法和業界結合。(D-5-5)</w:t>
      </w:r>
    </w:p>
    <w:p w:rsidR="0049577B" w:rsidRPr="00E84370" w:rsidRDefault="00E84370" w:rsidP="00E84370">
      <w:pPr>
        <w:spacing w:line="240" w:lineRule="auto"/>
        <w:ind w:leftChars="0" w:left="0" w:rightChars="0" w:right="0"/>
      </w:pPr>
      <w:r>
        <w:t xml:space="preserve">　　</w:t>
      </w:r>
      <w:r w:rsidR="0049577B" w:rsidRPr="00E84370">
        <w:t>應該是說對專技移民的期許的話，就是國家要先能調查出來產業界是不是真的需要專技移民進來我們國家，還是我們國家要的只是錢，若要的只是錢的話，投資移民目前是最快的。那我們國家最主要是要錢還是要人，若是要人的話要朝向專技移民，因為我們要他的技能。這個是國家要先定義出來的，這個工作是國家要先做的。這工作做好了以後，你才有辦法確認說我要的是人，當然這些人能對國家的經濟有幫助，也可能滾出錢，但是沒有像投資錢那麼快那麼直接。有了這些人以後，才有我們後續提到的，哪些產業需要哪些人，再整個把它list出來，這些都是國家都要做的。(D-8-1)</w:t>
      </w:r>
    </w:p>
    <w:p w:rsidR="0049577B" w:rsidRPr="00E84370" w:rsidRDefault="00E84370" w:rsidP="00E84370">
      <w:pPr>
        <w:spacing w:line="240" w:lineRule="auto"/>
        <w:ind w:leftChars="0" w:left="0" w:rightChars="0" w:right="0"/>
      </w:pPr>
      <w:r>
        <w:t xml:space="preserve">　　</w:t>
      </w:r>
      <w:r w:rsidR="0049577B" w:rsidRPr="00E84370">
        <w:t>那像我工作那麼多年我的感覺，比如說，像政府常常就一直在說，像專技移民就是，講白一點像教育部也常常就說吸引人才啊，三不五時就在喊人才，可是我感覺到目前，我常常去類似這種行政院、經濟部相關部會去開會的心得是，我們這些公部門根本不知道我們的人才缺口在哪裡。(E-3-4)</w:t>
      </w:r>
    </w:p>
    <w:p w:rsidR="0049577B" w:rsidRPr="00E84370" w:rsidRDefault="00E84370" w:rsidP="00E84370">
      <w:pPr>
        <w:spacing w:line="240" w:lineRule="auto"/>
        <w:ind w:leftChars="0" w:left="0" w:rightChars="0" w:right="0"/>
      </w:pPr>
      <w:r>
        <w:t xml:space="preserve">　　</w:t>
      </w:r>
      <w:r w:rsidR="0049577B" w:rsidRPr="00E84370">
        <w:t>你去經濟部，去國貿局開過會，因為可能公部門的關係，你根本不知道，就是像包括教育部、包括經濟部甚至包括勞動部，因為我們畢竟是公部門，你永遠不知道說台積電啊什麼這些鴻海這些公司，這些大的公司他到底缺什麼人，那我們都在喊口號喊爽的啦，我們根本就是喊口號喊爽，就是行政院三不五時就說要吸引優秀人才，教育部就喊吸引優秀人才，不然就是說要讓優秀的僑生留下來…。所以我覺得其實現在我們很可悲是，我自己也是公務員，我覺得很可悲是，我們政府，至少我當公務員這麼久啦，我覺得政府不知道我們到底企業缺什麼，到底企業需要什麼樣的人進來，就是所謂專技。那因為你不知道，所以我們的政策都，反正換一個院長換一個什麼就推一個新的口號，然後也從來沒有落實過，就我剛才講的三卡。然後現在國發會，你應該知道他現在又在，國發會現在在推什麼新政啊，經濟什麼簽證，現在國發會正在推一個就是創業家簽證。(E-3-5)</w:t>
      </w:r>
    </w:p>
    <w:p w:rsidR="0049577B" w:rsidRPr="00E84370" w:rsidRDefault="00E84370" w:rsidP="00E84370">
      <w:pPr>
        <w:spacing w:line="240" w:lineRule="auto"/>
        <w:ind w:leftChars="0" w:left="0" w:rightChars="0" w:right="0"/>
      </w:pPr>
      <w:r>
        <w:t xml:space="preserve">　　</w:t>
      </w:r>
      <w:r w:rsidR="0049577B" w:rsidRPr="00E84370">
        <w:t>然後我去經濟部、去國貿局開過很多會啊，我們的政府根本不知道我們所有的企業，包括那些什麼電業工會什麼工會，我們根本不知道我們的人才缺口在哪裡，人家也不會報給你公部門，所以每次，因為不知道人才缺在哪裡，每次就是在這邊瞎弄啊，總統喊什麼、院長喊什麼，反正就是搞一大堆的口號啊，什麼什麼新什麼政策啊，什麼提升什麼措施啊，其實裡面都是空的啊。(E-5-2)</w:t>
      </w:r>
    </w:p>
    <w:p w:rsidR="0049577B" w:rsidRPr="00E84370" w:rsidRDefault="00E84370" w:rsidP="00E84370">
      <w:pPr>
        <w:spacing w:line="240" w:lineRule="auto"/>
        <w:ind w:leftChars="0" w:left="0" w:rightChars="0" w:right="0"/>
      </w:pPr>
      <w:r>
        <w:t xml:space="preserve">　　</w:t>
      </w:r>
      <w:r w:rsidR="0049577B" w:rsidRPr="00E84370">
        <w:t>然後如果要叫移民署做的前提，就是如果我們要做，大概我們就是要找相關部會去訂，但是又回歸到剛才我們在討論那個主題，如果專技移民的區塊，主政可能會在經濟部，包括可能比如說投審會，還有國貿局，我也不知道他們現在的業管，還是回歸到那個，你一定要知道說哪一個區塊需要人，你才有辦法去訂啊。(E-5-3)</w:t>
      </w:r>
    </w:p>
    <w:p w:rsidR="0049577B" w:rsidRPr="00E84370" w:rsidRDefault="00E84370" w:rsidP="00E84370">
      <w:pPr>
        <w:spacing w:line="240" w:lineRule="auto"/>
        <w:ind w:leftChars="0" w:left="0" w:rightChars="0" w:right="0"/>
      </w:pPr>
      <w:r>
        <w:t xml:space="preserve">　　</w:t>
      </w:r>
      <w:r w:rsidR="0049577B" w:rsidRPr="00E84370">
        <w:t>那我對於我國現行專技移民有什麼建議，我只有一點建議啦，就是你要調查清楚你的需求在哪裡，或者是你所需的人才是什麼，我們才能評，或者是醫學或者是鋼鐵什麼我們隨便講，那你才知道說我們可能要在那個領域怎麼樣去找到那個領域願意來，那他想要什麼樣的條件，我們臺灣沒有的，我們才去改善法令啊或者是增加誘因啊。我們需要的人才到底是什麼，需要多少人，而且可能你還要把那個趨勢大概推估出來。比如說可能最近3年可能需要一種人，可能3年以後又是需要什麼樣的人，講得很簡單啊，好像經濟部調查了很久，做的不是很順利。(F-8-1)</w:t>
      </w:r>
    </w:p>
    <w:p w:rsidR="0049577B" w:rsidRPr="00E84370" w:rsidRDefault="00E84370" w:rsidP="00E84370">
      <w:pPr>
        <w:spacing w:line="240" w:lineRule="auto"/>
        <w:ind w:leftChars="0" w:left="0" w:rightChars="0" w:right="0"/>
      </w:pPr>
      <w:r>
        <w:t xml:space="preserve">　　</w:t>
      </w:r>
      <w:r w:rsidR="0049577B" w:rsidRPr="00E84370">
        <w:t>(四)申請梅花卡永久居留之利基不足</w:t>
      </w:r>
    </w:p>
    <w:p w:rsidR="0049577B" w:rsidRPr="00E84370" w:rsidRDefault="00E84370" w:rsidP="00E84370">
      <w:pPr>
        <w:spacing w:line="240" w:lineRule="auto"/>
        <w:ind w:leftChars="0" w:left="0" w:rightChars="0" w:right="0"/>
      </w:pPr>
      <w:r>
        <w:t xml:space="preserve">　　</w:t>
      </w:r>
      <w:r w:rsidR="0049577B" w:rsidRPr="00E84370">
        <w:t>梅花卡永久居留當初設計立意乃為吸引對我國有特殊貢獻、投資及高級專業人才，這乃屬於我國攬才政策之一部分，但由於要取得我國一般永久居留權之條件並未太困難，這亦削弱國外技術人才申請梅花卡永久居留之吸引力。另一方面，申請梅花卡永久居留並未能獲得特別之權利或什麼特別之優惠，因著利基不足亦削弱申請梅花卡之吸引力。</w:t>
      </w:r>
    </w:p>
    <w:p w:rsidR="0049577B" w:rsidRPr="00E84370" w:rsidRDefault="0049577B" w:rsidP="00E84370">
      <w:pPr>
        <w:spacing w:line="240" w:lineRule="auto"/>
        <w:ind w:leftChars="0" w:left="0" w:rightChars="0" w:right="0"/>
      </w:pPr>
      <w:r w:rsidRPr="00E84370">
        <w:t>受訪者建議梅花卡永久居留可適合給予準國民之權利，例如適時放寬選舉權、被選舉權及租稅優惠等。另外，談及更實質之優惠，受訪者更建議梅花卡之持有者或許至超商購物能有折扣及搭乘大眾運輸系統能有折扣等。</w:t>
      </w:r>
    </w:p>
    <w:p w:rsidR="0049577B" w:rsidRPr="00E84370" w:rsidRDefault="00E84370" w:rsidP="00E84370">
      <w:pPr>
        <w:spacing w:line="240" w:lineRule="auto"/>
        <w:ind w:leftChars="0" w:left="0" w:rightChars="0" w:right="0"/>
      </w:pPr>
      <w:r>
        <w:t xml:space="preserve">　　</w:t>
      </w:r>
      <w:r w:rsidR="0049577B" w:rsidRPr="00E84370">
        <w:t>梅花卡只是身分上的一種尊榮，搭乘運輸工具也不能打折。要申請者去申請梅花卡，目前沒有誘因，若鼓勵外國專技移民申請梅花卡，每個人給300萬台幣，這才有誘因嘛。當法律鬆綁太嚴重時就沒有誘因。早期政府有學商卡，最後根本沒什麼人申請，因為現在移民署有自動通關系統，學商卡和自動通關速度是一樣的，那我幹嘛申請學商卡。所以專技永久居留可以適時考量是否適時放寬可有選舉權、租稅優惠...但這就不是單一由移民署能作法令研修的部份了，這牽涉到跨部會。(B-5-2)</w:t>
      </w:r>
    </w:p>
    <w:p w:rsidR="0049577B" w:rsidRPr="00E84370" w:rsidRDefault="00E84370" w:rsidP="00E84370">
      <w:pPr>
        <w:spacing w:line="240" w:lineRule="auto"/>
        <w:ind w:leftChars="0" w:left="0" w:rightChars="0" w:right="0"/>
      </w:pPr>
      <w:r>
        <w:t xml:space="preserve">　　</w:t>
      </w:r>
      <w:r w:rsidR="0049577B" w:rsidRPr="00E84370">
        <w:t>兩套制度，梅花卡永久居留比一般永久居留有多了什麼優惠沒有，梅花卡永久居留只是一種尊榮，可以馬上拿永久居留而已，兩者的權利並沒有什麼太大差別，一般永久居留是5年住183天。外僑居留證及永久居留證的權利並無太大差別，外僑居留證是可以免辦重入國許可，有效期是無限的，效期最長3年，3年換證一次，一年1000元、二年2000元、三年3000元，永久居留一次一萬元，梅花卡申請是不用錢，但梅花卡吸引人的誘因太少了，省那一萬元嗎，專門技術性人才是不缺那一萬的。因為外僑居留證太寬鬆了已經好到不行了，所以申請梅花卡就沒有誘因了。(B-5-3)</w:t>
      </w:r>
    </w:p>
    <w:p w:rsidR="0049577B" w:rsidRPr="00E84370" w:rsidRDefault="00E84370" w:rsidP="00E84370">
      <w:pPr>
        <w:spacing w:line="240" w:lineRule="auto"/>
        <w:ind w:leftChars="0" w:left="0" w:rightChars="0" w:right="0"/>
      </w:pPr>
      <w:r>
        <w:t xml:space="preserve">　　</w:t>
      </w:r>
      <w:r w:rsidR="0049577B" w:rsidRPr="00E84370">
        <w:t>給他梅花卡就是給他一個比較特別的榮譽而已。外國人我們就特別發一個卡給你，然後副署長都會去發卡，然後去照像，然後外國人就感覺比較榮譽，但是後續那個梅花卡很像也沒什麼用處，去7-11也不能打折。其實講穿了一般永久居留及梅花卡的永久居留都一樣，就是我們把它獨立出來，比較有special的卡針對你們這樣的人，滿足外國人說我在臺灣拿得是不一樣的卡，只是滿足申請人的心裡而已。(D-3-4)</w:t>
      </w:r>
    </w:p>
    <w:p w:rsidR="0049577B" w:rsidRPr="00E84370" w:rsidRDefault="00E84370" w:rsidP="00E84370">
      <w:pPr>
        <w:spacing w:line="240" w:lineRule="auto"/>
        <w:ind w:leftChars="0" w:left="0" w:rightChars="0" w:right="0"/>
      </w:pPr>
      <w:r>
        <w:t xml:space="preserve">　　</w:t>
      </w:r>
      <w:r w:rsidR="0049577B" w:rsidRPr="00E84370">
        <w:t>我那時候還在綜計科的時候，我們也曾經找國發會來開會啊，我們其實也跟他講很白。我就說那你國發會，我們有個提案說你總是要有一個誘因吧，你既然要推你自己的favour，換湯不換藥有什麼意義，我們甚至想到說，不然你國發會補助錢，我拿梅花卡，比如說我去7-11打個9折，我推就有意義了。或者說我去，因為當初也是國發會去推那個外籍優秀人才這個方案，不然你補助經費說，我們那時候想過，不然你7-11打折，不然就是說，比如說拿悠遊卡坐捷運或坐什麼交通工具，你補助經費啊，那後來國發會也說沒錢了，就不了了之了。</w:t>
      </w:r>
      <w:r w:rsidR="003C1792" w:rsidRPr="00E84370">
        <w:t>(</w:t>
      </w:r>
      <w:r w:rsidR="0049577B" w:rsidRPr="00E84370">
        <w:t>E-3-3)</w:t>
      </w:r>
    </w:p>
    <w:p w:rsidR="0049577B" w:rsidRPr="00E84370" w:rsidRDefault="00E84370" w:rsidP="00E84370">
      <w:pPr>
        <w:spacing w:line="240" w:lineRule="auto"/>
        <w:ind w:leftChars="0" w:left="0" w:rightChars="0" w:right="0"/>
      </w:pPr>
      <w:r>
        <w:t xml:space="preserve">　　</w:t>
      </w:r>
      <w:r w:rsidR="0049577B" w:rsidRPr="00E84370">
        <w:t>如果說只是，我的感覺永久居留跟外僑居留證，永久居留跟外僑居留證沒差，只是差在一個，一個3年要換證，一個不用換證。我們現在的制度永久居留跟外僑居留證，只是差在一個，外僑居留證，你居留事由消失你就要回去了，那你永久居留的話，你居留事由就不會消失，你只要一年住滿183天還是多少。那有什麼誘因，我不認為有誘因啦。(E-6-2)</w:t>
      </w:r>
    </w:p>
    <w:p w:rsidR="0049577B" w:rsidRPr="00E84370" w:rsidRDefault="00E84370" w:rsidP="00E84370">
      <w:pPr>
        <w:spacing w:line="240" w:lineRule="auto"/>
        <w:ind w:leftChars="0" w:left="0" w:rightChars="0" w:right="0"/>
      </w:pPr>
      <w:r>
        <w:t xml:space="preserve">　　</w:t>
      </w:r>
      <w:r w:rsidR="0049577B" w:rsidRPr="00E84370">
        <w:t>(五)梅花卡永久居留流於數據及績效迷思</w:t>
      </w:r>
    </w:p>
    <w:p w:rsidR="0049577B" w:rsidRPr="00E84370" w:rsidRDefault="00E84370" w:rsidP="00E84370">
      <w:pPr>
        <w:spacing w:line="240" w:lineRule="auto"/>
        <w:ind w:leftChars="0" w:left="0" w:rightChars="0" w:right="0"/>
      </w:pPr>
      <w:r>
        <w:t xml:space="preserve">　　</w:t>
      </w:r>
      <w:r w:rsidR="0049577B" w:rsidRPr="00E84370">
        <w:t>部分受訪者亦直言梅花卡推行因有績效之考量，國家發展委員會會函文給移民署並要求報績效，受訪者直言即使努力推行梅花卡業務，但仍不免流於數據迷思，有時更是從資料庫尋找符合申請梅花卡資格之外籍人士，並請託他們來申請。部分受訪者坦言由於申請梅花卡沒有利基，就是一張永久居留證，其權利和一般永久居留無益，惟在永久居留證上多一朵梅花。</w:t>
      </w:r>
    </w:p>
    <w:p w:rsidR="0049577B" w:rsidRPr="00E84370" w:rsidRDefault="00E84370" w:rsidP="00E84370">
      <w:pPr>
        <w:spacing w:line="240" w:lineRule="auto"/>
        <w:ind w:leftChars="0" w:left="0" w:rightChars="0" w:right="0"/>
      </w:pPr>
      <w:r>
        <w:t xml:space="preserve">　　</w:t>
      </w:r>
      <w:r w:rsidR="0049577B" w:rsidRPr="00E84370">
        <w:t>大部份專技都停留在一般居留的階段，居住久了就可以選擇永久居留或歸化，但申請梅花卡的就少了，為什麼會這樣呢，因為專技人才在臺灣居留久了他就會去申請一般的永久居留，就不會去申請梅花卡，沒有必要及誘因，因為我就繼續住好好的，我何必去衝梅花卡的業績。目前來申請梅花卡永久居留以宗教及教授為最大宗。(B-7-6)</w:t>
      </w:r>
    </w:p>
    <w:p w:rsidR="0049577B" w:rsidRPr="00E84370" w:rsidRDefault="00E84370" w:rsidP="00E84370">
      <w:pPr>
        <w:spacing w:line="240" w:lineRule="auto"/>
        <w:ind w:leftChars="0" w:left="0" w:rightChars="0" w:right="0"/>
      </w:pPr>
      <w:r>
        <w:t xml:space="preserve">　　</w:t>
      </w:r>
      <w:r w:rsidR="0049577B" w:rsidRPr="00E84370">
        <w:t>所以我覺得梅花卡只是增加那個數字上好看，因為其他方面好像也不是很吸引人，沒有因為人是因為要拿梅花卡而來臺灣。然後我覺得目前拿梅花卡的比例上很多都是大學教授。專技的部份這些大學教授很多都是長期都已經在臺灣的學校任教了。(C-2-4)</w:t>
      </w:r>
    </w:p>
    <w:p w:rsidR="0049577B" w:rsidRPr="00E84370" w:rsidRDefault="00E84370" w:rsidP="00E84370">
      <w:pPr>
        <w:spacing w:line="240" w:lineRule="auto"/>
        <w:ind w:leftChars="0" w:left="0" w:rightChars="0" w:right="0"/>
      </w:pPr>
      <w:r>
        <w:t xml:space="preserve">　　</w:t>
      </w:r>
      <w:r w:rsidR="0049577B" w:rsidRPr="00E84370">
        <w:t>所以每次人家說怎麼梅花卡的成效不彰，不是成效不彰，是因為要拿我們一般永久居留就很容易，就是很簡單就拿到，不需要走梅花卡這個程序，那就被一般永久居留吸收掉了，所以這個就是很吃虧啊。梅花卡的程序上就是會比較慢啊，而且我們署的人力又不夠。如果說是我承辦，我專責梅花卡業務，當然我可以每個月或者是說我一個月開一次，那你署承辦人通常兼很多工作，那個真的都要加班來做。(C-5-1)</w:t>
      </w:r>
    </w:p>
    <w:p w:rsidR="0049577B" w:rsidRPr="00E84370" w:rsidRDefault="00E84370" w:rsidP="00E84370">
      <w:pPr>
        <w:spacing w:line="240" w:lineRule="auto"/>
        <w:ind w:leftChars="0" w:left="0" w:rightChars="0" w:right="0"/>
      </w:pPr>
      <w:r>
        <w:t xml:space="preserve">　　</w:t>
      </w:r>
      <w:r w:rsidR="0049577B" w:rsidRPr="00E84370">
        <w:t>所以在數字上，我在想說專技移民數字上有一個迷思，因為你如果說實質上要全部去調查，我覺得我們數字應該是蠻高的啦，可是目前就看不到這方面數據，就是抓不到，因為目前你到底要從哪裡抓，早就被一般的永久居留吸收了，那永久居留勞動部也沒辦法去查，你除非是人口普查，去每一個一個這樣的查。(C-8-7)</w:t>
      </w:r>
    </w:p>
    <w:p w:rsidR="0049577B" w:rsidRPr="00E84370" w:rsidRDefault="00E84370" w:rsidP="00E84370">
      <w:pPr>
        <w:spacing w:line="240" w:lineRule="auto"/>
        <w:ind w:leftChars="0" w:left="0" w:rightChars="0" w:right="0"/>
      </w:pPr>
      <w:r>
        <w:t xml:space="preserve">　　</w:t>
      </w:r>
      <w:r w:rsidR="0049577B" w:rsidRPr="00E84370">
        <w:t>比較可憐的是，現在有些都不是他們來申請梅花卡，都是我們去撈資料，撈出來說誰有符合資格，然後寄通知書給他，拜託他來申請，他若不來的話，我們服務站還派人去他們家給他們寫，寫完以後我們趕快拿回來趕快製證，然後通知副署長去發卡。(D-3-5)</w:t>
      </w:r>
    </w:p>
    <w:p w:rsidR="0049577B" w:rsidRPr="00E84370" w:rsidRDefault="00E84370" w:rsidP="00E84370">
      <w:pPr>
        <w:spacing w:line="240" w:lineRule="auto"/>
        <w:ind w:leftChars="0" w:left="0" w:rightChars="0" w:right="0"/>
      </w:pPr>
      <w:r>
        <w:t xml:space="preserve">　　</w:t>
      </w:r>
      <w:r w:rsidR="0049577B" w:rsidRPr="00E84370">
        <w:t>更好笑的是，那個梅花卡有時候不是他來申請的，是我們去通知他說：「欸，你符合資格，我們幫你發一張送去給你。」…(D-5-7)</w:t>
      </w:r>
    </w:p>
    <w:p w:rsidR="0049577B" w:rsidRPr="00E84370" w:rsidRDefault="00E84370" w:rsidP="00E84370">
      <w:pPr>
        <w:spacing w:line="240" w:lineRule="auto"/>
        <w:ind w:leftChars="0" w:left="0" w:rightChars="0" w:right="0"/>
      </w:pPr>
      <w:r>
        <w:t xml:space="preserve">　　</w:t>
      </w:r>
      <w:r w:rsidR="0049577B" w:rsidRPr="00E84370">
        <w:t>另外還有一個就是梅花卡，梅花卡你都知道名字，應該很清楚啦，它就是一張永久居留證，那只是換湯不換藥，它就叫做梅花卡。我們證上明明是一張永久居留證，我們就叫它梅花卡。然後那時候也是績效不好，因為國發會三不五時就叫我們報件數績效。國發會還是會行文來，然後就，我們有在推啦，可是其實反正就是一張梅花卡…。(E-3-3)</w:t>
      </w:r>
    </w:p>
    <w:p w:rsidR="0049577B" w:rsidRPr="00E84370" w:rsidRDefault="00E84370" w:rsidP="00E84370">
      <w:pPr>
        <w:spacing w:line="240" w:lineRule="auto"/>
        <w:ind w:leftChars="0" w:left="0" w:rightChars="0" w:right="0"/>
      </w:pPr>
      <w:r>
        <w:t xml:space="preserve">　　</w:t>
      </w:r>
      <w:r w:rsidR="0049577B" w:rsidRPr="00E84370">
        <w:t>(六)國人對於開放外籍白領人才來台之區塊（非指在台畢業之僑外生），仍存有相當大之疑慮、爭議、排斥與不安</w:t>
      </w:r>
    </w:p>
    <w:p w:rsidR="0049577B" w:rsidRPr="00E84370" w:rsidRDefault="00E84370" w:rsidP="00E84370">
      <w:pPr>
        <w:spacing w:line="240" w:lineRule="auto"/>
        <w:ind w:leftChars="0" w:left="0" w:rightChars="0" w:right="0"/>
      </w:pPr>
      <w:r>
        <w:t xml:space="preserve">　　</w:t>
      </w:r>
      <w:r w:rsidR="0049577B" w:rsidRPr="00E84370">
        <w:t>國人對於開放外籍白領人才來台之區塊（非指在台畢業之僑外生），仍存有相當大之疑慮、排斥與不安。舉例而言，勞工團體、時代力量與部分國會立委對開放外籍白領人才來台持保留（反對）態度。目前，開放外籍白領人才來台之區塊（非指在台畢業之僑外生），是爭議最大之部分，現行外籍白領人才之來台之條件，每月之薪資，須至少達新台幣47971元，及擁有2年之工作經驗。勞動部擬在原規定之外，另增評點制。換言之，採取雙軌制之機制。不過，外籍白領人才評點制之薪資，係僅將薪資列為加分項目，而非門檻，如其總分達60點，即可來台。上述之方案，勞工團體、時代力量與部分國會立委，對開放外籍白領人才來台持保留（反對）之態度，有贊成派之論者（開放外籍白領人才來台）主張，上述勞工團體、時代力量與部分國會立委之意見，宛如鎖國幽靈</w:t>
      </w:r>
      <w:r w:rsidR="0049577B" w:rsidRPr="00E84370">
        <w:footnoteReference w:id="444"/>
      </w:r>
      <w:r w:rsidR="0049577B" w:rsidRPr="00E84370">
        <w:t>，由於有如此之爭議性，故勞動部原訂外籍白領人才來台之篩選機制之中，另增評點制之方面，尚未實施之</w:t>
      </w:r>
      <w:r w:rsidR="0049577B" w:rsidRPr="00E84370">
        <w:rPr>
          <w:rFonts w:ascii="Arial Unicode MS" w:eastAsia="新細明體" w:hAnsi="Arial Unicode MS"/>
          <w:color w:val="FF6600"/>
          <w:sz w:val="20"/>
        </w:rPr>
        <w:footnoteReference w:id="445"/>
      </w:r>
      <w:r w:rsidR="0049577B" w:rsidRPr="00E84370">
        <w:t>。</w:t>
      </w:r>
    </w:p>
    <w:p w:rsidR="0049577B" w:rsidRPr="00E84370" w:rsidRDefault="00E84370" w:rsidP="00E84370">
      <w:pPr>
        <w:spacing w:line="240" w:lineRule="auto"/>
        <w:ind w:leftChars="0" w:left="0" w:rightChars="0" w:right="0"/>
      </w:pPr>
      <w:r>
        <w:t xml:space="preserve">　　</w:t>
      </w:r>
      <w:r w:rsidR="0049577B" w:rsidRPr="00E84370">
        <w:t>於2015年，筆者曾與所授課</w:t>
      </w:r>
      <w:r w:rsidR="0049577B" w:rsidRPr="00E84370">
        <w:rPr>
          <w:rFonts w:ascii="Arial Unicode MS" w:eastAsia="新細明體" w:hAnsi="Arial Unicode MS"/>
          <w:color w:val="FF6600"/>
          <w:sz w:val="20"/>
        </w:rPr>
        <w:footnoteReference w:id="446"/>
      </w:r>
      <w:r w:rsidR="0049577B" w:rsidRPr="00E84370">
        <w:t>之警大841國境系境管組同學討論此一開放外籍白領人才來台之議題，相關之意見與看法，如下所述：</w:t>
      </w:r>
    </w:p>
    <w:p w:rsidR="0049577B" w:rsidRPr="00E84370" w:rsidRDefault="00E84370" w:rsidP="00E84370">
      <w:pPr>
        <w:spacing w:line="240" w:lineRule="auto"/>
        <w:ind w:leftChars="0" w:left="0" w:rightChars="0" w:right="0"/>
      </w:pPr>
      <w:r>
        <w:t xml:space="preserve">　　</w:t>
      </w:r>
      <w:r w:rsidR="0049577B" w:rsidRPr="00E84370">
        <w:t>1.洪姍渝小姐認為，我國若要吸引高階之白領人才來台，應將薪資新台幣47971元之限制調高，而非將薪資刪除或降低其標準，否則，延攬來台之人才，可能大部分是藍領之勞力階層，恐會影響本土之勞動市場</w:t>
      </w:r>
      <w:r w:rsidR="0049577B" w:rsidRPr="00E84370">
        <w:rPr>
          <w:rFonts w:ascii="Arial Unicode MS" w:eastAsia="新細明體" w:hAnsi="Arial Unicode MS"/>
          <w:color w:val="FF6600"/>
          <w:sz w:val="20"/>
        </w:rPr>
        <w:footnoteReference w:id="447"/>
      </w:r>
      <w:r w:rsidR="0049577B" w:rsidRPr="00E84370">
        <w:t>。洪姍渝小姐之觀點，與勞工團體、時代力量與部分國會立委相同。</w:t>
      </w:r>
    </w:p>
    <w:p w:rsidR="0049577B" w:rsidRPr="00E84370" w:rsidRDefault="00E84370" w:rsidP="00E84370">
      <w:pPr>
        <w:spacing w:line="240" w:lineRule="auto"/>
        <w:ind w:leftChars="0" w:left="0" w:rightChars="0" w:right="0"/>
      </w:pPr>
      <w:r>
        <w:t xml:space="preserve">　　</w:t>
      </w:r>
      <w:r w:rsidR="0049577B" w:rsidRPr="00E84370">
        <w:t>2.吳佳承先生則認為，為了招攬白領之專業人才，評點制是一個篩選人才之好方法，它可初步地確定外籍白領之專業人才是否適合來台？如加上配合人數之限制，可為台灣招攬所需之白領專業人才</w:t>
      </w:r>
      <w:r w:rsidR="0049577B" w:rsidRPr="00E84370">
        <w:rPr>
          <w:rFonts w:ascii="Arial Unicode MS" w:eastAsia="新細明體" w:hAnsi="Arial Unicode MS"/>
          <w:color w:val="FF6600"/>
          <w:sz w:val="20"/>
        </w:rPr>
        <w:footnoteReference w:id="448"/>
      </w:r>
      <w:r w:rsidR="0049577B" w:rsidRPr="00E84370">
        <w:t>。</w:t>
      </w:r>
    </w:p>
    <w:p w:rsidR="0049577B" w:rsidRPr="00E84370" w:rsidRDefault="00E84370" w:rsidP="00E84370">
      <w:pPr>
        <w:spacing w:line="240" w:lineRule="auto"/>
        <w:ind w:leftChars="0" w:left="0" w:rightChars="0" w:right="0"/>
      </w:pPr>
      <w:r>
        <w:t xml:space="preserve">　　</w:t>
      </w:r>
      <w:r w:rsidR="0049577B" w:rsidRPr="00E84370">
        <w:t>3.陳又綾小姐認為，如就放寬白領專業人才來台限制之乙事著眼，台灣之招攬人才之政策，的確是一大進步。少了許多嚴苛且無意義之限制，增多了工作機會</w:t>
      </w:r>
      <w:r w:rsidR="0049577B" w:rsidRPr="00306B20">
        <w:rPr>
          <w:rFonts w:ascii="Arial Unicode MS" w:eastAsia="新細明體" w:hAnsi="Arial Unicode MS"/>
          <w:color w:val="FF6600"/>
          <w:sz w:val="20"/>
        </w:rPr>
        <w:footnoteReference w:id="449"/>
      </w:r>
      <w:r w:rsidR="0049577B" w:rsidRPr="00E84370">
        <w:t>。</w:t>
      </w:r>
    </w:p>
    <w:p w:rsidR="0049577B" w:rsidRPr="00E84370" w:rsidRDefault="00E84370" w:rsidP="00E84370">
      <w:pPr>
        <w:spacing w:line="240" w:lineRule="auto"/>
        <w:ind w:leftChars="0" w:left="0" w:rightChars="0" w:right="0"/>
      </w:pPr>
      <w:r>
        <w:t xml:space="preserve">　　</w:t>
      </w:r>
      <w:r w:rsidR="0049577B" w:rsidRPr="00E84370">
        <w:t>4.吳冠儒先生則主張，評點制是否真正能篩選出優秀之人才？值得深思。如某甲係一位白領專業人才，剛從學校畢業，其具有非常專精之技能，但不熟悉我國語言，亦無工作經驗，有可能無法達到評點制之標準。相反地，如某乙未具有非常專精之技能，但具有評點制所需之各式條件，則技能發展較多樣之某乙，有可能會達到評點制之標準。在本案之中，台灣僱用上述之某甲，是否會得到更佳之生產效能？值得研究</w:t>
      </w:r>
      <w:r w:rsidR="0049577B" w:rsidRPr="00306B20">
        <w:rPr>
          <w:rFonts w:ascii="Arial Unicode MS" w:eastAsia="新細明體" w:hAnsi="Arial Unicode MS"/>
          <w:color w:val="FF6600"/>
          <w:sz w:val="20"/>
        </w:rPr>
        <w:footnoteReference w:id="450"/>
      </w:r>
      <w:r w:rsidR="0049577B" w:rsidRPr="00E84370">
        <w:t>。</w:t>
      </w:r>
    </w:p>
    <w:p w:rsidR="0049577B" w:rsidRPr="00E84370" w:rsidRDefault="00E84370" w:rsidP="00E84370">
      <w:pPr>
        <w:spacing w:line="240" w:lineRule="auto"/>
        <w:ind w:leftChars="0" w:left="0" w:rightChars="0" w:right="0"/>
      </w:pPr>
      <w:r>
        <w:t xml:space="preserve">　　</w:t>
      </w:r>
      <w:r w:rsidR="0049577B" w:rsidRPr="00E84370">
        <w:t>5.林偉弘先生則認為，在全球化體系之分工下，我國已然面臨產業轉型之階段，台灣產業需要轉型，須有足夠之高級專業人才，其中，招覽外國籍優秀之專業人才，亦不容忽視。現今之台灣，面臨人口老化、生育率低、扶養比高之社會問題，政府必須積極面對勞力短缺之問題，故開放對外國籍優秀之專業人才之限制，實為時勢所趨。再者，考量現今為一個全球化之時代，我國經濟之發展，已漸趨遲緩，且我國之外交政治常常受阻，競爭力已較其他經濟體為低落，若我國不延攬高階外國籍優秀之專業人才來台，加速台灣之產業升級，必造成企業競爭力更無法在國際上立足</w:t>
      </w:r>
      <w:r w:rsidR="0049577B" w:rsidRPr="00E84370">
        <w:rPr>
          <w:rFonts w:ascii="Arial Unicode MS" w:eastAsia="新細明體" w:hAnsi="Arial Unicode MS"/>
          <w:color w:val="FF6600"/>
          <w:sz w:val="20"/>
        </w:rPr>
        <w:footnoteReference w:id="451"/>
      </w:r>
      <w:r w:rsidR="0049577B" w:rsidRPr="00E84370">
        <w:t>。</w:t>
      </w:r>
    </w:p>
    <w:p w:rsidR="0049577B" w:rsidRPr="00E84370" w:rsidRDefault="00E84370" w:rsidP="00E84370">
      <w:pPr>
        <w:spacing w:line="240" w:lineRule="auto"/>
        <w:ind w:leftChars="0" w:left="0" w:rightChars="0" w:right="0"/>
      </w:pPr>
      <w:r>
        <w:t xml:space="preserve">　　</w:t>
      </w:r>
      <w:r w:rsidR="0049577B" w:rsidRPr="00E84370">
        <w:t>再者，筆者亦於2016年3月，曾與所授課</w:t>
      </w:r>
      <w:r w:rsidR="0049577B" w:rsidRPr="00E84370">
        <w:rPr>
          <w:rFonts w:ascii="Arial Unicode MS" w:eastAsia="新細明體" w:hAnsi="Arial Unicode MS"/>
          <w:color w:val="FF6600"/>
          <w:sz w:val="20"/>
        </w:rPr>
        <w:footnoteReference w:id="452"/>
      </w:r>
      <w:r w:rsidR="0049577B" w:rsidRPr="00E84370">
        <w:t>之警大外事所碩士班6位同學討論此一議題，6位碩士班研究生則幾乎一致地認為：政府實應開放外籍白領人才來台，加速台灣之產業升級，提升國家之競爭力。綜合以上之相關看法，本文認為，開放外籍白領人才來台之評量篩選方法之部分，採雙軌制之篩選機制，仍是一個非常具體與可行之措施。不過，外籍白領人才評點制之標準，不宜過低為佳，至少，不宜低於60分，以利使其具有一定水準之篩選人才之功能。</w:t>
      </w:r>
    </w:p>
    <w:p w:rsidR="0049577B" w:rsidRPr="00E43C92" w:rsidRDefault="00321574" w:rsidP="0008714D">
      <w:pPr>
        <w:spacing w:line="240" w:lineRule="auto"/>
        <w:ind w:leftChars="0" w:left="0" w:rightChars="0" w:right="0"/>
        <w:jc w:val="right"/>
        <w:rPr>
          <w:sz w:val="22"/>
          <w:szCs w:val="22"/>
        </w:rPr>
      </w:pPr>
      <w:r w:rsidRPr="00E43C92">
        <w:rPr>
          <w:rFonts w:hint="eastAsia"/>
          <w:sz w:val="22"/>
          <w:szCs w:val="22"/>
        </w:rPr>
        <w:t>。。。。。。。。。。。。。。</w:t>
      </w:r>
      <w:hyperlink w:anchor="a3b5" w:history="1">
        <w:r w:rsidR="00E43C92" w:rsidRPr="00E43C92">
          <w:rPr>
            <w:rStyle w:val="a7"/>
            <w:sz w:val="22"/>
            <w:szCs w:val="22"/>
            <w:lang w:eastAsia="zh-TW"/>
          </w:rPr>
          <w:t>回本章</w:t>
        </w:r>
      </w:hyperlink>
      <w:r w:rsidR="00E43C92"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E84370">
      <w:pPr>
        <w:pStyle w:val="2"/>
        <w:keepNext w:val="0"/>
        <w:adjustRightInd/>
        <w:snapToGrid/>
        <w:spacing w:beforeLines="0" w:before="0" w:afterLines="0" w:after="0"/>
        <w:jc w:val="both"/>
      </w:pPr>
      <w:bookmarkStart w:id="81" w:name="_伍、僑外生留臺計畫評點制之現況與困境"/>
      <w:bookmarkEnd w:id="81"/>
      <w:r w:rsidRPr="00B40DC1">
        <w:t>伍、僑外生留臺計畫評點制之現況與困境</w:t>
      </w:r>
    </w:p>
    <w:p w:rsidR="0049577B" w:rsidRPr="00B40DC1" w:rsidRDefault="0049577B" w:rsidP="00E84370">
      <w:pPr>
        <w:pStyle w:val="3"/>
        <w:rPr>
          <w:lang w:eastAsia="zh-TW"/>
        </w:rPr>
      </w:pPr>
      <w:bookmarkStart w:id="82" w:name="_一、採行僑外生留臺計畫評點制乃為現行法令解套"/>
      <w:bookmarkEnd w:id="82"/>
      <w:r w:rsidRPr="00B40DC1">
        <w:rPr>
          <w:lang w:eastAsia="zh-TW"/>
        </w:rPr>
        <w:t>一、採行僑外生留臺計畫評點制乃為現行法令解套</w:t>
      </w:r>
    </w:p>
    <w:p w:rsidR="0049577B" w:rsidRPr="00B40DC1" w:rsidRDefault="00E84370" w:rsidP="00306B20">
      <w:pPr>
        <w:spacing w:line="240" w:lineRule="auto"/>
        <w:ind w:leftChars="0" w:left="0" w:rightChars="0" w:right="0"/>
      </w:pPr>
      <w:r>
        <w:t xml:space="preserve">　　</w:t>
      </w:r>
      <w:r w:rsidR="0049577B" w:rsidRPr="00B40DC1">
        <w:t>國家發展委員會（簡稱國發會）於民國103年6月提出「強化優秀僑外生留臺工作行動計畫」，如架構圖所示，其中以評點制做為遴選優秀僑外生之制度。依據「外國人從事就業服務法第四十六條第一項第一款至第六款工作資格及審查標準</w:t>
      </w:r>
      <w:r w:rsidR="00461F58" w:rsidRPr="00B40DC1">
        <w:t>」</w:t>
      </w:r>
      <w:hyperlink r:id="rId373" w:anchor="a5" w:history="1">
        <w:r w:rsidR="00461F58" w:rsidRPr="00294CC4">
          <w:rPr>
            <w:rStyle w:val="a7"/>
            <w:rFonts w:cs="Times New Roman"/>
            <w:lang w:eastAsia="zh-TW" w:bidi="ar-SA"/>
          </w:rPr>
          <w:t>第5條</w:t>
        </w:r>
      </w:hyperlink>
      <w:r w:rsidR="00461F58" w:rsidRPr="00B40DC1">
        <w:t>及</w:t>
      </w:r>
      <w:hyperlink r:id="rId374" w:anchor="a8" w:history="1">
        <w:r w:rsidR="00461F58" w:rsidRPr="00294CC4">
          <w:rPr>
            <w:rStyle w:val="a7"/>
            <w:rFonts w:cs="Times New Roman"/>
            <w:lang w:eastAsia="zh-TW" w:bidi="ar-SA"/>
          </w:rPr>
          <w:t>第8條</w:t>
        </w:r>
      </w:hyperlink>
      <w:r w:rsidR="0049577B" w:rsidRPr="00B40DC1">
        <w:t>規定，在臺畢業之港澳生、僑生及外籍生需符合滿2年工作經驗及企業擬聘僱薪資達新臺幣47,971元之雙重門檻之條件，始可留臺或回臺工作。</w:t>
      </w:r>
    </w:p>
    <w:p w:rsidR="0049577B" w:rsidRPr="00B40DC1" w:rsidRDefault="0049577B" w:rsidP="000D26BB"/>
    <w:p w:rsidR="0049577B" w:rsidRPr="00B40DC1" w:rsidRDefault="0049577B" w:rsidP="000D26BB">
      <w:r w:rsidRPr="00B40DC1">
        <w:rPr>
          <w:noProof/>
        </w:rPr>
        <w:drawing>
          <wp:inline distT="0" distB="0" distL="0" distR="0" wp14:anchorId="64BA940F" wp14:editId="64CEFEA1">
            <wp:extent cx="4575175" cy="325818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575175" cy="3258185"/>
                    </a:xfrm>
                    <a:prstGeom prst="rect">
                      <a:avLst/>
                    </a:prstGeom>
                    <a:noFill/>
                    <a:ln>
                      <a:noFill/>
                    </a:ln>
                  </pic:spPr>
                </pic:pic>
              </a:graphicData>
            </a:graphic>
          </wp:inline>
        </w:drawing>
      </w:r>
    </w:p>
    <w:p w:rsidR="0049577B" w:rsidRPr="00B40DC1" w:rsidRDefault="0049577B" w:rsidP="00306B20">
      <w:pPr>
        <w:pStyle w:val="4"/>
        <w:rPr>
          <w:lang w:eastAsia="zh-TW"/>
        </w:rPr>
      </w:pPr>
      <w:r w:rsidRPr="00B40DC1">
        <w:rPr>
          <w:lang w:eastAsia="zh-TW"/>
        </w:rPr>
        <w:t>圖七</w:t>
      </w:r>
      <w:r w:rsidR="00D162A0">
        <w:rPr>
          <w:rFonts w:ascii="新細明體" w:eastAsia="新細明體" w:hAnsi="新細明體" w:hint="eastAsia"/>
          <w:lang w:eastAsia="zh-TW"/>
        </w:rPr>
        <w:t>、</w:t>
      </w:r>
      <w:r w:rsidRPr="00B40DC1">
        <w:rPr>
          <w:lang w:eastAsia="zh-TW"/>
        </w:rPr>
        <w:t>強化優秀僑外生留臺工作行動計畫架構圖示</w:t>
      </w:r>
    </w:p>
    <w:p w:rsidR="0049577B" w:rsidRPr="00306B20" w:rsidRDefault="00817A92" w:rsidP="00306B20">
      <w:pPr>
        <w:spacing w:line="240" w:lineRule="auto"/>
        <w:ind w:leftChars="0" w:left="0" w:rightChars="0" w:right="0"/>
      </w:pPr>
      <w:r w:rsidRPr="00306B20">
        <w:t>【資料來源】</w:t>
      </w:r>
      <w:r w:rsidR="0049577B" w:rsidRPr="00306B20">
        <w:t>行政院國家發展委員會（2014）</w:t>
      </w:r>
      <w:r w:rsidR="0049577B" w:rsidRPr="00306B20">
        <w:rPr>
          <w:rFonts w:ascii="Arial Unicode MS" w:eastAsia="新細明體" w:hAnsi="Arial Unicode MS"/>
          <w:color w:val="FF6600"/>
          <w:sz w:val="20"/>
        </w:rPr>
        <w:footnoteReference w:id="453"/>
      </w:r>
    </w:p>
    <w:p w:rsidR="0049577B" w:rsidRPr="00B40DC1" w:rsidRDefault="0049577B" w:rsidP="00306B20">
      <w:pPr>
        <w:spacing w:line="240" w:lineRule="auto"/>
        <w:ind w:leftChars="0" w:left="0" w:rightChars="0" w:right="0"/>
      </w:pPr>
    </w:p>
    <w:p w:rsidR="0049577B" w:rsidRPr="00B40DC1" w:rsidRDefault="00306B20" w:rsidP="00306B20">
      <w:pPr>
        <w:spacing w:line="240" w:lineRule="auto"/>
        <w:ind w:leftChars="0" w:left="0" w:rightChars="0" w:right="0"/>
      </w:pPr>
      <w:r>
        <w:t xml:space="preserve">　　</w:t>
      </w:r>
      <w:r w:rsidR="0049577B" w:rsidRPr="00B40DC1">
        <w:t>為讓優秀僑外生畢業後能順利留在臺灣並進入我國勞動市場，國家發展委員會提出上述「強化優秀僑外生留臺工作行動計畫」，並以評點制做為遴選優秀僑外生之標準，其目的乃為鬆綁現行法令，讓僑外生未符合滿2年工作經驗及未達企業聘僱薪資達新臺幣47,971元條件之僑外生能留下來。有關於僑外在台新生人數之推估數據，詳如下表。再者，國發會並向勞動部與教育部等單位建議我國可留台之僑外生人數之配額與比率，詳如下表所示。</w:t>
      </w:r>
    </w:p>
    <w:p w:rsidR="0049577B" w:rsidRPr="00B40DC1" w:rsidRDefault="0049577B" w:rsidP="000D26BB">
      <w:pPr>
        <w:pStyle w:val="afffffff9"/>
        <w:spacing w:before="180"/>
      </w:pPr>
    </w:p>
    <w:p w:rsidR="0049577B" w:rsidRPr="00B40DC1" w:rsidRDefault="0049577B" w:rsidP="00321574">
      <w:pPr>
        <w:pStyle w:val="4"/>
        <w:rPr>
          <w:lang w:eastAsia="zh-TW"/>
        </w:rPr>
      </w:pPr>
      <w:r w:rsidRPr="00B40DC1">
        <w:rPr>
          <w:lang w:eastAsia="zh-TW"/>
        </w:rPr>
        <w:t>表四</w:t>
      </w:r>
      <w:r w:rsidR="00306B20">
        <w:rPr>
          <w:rFonts w:ascii="新細明體" w:eastAsia="新細明體" w:hAnsi="新細明體" w:hint="eastAsia"/>
          <w:lang w:eastAsia="zh-TW"/>
        </w:rPr>
        <w:t>、</w:t>
      </w:r>
      <w:r w:rsidRPr="00B40DC1">
        <w:rPr>
          <w:lang w:eastAsia="zh-TW"/>
        </w:rPr>
        <w:t>僑外在台新生人數之推估數據表</w:t>
      </w:r>
    </w:p>
    <w:p w:rsidR="0049577B" w:rsidRPr="00306B20" w:rsidRDefault="0049577B" w:rsidP="00306B20">
      <w:pPr>
        <w:ind w:leftChars="0"/>
      </w:pPr>
      <w:r w:rsidRPr="00306B20">
        <w:t>單位：人</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1287"/>
        <w:gridCol w:w="1287"/>
        <w:gridCol w:w="1288"/>
        <w:gridCol w:w="1287"/>
        <w:gridCol w:w="1288"/>
      </w:tblGrid>
      <w:tr w:rsidR="0049577B" w:rsidRPr="00306B20" w:rsidTr="00D162A0">
        <w:trPr>
          <w:trHeight w:val="340"/>
          <w:jc w:val="center"/>
        </w:trPr>
        <w:tc>
          <w:tcPr>
            <w:tcW w:w="2967" w:type="dxa"/>
            <w:tcBorders>
              <w:top w:val="single" w:sz="8" w:space="0" w:color="auto"/>
              <w:left w:val="single" w:sz="8" w:space="0" w:color="auto"/>
              <w:bottom w:val="single" w:sz="4" w:space="0" w:color="auto"/>
            </w:tcBorders>
            <w:shd w:val="clear" w:color="auto" w:fill="FAF0FA"/>
            <w:vAlign w:val="center"/>
          </w:tcPr>
          <w:p w:rsidR="0049577B" w:rsidRPr="00D162A0" w:rsidRDefault="0049577B" w:rsidP="00306B20">
            <w:pPr>
              <w:ind w:leftChars="0"/>
              <w:rPr>
                <w:sz w:val="24"/>
                <w:szCs w:val="24"/>
              </w:rPr>
            </w:pPr>
            <w:r w:rsidRPr="00D162A0">
              <w:rPr>
                <w:sz w:val="24"/>
                <w:szCs w:val="24"/>
              </w:rPr>
              <w:t>年  度</w:t>
            </w:r>
          </w:p>
        </w:tc>
        <w:tc>
          <w:tcPr>
            <w:tcW w:w="1287" w:type="dxa"/>
            <w:tcBorders>
              <w:top w:val="single" w:sz="8" w:space="0" w:color="auto"/>
              <w:bottom w:val="single" w:sz="4" w:space="0" w:color="auto"/>
              <w:right w:val="nil"/>
            </w:tcBorders>
            <w:shd w:val="clear" w:color="auto" w:fill="FAF0FA"/>
            <w:vAlign w:val="center"/>
          </w:tcPr>
          <w:p w:rsidR="0049577B" w:rsidRPr="00D162A0" w:rsidRDefault="0049577B" w:rsidP="00E06828">
            <w:pPr>
              <w:ind w:leftChars="0"/>
              <w:jc w:val="center"/>
              <w:rPr>
                <w:sz w:val="24"/>
                <w:szCs w:val="24"/>
              </w:rPr>
            </w:pPr>
            <w:r w:rsidRPr="00D162A0">
              <w:rPr>
                <w:sz w:val="24"/>
                <w:szCs w:val="24"/>
              </w:rPr>
              <w:t>103</w:t>
            </w:r>
          </w:p>
        </w:tc>
        <w:tc>
          <w:tcPr>
            <w:tcW w:w="1287" w:type="dxa"/>
            <w:tcBorders>
              <w:top w:val="single" w:sz="8" w:space="0" w:color="auto"/>
              <w:left w:val="nil"/>
              <w:bottom w:val="single" w:sz="4" w:space="0" w:color="auto"/>
              <w:right w:val="nil"/>
            </w:tcBorders>
            <w:shd w:val="clear" w:color="auto" w:fill="FAF0FA"/>
            <w:vAlign w:val="center"/>
          </w:tcPr>
          <w:p w:rsidR="0049577B" w:rsidRPr="00D162A0" w:rsidRDefault="0049577B" w:rsidP="00E06828">
            <w:pPr>
              <w:ind w:leftChars="0"/>
              <w:jc w:val="center"/>
              <w:rPr>
                <w:sz w:val="24"/>
                <w:szCs w:val="24"/>
              </w:rPr>
            </w:pPr>
            <w:r w:rsidRPr="00D162A0">
              <w:rPr>
                <w:sz w:val="24"/>
                <w:szCs w:val="24"/>
              </w:rPr>
              <w:t>104</w:t>
            </w:r>
          </w:p>
        </w:tc>
        <w:tc>
          <w:tcPr>
            <w:tcW w:w="1288" w:type="dxa"/>
            <w:tcBorders>
              <w:top w:val="single" w:sz="8" w:space="0" w:color="auto"/>
              <w:left w:val="nil"/>
              <w:bottom w:val="single" w:sz="4" w:space="0" w:color="auto"/>
              <w:right w:val="nil"/>
            </w:tcBorders>
            <w:shd w:val="clear" w:color="auto" w:fill="FAF0FA"/>
            <w:vAlign w:val="center"/>
          </w:tcPr>
          <w:p w:rsidR="0049577B" w:rsidRPr="00D162A0" w:rsidRDefault="0049577B" w:rsidP="00E06828">
            <w:pPr>
              <w:ind w:leftChars="0"/>
              <w:jc w:val="center"/>
              <w:rPr>
                <w:sz w:val="24"/>
                <w:szCs w:val="24"/>
              </w:rPr>
            </w:pPr>
            <w:r w:rsidRPr="00D162A0">
              <w:rPr>
                <w:sz w:val="24"/>
                <w:szCs w:val="24"/>
              </w:rPr>
              <w:t>105</w:t>
            </w:r>
          </w:p>
        </w:tc>
        <w:tc>
          <w:tcPr>
            <w:tcW w:w="1287" w:type="dxa"/>
            <w:tcBorders>
              <w:top w:val="single" w:sz="8" w:space="0" w:color="auto"/>
              <w:left w:val="nil"/>
              <w:bottom w:val="single" w:sz="4" w:space="0" w:color="auto"/>
              <w:right w:val="nil"/>
            </w:tcBorders>
            <w:shd w:val="clear" w:color="auto" w:fill="FAF0FA"/>
            <w:vAlign w:val="center"/>
          </w:tcPr>
          <w:p w:rsidR="0049577B" w:rsidRPr="00D162A0" w:rsidRDefault="0049577B" w:rsidP="00E06828">
            <w:pPr>
              <w:ind w:leftChars="0"/>
              <w:jc w:val="center"/>
              <w:rPr>
                <w:sz w:val="24"/>
                <w:szCs w:val="24"/>
              </w:rPr>
            </w:pPr>
            <w:r w:rsidRPr="00D162A0">
              <w:rPr>
                <w:sz w:val="24"/>
                <w:szCs w:val="24"/>
              </w:rPr>
              <w:t>106</w:t>
            </w:r>
          </w:p>
        </w:tc>
        <w:tc>
          <w:tcPr>
            <w:tcW w:w="1288" w:type="dxa"/>
            <w:tcBorders>
              <w:top w:val="single" w:sz="8" w:space="0" w:color="auto"/>
              <w:left w:val="nil"/>
              <w:bottom w:val="single" w:sz="4" w:space="0" w:color="auto"/>
              <w:right w:val="single" w:sz="8" w:space="0" w:color="auto"/>
            </w:tcBorders>
            <w:shd w:val="clear" w:color="auto" w:fill="FAF0FA"/>
            <w:vAlign w:val="center"/>
          </w:tcPr>
          <w:p w:rsidR="0049577B" w:rsidRPr="00D162A0" w:rsidRDefault="0049577B" w:rsidP="00E06828">
            <w:pPr>
              <w:ind w:leftChars="0"/>
              <w:jc w:val="center"/>
              <w:rPr>
                <w:sz w:val="24"/>
                <w:szCs w:val="24"/>
              </w:rPr>
            </w:pPr>
            <w:r w:rsidRPr="00D162A0">
              <w:rPr>
                <w:sz w:val="24"/>
                <w:szCs w:val="24"/>
              </w:rPr>
              <w:t>107</w:t>
            </w:r>
          </w:p>
        </w:tc>
      </w:tr>
      <w:tr w:rsidR="0049577B" w:rsidRPr="00B40DC1" w:rsidTr="00D162A0">
        <w:trPr>
          <w:trHeight w:val="340"/>
          <w:jc w:val="center"/>
        </w:trPr>
        <w:tc>
          <w:tcPr>
            <w:tcW w:w="2967" w:type="dxa"/>
            <w:tcBorders>
              <w:top w:val="single" w:sz="4" w:space="0" w:color="auto"/>
              <w:left w:val="single" w:sz="8" w:space="0" w:color="auto"/>
              <w:bottom w:val="nil"/>
            </w:tcBorders>
            <w:shd w:val="clear" w:color="auto" w:fill="auto"/>
            <w:vAlign w:val="center"/>
          </w:tcPr>
          <w:p w:rsidR="0049577B" w:rsidRPr="00D162A0" w:rsidRDefault="0049577B" w:rsidP="000D26BB">
            <w:pPr>
              <w:pStyle w:val="afffffffa"/>
              <w:ind w:left="-39" w:right="-39"/>
              <w:rPr>
                <w:sz w:val="24"/>
                <w:szCs w:val="24"/>
              </w:rPr>
            </w:pPr>
            <w:r w:rsidRPr="00D162A0">
              <w:rPr>
                <w:sz w:val="24"/>
                <w:szCs w:val="24"/>
              </w:rPr>
              <w:t>外籍生</w:t>
            </w:r>
          </w:p>
        </w:tc>
        <w:tc>
          <w:tcPr>
            <w:tcW w:w="1287" w:type="dxa"/>
            <w:tcBorders>
              <w:top w:val="single" w:sz="4" w:space="0" w:color="auto"/>
              <w:bottom w:val="nil"/>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4,223</w:t>
            </w:r>
          </w:p>
        </w:tc>
        <w:tc>
          <w:tcPr>
            <w:tcW w:w="1287" w:type="dxa"/>
            <w:tcBorders>
              <w:top w:val="single" w:sz="4" w:space="0" w:color="auto"/>
              <w:left w:val="nil"/>
              <w:bottom w:val="nil"/>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4,645</w:t>
            </w:r>
          </w:p>
        </w:tc>
        <w:tc>
          <w:tcPr>
            <w:tcW w:w="1288" w:type="dxa"/>
            <w:tcBorders>
              <w:top w:val="single" w:sz="4" w:space="0" w:color="auto"/>
              <w:left w:val="nil"/>
              <w:bottom w:val="nil"/>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5,110</w:t>
            </w:r>
          </w:p>
        </w:tc>
        <w:tc>
          <w:tcPr>
            <w:tcW w:w="1287" w:type="dxa"/>
            <w:tcBorders>
              <w:top w:val="single" w:sz="4" w:space="0" w:color="auto"/>
              <w:left w:val="nil"/>
              <w:bottom w:val="nil"/>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5,365</w:t>
            </w:r>
          </w:p>
        </w:tc>
        <w:tc>
          <w:tcPr>
            <w:tcW w:w="1288" w:type="dxa"/>
            <w:tcBorders>
              <w:top w:val="single" w:sz="4" w:space="0" w:color="auto"/>
              <w:left w:val="nil"/>
              <w:bottom w:val="nil"/>
              <w:right w:val="single" w:sz="8" w:space="0" w:color="auto"/>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5,633</w:t>
            </w:r>
          </w:p>
        </w:tc>
      </w:tr>
      <w:tr w:rsidR="0049577B" w:rsidRPr="00B40DC1" w:rsidTr="00D162A0">
        <w:trPr>
          <w:trHeight w:val="340"/>
          <w:jc w:val="center"/>
        </w:trPr>
        <w:tc>
          <w:tcPr>
            <w:tcW w:w="2967" w:type="dxa"/>
            <w:tcBorders>
              <w:top w:val="nil"/>
              <w:left w:val="single" w:sz="8" w:space="0" w:color="auto"/>
              <w:bottom w:val="nil"/>
            </w:tcBorders>
            <w:shd w:val="clear" w:color="auto" w:fill="auto"/>
            <w:vAlign w:val="center"/>
          </w:tcPr>
          <w:p w:rsidR="0049577B" w:rsidRPr="00D162A0" w:rsidRDefault="0049577B" w:rsidP="000D26BB">
            <w:pPr>
              <w:pStyle w:val="afffffffa"/>
              <w:ind w:left="-39" w:right="-39"/>
              <w:rPr>
                <w:sz w:val="24"/>
                <w:szCs w:val="24"/>
              </w:rPr>
            </w:pPr>
            <w:r w:rsidRPr="00D162A0">
              <w:rPr>
                <w:sz w:val="24"/>
                <w:szCs w:val="24"/>
              </w:rPr>
              <w:t>僑生</w:t>
            </w:r>
          </w:p>
        </w:tc>
        <w:tc>
          <w:tcPr>
            <w:tcW w:w="1287" w:type="dxa"/>
            <w:tcBorders>
              <w:top w:val="nil"/>
              <w:bottom w:val="nil"/>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3,122</w:t>
            </w:r>
          </w:p>
        </w:tc>
        <w:tc>
          <w:tcPr>
            <w:tcW w:w="1287" w:type="dxa"/>
            <w:tcBorders>
              <w:top w:val="nil"/>
              <w:left w:val="nil"/>
              <w:bottom w:val="nil"/>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3,341</w:t>
            </w:r>
          </w:p>
        </w:tc>
        <w:tc>
          <w:tcPr>
            <w:tcW w:w="1288" w:type="dxa"/>
            <w:tcBorders>
              <w:top w:val="nil"/>
              <w:left w:val="nil"/>
              <w:bottom w:val="nil"/>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3,575</w:t>
            </w:r>
          </w:p>
        </w:tc>
        <w:tc>
          <w:tcPr>
            <w:tcW w:w="1287" w:type="dxa"/>
            <w:tcBorders>
              <w:top w:val="nil"/>
              <w:left w:val="nil"/>
              <w:bottom w:val="nil"/>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4,111</w:t>
            </w:r>
          </w:p>
        </w:tc>
        <w:tc>
          <w:tcPr>
            <w:tcW w:w="1288" w:type="dxa"/>
            <w:tcBorders>
              <w:top w:val="nil"/>
              <w:left w:val="nil"/>
              <w:bottom w:val="nil"/>
              <w:right w:val="single" w:sz="8" w:space="0" w:color="auto"/>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4,728</w:t>
            </w:r>
          </w:p>
        </w:tc>
      </w:tr>
      <w:tr w:rsidR="0049577B" w:rsidRPr="00B40DC1" w:rsidTr="00D162A0">
        <w:trPr>
          <w:trHeight w:val="340"/>
          <w:jc w:val="center"/>
        </w:trPr>
        <w:tc>
          <w:tcPr>
            <w:tcW w:w="2967" w:type="dxa"/>
            <w:tcBorders>
              <w:top w:val="nil"/>
              <w:left w:val="single" w:sz="8" w:space="0" w:color="auto"/>
              <w:bottom w:val="single" w:sz="4" w:space="0" w:color="auto"/>
            </w:tcBorders>
            <w:shd w:val="clear" w:color="auto" w:fill="auto"/>
            <w:vAlign w:val="center"/>
          </w:tcPr>
          <w:p w:rsidR="0049577B" w:rsidRPr="00D162A0" w:rsidRDefault="0049577B" w:rsidP="000D26BB">
            <w:pPr>
              <w:pStyle w:val="afffffffa"/>
              <w:ind w:left="-39" w:right="-39"/>
              <w:rPr>
                <w:sz w:val="24"/>
                <w:szCs w:val="24"/>
              </w:rPr>
            </w:pPr>
            <w:r w:rsidRPr="00D162A0">
              <w:rPr>
                <w:sz w:val="24"/>
                <w:szCs w:val="24"/>
              </w:rPr>
              <w:t>港澳生</w:t>
            </w:r>
          </w:p>
        </w:tc>
        <w:tc>
          <w:tcPr>
            <w:tcW w:w="1287" w:type="dxa"/>
            <w:tcBorders>
              <w:top w:val="nil"/>
              <w:bottom w:val="single" w:sz="4" w:space="0" w:color="auto"/>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3,576</w:t>
            </w:r>
          </w:p>
        </w:tc>
        <w:tc>
          <w:tcPr>
            <w:tcW w:w="1287" w:type="dxa"/>
            <w:tcBorders>
              <w:top w:val="nil"/>
              <w:left w:val="nil"/>
              <w:bottom w:val="single" w:sz="4" w:space="0" w:color="auto"/>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3,829</w:t>
            </w:r>
          </w:p>
        </w:tc>
        <w:tc>
          <w:tcPr>
            <w:tcW w:w="1288" w:type="dxa"/>
            <w:tcBorders>
              <w:top w:val="nil"/>
              <w:left w:val="nil"/>
              <w:bottom w:val="single" w:sz="4" w:space="0" w:color="auto"/>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4,039</w:t>
            </w:r>
          </w:p>
        </w:tc>
        <w:tc>
          <w:tcPr>
            <w:tcW w:w="1287" w:type="dxa"/>
            <w:tcBorders>
              <w:top w:val="nil"/>
              <w:left w:val="nil"/>
              <w:bottom w:val="single" w:sz="4" w:space="0" w:color="auto"/>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4,039</w:t>
            </w:r>
          </w:p>
        </w:tc>
        <w:tc>
          <w:tcPr>
            <w:tcW w:w="1288" w:type="dxa"/>
            <w:tcBorders>
              <w:top w:val="nil"/>
              <w:left w:val="nil"/>
              <w:bottom w:val="single" w:sz="4" w:space="0" w:color="auto"/>
              <w:right w:val="single" w:sz="8" w:space="0" w:color="auto"/>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3,994</w:t>
            </w:r>
          </w:p>
        </w:tc>
      </w:tr>
      <w:tr w:rsidR="0049577B" w:rsidRPr="00B40DC1" w:rsidTr="00D162A0">
        <w:trPr>
          <w:trHeight w:val="340"/>
          <w:jc w:val="center"/>
        </w:trPr>
        <w:tc>
          <w:tcPr>
            <w:tcW w:w="2967" w:type="dxa"/>
            <w:tcBorders>
              <w:top w:val="single" w:sz="4" w:space="0" w:color="auto"/>
              <w:left w:val="single" w:sz="8" w:space="0" w:color="auto"/>
              <w:bottom w:val="single" w:sz="8" w:space="0" w:color="auto"/>
            </w:tcBorders>
            <w:shd w:val="clear" w:color="auto" w:fill="auto"/>
            <w:vAlign w:val="center"/>
          </w:tcPr>
          <w:p w:rsidR="0049577B" w:rsidRPr="00D162A0" w:rsidRDefault="0049577B" w:rsidP="000D26BB">
            <w:pPr>
              <w:pStyle w:val="afffffffa"/>
              <w:ind w:left="-39" w:right="-39"/>
              <w:rPr>
                <w:sz w:val="24"/>
                <w:szCs w:val="24"/>
              </w:rPr>
            </w:pPr>
            <w:r w:rsidRPr="00D162A0">
              <w:rPr>
                <w:sz w:val="24"/>
                <w:szCs w:val="24"/>
              </w:rPr>
              <w:t>總計</w:t>
            </w:r>
          </w:p>
        </w:tc>
        <w:tc>
          <w:tcPr>
            <w:tcW w:w="1287" w:type="dxa"/>
            <w:tcBorders>
              <w:top w:val="single" w:sz="4" w:space="0" w:color="auto"/>
              <w:bottom w:val="single" w:sz="8" w:space="0" w:color="auto"/>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10,921</w:t>
            </w:r>
          </w:p>
        </w:tc>
        <w:tc>
          <w:tcPr>
            <w:tcW w:w="1287" w:type="dxa"/>
            <w:tcBorders>
              <w:top w:val="single" w:sz="4" w:space="0" w:color="auto"/>
              <w:left w:val="nil"/>
              <w:bottom w:val="single" w:sz="8" w:space="0" w:color="auto"/>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11,815</w:t>
            </w:r>
          </w:p>
        </w:tc>
        <w:tc>
          <w:tcPr>
            <w:tcW w:w="1288" w:type="dxa"/>
            <w:tcBorders>
              <w:top w:val="single" w:sz="4" w:space="0" w:color="auto"/>
              <w:left w:val="nil"/>
              <w:bottom w:val="single" w:sz="8" w:space="0" w:color="auto"/>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12,724</w:t>
            </w:r>
          </w:p>
        </w:tc>
        <w:tc>
          <w:tcPr>
            <w:tcW w:w="1287" w:type="dxa"/>
            <w:tcBorders>
              <w:top w:val="single" w:sz="4" w:space="0" w:color="auto"/>
              <w:left w:val="nil"/>
              <w:bottom w:val="single" w:sz="8" w:space="0" w:color="auto"/>
              <w:right w:val="nil"/>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13,515</w:t>
            </w:r>
          </w:p>
        </w:tc>
        <w:tc>
          <w:tcPr>
            <w:tcW w:w="1288" w:type="dxa"/>
            <w:tcBorders>
              <w:top w:val="single" w:sz="4" w:space="0" w:color="auto"/>
              <w:left w:val="nil"/>
              <w:bottom w:val="single" w:sz="8" w:space="0" w:color="auto"/>
              <w:right w:val="single" w:sz="8" w:space="0" w:color="auto"/>
            </w:tcBorders>
            <w:shd w:val="clear" w:color="auto" w:fill="auto"/>
            <w:vAlign w:val="center"/>
          </w:tcPr>
          <w:p w:rsidR="0049577B" w:rsidRPr="00D162A0" w:rsidRDefault="0049577B" w:rsidP="00E06828">
            <w:pPr>
              <w:pStyle w:val="afffffffa"/>
              <w:ind w:left="-39" w:right="-39"/>
              <w:jc w:val="center"/>
              <w:rPr>
                <w:sz w:val="24"/>
                <w:szCs w:val="24"/>
              </w:rPr>
            </w:pPr>
            <w:r w:rsidRPr="00D162A0">
              <w:rPr>
                <w:sz w:val="24"/>
                <w:szCs w:val="24"/>
              </w:rPr>
              <w:t>14,355</w:t>
            </w:r>
          </w:p>
        </w:tc>
      </w:tr>
    </w:tbl>
    <w:p w:rsidR="0049577B" w:rsidRPr="00306B20" w:rsidRDefault="00817A92" w:rsidP="00306B20">
      <w:pPr>
        <w:spacing w:line="240" w:lineRule="auto"/>
        <w:ind w:leftChars="0" w:left="0" w:rightChars="0" w:right="0"/>
      </w:pPr>
      <w:r w:rsidRPr="00306B20">
        <w:t>【資料來源】</w:t>
      </w:r>
      <w:r w:rsidR="0049577B" w:rsidRPr="00306B20">
        <w:t>行政院國家發展委員會（2014）</w:t>
      </w:r>
      <w:r w:rsidR="0049577B" w:rsidRPr="00306B20">
        <w:rPr>
          <w:rFonts w:ascii="Arial Unicode MS" w:eastAsia="新細明體" w:hAnsi="Arial Unicode MS"/>
          <w:color w:val="FF6600"/>
          <w:sz w:val="20"/>
        </w:rPr>
        <w:footnoteReference w:id="454"/>
      </w:r>
    </w:p>
    <w:p w:rsidR="0049577B" w:rsidRPr="00B40DC1" w:rsidRDefault="0049577B" w:rsidP="000D26BB">
      <w:pPr>
        <w:pStyle w:val="afffffff9"/>
        <w:spacing w:before="180"/>
      </w:pPr>
    </w:p>
    <w:p w:rsidR="0049577B" w:rsidRPr="00B40DC1" w:rsidRDefault="0049577B" w:rsidP="00321574">
      <w:pPr>
        <w:pStyle w:val="4"/>
        <w:rPr>
          <w:lang w:eastAsia="zh-TW"/>
        </w:rPr>
      </w:pPr>
      <w:r w:rsidRPr="00B40DC1">
        <w:rPr>
          <w:lang w:eastAsia="zh-TW"/>
        </w:rPr>
        <w:t>表五</w:t>
      </w:r>
      <w:r w:rsidR="00D162A0">
        <w:rPr>
          <w:rFonts w:ascii="新細明體" w:eastAsia="新細明體" w:hAnsi="新細明體" w:hint="eastAsia"/>
          <w:lang w:eastAsia="zh-TW"/>
        </w:rPr>
        <w:t>、</w:t>
      </w:r>
      <w:r w:rsidRPr="00B40DC1">
        <w:rPr>
          <w:lang w:eastAsia="zh-TW"/>
        </w:rPr>
        <w:t>國發會建議我國可留台之僑外生人數之配額與比率</w:t>
      </w:r>
    </w:p>
    <w:p w:rsidR="0049577B" w:rsidRPr="00D162A0" w:rsidRDefault="0049577B" w:rsidP="00D162A0">
      <w:pPr>
        <w:ind w:leftChars="0"/>
      </w:pPr>
      <w:r w:rsidRPr="00D162A0">
        <w:t>單位：人，%</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0"/>
        <w:gridCol w:w="1200"/>
        <w:gridCol w:w="1201"/>
        <w:gridCol w:w="1201"/>
        <w:gridCol w:w="1201"/>
        <w:gridCol w:w="1201"/>
      </w:tblGrid>
      <w:tr w:rsidR="0049577B" w:rsidRPr="00D162A0" w:rsidTr="00D162A0">
        <w:trPr>
          <w:trHeight w:val="340"/>
          <w:jc w:val="center"/>
        </w:trPr>
        <w:tc>
          <w:tcPr>
            <w:tcW w:w="3220" w:type="dxa"/>
            <w:tcBorders>
              <w:top w:val="single" w:sz="8" w:space="0" w:color="auto"/>
              <w:left w:val="single" w:sz="8" w:space="0" w:color="auto"/>
              <w:bottom w:val="single" w:sz="4" w:space="0" w:color="auto"/>
            </w:tcBorders>
            <w:shd w:val="clear" w:color="auto" w:fill="EFFDFF"/>
            <w:vAlign w:val="center"/>
          </w:tcPr>
          <w:p w:rsidR="0049577B" w:rsidRPr="00D162A0" w:rsidRDefault="0049577B" w:rsidP="00D162A0">
            <w:pPr>
              <w:spacing w:line="240" w:lineRule="auto"/>
              <w:ind w:leftChars="0" w:left="0" w:rightChars="0" w:right="0"/>
              <w:rPr>
                <w:sz w:val="24"/>
              </w:rPr>
            </w:pPr>
            <w:r w:rsidRPr="00D162A0">
              <w:rPr>
                <w:sz w:val="24"/>
              </w:rPr>
              <w:t>年  度</w:t>
            </w:r>
          </w:p>
        </w:tc>
        <w:tc>
          <w:tcPr>
            <w:tcW w:w="1200" w:type="dxa"/>
            <w:tcBorders>
              <w:top w:val="single" w:sz="8" w:space="0" w:color="auto"/>
              <w:bottom w:val="single" w:sz="4" w:space="0" w:color="auto"/>
              <w:right w:val="nil"/>
            </w:tcBorders>
            <w:shd w:val="clear" w:color="auto" w:fill="EFFDFF"/>
            <w:vAlign w:val="center"/>
          </w:tcPr>
          <w:p w:rsidR="0049577B" w:rsidRPr="00D162A0" w:rsidRDefault="0049577B" w:rsidP="00D162A0">
            <w:pPr>
              <w:spacing w:line="240" w:lineRule="auto"/>
              <w:ind w:leftChars="0" w:left="0" w:rightChars="0" w:right="0"/>
              <w:rPr>
                <w:sz w:val="24"/>
              </w:rPr>
            </w:pPr>
            <w:r w:rsidRPr="00D162A0">
              <w:rPr>
                <w:sz w:val="24"/>
              </w:rPr>
              <w:t>103</w:t>
            </w:r>
          </w:p>
        </w:tc>
        <w:tc>
          <w:tcPr>
            <w:tcW w:w="1201" w:type="dxa"/>
            <w:tcBorders>
              <w:top w:val="single" w:sz="8" w:space="0" w:color="auto"/>
              <w:left w:val="nil"/>
              <w:bottom w:val="single" w:sz="4" w:space="0" w:color="auto"/>
              <w:right w:val="nil"/>
            </w:tcBorders>
            <w:shd w:val="clear" w:color="auto" w:fill="EFFDFF"/>
            <w:vAlign w:val="center"/>
          </w:tcPr>
          <w:p w:rsidR="0049577B" w:rsidRPr="00D162A0" w:rsidRDefault="0049577B" w:rsidP="00D162A0">
            <w:pPr>
              <w:spacing w:line="240" w:lineRule="auto"/>
              <w:ind w:leftChars="0" w:left="0" w:rightChars="0" w:right="0"/>
              <w:rPr>
                <w:sz w:val="24"/>
              </w:rPr>
            </w:pPr>
            <w:r w:rsidRPr="00D162A0">
              <w:rPr>
                <w:sz w:val="24"/>
              </w:rPr>
              <w:t>104</w:t>
            </w:r>
          </w:p>
        </w:tc>
        <w:tc>
          <w:tcPr>
            <w:tcW w:w="1201" w:type="dxa"/>
            <w:tcBorders>
              <w:top w:val="single" w:sz="8" w:space="0" w:color="auto"/>
              <w:left w:val="nil"/>
              <w:bottom w:val="single" w:sz="4" w:space="0" w:color="auto"/>
              <w:right w:val="nil"/>
            </w:tcBorders>
            <w:shd w:val="clear" w:color="auto" w:fill="EFFDFF"/>
            <w:vAlign w:val="center"/>
          </w:tcPr>
          <w:p w:rsidR="0049577B" w:rsidRPr="00D162A0" w:rsidRDefault="0049577B" w:rsidP="00D162A0">
            <w:pPr>
              <w:spacing w:line="240" w:lineRule="auto"/>
              <w:ind w:leftChars="0" w:left="0" w:rightChars="0" w:right="0"/>
              <w:rPr>
                <w:sz w:val="24"/>
              </w:rPr>
            </w:pPr>
            <w:r w:rsidRPr="00D162A0">
              <w:rPr>
                <w:sz w:val="24"/>
              </w:rPr>
              <w:t>105</w:t>
            </w:r>
          </w:p>
        </w:tc>
        <w:tc>
          <w:tcPr>
            <w:tcW w:w="1201" w:type="dxa"/>
            <w:tcBorders>
              <w:top w:val="single" w:sz="8" w:space="0" w:color="auto"/>
              <w:left w:val="nil"/>
              <w:bottom w:val="single" w:sz="4" w:space="0" w:color="auto"/>
              <w:right w:val="nil"/>
            </w:tcBorders>
            <w:shd w:val="clear" w:color="auto" w:fill="EFFDFF"/>
            <w:vAlign w:val="center"/>
          </w:tcPr>
          <w:p w:rsidR="0049577B" w:rsidRPr="00D162A0" w:rsidRDefault="0049577B" w:rsidP="00D162A0">
            <w:pPr>
              <w:spacing w:line="240" w:lineRule="auto"/>
              <w:ind w:leftChars="0" w:left="0" w:rightChars="0" w:right="0"/>
              <w:rPr>
                <w:sz w:val="24"/>
              </w:rPr>
            </w:pPr>
            <w:r w:rsidRPr="00D162A0">
              <w:rPr>
                <w:sz w:val="24"/>
              </w:rPr>
              <w:t>106</w:t>
            </w:r>
          </w:p>
        </w:tc>
        <w:tc>
          <w:tcPr>
            <w:tcW w:w="1201" w:type="dxa"/>
            <w:tcBorders>
              <w:top w:val="single" w:sz="8" w:space="0" w:color="auto"/>
              <w:left w:val="nil"/>
              <w:bottom w:val="single" w:sz="4" w:space="0" w:color="auto"/>
              <w:right w:val="single" w:sz="8" w:space="0" w:color="auto"/>
            </w:tcBorders>
            <w:shd w:val="clear" w:color="auto" w:fill="EFFDFF"/>
            <w:vAlign w:val="center"/>
          </w:tcPr>
          <w:p w:rsidR="0049577B" w:rsidRPr="00D162A0" w:rsidRDefault="0049577B" w:rsidP="00D162A0">
            <w:pPr>
              <w:spacing w:line="240" w:lineRule="auto"/>
              <w:ind w:leftChars="0" w:left="0" w:rightChars="0" w:right="0"/>
              <w:rPr>
                <w:sz w:val="24"/>
              </w:rPr>
            </w:pPr>
            <w:r w:rsidRPr="00D162A0">
              <w:rPr>
                <w:sz w:val="24"/>
              </w:rPr>
              <w:t>107</w:t>
            </w:r>
          </w:p>
        </w:tc>
      </w:tr>
      <w:tr w:rsidR="0049577B" w:rsidRPr="00D162A0" w:rsidTr="00D162A0">
        <w:trPr>
          <w:trHeight w:val="340"/>
          <w:jc w:val="center"/>
        </w:trPr>
        <w:tc>
          <w:tcPr>
            <w:tcW w:w="3220" w:type="dxa"/>
            <w:tcBorders>
              <w:top w:val="single" w:sz="4" w:space="0" w:color="auto"/>
              <w:left w:val="single" w:sz="8" w:space="0" w:color="auto"/>
              <w:bottom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預估最高畢業人數</w:t>
            </w:r>
          </w:p>
        </w:tc>
        <w:tc>
          <w:tcPr>
            <w:tcW w:w="1200" w:type="dxa"/>
            <w:tcBorders>
              <w:top w:val="single" w:sz="4" w:space="0" w:color="auto"/>
              <w:bottom w:val="nil"/>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5,430</w:t>
            </w:r>
          </w:p>
        </w:tc>
        <w:tc>
          <w:tcPr>
            <w:tcW w:w="1201" w:type="dxa"/>
            <w:tcBorders>
              <w:top w:val="single" w:sz="4" w:space="0" w:color="auto"/>
              <w:left w:val="nil"/>
              <w:bottom w:val="nil"/>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6,185</w:t>
            </w:r>
          </w:p>
        </w:tc>
        <w:tc>
          <w:tcPr>
            <w:tcW w:w="1201" w:type="dxa"/>
            <w:tcBorders>
              <w:top w:val="single" w:sz="4" w:space="0" w:color="auto"/>
              <w:left w:val="nil"/>
              <w:bottom w:val="nil"/>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6,208</w:t>
            </w:r>
          </w:p>
        </w:tc>
        <w:tc>
          <w:tcPr>
            <w:tcW w:w="1201" w:type="dxa"/>
            <w:tcBorders>
              <w:top w:val="single" w:sz="4" w:space="0" w:color="auto"/>
              <w:left w:val="nil"/>
              <w:bottom w:val="nil"/>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6,969</w:t>
            </w:r>
          </w:p>
        </w:tc>
        <w:tc>
          <w:tcPr>
            <w:tcW w:w="1201" w:type="dxa"/>
            <w:tcBorders>
              <w:top w:val="single" w:sz="4" w:space="0" w:color="auto"/>
              <w:left w:val="nil"/>
              <w:bottom w:val="nil"/>
              <w:right w:val="single" w:sz="8" w:space="0" w:color="auto"/>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7,645</w:t>
            </w:r>
          </w:p>
        </w:tc>
      </w:tr>
      <w:tr w:rsidR="0049577B" w:rsidRPr="00D162A0" w:rsidTr="00D162A0">
        <w:trPr>
          <w:trHeight w:val="340"/>
          <w:jc w:val="center"/>
        </w:trPr>
        <w:tc>
          <w:tcPr>
            <w:tcW w:w="3220" w:type="dxa"/>
            <w:tcBorders>
              <w:top w:val="nil"/>
              <w:left w:val="single" w:sz="8" w:space="0" w:color="auto"/>
              <w:bottom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建議留臺配額</w:t>
            </w:r>
          </w:p>
        </w:tc>
        <w:tc>
          <w:tcPr>
            <w:tcW w:w="1200" w:type="dxa"/>
            <w:tcBorders>
              <w:top w:val="nil"/>
              <w:bottom w:val="nil"/>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2,000</w:t>
            </w:r>
          </w:p>
        </w:tc>
        <w:tc>
          <w:tcPr>
            <w:tcW w:w="1201" w:type="dxa"/>
            <w:tcBorders>
              <w:top w:val="nil"/>
              <w:left w:val="nil"/>
              <w:bottom w:val="nil"/>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2,500</w:t>
            </w:r>
          </w:p>
        </w:tc>
        <w:tc>
          <w:tcPr>
            <w:tcW w:w="1201" w:type="dxa"/>
            <w:tcBorders>
              <w:top w:val="nil"/>
              <w:left w:val="nil"/>
              <w:bottom w:val="nil"/>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2,800</w:t>
            </w:r>
          </w:p>
        </w:tc>
        <w:tc>
          <w:tcPr>
            <w:tcW w:w="1201" w:type="dxa"/>
            <w:tcBorders>
              <w:top w:val="nil"/>
              <w:left w:val="nil"/>
              <w:bottom w:val="nil"/>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3,200</w:t>
            </w:r>
          </w:p>
        </w:tc>
        <w:tc>
          <w:tcPr>
            <w:tcW w:w="1201" w:type="dxa"/>
            <w:tcBorders>
              <w:top w:val="nil"/>
              <w:left w:val="nil"/>
              <w:bottom w:val="nil"/>
              <w:right w:val="single" w:sz="8" w:space="0" w:color="auto"/>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3,800</w:t>
            </w:r>
          </w:p>
        </w:tc>
      </w:tr>
      <w:tr w:rsidR="0049577B" w:rsidRPr="00D162A0" w:rsidTr="00D162A0">
        <w:trPr>
          <w:trHeight w:val="340"/>
          <w:jc w:val="center"/>
        </w:trPr>
        <w:tc>
          <w:tcPr>
            <w:tcW w:w="3220" w:type="dxa"/>
            <w:tcBorders>
              <w:top w:val="nil"/>
              <w:left w:val="single" w:sz="8" w:space="0" w:color="auto"/>
              <w:bottom w:val="single" w:sz="4" w:space="0" w:color="auto"/>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配額占畢業人數比率</w:t>
            </w:r>
          </w:p>
        </w:tc>
        <w:tc>
          <w:tcPr>
            <w:tcW w:w="1200" w:type="dxa"/>
            <w:tcBorders>
              <w:top w:val="nil"/>
              <w:bottom w:val="single" w:sz="4" w:space="0" w:color="auto"/>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37%</w:t>
            </w:r>
          </w:p>
        </w:tc>
        <w:tc>
          <w:tcPr>
            <w:tcW w:w="1201" w:type="dxa"/>
            <w:tcBorders>
              <w:top w:val="nil"/>
              <w:left w:val="nil"/>
              <w:bottom w:val="single" w:sz="4" w:space="0" w:color="auto"/>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40%</w:t>
            </w:r>
          </w:p>
        </w:tc>
        <w:tc>
          <w:tcPr>
            <w:tcW w:w="1201" w:type="dxa"/>
            <w:tcBorders>
              <w:top w:val="nil"/>
              <w:left w:val="nil"/>
              <w:bottom w:val="single" w:sz="4" w:space="0" w:color="auto"/>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45%</w:t>
            </w:r>
          </w:p>
        </w:tc>
        <w:tc>
          <w:tcPr>
            <w:tcW w:w="1201" w:type="dxa"/>
            <w:tcBorders>
              <w:top w:val="nil"/>
              <w:left w:val="nil"/>
              <w:bottom w:val="single" w:sz="4" w:space="0" w:color="auto"/>
              <w:right w:val="nil"/>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46%</w:t>
            </w:r>
          </w:p>
        </w:tc>
        <w:tc>
          <w:tcPr>
            <w:tcW w:w="1201" w:type="dxa"/>
            <w:tcBorders>
              <w:top w:val="nil"/>
              <w:left w:val="nil"/>
              <w:bottom w:val="single" w:sz="4" w:space="0" w:color="auto"/>
              <w:right w:val="single" w:sz="8" w:space="0" w:color="auto"/>
            </w:tcBorders>
            <w:shd w:val="clear" w:color="auto" w:fill="auto"/>
            <w:vAlign w:val="center"/>
          </w:tcPr>
          <w:p w:rsidR="0049577B" w:rsidRPr="00D162A0" w:rsidRDefault="0049577B" w:rsidP="00D162A0">
            <w:pPr>
              <w:spacing w:line="240" w:lineRule="auto"/>
              <w:ind w:leftChars="0" w:left="0" w:rightChars="0" w:right="0"/>
              <w:rPr>
                <w:sz w:val="24"/>
              </w:rPr>
            </w:pPr>
            <w:r w:rsidRPr="00D162A0">
              <w:rPr>
                <w:sz w:val="24"/>
              </w:rPr>
              <w:t>50%</w:t>
            </w:r>
          </w:p>
        </w:tc>
      </w:tr>
    </w:tbl>
    <w:p w:rsidR="0049577B" w:rsidRPr="00D162A0" w:rsidRDefault="00817A92" w:rsidP="00D162A0">
      <w:pPr>
        <w:ind w:leftChars="-54" w:left="-140"/>
      </w:pPr>
      <w:r w:rsidRPr="00D162A0">
        <w:t>【資料來源】</w:t>
      </w:r>
      <w:r w:rsidR="0049577B" w:rsidRPr="00D162A0">
        <w:t>行政院國家發展委員會（2014）</w:t>
      </w:r>
      <w:r w:rsidR="0049577B" w:rsidRPr="00D162A0">
        <w:footnoteReference w:id="455"/>
      </w:r>
    </w:p>
    <w:p w:rsidR="0049577B" w:rsidRPr="00B40DC1" w:rsidRDefault="00306B20" w:rsidP="00306B20">
      <w:pPr>
        <w:jc w:val="right"/>
      </w:pPr>
      <w:r w:rsidRPr="00D45AD2">
        <w:rPr>
          <w:rFonts w:hint="eastAsia"/>
          <w:sz w:val="22"/>
        </w:rPr>
        <w:t>。。。。。。。。。。。。。。</w:t>
      </w:r>
      <w:hyperlink w:anchor="a3" w:history="1">
        <w:r>
          <w:rPr>
            <w:rStyle w:val="a7"/>
            <w:sz w:val="24"/>
            <w:lang w:eastAsia="zh-TW"/>
          </w:rPr>
          <w:t>回本章</w:t>
        </w:r>
      </w:hyperlink>
      <w:r w:rsidRPr="0008714D">
        <w:rPr>
          <w:color w:val="808000"/>
          <w:sz w:val="20"/>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321574" w:rsidP="00E06828">
      <w:pPr>
        <w:spacing w:line="240" w:lineRule="auto"/>
        <w:ind w:leftChars="0" w:left="0" w:rightChars="0" w:right="0"/>
      </w:pPr>
      <w:r>
        <w:rPr>
          <w:bCs/>
        </w:rPr>
        <w:t xml:space="preserve">　　</w:t>
      </w:r>
      <w:r w:rsidR="0049577B" w:rsidRPr="00B40DC1">
        <w:rPr>
          <w:bCs/>
        </w:rPr>
        <w:t>因「強化優秀僑外生留臺工作行動計畫」正式實施以來，在台畢業之</w:t>
      </w:r>
      <w:r w:rsidR="0049577B" w:rsidRPr="00B40DC1">
        <w:t>僑外生常常抱怨留台不易，勞動部遂考慮將點數須達七十點之上述規定，下修到六十點，並將</w:t>
      </w:r>
      <w:r w:rsidR="0049577B" w:rsidRPr="00B40DC1">
        <w:rPr>
          <w:bCs/>
        </w:rPr>
        <w:t>「強化優秀僑外生留臺工作行動計畫」之中，</w:t>
      </w:r>
      <w:r w:rsidR="0049577B" w:rsidRPr="00B40DC1">
        <w:t>原列為正式評項之</w:t>
      </w:r>
      <w:r w:rsidR="0049577B" w:rsidRPr="00B40DC1">
        <w:rPr>
          <w:bCs/>
        </w:rPr>
        <w:t>薪資須達新臺幣47,971元之要求</w:t>
      </w:r>
      <w:r w:rsidR="0049577B" w:rsidRPr="00B40DC1">
        <w:t>，</w:t>
      </w:r>
      <w:r w:rsidR="0049577B" w:rsidRPr="00B40DC1">
        <w:rPr>
          <w:bCs/>
        </w:rPr>
        <w:t>修改</w:t>
      </w:r>
      <w:r w:rsidR="0049577B" w:rsidRPr="00B40DC1">
        <w:t>為加分項目。上述修改案，原列為正式評項之</w:t>
      </w:r>
      <w:r w:rsidR="0049577B" w:rsidRPr="00B40DC1">
        <w:rPr>
          <w:bCs/>
        </w:rPr>
        <w:t>薪資須達新臺幣47,971元之要求</w:t>
      </w:r>
      <w:r w:rsidR="0049577B" w:rsidRPr="00B40DC1">
        <w:t>，業已修改為加分項目。</w:t>
      </w:r>
      <w:r w:rsidR="0049577B" w:rsidRPr="00B40DC1">
        <w:rPr>
          <w:bCs/>
        </w:rPr>
        <w:t>評點</w:t>
      </w:r>
      <w:r w:rsidR="0049577B" w:rsidRPr="00B40DC1">
        <w:t>下修到60點之部分，因有反對聲音</w:t>
      </w:r>
      <w:r w:rsidR="0049577B" w:rsidRPr="00461F58">
        <w:rPr>
          <w:rStyle w:val="af7"/>
          <w:rFonts w:eastAsia="新細明體"/>
          <w:sz w:val="20"/>
        </w:rPr>
        <w:footnoteReference w:id="456"/>
      </w:r>
      <w:r w:rsidR="0049577B" w:rsidRPr="00B40DC1">
        <w:t>，目前，仍須達70分</w:t>
      </w:r>
      <w:r w:rsidR="0049577B" w:rsidRPr="00B40DC1">
        <w:rPr>
          <w:bCs/>
        </w:rPr>
        <w:t>評點</w:t>
      </w:r>
      <w:r w:rsidR="0049577B" w:rsidRPr="00B40DC1">
        <w:t>。</w:t>
      </w:r>
    </w:p>
    <w:p w:rsidR="0049577B" w:rsidRPr="00B40DC1" w:rsidRDefault="00306B20" w:rsidP="00E06828">
      <w:pPr>
        <w:spacing w:line="240" w:lineRule="auto"/>
        <w:ind w:leftChars="0" w:left="0" w:rightChars="0" w:right="0"/>
      </w:pPr>
      <w:r>
        <w:t xml:space="preserve">　　</w:t>
      </w:r>
      <w:r w:rsidR="0049577B" w:rsidRPr="00B40DC1">
        <w:t>其實審查標準它有提到評點制度，目前是留才的部份，以前外國人大學生如果要留下來的話，一定要2年以上的工作經驗他才能留下，請問大學畢業他去哪邊有2年的工作經驗，你一定要先回家嘛，若你回去工作2年再來臺灣，那誰想來呀，人根本留不下來，在臺灣這環境你都已經讓他讀書讀4年，栽培他4年了，然後也跟企業說終於可以用了，結果又說不行喔，你要2年的工作經驗才能來喔，他就走了呀，那他如果去新加坡工作2年，你要他回來臺灣，你臺灣有什麼值得他再回來的呢?我們就育才育好了，但留才卻留不住，才又一直攬才又攬不到。臺灣就是這樣子很悲哀，所以才會有這個評點制度。你說評點制度是針對專技的嗎?它倒也不是針對專技的，如果從人才面來講，它的確是一個留才的重要依據。(D-3-3)</w:t>
      </w:r>
    </w:p>
    <w:p w:rsidR="0049577B" w:rsidRPr="00B40DC1" w:rsidRDefault="00321574" w:rsidP="00E06828">
      <w:pPr>
        <w:spacing w:line="240" w:lineRule="auto"/>
        <w:ind w:leftChars="0" w:left="0" w:rightChars="0" w:right="0"/>
      </w:pPr>
      <w:r>
        <w:t xml:space="preserve">　　</w:t>
      </w:r>
      <w:r w:rsidR="0049577B" w:rsidRPr="00B40DC1">
        <w:t>僑生評點制是比較單純的，它的立意很明白，就是為了幫2年工作經驗及薪水最低門檻解套做解套，所以用一個評點制。其實這個評點制度並不是主動發展出來的，而是被動被逼發展出來的，是為了幫2年工作經驗做解套。(D-7-1)</w:t>
      </w:r>
    </w:p>
    <w:p w:rsidR="0049577B" w:rsidRPr="00B40DC1" w:rsidRDefault="00321574" w:rsidP="00E06828">
      <w:pPr>
        <w:spacing w:line="240" w:lineRule="auto"/>
        <w:ind w:leftChars="0" w:left="0" w:rightChars="0" w:right="0"/>
      </w:pPr>
      <w:r>
        <w:t xml:space="preserve">　　</w:t>
      </w:r>
      <w:r w:rsidR="0049577B" w:rsidRPr="00B40DC1">
        <w:t>大概在101年6月之前，判斷一個僑外生能不能留在臺灣工作，是以他去應徵的工作，他每個月的薪水能不能超過47971元為標準，少一塊都不行。那後來大家說這樣不行啊，這個四萬七，拜託，臺灣人都拿不到，後來勉強降下來，變成37619元，那37619元還是太高，反正勞動部它都有一套說詞，這個是什麼民國99年還是100年的畢業生，那個平均所得的八十百分位啦，那37619後來因為被人家一直轟，那個時候現在毛院長是副院長，他就死盯著勞動部不放，後來勞動部沒辦法，所以還在去年就弄一個評點制出來，就是不要以薪資作為唯一的選項，你知道嘛那幾項語言能力啊，所以才有這個評點制，它不是基於行業的需求，是基於那個要鬆綁法令。(F-7-2)</w:t>
      </w:r>
    </w:p>
    <w:p w:rsidR="0049577B" w:rsidRPr="00B40DC1" w:rsidRDefault="00321574" w:rsidP="00E06828">
      <w:pPr>
        <w:spacing w:line="240" w:lineRule="auto"/>
        <w:ind w:leftChars="0" w:left="0" w:rightChars="0" w:right="0"/>
      </w:pPr>
      <w:r>
        <w:t xml:space="preserve">　　</w:t>
      </w:r>
      <w:r w:rsidR="0049577B" w:rsidRPr="00B40DC1">
        <w:t>於2015年下半年（民國104年下學期），筆者亦曾與所授課</w:t>
      </w:r>
      <w:r w:rsidR="0049577B" w:rsidRPr="00321574">
        <w:rPr>
          <w:rStyle w:val="af7"/>
          <w:rFonts w:eastAsia="新細明體"/>
          <w:sz w:val="20"/>
        </w:rPr>
        <w:footnoteReference w:id="457"/>
      </w:r>
      <w:r w:rsidR="0049577B" w:rsidRPr="00B40DC1">
        <w:t>之中央警察大學841國境警察學系境管組之同學們，熱烈地討論此一</w:t>
      </w:r>
      <w:r w:rsidR="0049577B" w:rsidRPr="00B40DC1">
        <w:rPr>
          <w:bCs/>
        </w:rPr>
        <w:t>僑外生留臺計畫之</w:t>
      </w:r>
      <w:r w:rsidR="0049577B" w:rsidRPr="00B40DC1">
        <w:t>議題，相關之意見與看法，如下所述：</w:t>
      </w:r>
    </w:p>
    <w:p w:rsidR="0049577B" w:rsidRPr="00B40DC1" w:rsidRDefault="00321574" w:rsidP="00E06828">
      <w:pPr>
        <w:spacing w:line="240" w:lineRule="auto"/>
        <w:ind w:leftChars="0" w:left="0" w:rightChars="0" w:right="0"/>
      </w:pPr>
      <w:r>
        <w:rPr>
          <w:bCs/>
        </w:rPr>
        <w:t xml:space="preserve">　　</w:t>
      </w:r>
      <w:r w:rsidR="0049577B" w:rsidRPr="00B40DC1">
        <w:rPr>
          <w:bCs/>
        </w:rPr>
        <w:t>1.</w:t>
      </w:r>
      <w:r w:rsidR="0049577B" w:rsidRPr="00B40DC1">
        <w:t>洪姍渝小姐認為</w:t>
      </w:r>
      <w:r w:rsidR="0049577B" w:rsidRPr="00321574">
        <w:rPr>
          <w:rStyle w:val="af7"/>
          <w:rFonts w:eastAsia="新細明體"/>
          <w:sz w:val="20"/>
        </w:rPr>
        <w:footnoteReference w:id="458"/>
      </w:r>
      <w:r w:rsidR="0049577B" w:rsidRPr="00B40DC1">
        <w:t>，我國在民國101年，面臨許多之轉捩點，人口之高齡化與少子化，逐漸改變人口之結構，有學者預估未來台灣15歲至65歲之人口，將快速減少。因此，須向外攬才，填補此一勞力之缺口。對外，全球化之時代，各國相爭延攬高科技人才，使我國人才呈現「高出低進」之情況，過去，我國為保護本地產業，對僑外生採取高管制之方法，但時代改變了，唯有積極之延攬外國人才留台工作，始能舒緩我國所面臨之困境。</w:t>
      </w:r>
    </w:p>
    <w:p w:rsidR="0049577B" w:rsidRPr="00B40DC1" w:rsidRDefault="00321574" w:rsidP="00E06828">
      <w:pPr>
        <w:spacing w:line="240" w:lineRule="auto"/>
        <w:ind w:leftChars="0" w:left="0" w:rightChars="0" w:right="0"/>
      </w:pPr>
      <w:r>
        <w:t xml:space="preserve">　　</w:t>
      </w:r>
      <w:r w:rsidR="0049577B" w:rsidRPr="00B40DC1">
        <w:t>2.吳佳承先生主張</w:t>
      </w:r>
      <w:r w:rsidR="0049577B" w:rsidRPr="00321574">
        <w:rPr>
          <w:rStyle w:val="af7"/>
          <w:rFonts w:eastAsia="新細明體"/>
          <w:sz w:val="20"/>
        </w:rPr>
        <w:footnoteReference w:id="459"/>
      </w:r>
      <w:r w:rsidR="0049577B" w:rsidRPr="00B40DC1">
        <w:t>，由於近年來，台灣就業人口減少、高齡人口增加、出生數降低、人才外流及高出低進之現象，使我國在專業人才方面，有缺乏之趨勢，因此，行院政國發會遂擬定出此一「強化優秀僑外生留臺工作行動計畫」，希望可將來台之僑外生留在台灣，在台畢業之後，直接進入台灣之就業市場，不僅為我國增加勞動力與生產力，同時，也使台灣與僑外生之原籍國產生社經之關聯性，提升我國之國際地位與聲望。此外，此一份計畫更列出台灣附近之國家之政策，及我國可效仿之目標與成效，所列舉之國家，計有新加坡、日本與韓國，再利用一此圖表數據，比較我國所處之狀態，為台灣社會與政府，提供參考之線索，以利我國制定出更完整之計畫。希望於未來，台灣之白領專業人才之需求，及人口相關之問題，能得到解決，抑或，至少能加以減輕至非嚴重地影響台灣之經濟之程度。</w:t>
      </w:r>
    </w:p>
    <w:p w:rsidR="0049577B" w:rsidRPr="00B40DC1" w:rsidRDefault="00321574" w:rsidP="00E06828">
      <w:pPr>
        <w:spacing w:line="240" w:lineRule="auto"/>
        <w:ind w:leftChars="0" w:left="0" w:rightChars="0" w:right="0"/>
      </w:pPr>
      <w:r>
        <w:t xml:space="preserve">　　</w:t>
      </w:r>
      <w:r w:rsidR="0049577B" w:rsidRPr="00B40DC1">
        <w:t>3.郭力維先生則認為</w:t>
      </w:r>
      <w:r w:rsidR="0049577B" w:rsidRPr="00321574">
        <w:rPr>
          <w:rStyle w:val="af7"/>
          <w:rFonts w:eastAsia="新細明體"/>
          <w:sz w:val="20"/>
        </w:rPr>
        <w:footnoteReference w:id="460"/>
      </w:r>
      <w:r w:rsidR="0049577B" w:rsidRPr="00B40DC1">
        <w:t>，「強化優秀僑外生留臺工作行動計畫」特別引起我之關心與興趣，近年來，面臨全球間人才之相互競逐，台灣開始出現人才流失與高出低進之情形，但是，政府卻無立即性地作出反應，相較之下，其他之國家，紛紛放寬條件，歡迎人才進入其本國，尤其在南韓部分，南韓政府積極地為中小型企業創造友善外籍人才之環境，進而協助中小型企業轉型，以利接軌於國際，而台灣亦是以中小型企業立國之國家，卻無如南韓政府般之積極，實是令人擔憂。此一計畫之優點，計有：(1)僑外生熟悉台灣當地文化；(2)僑外生具有多國語言能力；(3)僑外生具有大學以上之專業知識；(4)僑外生之母國，有可能會成為我國企業之新興市場；(5)可為企業營造國際化之環境。基於以上之優點，優秀之僑外生留台工作，對我國企業會是一大利多，然而，過去對於僑外生留台之制度，限制重重，新評點制之辦法，解決制度上之許多限制，首先，假若僑外生已有2年之工作經驗，且薪資已達47971元，則可以直接留台。倘若，僑外生並未達到上述之條件，則可採用評點制度，僑外生免除須有2年之工作經驗，且免除薪資須達47971元之限制，通過評點考核之後，僑外生同樣可留台工作，並在5年之後，僑外生可申請永久居留，或歸化成為我國之國民。此一計畫，賦予僑外生一個相當便利之管道，會是僑外生願意留台工作之一個動力（機）。</w:t>
      </w:r>
    </w:p>
    <w:p w:rsidR="0049577B" w:rsidRPr="00B40DC1" w:rsidRDefault="00321574" w:rsidP="00E06828">
      <w:pPr>
        <w:spacing w:line="240" w:lineRule="auto"/>
        <w:ind w:leftChars="0" w:left="0" w:rightChars="0" w:right="0"/>
        <w:rPr>
          <w:bCs/>
        </w:rPr>
      </w:pPr>
      <w:r>
        <w:rPr>
          <w:bCs/>
        </w:rPr>
        <w:t xml:space="preserve">　　</w:t>
      </w:r>
      <w:r w:rsidR="0049577B" w:rsidRPr="00B40DC1">
        <w:rPr>
          <w:bCs/>
        </w:rPr>
        <w:t>4.李鎔全先生則認為</w:t>
      </w:r>
      <w:r w:rsidR="0049577B" w:rsidRPr="00306B20">
        <w:rPr>
          <w:rStyle w:val="af7"/>
          <w:rFonts w:eastAsia="新細明體"/>
          <w:sz w:val="20"/>
        </w:rPr>
        <w:footnoteReference w:id="461"/>
      </w:r>
      <w:r w:rsidR="0049577B" w:rsidRPr="00B40DC1">
        <w:t>，我國之高階人才之問題，乃在於人才流失，及高出低進。個人認為，即使我國政府在留才及攬才方面，作出極大之努力，仍難挽國家人才流失之趨勢。幾個較為明顯之原因，諸如：薪資待遇與未來可發展之環境等。我國人才在經過培養與訓練之後，此等人才有鑑於日本、美國、及新加坡等國之薪資及未來可發展之環境等，較台灣為佳，而選擇離開台灣。是以，留才與攬才，一直是個人反覆思索之問題。台灣是全球人才之供應商，高出低進、及低進高出之結果，如此之獲利者，會是整個世界。但是，個人所關注者，是在這種之情形之下，台灣該如何生存？假若有一天，台灣相較於其他之國家，已無高階之人才，台灣之經濟，是否會急轉而下？假若台灣已無經濟實力，該如何自保？是以，我國之高階之人才之政策，究竟是要關閉門戶，自給自足？抑或，成為他國之幫傭，日日求其賞賜？值得深思。再者，有關於</w:t>
      </w:r>
      <w:r w:rsidR="0049577B" w:rsidRPr="00B40DC1">
        <w:rPr>
          <w:bCs/>
        </w:rPr>
        <w:t>僑外生留台之問題，根據以往之經驗，僑外生人才在台灣培育完成之後，僑外生必須離台，如今，僑外生雖可以留台工作，是否果真會選擇留台工作，或是，僑外生仍會離開台灣？至他國另謀出路？畢竟，台灣之發展環境，與薪資之條件，相較於他國，是缺乏競爭力。</w:t>
      </w:r>
    </w:p>
    <w:p w:rsidR="0049577B" w:rsidRPr="00E43C92" w:rsidRDefault="00306B20" w:rsidP="00306B20">
      <w:pPr>
        <w:jc w:val="right"/>
        <w:rPr>
          <w:sz w:val="22"/>
          <w:szCs w:val="22"/>
        </w:rPr>
      </w:pPr>
      <w:r w:rsidRPr="00E43C92">
        <w:rPr>
          <w:rFonts w:hint="eastAsia"/>
          <w:sz w:val="22"/>
          <w:szCs w:val="22"/>
        </w:rPr>
        <w:t>。。。。。。。。。。。。。。</w:t>
      </w:r>
      <w:hyperlink w:anchor="a3b5" w:history="1">
        <w:r w:rsidR="00E43C92" w:rsidRPr="00E43C92">
          <w:rPr>
            <w:rStyle w:val="a7"/>
            <w:sz w:val="22"/>
            <w:szCs w:val="22"/>
            <w:lang w:eastAsia="zh-TW"/>
          </w:rPr>
          <w:t>回本章</w:t>
        </w:r>
      </w:hyperlink>
      <w:r w:rsidR="00E43C92"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321574" w:rsidRDefault="0049577B" w:rsidP="00321574">
      <w:pPr>
        <w:pStyle w:val="3"/>
        <w:rPr>
          <w:lang w:eastAsia="zh-TW"/>
        </w:rPr>
      </w:pPr>
      <w:bookmarkStart w:id="83" w:name="_二、目前僑外生留臺計畫之困境"/>
      <w:bookmarkEnd w:id="83"/>
      <w:r w:rsidRPr="00321574">
        <w:rPr>
          <w:lang w:eastAsia="zh-TW"/>
        </w:rPr>
        <w:t>二、目前僑外生留臺計畫之困境</w:t>
      </w:r>
    </w:p>
    <w:p w:rsidR="0049577B" w:rsidRPr="00321574" w:rsidRDefault="00321574" w:rsidP="0044169F">
      <w:pPr>
        <w:spacing w:line="240" w:lineRule="auto"/>
        <w:ind w:leftChars="0" w:left="0" w:rightChars="0" w:right="0"/>
      </w:pPr>
      <w:r>
        <w:t xml:space="preserve">　　</w:t>
      </w:r>
      <w:r w:rsidR="0049577B" w:rsidRPr="00321574">
        <w:t>(一)評點制分數標準過低與相關之問題</w:t>
      </w:r>
    </w:p>
    <w:p w:rsidR="0049577B" w:rsidRPr="00B40DC1" w:rsidRDefault="00321574" w:rsidP="0044169F">
      <w:pPr>
        <w:spacing w:line="240" w:lineRule="auto"/>
        <w:ind w:leftChars="0" w:left="0" w:rightChars="0" w:right="0"/>
      </w:pPr>
      <w:r>
        <w:t xml:space="preserve">　　</w:t>
      </w:r>
      <w:r w:rsidR="0049577B" w:rsidRPr="00321574">
        <w:t>「強化優秀僑外生留臺工作行動計畫」中「優秀僑外生留臺工作評點配分表」，分數僅需達70分之僑外生即符合留臺工作標準。評點項目中學歷最高可得到30分，聘僱薪資最高可得到40分，工作經驗最高可得到20分，擔任職務資格最高可得到20分，華語語文能力最高可得到30分，他國語文能力最高可得到20分，他國成長經驗最高</w:t>
      </w:r>
      <w:r w:rsidR="0049577B" w:rsidRPr="00B40DC1">
        <w:t>可得到10分，配合政府政策最高可得到20分。在此計畫中評點項目總分為190分，惟分數僅需達70分之僑外生即符合留臺工作標準，部分受訪者認為這個標準過低，實在難以鑑別出我國所需之優秀僑外生，有論者質疑，僅要畢業後有意願留在臺灣工作之僑外生，幾乎人人均能達到此標準。</w:t>
      </w:r>
    </w:p>
    <w:p w:rsidR="0049577B" w:rsidRPr="00B40DC1" w:rsidRDefault="00321574" w:rsidP="0044169F">
      <w:pPr>
        <w:spacing w:line="240" w:lineRule="auto"/>
        <w:ind w:leftChars="0" w:left="0" w:rightChars="0" w:right="0"/>
      </w:pPr>
      <w:r>
        <w:t xml:space="preserve">　　</w:t>
      </w:r>
      <w:r w:rsidR="0049577B" w:rsidRPr="00B40DC1">
        <w:t>講到僑生評點制的立意是甚佳，但門檻太低，事與願違，開放2000個名額，但目前只有幾百600-700個申請，很丟臉，一直以為會吸引優秀人才，但評點的分數太低了，所以留下來的並不是優秀人才，只要你是僑生只要活著就能通過這標準，什麼叫「優秀」，它試圖將「優秀」作量化，但這本來就很難了，例如吳寶春若用計分制就有困難了，因為他學歷很低，但他不優秀嗎?他很優秀呀。王永慶不優秀嗎?王永慶也很優秀呀，但他的教育程度也很低，他是榮譽博士，但他真正的學歷只有小學。「優秀」用量化本身就是個問號，以計分制來看是立意甚佳，但留下來的真的是優秀的嗎?那可不一定。(B-6-1)</w:t>
      </w:r>
    </w:p>
    <w:p w:rsidR="0049577B" w:rsidRPr="00B40DC1" w:rsidRDefault="00321574" w:rsidP="0044169F">
      <w:pPr>
        <w:spacing w:line="240" w:lineRule="auto"/>
        <w:ind w:leftChars="0" w:left="0" w:rightChars="0" w:right="0"/>
      </w:pPr>
      <w:r>
        <w:t xml:space="preserve">　　</w:t>
      </w:r>
      <w:r w:rsidR="0049577B" w:rsidRPr="00B40DC1">
        <w:t>就有這個表嘛，你看這個加起來是不是一兩百分，你看僑外生評點制它70分就合格了，所以我們也算門檻比較低啦。所以你看加拿大它是100分為滿分，然後65分還是68分及格，所以我們的門檻會比較低一點啊。但是這是我們第一次來做，那過一段時間再評估看看是不是它的那個效果這樣子，我們還是會去有一個檢討，一段時間會去檢討說是不是這樣子可以吸引我們所要的人才。基本上當然也就是配合我們國發會的政策嘛，幾大新興的產業啊。(H-7-3)</w:t>
      </w:r>
    </w:p>
    <w:p w:rsidR="0049577B" w:rsidRPr="00321574" w:rsidRDefault="00321574" w:rsidP="0044169F">
      <w:pPr>
        <w:spacing w:line="240" w:lineRule="auto"/>
        <w:ind w:leftChars="0" w:left="0" w:rightChars="0" w:right="0"/>
      </w:pPr>
      <w:r w:rsidRPr="00321574">
        <w:rPr>
          <w:rFonts w:hint="eastAsia"/>
        </w:rPr>
        <w:t xml:space="preserve">　　</w:t>
      </w:r>
      <w:r w:rsidR="0049577B" w:rsidRPr="00321574">
        <w:t>(二)僑外生計畫立意佳但欠周詳</w:t>
      </w:r>
    </w:p>
    <w:p w:rsidR="0049577B" w:rsidRPr="00321574" w:rsidRDefault="00321574" w:rsidP="0044169F">
      <w:pPr>
        <w:spacing w:line="240" w:lineRule="auto"/>
        <w:ind w:leftChars="0" w:left="0" w:rightChars="0" w:right="0"/>
      </w:pPr>
      <w:r w:rsidRPr="00321574">
        <w:t xml:space="preserve">　　</w:t>
      </w:r>
      <w:r w:rsidR="0049577B" w:rsidRPr="00321574">
        <w:t>部分受訪者表示該計畫立意甚佳，僅為速求鬆綁現行法令留下剛畢業之僑外生，雖用評點制作鑑別，但門檻標準過低。另一方面具中華民國籍僑生卻留不下來，因為無法證明其是否為僅具單一國籍，造成我國雇主不敢聘用，若該僑生具雙重國籍，又為我國雇主聘用，若被移民署專勤隊查獲，雇主將受罰15至75萬元，這反而讓具我國國籍之僑生無法順利留在臺灣工作。另外，有受訪者表示，僑外生留下來之真正移民意圖、動機、想法與目的，很難加以辨別，其留臺之目的是為工作，或僅為將來取得我國永久居留權，這將不得而知。</w:t>
      </w:r>
    </w:p>
    <w:p w:rsidR="0049577B" w:rsidRPr="00B40DC1" w:rsidRDefault="00321574" w:rsidP="0044169F">
      <w:pPr>
        <w:spacing w:line="240" w:lineRule="auto"/>
        <w:ind w:leftChars="0" w:left="0" w:rightChars="0" w:right="0"/>
      </w:pPr>
      <w:r>
        <w:t xml:space="preserve">　　</w:t>
      </w:r>
      <w:r w:rsidR="0049577B" w:rsidRPr="00B40DC1">
        <w:t>另外，以為僑生評點制的申請者很會多會趨之若鶩，實際上並沒有，留下來的卻很少。外國人適用47971元，僑生及外籍生適用37619元，僑生適用評點制，單一國籍不適用評點制，因為它免許可所以不受限，只具有中華民國國籍的僑生不適用</w:t>
      </w:r>
      <w:hyperlink r:id="rId376" w:history="1">
        <w:r w:rsidR="00B4647C" w:rsidRPr="00B4647C">
          <w:rPr>
            <w:rStyle w:val="a7"/>
            <w:rFonts w:cs="Times New Roman"/>
            <w:lang w:eastAsia="zh-TW" w:bidi="ar-SA"/>
          </w:rPr>
          <w:t>就業服務法</w:t>
        </w:r>
      </w:hyperlink>
      <w:r w:rsidR="0049577B" w:rsidRPr="00B40DC1">
        <w:t>，所以無37619元的限制，但也不適用評點制，正因為如此，所以他也停留不下來，他也留不下來，這部份勞動部可能弄錯了。具有中華民國國籍的僑生留不下來的原因是沒人敢用，因為證明雙重國籍很簡單，你兩本護照拿出來，但證明單一國籍很困難，沒辦法證明，你說你是單一國籍，公司老闆用你了，但若萬一不是，哪一天被移民署專勤隊抓到，罰15-75萬，這風險誰敢擔，沒人敢聘用，勞動部說這些具中華民國國籍的僑生不受評點制的受限，根本不用去用評點制，結果造成具中華民國國籍的僑生沒辦法留下來，因為根本找不到工作，所以政策在研擬時要去了解現今相關的社會現象。結果現在時常有華僑在總統府、行政院前面抗議，韓國華僑最多。(B-6-2)</w:t>
      </w:r>
    </w:p>
    <w:p w:rsidR="0049577B" w:rsidRPr="00B40DC1" w:rsidRDefault="00321574" w:rsidP="0044169F">
      <w:pPr>
        <w:spacing w:line="240" w:lineRule="auto"/>
        <w:ind w:leftChars="0" w:left="0" w:rightChars="0" w:right="0"/>
      </w:pPr>
      <w:r>
        <w:t xml:space="preserve">　　</w:t>
      </w:r>
      <w:r w:rsidR="0049577B" w:rsidRPr="00B40DC1">
        <w:t>計分制這制度是立意甚佳，但僑生評點制這計畫殷鑑不遠啦，這計畫算失敗，從這段時間來看算失敗，因為它有一些鄉愿啦，它為了贏合僑生就降格以求，「強化優秀僑外生留臺工作行動計畫」，留下來的僑外生叫「優秀」嗎?若你有機會去細讀它的工作計畫，評點制真的是簡單到爆，當然我們並不是歧視這些僑外生，只是當初會來報名的不一定會這麼優，有些東南亞學生到國外讀書，其首選並不是臺灣，不一定喔，美國、英國、加拿大去留學，來了不一定是優秀的，而且我們訂的標準又低到爆，可以用原始分數考上台大及考上名不見金鑽的學校，但這些全部都可以留下來，這些叫優秀嗎，這是第一個問題。臺灣相關的軟硬體設施也不是那麼健全，所以真正申請留下來的僑外生也不多啦，所以說外國人的專技移民這部份要不要採納計分制這部分，大家要有個共識，而且大家對「優秀」的標準要提高，寧缺勿濫，還是說降格以求，你要的是A咖、B咖、或C咖。(B-6-4)</w:t>
      </w:r>
    </w:p>
    <w:p w:rsidR="0049577B" w:rsidRPr="00B40DC1" w:rsidRDefault="00321574" w:rsidP="0044169F">
      <w:pPr>
        <w:spacing w:line="240" w:lineRule="auto"/>
        <w:ind w:leftChars="0" w:left="0" w:rightChars="0" w:right="0"/>
      </w:pPr>
      <w:r>
        <w:t xml:space="preserve">　　</w:t>
      </w:r>
      <w:r w:rsidR="0049577B" w:rsidRPr="00B40DC1">
        <w:t>像現在我們有採用是僑外生評點制，你來看現在僑外生現在越來越多都是越南人。那有很多僑生是為了要住在臺灣而留的，而不是說他的確實是我們所需的專業人才，但是他可能學歷文憑、語言能力什麼都有啊。但是我覺這牽涉到國家治安，或者是他來到底有沒有心真的是要工作嗎?因為如果說我今天符合這個標準，那我可能基本面都做到了，但是我來臺灣我從事的工作或許就不是與當初國家要的工作相符，而且這樣子他來了之後，一樣是可以永久居留。我覺得這個比較不是很適合。我覺得不是很適合臺灣的現在，因為目前僑外生就是用評點制。(C-7-6)</w:t>
      </w:r>
    </w:p>
    <w:p w:rsidR="0049577B" w:rsidRPr="00B40DC1" w:rsidRDefault="00321574" w:rsidP="0044169F">
      <w:pPr>
        <w:spacing w:line="240" w:lineRule="auto"/>
        <w:ind w:leftChars="0" w:left="0" w:rightChars="0" w:right="0"/>
      </w:pPr>
      <w:r>
        <w:t xml:space="preserve">　　</w:t>
      </w:r>
      <w:r w:rsidR="0049577B" w:rsidRPr="00B40DC1">
        <w:t>像有一些僑生，就我們知道的啦，他們來是想要打工，像我們現在很多那種越南僑外生，他曾經是外籍勞工，然後回去之後，換一個身份，換僑外生來臺灣念書，這種的也有。其實我覺得他們是為了來臺灣，並不是真的想在臺灣唸書，有一些我是聽說他們如果來臺灣唸書再回去越南，他們的薪水會被比較高，所以他們也不一定會留下來，如果真的是有心的，可能就是回去他們國家。(C-7-8)</w:t>
      </w:r>
    </w:p>
    <w:p w:rsidR="0049577B" w:rsidRPr="00E43C92" w:rsidRDefault="00306B20" w:rsidP="00306B20">
      <w:pPr>
        <w:jc w:val="right"/>
        <w:rPr>
          <w:sz w:val="22"/>
          <w:szCs w:val="22"/>
        </w:rPr>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3C1792" w:rsidRDefault="0049577B" w:rsidP="002F19DE">
      <w:pPr>
        <w:pStyle w:val="2"/>
      </w:pPr>
      <w:bookmarkStart w:id="84" w:name="_陸、我國評點制技術移民政策尚待解決之問題與未來可行發展之方向"/>
      <w:bookmarkEnd w:id="84"/>
      <w:r w:rsidRPr="00B40DC1">
        <w:t>陸、我國評點制技術移民政策尚待解決之問題與未來可行發展之方向</w:t>
      </w:r>
    </w:p>
    <w:p w:rsidR="0049577B" w:rsidRPr="00B40DC1" w:rsidRDefault="0049577B" w:rsidP="00321574">
      <w:pPr>
        <w:pStyle w:val="3"/>
        <w:rPr>
          <w:lang w:eastAsia="zh-TW"/>
        </w:rPr>
      </w:pPr>
      <w:bookmarkStart w:id="85" w:name="_一、我國採行「評點制」技術移民制度乃屬於可行之方向──公開、客觀、可量"/>
      <w:bookmarkEnd w:id="85"/>
      <w:r w:rsidRPr="00B40DC1">
        <w:rPr>
          <w:lang w:eastAsia="zh-TW"/>
        </w:rPr>
        <w:t>一、我國採行「評點制」技術移民制度乃屬於可行之方向──公開、客觀、可量化、與有助於公部門充分掌握國內人才需求</w:t>
      </w:r>
    </w:p>
    <w:p w:rsidR="0049577B" w:rsidRPr="00321574" w:rsidRDefault="00321574" w:rsidP="00321574">
      <w:pPr>
        <w:spacing w:line="240" w:lineRule="auto"/>
        <w:ind w:leftChars="0" w:left="0" w:rightChars="0"/>
      </w:pPr>
      <w:r w:rsidRPr="00321574">
        <w:rPr>
          <w:rFonts w:hint="eastAsia"/>
        </w:rPr>
        <w:t xml:space="preserve">　　</w:t>
      </w:r>
      <w:r w:rsidR="0049577B" w:rsidRPr="00321574">
        <w:t>(一)「評點制」客觀可量化</w:t>
      </w:r>
    </w:p>
    <w:p w:rsidR="0049577B" w:rsidRPr="00321574" w:rsidRDefault="00321574" w:rsidP="00321574">
      <w:pPr>
        <w:spacing w:line="240" w:lineRule="auto"/>
        <w:ind w:leftChars="0" w:left="0" w:rightChars="0"/>
      </w:pPr>
      <w:r w:rsidRPr="00321574">
        <w:t xml:space="preserve">　　</w:t>
      </w:r>
      <w:r w:rsidR="0049577B" w:rsidRPr="00321574">
        <w:t>部分受訪者認為評點制因公開、客觀及可量化等特性，若我國在技術移民制度加入評點制，國外技術人才亦能放心來臺灣工作，其亦很清楚自己在臺灣之定位。亦有受訪者認為目前評點制這套制度已應用在「強化優秀僑外生留臺工作行動計畫」中，在我國遴選技術移民制度上亦可參考評點制。</w:t>
      </w:r>
    </w:p>
    <w:p w:rsidR="0049577B" w:rsidRPr="00321574" w:rsidRDefault="00321574" w:rsidP="00321574">
      <w:pPr>
        <w:spacing w:line="240" w:lineRule="auto"/>
        <w:ind w:leftChars="0" w:left="0" w:rightChars="0"/>
      </w:pPr>
      <w:r w:rsidRPr="00321574">
        <w:t xml:space="preserve">　　</w:t>
      </w:r>
      <w:r w:rsidR="0049577B" w:rsidRPr="00321574">
        <w:t>若計分制要在臺灣專技做實行的話，我當然覺得這是一套很好的制度呀，你有比較明確性的制度存在的話，外國人也比較敢來你們臺灣，比較有它的吸引性，才不會說我是某某專業的，我去你那邊，我自己的定位在你們臺灣被你們認定什麼，我都不知道。比如說我去加拿大，我是醫生，你就缺醫生我就去應徵醫生沒有錯，可是來臺灣醫生可能跑去教美語，因為沒有醫院缺醫生，可是我還是來了呀，你懂那意思嗎，對外國人來講也沒什麼保障呀。(D-7-1)</w:t>
      </w:r>
    </w:p>
    <w:p w:rsidR="0049577B" w:rsidRPr="00321574" w:rsidRDefault="00321574" w:rsidP="00321574">
      <w:pPr>
        <w:spacing w:line="240" w:lineRule="auto"/>
        <w:ind w:leftChars="0" w:left="0" w:rightChars="0"/>
      </w:pPr>
      <w:r w:rsidRPr="00321574">
        <w:t xml:space="preserve">　　</w:t>
      </w:r>
      <w:r w:rsidR="0049577B" w:rsidRPr="00321574">
        <w:t>其實你這邊講到是否贊成以評點制做為機制，我當然是贊成，因為它真的是比較明確有一個標準在啦。…(F-8-2)</w:t>
      </w:r>
    </w:p>
    <w:p w:rsidR="0049577B" w:rsidRPr="00321574" w:rsidRDefault="00321574" w:rsidP="00321574">
      <w:pPr>
        <w:spacing w:line="240" w:lineRule="auto"/>
        <w:ind w:leftChars="0" w:left="0" w:rightChars="0"/>
      </w:pPr>
      <w:r w:rsidRPr="00321574">
        <w:t xml:space="preserve">　　</w:t>
      </w:r>
      <w:r w:rsidR="0049577B" w:rsidRPr="00321574">
        <w:t>僑生的評點制這個是勞委會的，勞委會現在已經在採用了。那這個部份我們是不是要採用，其實有一個問題啦。那我們採用了之後，我們要的，我個人覺得啦，如果是光以計分制的制度，我個人來講是贊同的，但是你必須要跟企業做好一個良好的溝通管道，企業真正要的是什麼樣的人才，政府能夠協助的招募怎樣的人才進來，這時候你再定這個計分制，才會有所謂加成的一個效果啦。(G-7-1)</w:t>
      </w:r>
    </w:p>
    <w:p w:rsidR="0049577B" w:rsidRPr="00321574" w:rsidRDefault="00321574" w:rsidP="00321574">
      <w:pPr>
        <w:spacing w:line="240" w:lineRule="auto"/>
        <w:ind w:leftChars="0" w:left="0" w:rightChars="0"/>
      </w:pPr>
      <w:r w:rsidRPr="00321574">
        <w:t xml:space="preserve">　　</w:t>
      </w:r>
      <w:r w:rsidR="0049577B" w:rsidRPr="00321574">
        <w:t>你剛提到目前我國在強化優秀僑外生他的留臺的行動計畫裡面採計分制，如果是在專技、投資移民政策上，也採用這個計分制的話，是不是可行?當然可行啊，為什麼不可行?這裡都有包括僑外生啊。僑外生留臺，他等於說是在這邊讀書嘛，學生讀書畢業之後，他有這樣子的一個政策嘛。就是說我們從海外要吸引高科技的人才，當然也可以啊，我覺得這個沒有什麼不可以啊。國外都可以做，我們當然也可以做啊。只是說因為它這個跟加拿大比較起來，加拿大他們有一個就是說你到了加拿大來，我給你這個楓葉卡，到了加拿大來之後，它有一個評比的項目就是適應的能力，語文它是其中的一項嘛。現在就是說你的家人也要過來的時候，比如說你的家人懂英語的，或者是他以前曾經在加拿大讀書過或者工作過，那這樣會比較快適應嘛，也把它納入在評分的這個項目。但是我們的這個計分制沒有，這個就是說其實像你要吸引一個人長期到這個國家來住的話，你要把他的家人全部考量進來，他的配偶啊，他的子女。像我們曾經外派，我們就有配偶到國外去，但她不能夠適應的，而且會影響到她的先生啊，每天都會吵著她的先生說她想要回去啊，因為她無聊啊，因為她不懂得英語她無聊啊，她的先生都會受到影響啊，工作都會受到影響。你看加拿大人家就會有這種設計嘛，比如說你的配偶，你的家人你的小孩子是不是以前有在加拿大讀書工作過，你的近親是不是加拿大永久居留的居民或是公民，這個分數會比較高。那我覺得我們基本上還是沒有這部份的設計啦。(H-7-4)</w:t>
      </w:r>
    </w:p>
    <w:p w:rsidR="0049577B" w:rsidRPr="00321574" w:rsidRDefault="00321574" w:rsidP="00321574">
      <w:pPr>
        <w:spacing w:line="240" w:lineRule="auto"/>
        <w:ind w:leftChars="0" w:left="0" w:rightChars="0"/>
      </w:pPr>
      <w:r w:rsidRPr="00321574">
        <w:rPr>
          <w:rFonts w:hint="eastAsia"/>
        </w:rPr>
        <w:t xml:space="preserve">　　</w:t>
      </w:r>
      <w:r w:rsidR="0049577B" w:rsidRPr="00321574">
        <w:t>（二）公部門可充分掌握國內人才需求</w:t>
      </w:r>
    </w:p>
    <w:p w:rsidR="0049577B" w:rsidRPr="00321574" w:rsidRDefault="00321574" w:rsidP="00321574">
      <w:pPr>
        <w:spacing w:line="240" w:lineRule="auto"/>
        <w:ind w:leftChars="0" w:left="0" w:rightChars="0"/>
      </w:pPr>
      <w:r w:rsidRPr="00321574">
        <w:t xml:space="preserve">　　</w:t>
      </w:r>
      <w:r w:rsidR="0049577B" w:rsidRPr="00321574">
        <w:t>部分受訪者認為，我國若在技術移民遴選制度上採評點制，這將有助於公部門充分掌握國內人才需求。因為各公部門均得和相關產業作溝通及聯繫後，才有辦法評估國內所需要職業類別及各類別數額。</w:t>
      </w:r>
    </w:p>
    <w:p w:rsidR="0049577B" w:rsidRPr="00321574" w:rsidRDefault="00321574" w:rsidP="00321574">
      <w:pPr>
        <w:spacing w:line="240" w:lineRule="auto"/>
        <w:ind w:leftChars="0" w:left="0" w:rightChars="0"/>
      </w:pPr>
      <w:r w:rsidRPr="00321574">
        <w:rPr>
          <w:rFonts w:hint="eastAsia"/>
        </w:rPr>
        <w:t xml:space="preserve">　　</w:t>
      </w:r>
      <w:r w:rsidR="0049577B" w:rsidRPr="00321574">
        <w:t>受訪者表示：</w:t>
      </w:r>
    </w:p>
    <w:p w:rsidR="0049577B" w:rsidRPr="00321574" w:rsidRDefault="00321574" w:rsidP="00321574">
      <w:pPr>
        <w:spacing w:line="240" w:lineRule="auto"/>
        <w:ind w:leftChars="0" w:left="0" w:rightChars="0"/>
      </w:pPr>
      <w:r w:rsidRPr="00321574">
        <w:t xml:space="preserve">　　</w:t>
      </w:r>
      <w:r w:rsidR="0049577B" w:rsidRPr="00321574">
        <w:t>其實你計分制講白一點，他就是一個篩選的機制。然後這個篩選的機制，他只是讓它比較客觀具體化嘛…。他一定是比較客觀啊，他一定會比單純這樣申請，甚至你國家就可以知道說，我相信他一定是，他相關的部會，他還都已經評核過說好，比如說我氣象我什麼需要多少人嘛，那當然很好啊。(E-6-4)</w:t>
      </w:r>
    </w:p>
    <w:p w:rsidR="0049577B" w:rsidRPr="00321574" w:rsidRDefault="00321574" w:rsidP="00321574">
      <w:pPr>
        <w:spacing w:line="240" w:lineRule="auto"/>
        <w:ind w:leftChars="0" w:left="0" w:rightChars="0"/>
      </w:pPr>
      <w:r w:rsidRPr="00321574">
        <w:t xml:space="preserve">　　</w:t>
      </w:r>
      <w:r w:rsidR="0049577B" w:rsidRPr="00321574">
        <w:t>還有設說你這個樣可以得幾分，這個優點是很明確啦。然後想移民的也知道說，那我要方向，我適合什麼，可能國內產業，不過國內產業可能就可以說，像我們國內的各行各業它可以參與在這個計分制，計分制要端出來之前，他們可以有機會跟主管機關討論說他們要什麼樣的人，要多少人，那就是說他們可以參與移民政策訂出一個標準來啦。(F-6-1)</w:t>
      </w:r>
    </w:p>
    <w:p w:rsidR="0049577B" w:rsidRPr="00321574" w:rsidRDefault="00321574" w:rsidP="00321574">
      <w:pPr>
        <w:spacing w:line="240" w:lineRule="auto"/>
        <w:ind w:leftChars="0" w:left="0" w:rightChars="0"/>
      </w:pPr>
      <w:r w:rsidRPr="00321574">
        <w:t xml:space="preserve">　　</w:t>
      </w:r>
      <w:r w:rsidR="0049577B" w:rsidRPr="00321574">
        <w:t>對於我們就業市場上，我們到底比較欠缺哪方面的人才，或者是說我們可以從年紀上面可以看出說什麼樣年齡層的哪一個類別的剛好是我們所需要的。(H-6-1)</w:t>
      </w:r>
    </w:p>
    <w:p w:rsidR="0049577B" w:rsidRPr="00321574" w:rsidRDefault="00321574" w:rsidP="00321574">
      <w:pPr>
        <w:spacing w:line="240" w:lineRule="auto"/>
        <w:ind w:leftChars="0" w:left="0" w:rightChars="0"/>
      </w:pPr>
      <w:r w:rsidRPr="00321574">
        <w:t xml:space="preserve">　　</w:t>
      </w:r>
      <w:r w:rsidR="0049577B" w:rsidRPr="00321574">
        <w:t>其實我們用這種計分制是會比較好，沒有錯啦。但是我們移民署那時候我們想要請相關的單位來協助我們怎麼修訂相關法律。計分制還有配套，比如說他就是很清楚他的國內哪一個類別，哪一個職業類別它國內需要幾個，用配額制嘛…。也就是說當初我們把這個移民法</w:t>
      </w:r>
      <w:hyperlink r:id="rId377" w:anchor="b35" w:history="1">
        <w:r w:rsidR="0049577B" w:rsidRPr="00E06828">
          <w:rPr>
            <w:rStyle w:val="a7"/>
            <w:rFonts w:cs="Times New Roman"/>
            <w:lang w:eastAsia="zh-TW" w:bidi="ar-SA"/>
          </w:rPr>
          <w:t>35條</w:t>
        </w:r>
      </w:hyperlink>
      <w:r w:rsidR="0049577B" w:rsidRPr="00321574">
        <w:t>，我們把我們的角色，我們認為說我們可以像美國一樣，因為我在美國待，美國移民局他們屬於可以主導，等於說它可以把相關的經濟部門，相關的單位找來研商移民政策。我們那時候境管局，移民署是屬於行政三級單位，那經建會的話是二級單位，然後你看經濟部的話，我是部下面的一個單位，所以我們也沒辦法。在這個法令明明寫我們是主管機關，投資標的、執行管理運用都要我們自己來做，本身我們又不是這方面的專家。說實在的話，那訂的話就會有那個困難。但是就是只要硬著頭皮，就我們自己就是等於說然後請各相關單位提供給我們意見，就變成比較沒辦法像加拿大那麼細緻的一個條文出來。(H-7-1)</w:t>
      </w:r>
    </w:p>
    <w:p w:rsidR="0049577B" w:rsidRPr="00B40DC1" w:rsidRDefault="00E43C92" w:rsidP="00306B20">
      <w:pPr>
        <w:pStyle w:val="afffffff"/>
        <w:spacing w:before="180" w:after="180"/>
        <w:ind w:left="723" w:hanging="44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321574">
      <w:pPr>
        <w:pStyle w:val="3"/>
        <w:rPr>
          <w:lang w:eastAsia="zh-TW"/>
        </w:rPr>
      </w:pPr>
      <w:bookmarkStart w:id="86" w:name="_二、我國採行「評點制」技術移民制度可能面臨之困難點"/>
      <w:bookmarkEnd w:id="86"/>
      <w:r w:rsidRPr="00B40DC1">
        <w:rPr>
          <w:lang w:eastAsia="zh-TW"/>
        </w:rPr>
        <w:t>二、我國採行「評點制」技術移民制度可能面臨之困難點</w:t>
      </w:r>
    </w:p>
    <w:p w:rsidR="0049577B" w:rsidRPr="0044169F" w:rsidRDefault="00321574" w:rsidP="0044169F">
      <w:pPr>
        <w:spacing w:line="240" w:lineRule="auto"/>
        <w:ind w:leftChars="0" w:left="0" w:rightChars="0" w:right="0"/>
      </w:pPr>
      <w:r w:rsidRPr="0044169F">
        <w:rPr>
          <w:rFonts w:hint="eastAsia"/>
        </w:rPr>
        <w:t xml:space="preserve">　　</w:t>
      </w:r>
      <w:r w:rsidR="0049577B" w:rsidRPr="0044169F">
        <w:t>(一)國情不同無法「完全」採用</w:t>
      </w:r>
    </w:p>
    <w:p w:rsidR="0049577B" w:rsidRPr="0044169F" w:rsidRDefault="00321574" w:rsidP="0044169F">
      <w:pPr>
        <w:spacing w:line="240" w:lineRule="auto"/>
        <w:ind w:leftChars="0" w:left="0" w:rightChars="0" w:right="0"/>
      </w:pPr>
      <w:r w:rsidRPr="0044169F">
        <w:t xml:space="preserve">　　</w:t>
      </w:r>
      <w:r w:rsidR="0049577B" w:rsidRPr="0044169F">
        <w:t>國外技術移民政策採行評點制之國家，多為以技術移民數量較多之國家，例如加拿大、紐西蘭、澳洲、英國、日本、南韓及新加坡等，另觀我國目前移民當中乃外籍配偶為主。受訪者直言評點制作為遴選技術移民之立意良好，但因我國國情和上述該些國家不可同日而喻，遂無法完全採用評點制。</w:t>
      </w:r>
    </w:p>
    <w:p w:rsidR="0049577B" w:rsidRPr="0044169F" w:rsidRDefault="00321574" w:rsidP="0044169F">
      <w:pPr>
        <w:spacing w:line="240" w:lineRule="auto"/>
        <w:ind w:leftChars="0" w:left="0" w:rightChars="0" w:right="0"/>
      </w:pPr>
      <w:r w:rsidRPr="0044169F">
        <w:rPr>
          <w:rFonts w:hint="eastAsia"/>
        </w:rPr>
        <w:t xml:space="preserve">　　</w:t>
      </w:r>
      <w:r w:rsidR="0049577B" w:rsidRPr="0044169F">
        <w:t>受訪者表示：</w:t>
      </w:r>
    </w:p>
    <w:p w:rsidR="0049577B" w:rsidRPr="0044169F" w:rsidRDefault="00321574" w:rsidP="0044169F">
      <w:pPr>
        <w:spacing w:line="240" w:lineRule="auto"/>
        <w:ind w:leftChars="0" w:left="0" w:rightChars="0" w:right="0"/>
      </w:pPr>
      <w:r w:rsidRPr="0044169F">
        <w:t xml:space="preserve">　　</w:t>
      </w:r>
      <w:r w:rsidR="0049577B" w:rsidRPr="0044169F">
        <w:t>專技移民制度若要參考可參考新加坡、日本，參考加拿大、紐西蘭、澳洲是移民國家，以移民為大宗，若完全採納計分制會有捍格，因為該些國家以移民為大宗，當然可以挑比較優的，但臺灣而言，以外來人口最大宗卻是人道考量，東南亞配偶、大陸配偶，這些是最大宗。歸化人口中97.~%是外配，其餘的2.~%才是專業性、技術性，少到不行。外配大部份都是東南亞配偶，學歷都較低。要了解目前狀況，因為國情不同，若真要改革太困難，因為環環相扣。(B-3-1)</w:t>
      </w:r>
    </w:p>
    <w:p w:rsidR="0049577B" w:rsidRPr="0044169F" w:rsidRDefault="00321574" w:rsidP="0044169F">
      <w:pPr>
        <w:spacing w:line="240" w:lineRule="auto"/>
        <w:ind w:leftChars="0" w:left="0" w:rightChars="0" w:right="0"/>
      </w:pPr>
      <w:r w:rsidRPr="0044169F">
        <w:t xml:space="preserve">　　</w:t>
      </w:r>
      <w:r w:rsidR="0049577B" w:rsidRPr="0044169F">
        <w:t>外國人在台可取得四個方向，停留、居留、永久居留、歸化。若不願意放棄原國籍就選擇永久居留，目前「</w:t>
      </w:r>
      <w:hyperlink r:id="rId378" w:history="1">
        <w:r w:rsidR="004B3637" w:rsidRPr="004B3637">
          <w:rPr>
            <w:rStyle w:val="a7"/>
            <w:rFonts w:cs="Times New Roman"/>
            <w:lang w:eastAsia="zh-TW" w:bidi="ar-SA"/>
          </w:rPr>
          <w:t>國籍法</w:t>
        </w:r>
      </w:hyperlink>
      <w:r w:rsidR="0049577B" w:rsidRPr="0044169F">
        <w:t>」修正案已送立法院修改，專門性技術性人才可以免放棄原始國國籍，我國已朝這方向來吸引優秀人才，這是很大變革，原本連外籍配偶也可以不用放棄原國籍，但在行政院會議上被揚棄，原因是我們不是移民國家，若我們是移民國家，如果吸引外配是我們最主要的目的，歸化者有97.~%是外配，這些是不是我們最主要吸引的優秀人才，這還是個問號，所以最後不用放棄原始國國籍的就是專業性技術性人才，但在我國這方面的人數是很低的，顯見所以我們和移民國家的實情和狀況相差太遙遠。(B-3-2)</w:t>
      </w:r>
    </w:p>
    <w:p w:rsidR="0049577B" w:rsidRPr="0044169F" w:rsidRDefault="00321574" w:rsidP="0044169F">
      <w:pPr>
        <w:spacing w:line="240" w:lineRule="auto"/>
        <w:ind w:leftChars="0" w:left="0" w:rightChars="0" w:right="0"/>
      </w:pPr>
      <w:r w:rsidRPr="0044169F">
        <w:t xml:space="preserve">　　</w:t>
      </w:r>
      <w:r w:rsidR="0049577B" w:rsidRPr="0044169F">
        <w:t>這些國家本身就有誘因了，若問我國移出的人口，他們的首選會是去南非嗎?會去越南嗎?都會去加、紐、澳、日、韓，因為他們軟硬體設施是好的，居住環境是棒的，這部份我們要去跟人家比，本身立足點就不一樣，即使我們也設計了計分制評點制，但可能也很難吸引到這些人來我國，因為這些人仍跑到上述這些國家去了，所以在政策研擬的過程中，我們就要思考我們要的是什麼樣的人，A咖、B咖、或C咖，移民是會選美國、加拿大、還是會選擇臺灣，除要移入的這塊土地跟他有聯結，他要移民前一定會先作評估嘛，基礎措施及對他的照顧，這部分臺灣要改善其實蠻難的…。(B-6-3)</w:t>
      </w:r>
    </w:p>
    <w:p w:rsidR="0049577B" w:rsidRPr="0044169F" w:rsidRDefault="00321574" w:rsidP="0044169F">
      <w:pPr>
        <w:spacing w:line="240" w:lineRule="auto"/>
        <w:ind w:leftChars="0" w:left="0" w:rightChars="0" w:right="0"/>
      </w:pPr>
      <w:r w:rsidRPr="0044169F">
        <w:t xml:space="preserve">　　</w:t>
      </w:r>
      <w:r w:rsidR="0049577B" w:rsidRPr="0044169F">
        <w:t>在臺灣若要採行計分制也不是完全不可能，但要先確立我們要什麼人才，因為我們的國情及基礎設施跟其他先進國家不同，若完全要參考他們的可能會有些問題。他們先進國家這套制度很強調語言，國外的專技移民若要求他們學中文，那可能會把他們搞慘了，他們可能永遠都沒辦法達到你的標準，我們去學英語是很快，但他們要來學中文超難，這就不對等了。日本文部省有作過研究，它把100個世界各國的人集中起來讓他們學一種語言，學英文一年就可以很厲害了，學日文要3至4年，學中文要5年，學中文的難度是學英文的5倍，也就是一般國家除非你就是華語的人，你要學中文就很快，不然其他國家要學中文是難到爆。比如說我是印度高科技IT人才，我去學英語1年就很熟，但學中文卻很難。(B-7-1)</w:t>
      </w:r>
    </w:p>
    <w:p w:rsidR="0049577B" w:rsidRPr="0044169F" w:rsidRDefault="00321574" w:rsidP="0044169F">
      <w:pPr>
        <w:spacing w:line="240" w:lineRule="auto"/>
        <w:ind w:leftChars="0" w:left="0" w:rightChars="0" w:right="0"/>
      </w:pPr>
      <w:r w:rsidRPr="0044169F">
        <w:t xml:space="preserve">　　</w:t>
      </w:r>
      <w:r w:rsidR="0049577B" w:rsidRPr="0044169F">
        <w:t>會不會建議說，把計分制引進到就是像梅花卡的這一個部份來引進這個計分制?我的想法是這樣，就是剛才提到的，就是說，如果我們到目前為止願意來申請梅花卡的所謂這些專業人才，並沒有非常多的情況，那我們又希望發很多梅花卡，希望這些人留下的時候，然後你去弄這個計分制度就沒有意義。(E-7-1)</w:t>
      </w:r>
    </w:p>
    <w:p w:rsidR="0049577B" w:rsidRPr="0044169F" w:rsidRDefault="00321574" w:rsidP="0044169F">
      <w:pPr>
        <w:spacing w:line="240" w:lineRule="auto"/>
        <w:ind w:leftChars="0" w:left="0" w:rightChars="0" w:right="0"/>
      </w:pPr>
      <w:r w:rsidRPr="0044169F">
        <w:t xml:space="preserve">　　</w:t>
      </w:r>
      <w:r w:rsidR="0049577B" w:rsidRPr="0044169F">
        <w:t>你只要是符合</w:t>
      </w:r>
      <w:hyperlink r:id="rId379" w:history="1">
        <w:r w:rsidR="00B4647C" w:rsidRPr="00B4647C">
          <w:rPr>
            <w:rStyle w:val="a7"/>
            <w:rFonts w:cs="Times New Roman"/>
            <w:lang w:eastAsia="zh-TW" w:bidi="ar-SA"/>
          </w:rPr>
          <w:t>就業服務法</w:t>
        </w:r>
      </w:hyperlink>
      <w:r w:rsidR="0049577B" w:rsidRPr="0044169F">
        <w:t>那幾個，你都可以來申請居留，那你不覺得很鬆嗎?所以那個教英文的佔那麼多啊，所以真正有專門技術的大概只有一半。所以我就很怕啊，如果我們真正實施評點制能夠來的有多少。有啦，你把標準降低，當然可以啊。(F-4-1)</w:t>
      </w:r>
    </w:p>
    <w:p w:rsidR="0049577B" w:rsidRPr="0044169F" w:rsidRDefault="00321574" w:rsidP="0044169F">
      <w:pPr>
        <w:spacing w:line="240" w:lineRule="auto"/>
        <w:ind w:leftChars="0" w:left="0" w:rightChars="0" w:right="0"/>
      </w:pPr>
      <w:r w:rsidRPr="0044169F">
        <w:t xml:space="preserve">　　</w:t>
      </w:r>
      <w:r w:rsidR="0049577B" w:rsidRPr="0044169F">
        <w:t>其實你這邊講到是否贊成以評點制做為機制，我當然是贊成，因為它真的是比較明確有一個標準在啦。但是話又說回來，以我們法令目前這麼鬆，我們現在真的是放得很鬆，已經沒人要來了。…(F-8-2)</w:t>
      </w:r>
    </w:p>
    <w:p w:rsidR="0049577B" w:rsidRPr="0044169F" w:rsidRDefault="00321574" w:rsidP="0044169F">
      <w:pPr>
        <w:spacing w:line="240" w:lineRule="auto"/>
        <w:ind w:leftChars="0" w:left="0" w:rightChars="0" w:right="0"/>
      </w:pPr>
      <w:r w:rsidRPr="0044169F">
        <w:t xml:space="preserve">　　</w:t>
      </w:r>
      <w:r w:rsidR="0049577B" w:rsidRPr="0044169F">
        <w:t>我們國家這個部份當然企業雖然說他們缺的很多人才，那政府其實也很想在幫忙，也是大力在幫忙，但是就是沒有人要進來，所以我們沒有辦法採這個計分制嘛，因為我們其實算一算進來的，不要說專技的，就白領的，白領我國到目前的人數在勞動部的一個調查來看，差不多也是才兩萬八、兩萬九，差不多這個人數啦，那何況專技一定是比白領的人數還要更少。所以你如果臺灣再用更嚴苛的一個條件，那可能進來的相對又更少了，因為我們臺灣目前來講，並沒有在年齡方面去做限制，所以尤其很多都是在國外已經都是，你想嘛要在國外學有專長的通常都有一定的年齡了，甚至在這個專業領域比較有成就的，通常已經都是快近退休，或者是退休，他來臺灣，大學歡迎這些人才，或者是科技也需要這些顧問，雖然年紀大，但是其實他不是在做所謂的一些勞力的一個部份，應該其實還是多少有用的啦。(G-6-2)</w:t>
      </w:r>
    </w:p>
    <w:p w:rsidR="0049577B" w:rsidRPr="0044169F" w:rsidRDefault="00321574" w:rsidP="0044169F">
      <w:pPr>
        <w:spacing w:line="240" w:lineRule="auto"/>
        <w:ind w:leftChars="0" w:left="0" w:rightChars="0" w:right="0"/>
      </w:pPr>
      <w:r w:rsidRPr="0044169F">
        <w:t xml:space="preserve">　　</w:t>
      </w:r>
      <w:r w:rsidR="0049577B" w:rsidRPr="0044169F">
        <w:t>我認為原則上是申請專技移民的人很多才需要計分，因為我們來申請的人不多啦，你要來申請多多益善，應該這樣講啦。那到目前還沒有到是用到這個計分的一個必要啦，那是我個人的看法，因為原則上你如果一個國家需要計分，你一定是他的人數已經達到，大家搶著要去的，就像加拿大，一定很多人搶著要去嘛，所以他需要用到這些，跟澳洲這些國家都是很多人想要去移民的天堂，那當然多少他會想要做多少一點，他篩選他想要的人才嘛，而不是全盤照單全收。(G-7-3)</w:t>
      </w:r>
    </w:p>
    <w:p w:rsidR="0049577B" w:rsidRPr="0044169F" w:rsidRDefault="00321574" w:rsidP="0044169F">
      <w:pPr>
        <w:spacing w:line="240" w:lineRule="auto"/>
        <w:ind w:leftChars="0" w:left="0" w:rightChars="0" w:right="0"/>
      </w:pPr>
      <w:r w:rsidRPr="0044169F">
        <w:rPr>
          <w:rFonts w:hint="eastAsia"/>
        </w:rPr>
        <w:t xml:space="preserve">　　</w:t>
      </w:r>
      <w:r w:rsidR="0049577B" w:rsidRPr="0044169F">
        <w:t>(二)我國公部門人力及分工不足</w:t>
      </w:r>
    </w:p>
    <w:p w:rsidR="0049577B" w:rsidRPr="0044169F" w:rsidRDefault="00321574" w:rsidP="0044169F">
      <w:pPr>
        <w:spacing w:line="240" w:lineRule="auto"/>
        <w:ind w:leftChars="0" w:left="0" w:rightChars="0" w:right="0"/>
      </w:pPr>
      <w:r w:rsidRPr="0044169F">
        <w:t xml:space="preserve">　　</w:t>
      </w:r>
      <w:r w:rsidR="0049577B" w:rsidRPr="0044169F">
        <w:t>由於評點制制度牽涉跨部會多個單位，該任務非移民署所能獨自完成，在人力及分工不足情形下，部分受訪坦言我國若在技術移民遴選上實施評點制，在職業類別之鑑別及每個類別所需數額之調查上，可能會面臨不少之困難。</w:t>
      </w:r>
    </w:p>
    <w:p w:rsidR="0049577B" w:rsidRPr="0044169F" w:rsidRDefault="00321574" w:rsidP="0044169F">
      <w:pPr>
        <w:spacing w:line="240" w:lineRule="auto"/>
        <w:ind w:leftChars="0" w:left="0" w:rightChars="0" w:right="0"/>
      </w:pPr>
      <w:r w:rsidRPr="0044169F">
        <w:rPr>
          <w:rFonts w:hint="eastAsia"/>
        </w:rPr>
        <w:t xml:space="preserve">　　</w:t>
      </w:r>
      <w:r w:rsidR="0049577B" w:rsidRPr="0044169F">
        <w:t>受訪者表示：</w:t>
      </w:r>
    </w:p>
    <w:p w:rsidR="0049577B" w:rsidRPr="0044169F" w:rsidRDefault="00321574" w:rsidP="0044169F">
      <w:pPr>
        <w:spacing w:line="240" w:lineRule="auto"/>
        <w:ind w:leftChars="0" w:left="0" w:rightChars="0" w:right="0"/>
      </w:pPr>
      <w:r w:rsidRPr="0044169F">
        <w:t xml:space="preserve">　　</w:t>
      </w:r>
      <w:r w:rsidR="0049577B" w:rsidRPr="0044169F">
        <w:t>我國若在引進專業技術人才上採用計分制，我覺得缺點可能會面臨人力不足。要看看這個分工到底是誰要負責，就是計分制是要誰做，因為你如果說沒辦法單純只是由我們移民署在做，那你用計分制到底是勞動部要做，還是外交部，因為牽涉到很多部會。它不是說移民署就用這個計分制就可以讓外國的專業人才來了，我還要核發簽證你才能來，但這個人可能簽證就沒辦法拿到啊，有一些是被管制的，或者是有問題的，或者是說這個國家本來外交部不發居留簽證的也有。等於說這個分工可要先了解說，到底這是要誰做。那通常是勞動部做，我們會配合，勞動部做之後，外交部跟我們配合，等於說勞動部第一，然後外交部第二，我們移民署是第三，我們是最後配合它發居留證。其實吸引外來人才移民署來做很奇怪，你是要專技部份應該是勞動部啊，所以也沒有一個單位來整合啊，到底要誰做，我們也沒辦法去判斷你這個什麼樣的技術是符合我們國家需要的。因為還是勞動部他們最瞭解最清楚現在國家需要什麼人才。(C-7-9)</w:t>
      </w:r>
    </w:p>
    <w:p w:rsidR="0049577B" w:rsidRPr="0044169F" w:rsidRDefault="00321574" w:rsidP="0044169F">
      <w:pPr>
        <w:spacing w:line="240" w:lineRule="auto"/>
        <w:ind w:leftChars="0" w:left="0" w:rightChars="0" w:right="0"/>
      </w:pPr>
      <w:r w:rsidRPr="0044169F">
        <w:t xml:space="preserve">　　</w:t>
      </w:r>
      <w:r w:rsidR="0049577B" w:rsidRPr="0044169F">
        <w:t>我覺得這個計分制當然很好，可是就還是要回到剛才我們之前在討論的那個區塊，就是計分制都很好，而且很量化也會比較公平，但是還是要回歸到那個，我對如果以就是其他國家來看我覺得這樣很好，可是我覺得如果這個方面，因為到時候執行會，我們移民署在執行，因為居留ARC跟那個永久居留那種ARC是我們發的情況下，在執行上會有困難，就是我移民署我沒有辦法確定業別跟數額，那這個區塊一定要各部會來配合。講白一點，那各部會要分給我，因為我不知道，你要給我我才有辦法去弄配額出來，然後就是還是回歸到我們最原始討論的問題，那我們就要先看說，好，比如說以這個來看，比如說你深水建設還是什麼，你到時候再細分的時候，什麼氣象地震還是什麼有特殊成就，然後我比較擔心的是，你到時候這個灑下去的時候，以臺灣第一個分類不容易，第二個我們的業別這樣分下去，到時候那一個數額會不會很難定…。(E-6-1)</w:t>
      </w:r>
    </w:p>
    <w:p w:rsidR="0049577B" w:rsidRPr="0044169F" w:rsidRDefault="00321574" w:rsidP="0044169F">
      <w:pPr>
        <w:spacing w:line="240" w:lineRule="auto"/>
        <w:ind w:leftChars="0" w:left="0" w:rightChars="0" w:right="0"/>
      </w:pPr>
      <w:r w:rsidRPr="0044169F">
        <w:rPr>
          <w:rFonts w:hint="eastAsia"/>
        </w:rPr>
        <w:t xml:space="preserve">　　</w:t>
      </w:r>
      <w:r w:rsidR="0049577B" w:rsidRPr="0044169F">
        <w:t>(三)我國相關配套措施尚未完善</w:t>
      </w:r>
    </w:p>
    <w:p w:rsidR="0049577B" w:rsidRPr="0044169F" w:rsidRDefault="00321574" w:rsidP="0044169F">
      <w:pPr>
        <w:spacing w:line="240" w:lineRule="auto"/>
        <w:ind w:leftChars="0" w:left="0" w:rightChars="0" w:right="0"/>
      </w:pPr>
      <w:r w:rsidRPr="0044169F">
        <w:t xml:space="preserve">　　</w:t>
      </w:r>
      <w:r w:rsidR="0049577B" w:rsidRPr="0044169F">
        <w:t>部分受訪認為我國技術移民政策若要實施評點制，在相關配套措施未完善之情形下，推行評點制仍有其困難。相關配套措施包括公部門需將國內所需職業類別及數額列出、公部門和企業溝通之管道需暢通、政府機關間之橫向聯繫需緊密及法規方面仍需有彈性地鬆綁等。多數受訪均認為公部門及民間企業需協力，若是公部門及民間企業各管各的，在評點制實施下僅會綁死自己。</w:t>
      </w:r>
    </w:p>
    <w:p w:rsidR="0049577B" w:rsidRPr="0044169F" w:rsidRDefault="00321574" w:rsidP="0044169F">
      <w:pPr>
        <w:spacing w:line="240" w:lineRule="auto"/>
        <w:ind w:leftChars="0" w:left="0" w:rightChars="0" w:right="0"/>
      </w:pPr>
      <w:r w:rsidRPr="0044169F">
        <w:t xml:space="preserve">　　</w:t>
      </w:r>
      <w:r w:rsidR="0049577B" w:rsidRPr="0044169F">
        <w:t>若有一套制度是很OK的，這個制度之前提之下，就是你要把你要的專技，你跟企業的結合，你後面的配套措施，你一定要有一個比較，不要說完完全全要做到一百分啦，但是至少要做出六七十分的東西，然後再來把評分制度納進去才有可能推得動。若完全不考慮實務推得動推不動，你問我這套東西拿來臺灣用好不好，當然是好呀。這套東西拿來臺灣是有好處的。可是問到說推得動推不動，以目前來講可能很困難。(D-7-2)</w:t>
      </w:r>
    </w:p>
    <w:p w:rsidR="0049577B" w:rsidRPr="0044169F" w:rsidRDefault="00321574" w:rsidP="0044169F">
      <w:pPr>
        <w:spacing w:line="240" w:lineRule="auto"/>
        <w:ind w:leftChars="0" w:left="0" w:rightChars="0" w:right="0"/>
      </w:pPr>
      <w:r w:rsidRPr="0044169F">
        <w:t xml:space="preserve">　　</w:t>
      </w:r>
      <w:r w:rsidR="0049577B" w:rsidRPr="0044169F">
        <w:t>困難點就是，第一、我們需要什麼方面的人才，我們沒有分門別類去把它列出來。第二、政府和企業之間緊密結合度不夠，我們政府根本有沒有去了解到各行各業企業所需要的人才是什麼。第三、政府機關及政府機關之間的橫向聯繫不夠，加拿大政府有個平台呀，政府及企業可以去做聯結，但這個平台上，我相信不是只有一個政府單位在負責，背後可能是一整個政府單位橫向去建構起一個平台的，在臺灣你若是要去建構這個平台，困難度是非常非常高的，因為在臺灣，政府機關及政府機關的橫向聯繫是非常非常糟糕的…。(D-7-3)</w:t>
      </w:r>
    </w:p>
    <w:p w:rsidR="0049577B" w:rsidRPr="0044169F" w:rsidRDefault="00321574" w:rsidP="0044169F">
      <w:pPr>
        <w:spacing w:line="240" w:lineRule="auto"/>
        <w:ind w:leftChars="0" w:left="0" w:rightChars="0" w:right="0"/>
      </w:pPr>
      <w:r w:rsidRPr="0044169F">
        <w:t xml:space="preserve">　　</w:t>
      </w:r>
      <w:r w:rsidR="0049577B" w:rsidRPr="0044169F">
        <w:t>所以你這套制度，我認為你計分制，除了剛才我們提到那些，我們不知道人才在哪裡，需要什麼的人才之外，二方面包括我們很多法規、很多制度其實是很僵化，尤其是公部門。我認為是可以推，可是我會認為成效有限。因為其實大概10幾年前，我們住新加坡的秘書就有報資料回來，新加坡他吸引中國大陸的所謂專技人才去新加坡，一般我們臺灣人，就我以前得到的訊息是，臺灣人嫁給新加坡人，或娶新加坡人，你拿新加坡的公民至少要7年，可是新加坡他為了吸引大陸的，比如說科技或是人才，他可以一兩年，新加坡認定的人才他就可以拿到新加坡公民，可能一兩年就拿到，就是你剛才提到的說這些計分制之後，他就會有給他永久居留。那我們現在當然都有這些制度啊，你現在白領的，你住滿5年，就可以辦取得國籍拿到身份證。可是我的感覺是，我們的</w:t>
      </w:r>
      <w:hyperlink r:id="rId380" w:history="1">
        <w:r w:rsidR="004B3637" w:rsidRPr="004B3637">
          <w:rPr>
            <w:rStyle w:val="a7"/>
            <w:rFonts w:cs="Times New Roman"/>
            <w:lang w:eastAsia="zh-TW" w:bidi="ar-SA"/>
          </w:rPr>
          <w:t>國籍法</w:t>
        </w:r>
      </w:hyperlink>
      <w:r w:rsidR="0049577B" w:rsidRPr="0044169F">
        <w:t>規定啊，拿臺灣的身份證，原則上你就要放棄原來的國籍。(E-5-4)</w:t>
      </w:r>
    </w:p>
    <w:p w:rsidR="0049577B" w:rsidRDefault="00321574" w:rsidP="0044169F">
      <w:pPr>
        <w:spacing w:line="240" w:lineRule="auto"/>
        <w:ind w:leftChars="0" w:left="0" w:rightChars="0" w:right="0"/>
      </w:pPr>
      <w:r w:rsidRPr="0044169F">
        <w:t xml:space="preserve">　　</w:t>
      </w:r>
      <w:r w:rsidR="0049577B" w:rsidRPr="0044169F">
        <w:t>如果是光以計分制的制度，我個人來講是贊同的，但是你必須要跟企業做好一個良好的溝通管道，企業真正要的是什麼樣的人才，政府能夠協助的招募怎樣的人才進來，這時候你再定這個計分制，才會有所謂加成的一個效果啦。你如果說你今天企業跟政府各管各的，那你這計分制設下去，剛好綁死自己，剛好進來的人剛好寥寥無幾，變成這個制度在實行之前要有配套措施啦，這是我個人認知啦。像國外雖然採行了計分制，可是因為他有配套，比如說他們對他們類別很清楚，甚至還有配額，所以他們用這一套計分制，他們不會招過多也不會招過剩。這是我個人認為，我是贊同的，但是在配套措施完善。配套措施能夠完善，那當然贊成這個計分制，然後才能夠招到企業想要的人才，而不會招進來了，然後不能用，這也是麻煩啊。(G-7-1)</w:t>
      </w:r>
    </w:p>
    <w:p w:rsidR="00306B20" w:rsidRPr="00B40DC1" w:rsidRDefault="00E43C92" w:rsidP="00306B20">
      <w:pPr>
        <w:spacing w:line="240" w:lineRule="auto"/>
        <w:ind w:leftChars="0" w:left="0" w:rightChars="0" w:right="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321574">
      <w:pPr>
        <w:pStyle w:val="3"/>
        <w:rPr>
          <w:lang w:eastAsia="zh-TW"/>
        </w:rPr>
      </w:pPr>
      <w:bookmarkStart w:id="87" w:name="_三、針對技術專業移民之遴選及審查機制與標準可採行折衷之機制"/>
      <w:bookmarkEnd w:id="87"/>
      <w:r w:rsidRPr="00B40DC1">
        <w:rPr>
          <w:lang w:eastAsia="zh-TW"/>
        </w:rPr>
        <w:t>三、針對技術專業移民之遴選及審查機制與標準可採行折衷之機制</w:t>
      </w:r>
    </w:p>
    <w:p w:rsidR="0049577B" w:rsidRPr="0044169F" w:rsidRDefault="00321574" w:rsidP="0044169F">
      <w:pPr>
        <w:spacing w:line="240" w:lineRule="auto"/>
        <w:ind w:leftChars="0" w:left="0" w:rightChars="0" w:right="0"/>
      </w:pPr>
      <w:r w:rsidRPr="0044169F">
        <w:rPr>
          <w:rFonts w:hint="eastAsia"/>
        </w:rPr>
        <w:t xml:space="preserve">　　</w:t>
      </w:r>
      <w:r w:rsidR="0049577B" w:rsidRPr="0044169F">
        <w:t>(一)現行可採評點制及審查制併行</w:t>
      </w:r>
    </w:p>
    <w:p w:rsidR="0049577B" w:rsidRPr="0044169F" w:rsidRDefault="00321574" w:rsidP="0044169F">
      <w:pPr>
        <w:spacing w:line="240" w:lineRule="auto"/>
        <w:ind w:leftChars="0" w:left="0" w:rightChars="0" w:right="0"/>
      </w:pPr>
      <w:r w:rsidRPr="0044169F">
        <w:t xml:space="preserve">　　</w:t>
      </w:r>
      <w:r w:rsidR="0049577B" w:rsidRPr="0044169F">
        <w:t>部分受訪者認為目前以臺灣現行之狀況下，評點制不適合一步到位，技術移民之遴選，可採評點制及審查制併行之方式進行。實行之方式有兩種，第一種方式，是先採評點制，將人遴選進來後，再進行審查制。另一種方式，是雙軌併行制，一方面現行之審查制度仍可以繼續運行，另一方面，國內有需要高端之技術人才，可以先試用評點制，且在制度之設計上，可以提供技術移民更佳之優惠，且可以給該些企業更好之配套措施。部分受訪者認為，這是可以思考之方向。</w:t>
      </w:r>
    </w:p>
    <w:p w:rsidR="0049577B" w:rsidRPr="0044169F" w:rsidRDefault="00321574" w:rsidP="0044169F">
      <w:pPr>
        <w:spacing w:line="240" w:lineRule="auto"/>
        <w:ind w:leftChars="0" w:left="0" w:rightChars="0" w:right="0"/>
      </w:pPr>
      <w:r w:rsidRPr="0044169F">
        <w:t xml:space="preserve">　　</w:t>
      </w:r>
      <w:r w:rsidR="0049577B" w:rsidRPr="0044169F">
        <w:t>在臺灣若要採行計分制也不是完全不可能，但要先確立我們要什麼人才，因為我們的國情及基礎設施跟其他先進國家不同，若完全要參考他們的可能會有些問題。</w:t>
      </w:r>
      <w:r w:rsidR="003C1792" w:rsidRPr="0044169F">
        <w:t>(</w:t>
      </w:r>
      <w:r w:rsidR="0049577B" w:rsidRPr="0044169F">
        <w:t>B-7-1)</w:t>
      </w:r>
    </w:p>
    <w:p w:rsidR="0049577B" w:rsidRPr="0044169F" w:rsidRDefault="00321574" w:rsidP="0044169F">
      <w:pPr>
        <w:spacing w:line="240" w:lineRule="auto"/>
        <w:ind w:leftChars="0" w:left="0" w:rightChars="0" w:right="0"/>
      </w:pPr>
      <w:r w:rsidRPr="0044169F">
        <w:t xml:space="preserve">　　</w:t>
      </w:r>
      <w:r w:rsidR="0049577B" w:rsidRPr="0044169F">
        <w:t>評點制是試圖把「優秀」這兩個字量化，但量化的標準就要經得起考驗，這就要測試我們的公務人員或專家學者的智慧，或許可以先來個試辦，目前臺灣是採審查制，但若採計分制後就是要量化，後續可以有兩個方式，就是在採計分制後，審查會就非准不可，不可置喙，另一種制度是即便符合計分制標準，審查會仍可以准駁，這就看計分制訂的高標或低標有關了，若計分制訂的已是高標了，那審查會一定要准的嘛，若計分制採的是低標，審查會還是要有准駁的權限比較恰當，畢竟我們要吸引優秀人才不是嗎。</w:t>
      </w:r>
      <w:hyperlink r:id="rId381" w:history="1">
        <w:r w:rsidR="00CC30C7" w:rsidRPr="0059675B">
          <w:rPr>
            <w:rStyle w:val="a7"/>
            <w:rFonts w:cs="Times New Roman"/>
            <w:lang w:eastAsia="zh-TW" w:bidi="ar-SA"/>
          </w:rPr>
          <w:t>外國人申請永久居留案件審查基準</w:t>
        </w:r>
      </w:hyperlink>
      <w:r w:rsidR="0049577B" w:rsidRPr="0044169F">
        <w:t>，比如大學教授，現行審查會就非准不可，因為大學教授是完全符合積極條件，你是不能不准的，除非他有犯罪紀錄。(B-7-4)</w:t>
      </w:r>
    </w:p>
    <w:p w:rsidR="0049577B" w:rsidRPr="0044169F" w:rsidRDefault="00321574" w:rsidP="0044169F">
      <w:pPr>
        <w:spacing w:line="240" w:lineRule="auto"/>
        <w:ind w:leftChars="0" w:left="0" w:rightChars="0" w:right="0"/>
      </w:pPr>
      <w:r w:rsidRPr="0044169F">
        <w:t xml:space="preserve">　　</w:t>
      </w:r>
      <w:r w:rsidR="0049577B" w:rsidRPr="0044169F">
        <w:t>若光就政策而言，並無所謂的對錯，你要贊成它可以寫100個贊成的理由，你要反對也可以寫100個反對的理由，就是取決於有決策權長官的決定，因為這沒有對錯的。要不要採是可以考量的，沒有反對的道理，反對也沒有意義。(B-7-5)</w:t>
      </w:r>
    </w:p>
    <w:p w:rsidR="0049577B" w:rsidRPr="0044169F" w:rsidRDefault="00321574" w:rsidP="0044169F">
      <w:pPr>
        <w:spacing w:line="240" w:lineRule="auto"/>
        <w:ind w:leftChars="0" w:left="0" w:rightChars="0" w:right="0"/>
      </w:pPr>
      <w:r w:rsidRPr="0044169F">
        <w:t xml:space="preserve">　　</w:t>
      </w:r>
      <w:r w:rsidR="0049577B" w:rsidRPr="0044169F">
        <w:t>這套制度如果要實施的話，可以考慮先雙軌併行，倒不一定說要一步到位，因為臺灣的環境真的很不適合一步到位。雙軌併行的話，現有的制度還是可以用，真的有些比較需要高端的人才，你可以先套這套計分制可以先run看看，當然套這套制度先走的人，你可以給他更好的優惠，或許是這些企業你可以給它更好的配套。這個方向倒是可以思考。(D-8-4)</w:t>
      </w:r>
    </w:p>
    <w:p w:rsidR="0049577B" w:rsidRPr="0044169F" w:rsidRDefault="00321574" w:rsidP="0044169F">
      <w:pPr>
        <w:spacing w:line="240" w:lineRule="auto"/>
        <w:ind w:leftChars="0" w:left="0" w:rightChars="0" w:right="0"/>
      </w:pPr>
      <w:r w:rsidRPr="0044169F">
        <w:rPr>
          <w:rFonts w:hint="eastAsia"/>
        </w:rPr>
        <w:t xml:space="preserve">　　</w:t>
      </w:r>
      <w:r w:rsidR="0049577B" w:rsidRPr="0044169F">
        <w:t>(二)可在「評點制」某些評分項目作設定以符合我國所需</w:t>
      </w:r>
    </w:p>
    <w:p w:rsidR="0049577B" w:rsidRPr="0044169F" w:rsidRDefault="00321574" w:rsidP="0044169F">
      <w:pPr>
        <w:spacing w:line="240" w:lineRule="auto"/>
        <w:ind w:leftChars="0" w:left="0" w:rightChars="0" w:right="0"/>
      </w:pPr>
      <w:r w:rsidRPr="0044169F">
        <w:t xml:space="preserve">　　</w:t>
      </w:r>
      <w:r w:rsidR="0049577B" w:rsidRPr="0044169F">
        <w:t>部分受訪者認為，仍可採用評點制作為技術移民之遴選。我國可視國內國情，設計一套符合我們標準之評點制，可在評點制之評分項目中做設定，以符合我國所需，例如，在國別做設定，讓比較沒有疑慮之國別技術移民，核予較高分數；亦可在年齡上做設定，設定我國所需要之年齡層；技術移民其直系血親亦可以成為計分項目之一；技術移民之家人適應能力，亦可以成為計分項目之一。受訪者們認為，可以藉由評點制上，某些項目之設計，以利遴選出我國所需之技術移民。</w:t>
      </w:r>
    </w:p>
    <w:p w:rsidR="0049577B" w:rsidRPr="0044169F" w:rsidRDefault="00306B20" w:rsidP="0044169F">
      <w:pPr>
        <w:spacing w:line="240" w:lineRule="auto"/>
        <w:ind w:leftChars="0" w:left="0" w:rightChars="0" w:right="0"/>
      </w:pPr>
      <w:r>
        <w:t xml:space="preserve">　　</w:t>
      </w:r>
      <w:r w:rsidR="0049577B" w:rsidRPr="0044169F">
        <w:t>現今因交通便利，國際移徙亦趨頻繁，移入國在接受移民移入之同時，更要考量國家安全及國家利益。</w:t>
      </w:r>
      <w:r w:rsidR="0049577B" w:rsidRPr="00E06828">
        <w:rPr>
          <w:rFonts w:ascii="Arial Unicode MS" w:eastAsia="新細明體" w:hAnsi="Arial Unicode MS"/>
          <w:color w:val="FF6600"/>
          <w:sz w:val="20"/>
        </w:rPr>
        <w:footnoteReference w:id="462"/>
      </w:r>
      <w:r w:rsidR="0049577B" w:rsidRPr="0044169F">
        <w:t>相對之，在評點制之設計上，若在國別作設定，將一些有疑慮國別主動先發作為先作篩選，或採被動反應作為，待移入移民對國家安全發生實害再作處置，以上主動先發及被動反應兩種作為，在移民政策上如何拿捏，亦是新之課題。</w:t>
      </w:r>
    </w:p>
    <w:p w:rsidR="0049577B" w:rsidRPr="0044169F" w:rsidRDefault="00321574" w:rsidP="0044169F">
      <w:pPr>
        <w:spacing w:line="240" w:lineRule="auto"/>
        <w:ind w:leftChars="0" w:left="0" w:rightChars="0" w:right="0"/>
      </w:pPr>
      <w:r w:rsidRPr="0044169F">
        <w:t xml:space="preserve">　　</w:t>
      </w:r>
      <w:r w:rsidR="0049577B" w:rsidRPr="0044169F">
        <w:t>所以說外國人的專技移民這部份要不要採納計分制這部分，大家要有個共識，而且大家對「優秀」的標準要提高，寧缺勿濫，還是說降格以求，你要的是A咖、B咖、或C咖。(B-6-4)</w:t>
      </w:r>
    </w:p>
    <w:p w:rsidR="0049577B" w:rsidRPr="0044169F" w:rsidRDefault="00321574" w:rsidP="0044169F">
      <w:pPr>
        <w:spacing w:line="240" w:lineRule="auto"/>
        <w:ind w:leftChars="0" w:left="0" w:rightChars="0" w:right="0"/>
      </w:pPr>
      <w:r w:rsidRPr="0044169F">
        <w:t xml:space="preserve">　　</w:t>
      </w:r>
      <w:r w:rsidR="0049577B" w:rsidRPr="0044169F">
        <w:t>我們是要它的專業呢?還是語言呢?若他是很專門技術性人才，但他的語言不OK，用語言決勝負，那你要不要接受。我們看到在臺灣一般永久居留的CEO，他的薪水你一看會嚇一跳，一年3000多萬台幣，CEO他是專門技術性，他就來申請你的永久居留，但他的語言卻是不OK的，他只會英語不會中文，他在臺灣是否有貢獻，有呀，大老闆搶著用他，專業經理的報酬很高，他憑藉的是他的專門性技術性，而非他的語言。若要採用計分制時，這部分也要納入考量，當然也有不同見解。(B-7-2)</w:t>
      </w:r>
    </w:p>
    <w:p w:rsidR="0049577B" w:rsidRPr="0044169F" w:rsidRDefault="00321574" w:rsidP="0044169F">
      <w:pPr>
        <w:spacing w:line="240" w:lineRule="auto"/>
        <w:ind w:leftChars="0" w:left="0" w:rightChars="0" w:right="0"/>
      </w:pPr>
      <w:r w:rsidRPr="0044169F">
        <w:t xml:space="preserve">　　</w:t>
      </w:r>
      <w:r w:rsidR="0049577B" w:rsidRPr="0044169F">
        <w:t>或許說不定也可以引進試試看，但是要做一個區隔，就是計分制用來計分的項目要有限制。例如，我覺得其中一個選項可以從國別先來篩選，就是說國別比較安全的，就是比較不會有問題的這一些國家先開放，其實像日本都很守規矩，我會覺得說日本、加拿大，歐美國家都還OK，那日本比較不會有那種治安的疑慮，那有一些那種智慧型犯罪的可能，或者是工作類別，就是說哪一類的職業可以用這樣子來計分。(C-7-1)</w:t>
      </w:r>
    </w:p>
    <w:p w:rsidR="0049577B" w:rsidRPr="0044169F" w:rsidRDefault="00321574" w:rsidP="0044169F">
      <w:pPr>
        <w:spacing w:line="240" w:lineRule="auto"/>
        <w:ind w:leftChars="0" w:left="0" w:rightChars="0" w:right="0"/>
      </w:pPr>
      <w:r w:rsidRPr="0044169F">
        <w:t xml:space="preserve">　　</w:t>
      </w:r>
      <w:r w:rsidR="0049577B" w:rsidRPr="0044169F">
        <w:t>若我國要在遴選專技移民制度採取計分制也是可以考慮啦，選項的一個部份要做設定，這樣子才符合我們國家的國情。然後國家也要有分類，因為你計分制通過之後，你可能要配合外交部對於這個國家是不是開放，或者是說計分制可以限定哪些國家可以來哪些國家不能來，採用這個方式。因為如果你說今天好，我中東某個國家來，是不是也可以，所以這個可能有國安的疑慮，就是比較特殊的國家，那這一些可能就是要排除，因為我覺得也要考量我們國家的安全問題。(C-7-3)</w:t>
      </w:r>
    </w:p>
    <w:p w:rsidR="0049577B" w:rsidRPr="0044169F" w:rsidRDefault="00321574" w:rsidP="0044169F">
      <w:pPr>
        <w:spacing w:line="240" w:lineRule="auto"/>
        <w:ind w:leftChars="0" w:left="0" w:rightChars="0" w:right="0"/>
      </w:pPr>
      <w:r w:rsidRPr="0044169F">
        <w:t xml:space="preserve">　　</w:t>
      </w:r>
      <w:r w:rsidR="0049577B" w:rsidRPr="0044169F">
        <w:t>那你計分制或許就是真的可以，吸引多一點不住在國內的外國人，各種人才都能吸引過來。那你如果說基本面夠，那至少說這個外國人的程度上不會太差，那當然我們都很歡迎啊，那只是說你到底人數要不要限額，還是都無限量…。那只是說你要吸收外國的人才，是到底是吸收哪一個層面的。那因為我們是少子化，那我們希望吸引來的外國人是年輕的，而不是老的來養老。(C-8-3)</w:t>
      </w:r>
    </w:p>
    <w:p w:rsidR="0049577B" w:rsidRPr="0044169F" w:rsidRDefault="00321574" w:rsidP="0044169F">
      <w:pPr>
        <w:spacing w:line="240" w:lineRule="auto"/>
        <w:ind w:leftChars="0" w:left="0" w:rightChars="0" w:right="0"/>
      </w:pPr>
      <w:r w:rsidRPr="0044169F">
        <w:t xml:space="preserve">　　</w:t>
      </w:r>
      <w:r w:rsidR="0049577B" w:rsidRPr="0044169F">
        <w:t>如果說你是年輕的，其實健保影響不大。那你如果來了是50、60歲，70、80歲就是來養老了。所以這個部份要去考量，年齡我覺得是很重要，你越早來，他才有辦法越早在臺灣能夠做出一些貢獻。因為他早一點來越早被形塑嘛，那其實他也比較會愛臺灣。那你如果說到70、80歲才來臺灣，他可能對臺灣就沒有感情了。所以我覺得計分制可以用年齡做一個篩選，我覺得用年輕一點比較好。(C-8-4)</w:t>
      </w:r>
    </w:p>
    <w:p w:rsidR="0049577B" w:rsidRPr="0044169F" w:rsidRDefault="00321574" w:rsidP="0044169F">
      <w:pPr>
        <w:spacing w:line="240" w:lineRule="auto"/>
        <w:ind w:leftChars="0" w:left="0" w:rightChars="0" w:right="0"/>
      </w:pPr>
      <w:r w:rsidRPr="0044169F">
        <w:t xml:space="preserve">　　</w:t>
      </w:r>
      <w:r w:rsidR="0049577B" w:rsidRPr="0044169F">
        <w:t>另外有一個部份就是，有一些外國人來臺灣是全家來，但是現在目前就是不開放他們的父母來，那我是覺得可以開放，就是因為目前臺灣我們依親只能小依大，不開放長輩來。可以小孩子依大人，只能子女依父母，但是沒有父母依子女。那如果說你要吸引專技人才，就是可以限定說，但是我覺得這個又要跟健保一起作考量。…我覺得是因為卡在健保的資源，我覺得可能是健保這部份要去修法，就是說你外國人的部份，什麼樣可以取得健保，或者是說你保費要去調整，你如果要加保，你年紀大，就是要多繳一些錢，不然我覺得不公平，我們臺灣人就是從小繳到大，他們很多外國人就是來用了，然後就走了。就像外勞來矯正牙齒，因為臺灣矯正牙齒便宜啊，他們在外國矯正很貴。所以就變成說外國人會不會利用完我們資源之後就走了。不然我覺得開放居留對臺灣還OK啊。(C-8-5)</w:t>
      </w:r>
    </w:p>
    <w:p w:rsidR="0049577B" w:rsidRPr="00B40DC1" w:rsidRDefault="00321574" w:rsidP="0044169F">
      <w:pPr>
        <w:spacing w:line="240" w:lineRule="auto"/>
        <w:ind w:leftChars="0" w:left="0" w:rightChars="0" w:right="0"/>
      </w:pPr>
      <w:r w:rsidRPr="0044169F">
        <w:t xml:space="preserve">　　</w:t>
      </w:r>
      <w:r w:rsidR="0049577B" w:rsidRPr="0044169F">
        <w:t>國外計分制其中有一項比如說他的近親是不是已經是他們國家的永久居留的居民或公民，如果有的話給他加分，你家人以前是不是跟這個國家有關有連結過，我們還沒有這樣的設計，所以我們應該要考量以全家人的考量，然後把它設計進去你這個評分的把這個也納入考量啊。這樣子才能夠讓移民的主體人他可以安心留下來嘛。所以這個也是一些建議嘛。(H-7-5)</w:t>
      </w:r>
    </w:p>
    <w:p w:rsidR="0049577B" w:rsidRPr="00B40DC1" w:rsidRDefault="00E43C92" w:rsidP="00306B20">
      <w:pPr>
        <w:pStyle w:val="afffffff"/>
        <w:spacing w:before="180" w:after="180"/>
        <w:ind w:left="723" w:hanging="44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321574">
      <w:pPr>
        <w:pStyle w:val="3"/>
        <w:rPr>
          <w:lang w:eastAsia="zh-TW"/>
        </w:rPr>
      </w:pPr>
      <w:bookmarkStart w:id="88" w:name="_四、法令與政策宜適時檢討修正"/>
      <w:bookmarkEnd w:id="88"/>
      <w:r w:rsidRPr="00B40DC1">
        <w:rPr>
          <w:lang w:eastAsia="zh-TW"/>
        </w:rPr>
        <w:t>四、法令與政策宜適時檢討修正</w:t>
      </w:r>
    </w:p>
    <w:p w:rsidR="0049577B" w:rsidRPr="0044169F" w:rsidRDefault="00321574" w:rsidP="0044169F">
      <w:pPr>
        <w:spacing w:line="240" w:lineRule="auto"/>
        <w:ind w:leftChars="0" w:left="0" w:rightChars="0" w:right="0"/>
      </w:pPr>
      <w:r w:rsidRPr="0044169F">
        <w:t xml:space="preserve">　　</w:t>
      </w:r>
      <w:r w:rsidR="0049577B" w:rsidRPr="0044169F">
        <w:t>我國為成文法國家，凡事依法行政，法令施行較僵化，在法令之研修上又較緩慢，無法像其他國家可採用行政措施因應國內人才之需求。部分受訪者認為，雖然移民署在法律鬆綁快速，但送立法院審議之時間，有時較漫長，造成法律無法與國情與時俱進。</w:t>
      </w:r>
    </w:p>
    <w:p w:rsidR="0049577B" w:rsidRPr="0044169F" w:rsidRDefault="00321574" w:rsidP="0044169F">
      <w:pPr>
        <w:spacing w:line="240" w:lineRule="auto"/>
        <w:ind w:leftChars="0" w:left="0" w:rightChars="0" w:right="0"/>
      </w:pPr>
      <w:r w:rsidRPr="0044169F">
        <w:t xml:space="preserve">　　</w:t>
      </w:r>
      <w:r w:rsidR="0049577B" w:rsidRPr="0044169F">
        <w:t>另應聘許可之外國籍技術工作者，在聘約未滿3年轉換雇主之情形下，導致居留期間中斷未連續，儘管在臺灣有長期居留之事實，卻無法順利取得永久居留權。</w:t>
      </w:r>
    </w:p>
    <w:p w:rsidR="0049577B" w:rsidRPr="0044169F" w:rsidRDefault="00321574" w:rsidP="0044169F">
      <w:pPr>
        <w:spacing w:line="240" w:lineRule="auto"/>
        <w:ind w:leftChars="0" w:left="0" w:rightChars="0" w:right="0"/>
      </w:pPr>
      <w:r w:rsidRPr="0044169F">
        <w:t xml:space="preserve">　　</w:t>
      </w:r>
      <w:r w:rsidR="0049577B" w:rsidRPr="0044169F">
        <w:t>法令研修的部分，因為我們是成文法的國家，相關的法律配套，若法律規定和情理相悖離時，法律就要修正，專技移民這塊要與時俱進，我們要吸引的人是不是國內所急需。(B-2-5)</w:t>
      </w:r>
    </w:p>
    <w:p w:rsidR="0049577B" w:rsidRPr="0044169F" w:rsidRDefault="00321574" w:rsidP="0044169F">
      <w:pPr>
        <w:spacing w:line="240" w:lineRule="auto"/>
        <w:ind w:leftChars="0" w:left="0" w:rightChars="0" w:right="0"/>
      </w:pPr>
      <w:r w:rsidRPr="0044169F">
        <w:t xml:space="preserve">　　</w:t>
      </w:r>
      <w:r w:rsidR="0049577B" w:rsidRPr="0044169F">
        <w:t>我們的制度是框架在現有的法規很難去，如果要調整法規，就必須要修正法規。那不像其他的一些國家，有的國家是採行政的措施，他是頒布什麼樣的計畫、什麼樣的專案，他就在計畫裡面去提，我現在要什麼人才，那我就馬上做，那我等吸收到這個人才已經飽了，我就把它關掉，那我再去做另外一個。那國內的法規其實是引用了所謂的，早期所謂大陸法系國家那種法，就是要從法，就是必須什麼事都必須要要有法規，要有所謂的法要有所謂的條例示出來的，你才能夠適用，沒有的你就不能在行政上面直接去做放寬，這是我們在跟其他國家比，在做那個進來專業人才的時候，我們這個程序方面就太過於複雜，然後法規太過於刻板，所以我們沒有辦法跟人家進出延攬這個所謂的專業人才。雖然我們移民署成立之後法規鬆綁的程度是非常的快速，但是立法院通過法案的時間就沒有辦法隨著那個國際的一個，那個所謂的脈動而去做快速的修法，所以沒有辦法配合上，所以就沒有辦法與時俱進的去做一些調整，這是最大的障礙。(G-2-7)</w:t>
      </w:r>
    </w:p>
    <w:p w:rsidR="0049577B" w:rsidRPr="0044169F" w:rsidRDefault="00321574" w:rsidP="0044169F">
      <w:pPr>
        <w:spacing w:line="240" w:lineRule="auto"/>
        <w:ind w:leftChars="0" w:left="0" w:rightChars="0" w:right="0"/>
      </w:pPr>
      <w:r w:rsidRPr="0044169F">
        <w:t xml:space="preserve">　　</w:t>
      </w:r>
      <w:r w:rsidR="0049577B" w:rsidRPr="0044169F">
        <w:t>因為除了所謂的社會一切的一個觀感，認為我們</w:t>
      </w:r>
      <w:hyperlink r:id="rId382" w:history="1">
        <w:r w:rsidR="00E06828" w:rsidRPr="00461F58">
          <w:rPr>
            <w:rStyle w:val="a7"/>
            <w:rFonts w:cs="Times New Roman"/>
            <w:lang w:eastAsia="zh-TW" w:bidi="ar-SA"/>
          </w:rPr>
          <w:t>移民法</w:t>
        </w:r>
      </w:hyperlink>
      <w:r w:rsidR="0049577B" w:rsidRPr="0044169F">
        <w:t>的一個制度過於嚴苛，還有外國人來臺灣，其實他們也很多認為說我們的永久居留來講，目前還是過於嚴苛啦，所以是從很多這些我曾經訪問過的，這些外籍人士口中所得知的啦，就是我可能在承辦這些案件的時候，就是會電話或者是曾經去做實際的訪問所得到的一個心得。那他們認為我們的法其實在合法連續居留，但是國內的企業聘雇原則上最長一次只能3年，但如果3年之內，這個公司你認為他有一些制度可能你不能接受，你要跳公司，那你可能再找公司的時候，你可能會有中斷一兩個月，如果兩個月時間，那這個時間居留又重新起算，那就變成你沒有辦法，我們所謂的合法連續居留，就是你每一個年都要連接的好好的，那如果像我們的聘雇只有3年，那期限到了，他如果在這家公司去做當然沒有問題，萬一他轉換跳到其他公司，可能這段期間他再申請找公司之後，他可能會居留時間重算，因為他可能會出境嘛，因為到期他得出境，重新進來他就沒有辦法算連續居留，他就要重算。所以甚至曾經看到有居留10幾年的還沒辦法申請到永久居留，他們這些人就會抱怨說，為什麼你們的法這麼嚴苛。(G-2-8)</w:t>
      </w:r>
    </w:p>
    <w:p w:rsidR="0049577B" w:rsidRPr="0044169F" w:rsidRDefault="00321574" w:rsidP="0044169F">
      <w:pPr>
        <w:spacing w:line="240" w:lineRule="auto"/>
        <w:ind w:leftChars="0" w:left="0" w:rightChars="0" w:right="0"/>
      </w:pPr>
      <w:r w:rsidRPr="0044169F">
        <w:t xml:space="preserve">　　</w:t>
      </w:r>
      <w:r w:rsidR="0049577B" w:rsidRPr="0044169F">
        <w:t>未來專技移民政策的一個期許，大概就是其實政策應該是採滾動性的一個檢討啦，就是要與時俱進，隨著整個國際的情況而有所調整啊，所以我們的法規也必須要跟著這個脈動來做調整修正啊，這樣才能夠去所謂的延攬到我們所想要的這些人才啦，就是從整個計分制度來看，如果說整個企業的整個配套措施之後，那我們採取了計分制度，那你在專技這個政策上面你去採這個制度，那你在這個相關的法規，在做得時候你是要整個搭配上，或者現行我們臺灣來講，吸引的人才人數真的是有限，所以我們必須要在相關的法規去做一些友善的環境規畫，你有了友善的環境之後，我想這些外國人要來，應該是不會再排斥來臺灣了啊。所以說我們應該是先要從本身的相關的制度、環境、政策，應該先做檢討，當然是你在這方面有所改進，當然這些外籍人士來看到在國內的，口耳相傳，他也會到國外去推薦，這個臺灣確實這個環境真的不錯。像新加坡，你不用推薦，別人也會推薦你，類似這樣的一個。(G-8-1)</w:t>
      </w:r>
    </w:p>
    <w:p w:rsidR="0049577B" w:rsidRPr="00B40DC1" w:rsidRDefault="00E43C92" w:rsidP="00306B20">
      <w:pPr>
        <w:pStyle w:val="afffffff"/>
        <w:spacing w:before="180" w:after="180"/>
        <w:ind w:left="723" w:hanging="44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321574">
      <w:pPr>
        <w:pStyle w:val="3"/>
        <w:rPr>
          <w:lang w:eastAsia="zh-TW"/>
        </w:rPr>
      </w:pPr>
      <w:bookmarkStart w:id="89" w:name="_五、放寬技術移民者雙重國籍之限制"/>
      <w:bookmarkEnd w:id="89"/>
      <w:r w:rsidRPr="00B40DC1">
        <w:rPr>
          <w:lang w:eastAsia="zh-TW"/>
        </w:rPr>
        <w:t>五、放寬技術移民者雙重國籍之限制</w:t>
      </w:r>
    </w:p>
    <w:p w:rsidR="003C1792"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我國業已於民國105年(2016)，新修正與增訂</w:t>
      </w:r>
      <w:hyperlink r:id="rId383" w:history="1">
        <w:r w:rsidR="004B3637" w:rsidRPr="00112EF1">
          <w:rPr>
            <w:rStyle w:val="a7"/>
            <w:rFonts w:cs="Times New Roman"/>
            <w:lang w:eastAsia="zh-TW" w:bidi="ar-SA"/>
          </w:rPr>
          <w:t>國籍法</w:t>
        </w:r>
      </w:hyperlink>
      <w:r w:rsidR="0049577B" w:rsidRPr="00112EF1">
        <w:rPr>
          <w:rFonts w:hAnsi="標楷體"/>
          <w:color w:val="auto"/>
          <w:sz w:val="26"/>
          <w:szCs w:val="26"/>
        </w:rPr>
        <w:t>若干之新內容，新</w:t>
      </w:r>
      <w:hyperlink r:id="rId384" w:history="1">
        <w:r w:rsidR="004B3637" w:rsidRPr="00112EF1">
          <w:rPr>
            <w:rStyle w:val="a7"/>
            <w:rFonts w:cs="Times New Roman"/>
            <w:lang w:eastAsia="zh-TW" w:bidi="ar-SA"/>
          </w:rPr>
          <w:t>國籍法</w:t>
        </w:r>
      </w:hyperlink>
      <w:r w:rsidR="0049577B" w:rsidRPr="00112EF1">
        <w:rPr>
          <w:rFonts w:hAnsi="標楷體"/>
          <w:color w:val="auto"/>
          <w:sz w:val="26"/>
          <w:szCs w:val="26"/>
        </w:rPr>
        <w:t>之情勢，如下所述(內政部，2016)，諸如：</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1、配合</w:t>
      </w:r>
      <w:hyperlink r:id="rId385" w:history="1">
        <w:r w:rsidR="0049577B" w:rsidRPr="00112EF1">
          <w:rPr>
            <w:rStyle w:val="a7"/>
            <w:rFonts w:cs="標楷體"/>
            <w:lang w:eastAsia="zh-TW" w:bidi="bn-IN"/>
          </w:rPr>
          <w:t>警察刑事紀錄證明核發條例</w:t>
        </w:r>
      </w:hyperlink>
      <w:r w:rsidR="0049577B" w:rsidRPr="00112EF1">
        <w:rPr>
          <w:rFonts w:hAnsi="標楷體"/>
          <w:color w:val="auto"/>
          <w:sz w:val="26"/>
          <w:szCs w:val="26"/>
        </w:rPr>
        <w:t>用語，修正申請歸化要件「品行端正，無犯罪紀錄」為「品行端正，且無警察刑事紀錄證明之刑事案件紀錄。」（修正條文</w:t>
      </w:r>
      <w:hyperlink r:id="rId386" w:anchor="a3" w:history="1">
        <w:r w:rsidR="0049577B" w:rsidRPr="00112EF1">
          <w:rPr>
            <w:rStyle w:val="a7"/>
            <w:rFonts w:cs="標楷體"/>
            <w:lang w:eastAsia="zh-TW" w:bidi="bn-IN"/>
          </w:rPr>
          <w:t>第三條</w:t>
        </w:r>
      </w:hyperlink>
      <w:r w:rsidR="0049577B" w:rsidRPr="00112EF1">
        <w:rPr>
          <w:rStyle w:val="af7"/>
          <w:rFonts w:eastAsia="新細明體"/>
          <w:kern w:val="2"/>
          <w:sz w:val="20"/>
        </w:rPr>
        <w:footnoteReference w:id="463"/>
      </w:r>
      <w:r w:rsidR="0049577B" w:rsidRPr="00112EF1">
        <w:rPr>
          <w:rFonts w:hAnsi="標楷體"/>
          <w:color w:val="auto"/>
          <w:sz w:val="26"/>
          <w:szCs w:val="26"/>
        </w:rPr>
        <w:t>）；</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2、增訂外國人或無國籍人曾為中華民國國民配偶，經法院核發民事保護令後離婚且未再婚，或其配偶死亡後未再婚且扶養其配偶之父母者，或對無行為能力或限制行為能力之中華民國國籍子女，行使負擔權利義務、監護或輔助者，或經法院選定或改定為中華民國國民之監護人或輔助人者，其歸化要件與婚姻關係存續中之配偶相同。（修正條文</w:t>
      </w:r>
      <w:hyperlink r:id="rId387" w:anchor="a4" w:history="1">
        <w:r w:rsidR="0049577B" w:rsidRPr="00112EF1">
          <w:rPr>
            <w:rStyle w:val="a7"/>
            <w:rFonts w:cs="標楷體"/>
            <w:lang w:eastAsia="zh-TW" w:bidi="bn-IN"/>
          </w:rPr>
          <w:t>第四條</w:t>
        </w:r>
      </w:hyperlink>
      <w:r w:rsidR="0049577B" w:rsidRPr="00112EF1">
        <w:rPr>
          <w:rFonts w:hAnsi="標楷體"/>
          <w:color w:val="auto"/>
          <w:sz w:val="26"/>
          <w:szCs w:val="26"/>
        </w:rPr>
        <w:t>）</w:t>
      </w:r>
      <w:r w:rsidR="0049577B" w:rsidRPr="00112EF1">
        <w:rPr>
          <w:rStyle w:val="af7"/>
          <w:rFonts w:eastAsia="新細明體"/>
          <w:kern w:val="2"/>
          <w:sz w:val="20"/>
        </w:rPr>
        <w:footnoteReference w:id="464"/>
      </w:r>
      <w:r w:rsidR="0049577B" w:rsidRPr="00112EF1">
        <w:rPr>
          <w:rFonts w:hAnsi="標楷體"/>
          <w:color w:val="auto"/>
          <w:sz w:val="26"/>
          <w:szCs w:val="26"/>
        </w:rPr>
        <w:t>；</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3、外國人申請歸化，應於許可歸化後一定期間內提出喪失原有國籍證明，屆期未提出者，撤銷其歸化許可。但有殊勳於中華民國者，或科技、經濟、教育、文化、藝術、體育及其他領域之高級專業人才有助中華民國利益者，免提出喪失原有國籍證明。（修正條文</w:t>
      </w:r>
      <w:hyperlink r:id="rId388" w:anchor="a9" w:history="1">
        <w:r w:rsidR="0049577B" w:rsidRPr="00112EF1">
          <w:rPr>
            <w:rStyle w:val="a7"/>
            <w:rFonts w:cs="標楷體"/>
            <w:lang w:eastAsia="zh-TW" w:bidi="bn-IN"/>
          </w:rPr>
          <w:t>第九條</w:t>
        </w:r>
      </w:hyperlink>
      <w:r w:rsidR="0049577B" w:rsidRPr="00112EF1">
        <w:rPr>
          <w:rFonts w:hAnsi="標楷體"/>
          <w:color w:val="auto"/>
          <w:sz w:val="26"/>
          <w:szCs w:val="26"/>
        </w:rPr>
        <w:t>）；亦即，本法賦予外籍國之高級專業人才，於申請歸化我國國籍時，無須放棄國籍，容許外籍國之高級專業人才，具備雙重國籍，可擁有2本護照，以利國際人才之跨國移動</w:t>
      </w:r>
      <w:r w:rsidR="0049577B" w:rsidRPr="00112EF1">
        <w:rPr>
          <w:rStyle w:val="af7"/>
          <w:rFonts w:eastAsia="新細明體"/>
          <w:kern w:val="2"/>
          <w:sz w:val="20"/>
        </w:rPr>
        <w:footnoteReference w:id="465"/>
      </w:r>
      <w:r w:rsidR="0049577B" w:rsidRPr="00112EF1">
        <w:rPr>
          <w:rFonts w:hAnsi="標楷體"/>
          <w:color w:val="auto"/>
          <w:sz w:val="26"/>
          <w:szCs w:val="26"/>
        </w:rPr>
        <w:t>。</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4、增訂由外國籍父、母、養父或養母行使負擔權利義務或監護之中華民國國籍無行為能力人或限制行為能力人，為取得同一國籍且隨同至中華民國領域外生活，得申請喪失國籍。（修正條文第</w:t>
      </w:r>
      <w:hyperlink r:id="rId389" w:anchor="a11" w:history="1">
        <w:r w:rsidR="0049577B" w:rsidRPr="00112EF1">
          <w:rPr>
            <w:rStyle w:val="a7"/>
            <w:rFonts w:cs="標楷體"/>
            <w:lang w:eastAsia="zh-TW" w:bidi="bn-IN"/>
          </w:rPr>
          <w:t>十一</w:t>
        </w:r>
      </w:hyperlink>
      <w:r w:rsidR="0049577B" w:rsidRPr="00112EF1">
        <w:rPr>
          <w:rFonts w:hAnsi="標楷體"/>
          <w:color w:val="auto"/>
          <w:sz w:val="26"/>
          <w:szCs w:val="26"/>
        </w:rPr>
        <w:t>條）</w:t>
      </w:r>
      <w:r w:rsidR="0049577B" w:rsidRPr="00112EF1">
        <w:rPr>
          <w:rStyle w:val="af7"/>
          <w:rFonts w:eastAsia="新細明體"/>
          <w:kern w:val="2"/>
          <w:sz w:val="20"/>
        </w:rPr>
        <w:footnoteReference w:id="466"/>
      </w:r>
      <w:r w:rsidR="0049577B" w:rsidRPr="00112EF1">
        <w:rPr>
          <w:rFonts w:hAnsi="標楷體"/>
          <w:color w:val="auto"/>
          <w:sz w:val="26"/>
          <w:szCs w:val="26"/>
        </w:rPr>
        <w:t>；</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5、修正條文</w:t>
      </w:r>
      <w:hyperlink r:id="rId390" w:anchor="a9" w:history="1">
        <w:r w:rsidR="0049577B" w:rsidRPr="00112EF1">
          <w:rPr>
            <w:rStyle w:val="a7"/>
            <w:rFonts w:cs="標楷體"/>
            <w:lang w:eastAsia="zh-TW" w:bidi="bn-IN"/>
          </w:rPr>
          <w:t>第九條</w:t>
        </w:r>
      </w:hyperlink>
      <w:r w:rsidR="0049577B" w:rsidRPr="00112EF1">
        <w:rPr>
          <w:rFonts w:hAnsi="標楷體"/>
          <w:color w:val="auto"/>
          <w:sz w:val="26"/>
          <w:szCs w:val="26"/>
        </w:rPr>
        <w:t>第一項已對未補提喪失原有國籍證明之歸化者，定明行使撤銷權之除斥期間，爰增訂上開情形為應於五年內撤銷歸化許可之除外規定。（修正條文第</w:t>
      </w:r>
      <w:hyperlink r:id="rId391" w:anchor="a19" w:history="1">
        <w:r w:rsidR="0049577B" w:rsidRPr="00112EF1">
          <w:rPr>
            <w:rStyle w:val="a7"/>
            <w:rFonts w:cs="標楷體"/>
            <w:lang w:eastAsia="zh-TW" w:bidi="bn-IN"/>
          </w:rPr>
          <w:t>十九</w:t>
        </w:r>
      </w:hyperlink>
      <w:r w:rsidR="0049577B" w:rsidRPr="00112EF1">
        <w:rPr>
          <w:rFonts w:hAnsi="標楷體"/>
          <w:color w:val="auto"/>
          <w:sz w:val="26"/>
          <w:szCs w:val="26"/>
        </w:rPr>
        <w:t>條</w:t>
      </w:r>
      <w:r w:rsidR="0049577B" w:rsidRPr="00112EF1">
        <w:rPr>
          <w:rStyle w:val="af7"/>
          <w:rFonts w:eastAsia="新細明體"/>
          <w:kern w:val="2"/>
          <w:sz w:val="20"/>
        </w:rPr>
        <w:footnoteReference w:id="467"/>
      </w:r>
      <w:r w:rsidR="0049577B" w:rsidRPr="00112EF1">
        <w:rPr>
          <w:rFonts w:hAnsi="標楷體"/>
          <w:color w:val="auto"/>
          <w:sz w:val="26"/>
          <w:szCs w:val="26"/>
        </w:rPr>
        <w:t>）；</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6、在撤銷國籍之行政程序方面，修改為須經過內政部之審查會，並賦予當事人有陳述意見之行政聽證之機會</w:t>
      </w:r>
      <w:r w:rsidR="0049577B" w:rsidRPr="00112EF1">
        <w:rPr>
          <w:rStyle w:val="af7"/>
          <w:rFonts w:eastAsia="新細明體"/>
          <w:kern w:val="2"/>
          <w:sz w:val="20"/>
        </w:rPr>
        <w:footnoteReference w:id="468"/>
      </w:r>
      <w:r w:rsidR="0049577B" w:rsidRPr="00112EF1">
        <w:rPr>
          <w:rFonts w:hAnsi="標楷體"/>
          <w:color w:val="auto"/>
          <w:sz w:val="26"/>
          <w:szCs w:val="26"/>
        </w:rPr>
        <w:t>，這是一個非常大之進步。</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上述所謂之外籍國「高級專業人才」，為了明確界定其範疇與定義，行政院並草擬「</w:t>
      </w:r>
      <w:hyperlink r:id="rId392" w:history="1">
        <w:r w:rsidR="00196F1E" w:rsidRPr="00112EF1">
          <w:rPr>
            <w:rStyle w:val="a7"/>
            <w:rFonts w:cs="Times New Roman"/>
            <w:lang w:eastAsia="zh-TW" w:bidi="ar-SA"/>
          </w:rPr>
          <w:t>歸化國籍之高級專業人才認定標準</w:t>
        </w:r>
      </w:hyperlink>
      <w:r w:rsidR="0049577B" w:rsidRPr="00112EF1">
        <w:rPr>
          <w:rFonts w:hAnsi="標楷體"/>
          <w:color w:val="auto"/>
          <w:sz w:val="26"/>
          <w:szCs w:val="26"/>
        </w:rPr>
        <w:t>」之法規草案，作為認定高級專業人才之用，我國上述之國籍取得之最新發展政策與態度，理論上，應有助於外來移民者取得我國之國籍，本文樂見於上述之改變。不過，國籍取得政策仍有再改善之空間。</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我國對於外來移民者之國籍取得政策，本文認為仍存有相當大之進步空間，我國針對外來移民者之國籍取得政策，有相當之多處，尚值得我國再精進之。有關於外來移民者之國籍取得政策之未來可行之改進方向，本文提出以下之相關建言，俾能充分地保障外來移民者之人性尊嚴、國籍權利與基本人權，並提供社會大眾參考之用：</w:t>
      </w:r>
    </w:p>
    <w:p w:rsidR="0049577B" w:rsidRPr="00112EF1" w:rsidRDefault="00321574" w:rsidP="00321574">
      <w:pPr>
        <w:spacing w:line="240" w:lineRule="auto"/>
        <w:ind w:leftChars="0" w:left="0" w:rightChars="0" w:right="0"/>
      </w:pPr>
      <w:r w:rsidRPr="00112EF1">
        <w:t xml:space="preserve">　　</w:t>
      </w:r>
      <w:r w:rsidR="0049577B" w:rsidRPr="00112EF1">
        <w:t>(一)考量國際社會之最新發展趨勢， 亦即，多元成家之觀念，逐漸被先進、文明、進步之民主國家所接受，</w:t>
      </w:r>
      <w:hyperlink r:id="rId393" w:history="1">
        <w:r w:rsidR="004B3637" w:rsidRPr="00112EF1">
          <w:rPr>
            <w:rStyle w:val="a7"/>
            <w:rFonts w:cs="Times New Roman"/>
            <w:lang w:eastAsia="zh-TW" w:bidi="ar-SA"/>
          </w:rPr>
          <w:t>國籍法</w:t>
        </w:r>
      </w:hyperlink>
      <w:r w:rsidR="0049577B" w:rsidRPr="00112EF1">
        <w:t>對國人之外國籍之伴侶與（或）同居人，因其具有準配偶之身分，故因歸化我國所需之居留期限之要求，宜較一般外國人更為寬鬆，恐是較為妥適。</w:t>
      </w:r>
    </w:p>
    <w:p w:rsidR="0049577B" w:rsidRPr="00112EF1" w:rsidRDefault="00321574" w:rsidP="00321574">
      <w:pPr>
        <w:spacing w:line="240" w:lineRule="auto"/>
        <w:ind w:leftChars="0" w:left="0" w:rightChars="0" w:right="0"/>
      </w:pPr>
      <w:r w:rsidRPr="00112EF1">
        <w:t xml:space="preserve">　　</w:t>
      </w:r>
      <w:r w:rsidR="0049577B" w:rsidRPr="00112EF1">
        <w:t>(二</w:t>
      </w:r>
      <w:r w:rsidR="00587200" w:rsidRPr="00112EF1">
        <w:t>)</w:t>
      </w:r>
      <w:hyperlink r:id="rId394" w:history="1">
        <w:r w:rsidR="004B3637" w:rsidRPr="00112EF1">
          <w:rPr>
            <w:rStyle w:val="a7"/>
            <w:rFonts w:cs="Times New Roman"/>
            <w:lang w:eastAsia="zh-TW" w:bidi="ar-SA"/>
          </w:rPr>
          <w:t>國籍法</w:t>
        </w:r>
      </w:hyperlink>
      <w:r w:rsidR="0049577B" w:rsidRPr="00112EF1">
        <w:t>對移民第二代之公民身分之權利之取得，此涉及外來移民者之國籍權利，它是非常重要之基本人權之一種，宜考量適度放寬。亦即，我國</w:t>
      </w:r>
      <w:hyperlink r:id="rId395" w:history="1">
        <w:r w:rsidR="004B3637" w:rsidRPr="00112EF1">
          <w:rPr>
            <w:rStyle w:val="a7"/>
            <w:rFonts w:cs="Times New Roman"/>
            <w:lang w:eastAsia="zh-TW" w:bidi="ar-SA"/>
          </w:rPr>
          <w:t>國籍法</w:t>
        </w:r>
      </w:hyperlink>
      <w:r w:rsidR="0049577B" w:rsidRPr="00112EF1">
        <w:t>於移民第二代、第三代之公民身分之權利之取得，似可納入合適之屬地主義之原則。</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(三</w:t>
      </w:r>
      <w:r w:rsidR="00587200" w:rsidRPr="00112EF1">
        <w:rPr>
          <w:rFonts w:hAnsi="標楷體"/>
          <w:color w:val="auto"/>
          <w:sz w:val="26"/>
          <w:szCs w:val="26"/>
        </w:rPr>
        <w:t>)</w:t>
      </w:r>
      <w:hyperlink r:id="rId396" w:history="1">
        <w:r w:rsidR="004B3637" w:rsidRPr="00112EF1">
          <w:rPr>
            <w:rStyle w:val="a7"/>
            <w:rFonts w:cs="Times New Roman"/>
            <w:lang w:eastAsia="zh-TW" w:bidi="ar-SA"/>
          </w:rPr>
          <w:t>國籍法</w:t>
        </w:r>
      </w:hyperlink>
      <w:r w:rsidR="0049577B" w:rsidRPr="00112EF1">
        <w:rPr>
          <w:rFonts w:hAnsi="標楷體"/>
          <w:color w:val="auto"/>
          <w:sz w:val="26"/>
          <w:szCs w:val="26"/>
        </w:rPr>
        <w:t>宜設計歸化語言能力之豁免機制，對於老年之外來移民者(如超過75歲或80歲或90歲)，宜考量其記憶力恐較衰退，宜建置豁免機制。</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(四)歸化語言能力之評估管理機構，宜改由中立、客觀及專業(具語言學習專業)之非政府部門或機關執行之，似不宜由公部門執行之。</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(五)並非所有之犯罪行為，均具有非常高之可課責性，有關犯罪紀錄之規定，可考量納入危害性與再犯率偏低之「過失」輕罪，故意罪與重罪則不宜納入為佳。</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(六)並非所有之違反</w:t>
      </w:r>
      <w:hyperlink r:id="rId397" w:history="1">
        <w:r w:rsidR="00A0752E" w:rsidRPr="00112EF1">
          <w:rPr>
            <w:rStyle w:val="a7"/>
            <w:rFonts w:cs="Times New Roman"/>
            <w:lang w:eastAsia="zh-TW" w:bidi="ar-SA"/>
          </w:rPr>
          <w:t>社會秩序維護法</w:t>
        </w:r>
      </w:hyperlink>
      <w:r w:rsidR="0049577B" w:rsidRPr="00112EF1">
        <w:rPr>
          <w:rFonts w:hAnsi="標楷體"/>
          <w:color w:val="auto"/>
          <w:sz w:val="26"/>
          <w:szCs w:val="26"/>
        </w:rPr>
        <w:t>之行為，均具有非常高之可課責性，歸化國籍婚姻真實及品行端正認定原則將「所有」違反</w:t>
      </w:r>
      <w:hyperlink r:id="rId398" w:history="1">
        <w:r w:rsidR="00A0752E" w:rsidRPr="00112EF1">
          <w:rPr>
            <w:rStyle w:val="a7"/>
            <w:rFonts w:cs="Times New Roman"/>
            <w:lang w:eastAsia="zh-TW" w:bidi="ar-SA"/>
          </w:rPr>
          <w:t>社會秩序維護法</w:t>
        </w:r>
      </w:hyperlink>
      <w:r w:rsidR="0049577B" w:rsidRPr="00112EF1">
        <w:rPr>
          <w:rFonts w:hAnsi="標楷體"/>
          <w:color w:val="auto"/>
          <w:sz w:val="26"/>
          <w:szCs w:val="26"/>
        </w:rPr>
        <w:t>之行為納入，似有不妥，輕微之違反</w:t>
      </w:r>
      <w:hyperlink r:id="rId399" w:history="1">
        <w:r w:rsidR="00A0752E" w:rsidRPr="00112EF1">
          <w:rPr>
            <w:rStyle w:val="a7"/>
            <w:rFonts w:cs="Times New Roman"/>
            <w:lang w:eastAsia="zh-TW" w:bidi="ar-SA"/>
          </w:rPr>
          <w:t>社會秩序維護法</w:t>
        </w:r>
      </w:hyperlink>
      <w:r w:rsidR="0049577B" w:rsidRPr="00112EF1">
        <w:rPr>
          <w:rFonts w:hAnsi="標楷體"/>
          <w:color w:val="auto"/>
          <w:sz w:val="26"/>
          <w:szCs w:val="26"/>
        </w:rPr>
        <w:t>之違反行政罰行為，似宜仍可被良好品性條款(Good character clause)所含蓋之。</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(七)我國之</w:t>
      </w:r>
      <w:hyperlink r:id="rId400" w:history="1">
        <w:r w:rsidR="004B3637" w:rsidRPr="00112EF1">
          <w:rPr>
            <w:rStyle w:val="a7"/>
            <w:rFonts w:cs="Times New Roman"/>
            <w:lang w:eastAsia="zh-TW" w:bidi="ar-SA"/>
          </w:rPr>
          <w:t>國籍法</w:t>
        </w:r>
      </w:hyperlink>
      <w:r w:rsidR="0049577B" w:rsidRPr="00112EF1">
        <w:rPr>
          <w:rFonts w:hAnsi="標楷體"/>
          <w:color w:val="auto"/>
          <w:sz w:val="26"/>
          <w:szCs w:val="26"/>
        </w:rPr>
        <w:t>，宜明文規定主管行政機關(內政部戶政司)對於拒絕當事人歸化之申請之行政處分，於裁處行政處分之時，必須考量當事人個人之所有相關情況。</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(八)經法院確定判決認其係通謀為虛偽結婚或收養而歸化取得中華民國國籍者，撤銷權行使之期間，宜有一定年限之限制，而非無任何年限之限制。</w:t>
      </w:r>
    </w:p>
    <w:p w:rsidR="0049577B" w:rsidRPr="00112EF1" w:rsidRDefault="00321574" w:rsidP="00321574">
      <w:pPr>
        <w:pStyle w:val="Default"/>
        <w:autoSpaceDE/>
        <w:autoSpaceDN/>
        <w:adjustRightInd/>
        <w:jc w:val="both"/>
        <w:rPr>
          <w:rFonts w:hAnsi="標楷體"/>
          <w:color w:val="auto"/>
          <w:sz w:val="26"/>
          <w:szCs w:val="26"/>
        </w:rPr>
      </w:pPr>
      <w:r w:rsidRPr="00112EF1">
        <w:rPr>
          <w:rFonts w:hAnsi="標楷體"/>
          <w:color w:val="auto"/>
          <w:sz w:val="26"/>
          <w:szCs w:val="26"/>
        </w:rPr>
        <w:t xml:space="preserve">　　</w:t>
      </w:r>
      <w:r w:rsidR="0049577B" w:rsidRPr="00112EF1">
        <w:rPr>
          <w:rFonts w:hAnsi="標楷體"/>
          <w:color w:val="auto"/>
          <w:sz w:val="26"/>
          <w:szCs w:val="26"/>
        </w:rPr>
        <w:t>(九)我國之</w:t>
      </w:r>
      <w:hyperlink r:id="rId401" w:history="1">
        <w:r w:rsidR="004B3637" w:rsidRPr="00112EF1">
          <w:rPr>
            <w:rStyle w:val="a7"/>
            <w:rFonts w:cs="Times New Roman"/>
            <w:lang w:eastAsia="zh-TW" w:bidi="ar-SA"/>
          </w:rPr>
          <w:t>國籍法</w:t>
        </w:r>
      </w:hyperlink>
      <w:r w:rsidR="0049577B" w:rsidRPr="00112EF1">
        <w:rPr>
          <w:rFonts w:hAnsi="標楷體"/>
          <w:color w:val="auto"/>
          <w:sz w:val="26"/>
          <w:szCs w:val="26"/>
        </w:rPr>
        <w:t>，針對於撤銷國籍（包括由主管決定終止國籍之其他方式）之行政處分，所可能導致無國籍之情形，宜有相關之法律條文之規範。</w:t>
      </w:r>
    </w:p>
    <w:p w:rsidR="0049577B" w:rsidRPr="00112EF1" w:rsidRDefault="00321574" w:rsidP="0044169F">
      <w:pPr>
        <w:pStyle w:val="Default"/>
        <w:autoSpaceDE/>
        <w:autoSpaceDN/>
        <w:adjustRightInd/>
        <w:jc w:val="both"/>
        <w:rPr>
          <w:sz w:val="26"/>
          <w:szCs w:val="26"/>
        </w:rPr>
      </w:pPr>
      <w:r w:rsidRPr="00112EF1">
        <w:rPr>
          <w:rFonts w:hAnsi="標楷體"/>
          <w:color w:val="auto"/>
          <w:sz w:val="26"/>
          <w:szCs w:val="26"/>
        </w:rPr>
        <w:t xml:space="preserve">　　</w:t>
      </w:r>
      <w:r w:rsidR="0049577B" w:rsidRPr="00112EF1">
        <w:rPr>
          <w:rFonts w:hAnsi="標楷體"/>
          <w:color w:val="auto"/>
          <w:sz w:val="26"/>
          <w:szCs w:val="26"/>
        </w:rPr>
        <w:t>(十)</w:t>
      </w:r>
      <w:hyperlink r:id="rId402" w:history="1">
        <w:r w:rsidR="004B3637" w:rsidRPr="00112EF1">
          <w:rPr>
            <w:rStyle w:val="a7"/>
            <w:rFonts w:cs="Times New Roman"/>
            <w:lang w:eastAsia="zh-TW" w:bidi="ar-SA"/>
          </w:rPr>
          <w:t>國籍法</w:t>
        </w:r>
      </w:hyperlink>
      <w:r w:rsidR="0049577B" w:rsidRPr="00112EF1">
        <w:rPr>
          <w:rFonts w:hAnsi="標楷體"/>
          <w:color w:val="auto"/>
          <w:sz w:val="26"/>
          <w:szCs w:val="26"/>
        </w:rPr>
        <w:t>對於第一代、第二代、第三代移民之歸化，要求拋棄與（或）喪失外國國籍之規定，容有進步空間，我國對於雙重國籍之容許，雖非全面性開放，但似宜再加以合理地與適度地放寬之。</w:t>
      </w:r>
    </w:p>
    <w:p w:rsidR="0049577B" w:rsidRPr="00B40DC1" w:rsidRDefault="00321574" w:rsidP="0044169F">
      <w:pPr>
        <w:spacing w:line="240" w:lineRule="auto"/>
        <w:ind w:leftChars="0" w:left="0" w:rightChars="0" w:right="0"/>
      </w:pPr>
      <w:r>
        <w:t xml:space="preserve">　　</w:t>
      </w:r>
      <w:r w:rsidR="0049577B" w:rsidRPr="00B40DC1">
        <w:t>技術移民成為我國公民得放棄原國籍，致不易留才攬才。</w:t>
      </w:r>
      <w:r w:rsidR="0049577B" w:rsidRPr="00B40DC1">
        <w:rPr>
          <w:lang w:eastAsia="zh-HK"/>
        </w:rPr>
        <w:t>我國</w:t>
      </w:r>
      <w:r w:rsidR="0049577B" w:rsidRPr="00B40DC1">
        <w:t>《</w:t>
      </w:r>
      <w:hyperlink r:id="rId403" w:history="1">
        <w:r w:rsidR="004B3637" w:rsidRPr="004B3637">
          <w:rPr>
            <w:rStyle w:val="a7"/>
            <w:rFonts w:cs="Times New Roman"/>
            <w:lang w:eastAsia="zh-TW" w:bidi="ar-SA"/>
          </w:rPr>
          <w:t>國籍法</w:t>
        </w:r>
      </w:hyperlink>
      <w:r w:rsidR="0049577B" w:rsidRPr="00B40DC1">
        <w:t>》</w:t>
      </w:r>
      <w:r w:rsidR="0049577B" w:rsidRPr="00B40DC1">
        <w:rPr>
          <w:lang w:eastAsia="zh-HK"/>
        </w:rPr>
        <w:t>業於2016年12月21日修正公布，其</w:t>
      </w:r>
      <w:hyperlink r:id="rId404" w:anchor="a9" w:history="1">
        <w:r w:rsidR="0049577B" w:rsidRPr="00196F1E">
          <w:rPr>
            <w:rStyle w:val="a7"/>
            <w:rFonts w:cs="Times New Roman"/>
            <w:lang w:eastAsia="zh-TW" w:bidi="ar-SA"/>
          </w:rPr>
          <w:t>第9條</w:t>
        </w:r>
      </w:hyperlink>
      <w:r w:rsidR="0049577B" w:rsidRPr="00B40DC1">
        <w:t>規定，申請歸化者需應提出喪失其原有國籍之證明，</w:t>
      </w:r>
      <w:r w:rsidR="0049577B" w:rsidRPr="00B40DC1">
        <w:rPr>
          <w:lang w:eastAsia="zh-HK"/>
        </w:rPr>
        <w:t>但由中央目的事業主管機關推薦科技、經濟、教育、文化、藝術、體育及其他領域之高級專業人才，有助中華民國利益，並經內政部邀請社會公正人士及相關機關共同審核通過者，免提出喪失原有國籍證明，即以上專業人才</w:t>
      </w:r>
      <w:r w:rsidR="0049577B" w:rsidRPr="00B40DC1">
        <w:t>申請歸化時，我國允許其雙重國籍，無須再放棄原國籍，此對技術移民而言，是一大利基。</w:t>
      </w:r>
    </w:p>
    <w:p w:rsidR="0049577B" w:rsidRPr="00B40DC1" w:rsidRDefault="00992AB6" w:rsidP="0044169F">
      <w:pPr>
        <w:spacing w:line="240" w:lineRule="auto"/>
        <w:ind w:leftChars="0" w:left="0" w:rightChars="0" w:right="0"/>
        <w:rPr>
          <w:lang w:eastAsia="zh-HK"/>
        </w:rPr>
      </w:pPr>
      <w:r>
        <w:rPr>
          <w:lang w:eastAsia="zh-HK"/>
        </w:rPr>
        <w:t xml:space="preserve">　　</w:t>
      </w:r>
      <w:r w:rsidR="0049577B" w:rsidRPr="00B40DC1">
        <w:rPr>
          <w:lang w:eastAsia="zh-HK"/>
        </w:rPr>
        <w:t>本次</w:t>
      </w:r>
      <w:r w:rsidR="0049577B" w:rsidRPr="00B40DC1">
        <w:t>《</w:t>
      </w:r>
      <w:hyperlink r:id="rId405" w:history="1">
        <w:r w:rsidR="004B3637" w:rsidRPr="004B3637">
          <w:rPr>
            <w:rStyle w:val="a7"/>
            <w:rFonts w:cs="Times New Roman"/>
            <w:lang w:eastAsia="zh-TW" w:bidi="ar-SA"/>
          </w:rPr>
          <w:t>國籍法</w:t>
        </w:r>
      </w:hyperlink>
      <w:r w:rsidR="0049577B" w:rsidRPr="00B40DC1">
        <w:t>》</w:t>
      </w:r>
      <w:r w:rsidR="0049577B" w:rsidRPr="00B40DC1">
        <w:rPr>
          <w:lang w:eastAsia="zh-HK"/>
        </w:rPr>
        <w:t>修正後</w:t>
      </w:r>
      <w:r w:rsidR="0049577B" w:rsidRPr="00B40DC1">
        <w:t>，</w:t>
      </w:r>
      <w:r w:rsidR="0049577B" w:rsidRPr="00B40DC1">
        <w:rPr>
          <w:lang w:eastAsia="zh-HK"/>
        </w:rPr>
        <w:t>雖已開放外籍高級專業人才申請歸化時，免提出喪失原有國籍證明</w:t>
      </w:r>
      <w:r w:rsidR="0049577B" w:rsidRPr="00B40DC1">
        <w:t>。</w:t>
      </w:r>
      <w:r w:rsidR="0049577B" w:rsidRPr="00B40DC1">
        <w:rPr>
          <w:lang w:eastAsia="zh-HK"/>
        </w:rPr>
        <w:t>然而，依內政部2017年3月24日訂定發布之</w:t>
      </w:r>
      <w:r w:rsidR="0049577B" w:rsidRPr="00B40DC1">
        <w:t>《</w:t>
      </w:r>
      <w:hyperlink r:id="rId406" w:history="1">
        <w:r w:rsidR="0049577B" w:rsidRPr="00196F1E">
          <w:rPr>
            <w:rStyle w:val="a7"/>
            <w:rFonts w:cs="Times New Roman"/>
            <w:lang w:eastAsia="zh-TW" w:bidi="ar-SA"/>
          </w:rPr>
          <w:t>歸化國籍之高級專業人才認定標準</w:t>
        </w:r>
      </w:hyperlink>
      <w:r w:rsidR="0049577B" w:rsidRPr="00B40DC1">
        <w:t>》</w:t>
      </w:r>
      <w:r w:rsidR="0049577B" w:rsidRPr="00B40DC1">
        <w:rPr>
          <w:lang w:eastAsia="zh-HK"/>
        </w:rPr>
        <w:t>，各領</w:t>
      </w:r>
      <w:r w:rsidR="0049577B" w:rsidRPr="00B40DC1">
        <w:t>域</w:t>
      </w:r>
      <w:r w:rsidR="0049577B" w:rsidRPr="00B40DC1">
        <w:rPr>
          <w:lang w:eastAsia="zh-HK"/>
        </w:rPr>
        <w:t>之高級專業人才，均需為相當傑出專業之人才，或獲有一定之成就者，偏屬金字塔頂端之人才</w:t>
      </w:r>
      <w:r w:rsidR="0049577B" w:rsidRPr="00B40DC1">
        <w:t>，</w:t>
      </w:r>
      <w:r w:rsidR="0049577B" w:rsidRPr="00B40DC1">
        <w:rPr>
          <w:lang w:eastAsia="zh-HK"/>
        </w:rPr>
        <w:t>與本文探討之技術移民尚有差距</w:t>
      </w:r>
      <w:r w:rsidR="0049577B" w:rsidRPr="00B40DC1">
        <w:t>；</w:t>
      </w:r>
      <w:r w:rsidR="0049577B" w:rsidRPr="00B40DC1">
        <w:rPr>
          <w:lang w:eastAsia="zh-HK"/>
        </w:rPr>
        <w:t>若為有效吸引人才來臺，應可再考量放寬歸化免提出喪失原有國籍之標準。</w:t>
      </w:r>
    </w:p>
    <w:p w:rsidR="0049577B" w:rsidRPr="00B40DC1" w:rsidRDefault="00321574" w:rsidP="0044169F">
      <w:pPr>
        <w:spacing w:line="240" w:lineRule="auto"/>
        <w:ind w:leftChars="0" w:left="0" w:rightChars="0" w:right="0"/>
      </w:pPr>
      <w:r>
        <w:rPr>
          <w:lang w:eastAsia="zh-HK"/>
        </w:rPr>
        <w:t xml:space="preserve">　　</w:t>
      </w:r>
      <w:r w:rsidR="0049577B" w:rsidRPr="00B40DC1">
        <w:rPr>
          <w:lang w:eastAsia="zh-HK"/>
        </w:rPr>
        <w:t>或可針對婚姻移民來臺之外籍配偶，如具一定之技術能力，能為我國經濟市場有所貢獻者，亦可有條件開放外籍配偶可保有雙重國籍，避免政策過於高端，實務上並無效益，浪費了我國政府吸引外來優秀人才的政策美意。</w:t>
      </w:r>
    </w:p>
    <w:p w:rsidR="0049577B" w:rsidRPr="00B40DC1" w:rsidRDefault="00321574" w:rsidP="0044169F">
      <w:pPr>
        <w:spacing w:line="240" w:lineRule="auto"/>
        <w:ind w:leftChars="0" w:left="0" w:rightChars="0" w:right="0"/>
      </w:pPr>
      <w:r>
        <w:t xml:space="preserve">　　</w:t>
      </w:r>
      <w:r w:rsidR="0049577B" w:rsidRPr="00B40DC1">
        <w:t>外國人在台可取得四個方向，停留、居留、永久居留、歸化。若不願意放棄原國籍就選擇永久居留，目前「</w:t>
      </w:r>
      <w:hyperlink r:id="rId407" w:history="1">
        <w:r w:rsidR="004B3637" w:rsidRPr="004B3637">
          <w:rPr>
            <w:rStyle w:val="a7"/>
            <w:rFonts w:cs="Times New Roman"/>
            <w:lang w:eastAsia="zh-TW" w:bidi="ar-SA"/>
          </w:rPr>
          <w:t>國籍法</w:t>
        </w:r>
      </w:hyperlink>
      <w:r w:rsidR="0049577B" w:rsidRPr="00B40DC1">
        <w:t>」修正案已送立法院修改，專門性技術性人才可</w:t>
      </w:r>
      <w:r w:rsidR="0049577B" w:rsidRPr="00B40DC1">
        <w:rPr>
          <w:lang w:eastAsia="zh-HK"/>
        </w:rPr>
        <w:t>以免</w:t>
      </w:r>
      <w:r w:rsidR="0049577B" w:rsidRPr="00B40DC1">
        <w:t>放棄原始國國籍，我國已朝這方向來吸引優秀人才，這是很大變革。(B-3-2)</w:t>
      </w:r>
    </w:p>
    <w:p w:rsidR="0049577B" w:rsidRPr="00B40DC1" w:rsidRDefault="00321574" w:rsidP="0044169F">
      <w:pPr>
        <w:spacing w:line="240" w:lineRule="auto"/>
        <w:ind w:leftChars="0" w:left="0" w:rightChars="0" w:right="0"/>
      </w:pPr>
      <w:r>
        <w:t xml:space="preserve">　　</w:t>
      </w:r>
      <w:r w:rsidR="0049577B" w:rsidRPr="00B40DC1">
        <w:t>移民署這邊比較簡單，像計分制來工作然後給永久居留，一段時間以後就給他公民，就成為他們的公民。但要成為我們臺灣公民就有一個問題，要放棄他的原國籍。人家就不會想成為我們的公民，所以我們是還是外僑居留的定義，就是還是外僑居留，不像其他國家，我們的國籍對他們沒有吸引力啦。誰會放棄美國國籍來臺灣，是不是?(C-7-2)</w:t>
      </w:r>
    </w:p>
    <w:p w:rsidR="0049577B" w:rsidRPr="00B40DC1" w:rsidRDefault="00321574" w:rsidP="0044169F">
      <w:pPr>
        <w:spacing w:line="240" w:lineRule="auto"/>
        <w:ind w:leftChars="0" w:left="0" w:rightChars="0" w:right="0"/>
      </w:pPr>
      <w:r>
        <w:t xml:space="preserve">　　</w:t>
      </w:r>
      <w:r w:rsidR="0049577B" w:rsidRPr="00B40DC1">
        <w:t>我們很多法規、很多制度其實是很僵化，尤其是公部門。我認為是可以推，可是我會認為成效有限。因為其實大概10幾年前，我們住新加坡的秘書就有報資料回來，新加坡他吸引中國大陸的所謂專技人才去新加坡，一般我們臺灣人，就我以前得到的訊息是，臺灣人嫁給新加坡人，或娶新加坡人，你拿新加坡的公民至少要7年，可是新加坡他為了吸引大陸的，比如說科技或是人才，他可以一兩年，新加坡認定的人才他就可以拿到新加坡公民，可能一兩年就拿到，就是你剛才提到的說這些計分制之後，他就會有給他永久居留。那我們現在當然都有這些制度啊，你現在白領的，你住滿5年，就可以辦取得國籍拿到身份證。可是我的感覺是，我們的</w:t>
      </w:r>
      <w:hyperlink r:id="rId408" w:history="1">
        <w:r w:rsidR="004B3637" w:rsidRPr="004B3637">
          <w:rPr>
            <w:rStyle w:val="a7"/>
            <w:rFonts w:cs="Times New Roman"/>
            <w:lang w:eastAsia="zh-TW" w:bidi="ar-SA"/>
          </w:rPr>
          <w:t>國籍法</w:t>
        </w:r>
      </w:hyperlink>
      <w:r w:rsidR="0049577B" w:rsidRPr="00B40DC1">
        <w:t>規定啊，拿臺灣的身份證，原則上你就要放棄原來的國籍。(E-5-4)</w:t>
      </w:r>
    </w:p>
    <w:p w:rsidR="0049577B" w:rsidRPr="00B40DC1" w:rsidRDefault="00E43C92" w:rsidP="00306B20">
      <w:pPr>
        <w:pStyle w:val="afffffff"/>
        <w:autoSpaceDN/>
        <w:adjustRightInd/>
        <w:spacing w:beforeLines="0" w:before="0" w:afterLines="0" w:after="0" w:line="240" w:lineRule="auto"/>
        <w:ind w:leftChars="0" w:left="0" w:rightChars="0" w:right="0" w:firstLineChars="0" w:firstLine="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321574">
      <w:pPr>
        <w:pStyle w:val="3"/>
        <w:rPr>
          <w:lang w:eastAsia="zh-TW"/>
        </w:rPr>
      </w:pPr>
      <w:bookmarkStart w:id="90" w:name="_六、建置技術移民永久居留之人才資料庫"/>
      <w:bookmarkEnd w:id="90"/>
      <w:r w:rsidRPr="00B40DC1">
        <w:rPr>
          <w:lang w:eastAsia="zh-TW"/>
        </w:rPr>
        <w:t>六、建置技術移民永久居留之人才資料庫</w:t>
      </w:r>
    </w:p>
    <w:p w:rsidR="0049577B" w:rsidRPr="00B40DC1" w:rsidRDefault="00321574" w:rsidP="0044169F">
      <w:pPr>
        <w:spacing w:line="240" w:lineRule="auto"/>
        <w:ind w:leftChars="0" w:left="0" w:rightChars="0" w:right="0"/>
      </w:pPr>
      <w:r>
        <w:t xml:space="preserve">　　</w:t>
      </w:r>
      <w:r w:rsidR="0049577B" w:rsidRPr="00B40DC1">
        <w:t>國外加拿大、紐西蘭及澳洲等國在延攬技術移民時，給予技術工作及給予永久居留權是綁在一起，故國外可以很輕易掌握技術移民進入國內勞動市場之情形，但在我國梅花卡永久居留，並未和其是否從事技術工作相關。多數受訪者均認為梅花卡之核發，後續卻未和其專業技術工作相結合甚為可惜，該梅花卡持有者後續是否進入相關專業領域工作，或是否有繼續在其專業領域作貢獻卻不得而知，多數受訪者仍贊同梅花卡通過後，後續仍可建置人才資料庫，惟其個資之運用仍需留意</w:t>
      </w:r>
      <w:hyperlink r:id="rId409" w:history="1">
        <w:r w:rsidR="0049577B" w:rsidRPr="00DA14DC">
          <w:rPr>
            <w:rStyle w:val="a7"/>
            <w:rFonts w:cs="Times New Roman"/>
            <w:lang w:eastAsia="zh-TW" w:bidi="ar-SA"/>
          </w:rPr>
          <w:t>個資法</w:t>
        </w:r>
      </w:hyperlink>
      <w:r w:rsidR="0049577B" w:rsidRPr="00B40DC1">
        <w:t>相關使用規範，建議高級專業人才個資之運用在我國</w:t>
      </w:r>
      <w:hyperlink r:id="rId410" w:history="1">
        <w:r w:rsidR="00DA14DC" w:rsidRPr="00DA14DC">
          <w:rPr>
            <w:rStyle w:val="a7"/>
            <w:rFonts w:cs="Times New Roman"/>
            <w:lang w:eastAsia="zh-TW" w:bidi="ar-SA"/>
          </w:rPr>
          <w:t>個資法</w:t>
        </w:r>
      </w:hyperlink>
      <w:r w:rsidR="0049577B" w:rsidRPr="00B40DC1">
        <w:t>個資規範上宜作特別規定。</w:t>
      </w:r>
    </w:p>
    <w:p w:rsidR="0049577B" w:rsidRPr="00B40DC1" w:rsidRDefault="0049577B" w:rsidP="0044169F">
      <w:pPr>
        <w:spacing w:line="240" w:lineRule="auto"/>
        <w:ind w:leftChars="0" w:left="0" w:rightChars="0" w:right="0"/>
      </w:pPr>
      <w:r w:rsidRPr="00B40DC1">
        <w:t>另外，少數受訪者認為國外技術工作者既然能通過梅花卡申請，必然具備相當之專業技術，且梅花卡持有者在國內居留通常亦需工作以維持生計，必然不必憂慮其是否進至專業領域。</w:t>
      </w:r>
    </w:p>
    <w:p w:rsidR="0049577B" w:rsidRPr="00B40DC1" w:rsidRDefault="00321574" w:rsidP="0044169F">
      <w:pPr>
        <w:spacing w:line="240" w:lineRule="auto"/>
        <w:ind w:leftChars="0" w:left="0" w:rightChars="0" w:right="0"/>
      </w:pPr>
      <w:r>
        <w:t xml:space="preserve">　　</w:t>
      </w:r>
      <w:r w:rsidR="0049577B" w:rsidRPr="00B40DC1">
        <w:t>申請人取得梅花卡永久居留後，之後留在臺灣是否有真正從事專業領域的工作，對臺灣是否有作相當的付出及貢獻，未來可以作追蹤，目前在短期無法看出。目前我國未有一套機制去測量申請梅花永久居留卡的貢獻度。(A-5-1)</w:t>
      </w:r>
    </w:p>
    <w:p w:rsidR="0049577B" w:rsidRPr="00B40DC1" w:rsidRDefault="00321574" w:rsidP="0044169F">
      <w:pPr>
        <w:spacing w:line="240" w:lineRule="auto"/>
        <w:ind w:leftChars="0" w:left="0" w:rightChars="0" w:right="0"/>
      </w:pPr>
      <w:r>
        <w:t xml:space="preserve">　　</w:t>
      </w:r>
      <w:r w:rsidR="0049577B" w:rsidRPr="00B40DC1">
        <w:t>梅花卡是從96年迄今，已經8年了，目前外國人對梅花卡也興趣缺缺。目前拿了梅花卡的外國人，政府是否有再去後續作追蹤，看他對我國專技有沒有貢獻，目前也沒有這套追蹤制度，拿了就拿了，我國是民主國家不會去干涉他們的自由。但有拿到梅花卡的人跳出來說建議要有個梅花卡俱樂部，因為大家都是專業人才，但這又牽涉到語言不通，但層級不一樣。但這就算社會上的顯達，後續很難去追蹤。(B-7-7)</w:t>
      </w:r>
    </w:p>
    <w:p w:rsidR="0049577B" w:rsidRPr="00B40DC1" w:rsidRDefault="00321574" w:rsidP="0044169F">
      <w:pPr>
        <w:spacing w:line="240" w:lineRule="auto"/>
        <w:ind w:leftChars="0" w:left="0" w:rightChars="0" w:right="0"/>
      </w:pPr>
      <w:r>
        <w:t xml:space="preserve">　　</w:t>
      </w:r>
      <w:r w:rsidR="0049577B" w:rsidRPr="00B40DC1">
        <w:t>所以我覺得有時候，這個政策因為梅花卡通過後，他只是拿一個永久居留，但是實際上他也不一定會住在臺灣，到底有沒有臺灣在繼續貢獻他的專技，其實後續也沒有一個追蹤的機制嘛。反而像學校的大學教授感覺就是任職很久，那種感覺比較延續。(C-2-6)</w:t>
      </w:r>
    </w:p>
    <w:p w:rsidR="0049577B" w:rsidRPr="00B40DC1" w:rsidRDefault="00321574" w:rsidP="0044169F">
      <w:pPr>
        <w:spacing w:line="240" w:lineRule="auto"/>
        <w:ind w:leftChars="0" w:left="0" w:rightChars="0" w:right="0"/>
      </w:pPr>
      <w:r>
        <w:t xml:space="preserve">　　</w:t>
      </w:r>
      <w:r w:rsidR="0049577B" w:rsidRPr="00B40DC1">
        <w:t>這一套制度目前的一個困境就是，其實在我國一般永久居留是很容易拿了，所以其實人家不一定要朝這個梅花卡來申請永久居留。因為權利都一樣，所以拿到之後都一樣，我也就不要工作了。而且拿這個，有沒有工作，他也沒有影響。還有就是拿到以後，對臺灣有沒有一個專技的貢獻，其實沒有很明確的追蹤制度。那追蹤也不是我們移民署做的對不對?到底這個誰要來追蹤，目前也沒有這一套機制，也沒有人來做。而且通常外國人拿到永久居留，不管你是梅花卡或者是一般的永久居留，他拿到永久居留你很少會去追蹤他現在在做什麼，除非他護照換新的，他才會來換證，不然你可能知道他後來在做什麼，他拿了永久居留20年後，你也不曉得這個人在哪。(C-5-3)</w:t>
      </w:r>
    </w:p>
    <w:p w:rsidR="0049577B" w:rsidRPr="00B40DC1" w:rsidRDefault="00321574" w:rsidP="0044169F">
      <w:pPr>
        <w:spacing w:line="240" w:lineRule="auto"/>
        <w:ind w:leftChars="0" w:left="0" w:rightChars="0" w:right="0"/>
      </w:pPr>
      <w:r>
        <w:t xml:space="preserve">　　</w:t>
      </w:r>
      <w:r w:rsidR="0049577B" w:rsidRPr="00B40DC1">
        <w:t>都是申請梅花卡通過以後，哇，我們才知道，原來有這個人。我覺得這個有幫助我們去發覺國外的人才，我們是梅花卡通過歸通過，但是我們沒有一個機制去延攬這些人才，建議可把這些人才資料庫集中並交給某個單位來做利用。但臺灣是民主國家，也不會追蹤他在幹嘛。我覺得後續成立一個能夠讓國外人才集中運用的資料庫，我覺得這個對國家會更好。我要科技業或我要醫學的，尤其又因為有一套機制，他已經掌握這些人了，而且那個資料都很仔細，要什麼人才，其實從裡面就篩選過來就有了。(C-8-11)</w:t>
      </w:r>
    </w:p>
    <w:p w:rsidR="0049577B" w:rsidRPr="00B40DC1" w:rsidRDefault="00321574" w:rsidP="0044169F">
      <w:pPr>
        <w:spacing w:line="240" w:lineRule="auto"/>
        <w:ind w:leftChars="0" w:left="0" w:rightChars="0" w:right="0"/>
      </w:pPr>
      <w:r>
        <w:t xml:space="preserve">　　</w:t>
      </w:r>
      <w:r w:rsidR="0049577B" w:rsidRPr="00B40DC1">
        <w:t>所以基本上已經篩選過了，那適合我們臺灣要的這些人，我覺得真的要去掌握，不然很浪費，因為你梅花卡通過歸通過。之前有一位拿梅花卡的外國人，他說會開直升機會維修直升機，那個就是人才，可是過了以後我們也沒追蹤啊，他說他可以來當志工，後來也有通過梅花卡的申請，可是後來也不曉得他去哪裡了，你真的有需要追蹤時你找不到他。就是說好像這個通過歸通過，跟我們國家後續的發展，好像都沒有辦法把它整合。而且我覺得可以透過他們再延攬，因為他們一定有認識和他專業背景相當的國人，那一些他可以再去拉進來臺灣，我覺得可以透過他們再拓展。(C-8-12)</w:t>
      </w:r>
    </w:p>
    <w:p w:rsidR="0049577B" w:rsidRPr="00B40DC1" w:rsidRDefault="00321574" w:rsidP="0044169F">
      <w:pPr>
        <w:spacing w:line="240" w:lineRule="auto"/>
        <w:ind w:leftChars="0" w:left="0" w:rightChars="0" w:right="0"/>
      </w:pPr>
      <w:r>
        <w:t xml:space="preserve">　　</w:t>
      </w:r>
      <w:r w:rsidR="0049577B" w:rsidRPr="00B40DC1">
        <w:t>我也建議說其實這個就是梅花卡這個專技這個制度還不錯，只是說這樣子的資訊怎麼樣讓它更廣更流通，而且不是通過後是他家的事。乾脆我就辦退休，我有居留權，我就不做事了，也有可能啊。沒有後續這一套延攬的機制，那有一些他可能是很高職位退休，可能退休後就沒有人認識他了嘛，那也有一點浪費，對不對，如果說我們知道這個人，把他攬為什麼顧問都可以，以前還有什麼聯合國果菜市場研究員來申請梅花卡的，那一種也有，後來他有通過，只要是聯合國組織成員的那一種會員的幾乎都會過，目前這樣的外國人才在臺灣也不多。還有什麼地震學專家，那個一定會過。有些人我們看，真的很專業。有時候那個審查資料厚厚的很多，他們也出書嘛，有些幾乎都是原文書的，或者是他們國家的，你看就光那些資料夠了，還有報章雜誌，外國的報導什麼都有。因為他們有些已經在臺灣住好幾十年了，那如果能建立一個人才資料庫，也能再利用他們長才。(C-8-13)</w:t>
      </w:r>
    </w:p>
    <w:p w:rsidR="0049577B" w:rsidRPr="00B40DC1" w:rsidRDefault="00321574" w:rsidP="0044169F">
      <w:pPr>
        <w:spacing w:line="240" w:lineRule="auto"/>
        <w:ind w:leftChars="0" w:left="0" w:rightChars="0" w:right="0"/>
      </w:pPr>
      <w:r>
        <w:t xml:space="preserve">　　</w:t>
      </w:r>
      <w:r w:rsidR="0049577B" w:rsidRPr="00B40DC1">
        <w:t>目前移民署審核通過梅花卡，我們也不會去追蹤申請人，而且有些是涉及個資，我們不可能到處去公佈那些人通過梅花卡的申請，所以可能要成立一個單位，專門就是把通過梅花卡申請人的資訊整合。因為現在</w:t>
      </w:r>
      <w:hyperlink r:id="rId411" w:history="1">
        <w:r w:rsidR="00DA14DC" w:rsidRPr="00DA14DC">
          <w:rPr>
            <w:rStyle w:val="a7"/>
            <w:rFonts w:cs="Times New Roman"/>
            <w:lang w:eastAsia="zh-TW" w:bidi="ar-SA"/>
          </w:rPr>
          <w:t>個資法</w:t>
        </w:r>
      </w:hyperlink>
      <w:r w:rsidR="0049577B" w:rsidRPr="00B40DC1">
        <w:t>我們也不可能隨意追蹤，而且要看個人意願，他有沒有這意願，除非我們以後說，請他立切結書，我們如果通過可以怎麼樣運用個資。這樣才會對臺灣有一個專技的貢獻，不然就永久居留而已。(C-8-14)</w:t>
      </w:r>
    </w:p>
    <w:p w:rsidR="0049577B" w:rsidRPr="00B40DC1" w:rsidRDefault="00321574" w:rsidP="0044169F">
      <w:pPr>
        <w:spacing w:line="240" w:lineRule="auto"/>
        <w:ind w:leftChars="0" w:left="0" w:rightChars="0" w:right="0"/>
      </w:pPr>
      <w:r>
        <w:t xml:space="preserve">　　</w:t>
      </w:r>
      <w:r w:rsidR="0049577B" w:rsidRPr="00B40DC1">
        <w:t>專技到底是誰要來審核讓他通過專技的，以臺灣來講應該是勞動部要來認定，勞動部會跟相關單位來做認定，比如說會修飛機的，勞動部就要跟機械公會結合做認定，認定過以後也應該是由他們去建立資料庫，可是勞動部就會講啦，若是醫生的話，勞動部就會說這應該是衛福部要去認定，而不是我要來做認定，若進來的是棒球選手，這應該是教育部去認定，而不是我去認定的，臺灣就是有這問題，他們前端認定過了，到了移民署這邊會根據他們認定的資料來給他們梅花卡，但目前梅花卡給了以後後續就不見了，這的確是個大問題。(D-3-6)</w:t>
      </w:r>
    </w:p>
    <w:p w:rsidR="0049577B" w:rsidRPr="00B40DC1" w:rsidRDefault="00321574" w:rsidP="0044169F">
      <w:pPr>
        <w:spacing w:line="240" w:lineRule="auto"/>
        <w:ind w:leftChars="0" w:left="0" w:rightChars="0" w:right="0"/>
      </w:pPr>
      <w:r>
        <w:t xml:space="preserve">　　</w:t>
      </w:r>
      <w:r w:rsidR="0049577B" w:rsidRPr="00B40DC1">
        <w:t>然後梅花卡的永久居留後續也沒有追蹤的措施。(D-5-8)</w:t>
      </w:r>
    </w:p>
    <w:p w:rsidR="0049577B" w:rsidRPr="00B40DC1" w:rsidRDefault="00321574" w:rsidP="0044169F">
      <w:pPr>
        <w:spacing w:line="240" w:lineRule="auto"/>
        <w:ind w:leftChars="0" w:left="0" w:rightChars="0" w:right="0"/>
      </w:pPr>
      <w:r>
        <w:t xml:space="preserve">　　</w:t>
      </w:r>
      <w:r w:rsidR="0049577B" w:rsidRPr="00B40DC1">
        <w:t>你剛提到專門技術的人員因申請梅花卡而進來的，後續卻沒有繼續追蹤看他是不是在臺灣繼續在專技方面還有一些貢獻度，我認為我贊成你的看法會覺得它可惜，可是就移民署的業管，移民署的執掌來說，就我們不會去追蹤這個東西，我相信我們業管組不會去追蹤，比如說我們的，我們各縣市有專勤隊，我只要知道你這個外僑住在臺灣，你是合法的，然後你沒有什麼狀況，沒有去做非法的事情，我不會去追蹤這個東西。而且其實追蹤也有困難，就移民署的立場來說，我只有管他居留動態，我只能管他居留動態嘛。那你是不是有去做這些專業的事情，我們沒有那種專業能力去判斷。那當然有一套追蹤制度是比較好。可是我幾乎可以很肯定的告訴你，我如果找各部會說，不好意思，這個當初是電信進來，交通部追蹤一下，他會說不關他的事，我跟你打賭。他會認為這不關他的事情。而且有永久居留證的也不需要工作許可。(E-7-4)</w:t>
      </w:r>
    </w:p>
    <w:p w:rsidR="0049577B" w:rsidRPr="00B40DC1" w:rsidRDefault="00321574" w:rsidP="0044169F">
      <w:pPr>
        <w:spacing w:line="240" w:lineRule="auto"/>
        <w:ind w:leftChars="0" w:left="0" w:rightChars="0" w:right="0"/>
      </w:pPr>
      <w:r>
        <w:t xml:space="preserve">　　</w:t>
      </w:r>
      <w:r w:rsidR="0049577B" w:rsidRPr="00B40DC1">
        <w:t>應該說，我會換一個角度來看說，那你一個人除非他本來就很有錢，就是說如果他要用這個事由來申請，其實我會認為一個外國人，他一個人在非屬他的本國生活，你總是你要生活，那你要吃住什麼，那你要養活自己，除非就是他本來就是很有錢，不然他還是要去工作，那如果他真的是我們這個條件審核下來的人，如果我們真的是相關部會嚴格去審的人，我相信他也有相當的level…。移民署我們沒有那個能力去做這件事，而且我們的執掌最多去輔導，可是這些人是有相當條件的人，也不需要我輔導，但是我個人的想法是說，如果我們是很嚴格去審這些人的條件，我相信他的視野他的經濟水準，一定是相當的。然後你一個外國人要在臺灣生活，我相信他會找到一個他適合的工作。他怎麼有可能說一個諾貝爾獎得主拿了梅花卡永久居留，雖不需要工作許可，那他怎麼有可能說去士林夜市那邊幫忙炸雞排，我相信不會啦。我們也只能這樣子想啦，當然去追蹤，可能要有一套制度。而且現在臺灣是一個民主國家，我怎麼可能三不五時去敲門問他，你過得好不好。(E-7-5)</w:t>
      </w:r>
    </w:p>
    <w:p w:rsidR="0049577B" w:rsidRDefault="00321574" w:rsidP="00871AD8">
      <w:pPr>
        <w:spacing w:line="240" w:lineRule="auto"/>
        <w:ind w:leftChars="0" w:left="0" w:rightChars="0" w:right="0"/>
      </w:pPr>
      <w:r>
        <w:t xml:space="preserve">　　</w:t>
      </w:r>
      <w:r w:rsidR="0049577B" w:rsidRPr="00B40DC1">
        <w:t>你問到申請人拿到了梅花卡，那目前我國有沒有一個制度，追蹤他是不是有進到他的專業，還是說他繼續有在專業的部份做貢獻，沒有。我相信國內大概也不會啦，據我所知國內的機制，它就發給你有沒有居留證的，那你自己要不要討生活，那我管你啊。國外這個計分制是跟他的配額是綁在一塊的，所以它就是確保多少的專技人才進到我裡面，他們國外調查做得比較好，包括這個他也是列入它的調查。而且你梅花卡它是有一點尊榮嘛，而且外國人又很強調個人隱私。那你對我很尊榮給我這個卡，後面你又一直追蹤我。不過應該還好啦，他如果是專業進來的，他應該還是會回到他的專業，要不然他吃什麼。(F-4-4)</w:t>
      </w:r>
    </w:p>
    <w:p w:rsidR="00871AD8" w:rsidRPr="00B40DC1" w:rsidRDefault="00E43C92" w:rsidP="00306B20">
      <w:pPr>
        <w:spacing w:line="240" w:lineRule="auto"/>
        <w:ind w:leftChars="0" w:left="0" w:rightChars="0" w:right="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321574">
      <w:pPr>
        <w:pStyle w:val="3"/>
        <w:rPr>
          <w:lang w:eastAsia="zh-TW"/>
        </w:rPr>
      </w:pPr>
      <w:bookmarkStart w:id="91" w:name="_七、透由我國健保資源之利基，吸引高科技技術人才"/>
      <w:bookmarkEnd w:id="91"/>
      <w:r w:rsidRPr="00B40DC1">
        <w:rPr>
          <w:lang w:eastAsia="zh-TW"/>
        </w:rPr>
        <w:t>七、透由我國健保資源之利基，吸引高科技技術人才</w:t>
      </w:r>
    </w:p>
    <w:p w:rsidR="0049577B" w:rsidRPr="00B40DC1" w:rsidRDefault="00321574" w:rsidP="00871AD8">
      <w:pPr>
        <w:spacing w:line="240" w:lineRule="auto"/>
        <w:ind w:leftChars="0" w:left="0" w:rightChars="0" w:right="0"/>
      </w:pPr>
      <w:r>
        <w:t xml:space="preserve">　　</w:t>
      </w:r>
      <w:r w:rsidR="0049577B" w:rsidRPr="00B40DC1">
        <w:t>部分受訪認為外國人擁有我國永久居留權後，本身或其家人亦可投保全民健保，這將對我國全民健保有相當之衝繫及影響。擁有我國居留權之外國人及其家人納保全民健保亦是未來需探討之議題，全民健保應該開放至怎樣之範圍，值得商榷。</w:t>
      </w:r>
    </w:p>
    <w:p w:rsidR="0049577B" w:rsidRPr="00B40DC1" w:rsidRDefault="0049577B" w:rsidP="00871AD8">
      <w:pPr>
        <w:spacing w:line="240" w:lineRule="auto"/>
        <w:ind w:leftChars="0" w:left="0" w:rightChars="0" w:right="0"/>
      </w:pPr>
      <w:r w:rsidRPr="00B40DC1">
        <w:t>目前勞動人口之遷徙，亦造成已開發及社會福利國家在福利成本之支出。有研究指出不管是高技術移民或低技術外籍勞工，均是福利國家之受益者，且不管其收入是高或低，或其年齡是年輕，或較年長，該些移入勞動人口均是福利國家之受益者。這些移民均衝擊著移入國之養老金制度及保險制度。</w:t>
      </w:r>
      <w:r w:rsidRPr="00871AD8">
        <w:rPr>
          <w:rStyle w:val="af7"/>
          <w:rFonts w:eastAsia="新細明體"/>
          <w:sz w:val="20"/>
        </w:rPr>
        <w:footnoteReference w:id="469"/>
      </w:r>
      <w:r w:rsidRPr="00B40DC1">
        <w:t>不過，本文認為，我國健保機制針對於吸引專業人才來台與留台方面，它是一項移民政策上之利基與強項，具有加分之效果，有利於吸引高科技技術人才。故作者主張，可透由我國健保資源之利基，吸引高科技技術人才。</w:t>
      </w:r>
    </w:p>
    <w:p w:rsidR="0049577B" w:rsidRPr="00B40DC1" w:rsidRDefault="00321574" w:rsidP="00871AD8">
      <w:pPr>
        <w:spacing w:line="240" w:lineRule="auto"/>
        <w:ind w:leftChars="0" w:left="0" w:rightChars="0" w:right="0"/>
      </w:pPr>
      <w:r>
        <w:t xml:space="preserve">　　</w:t>
      </w:r>
      <w:r w:rsidR="0049577B" w:rsidRPr="00B40DC1">
        <w:t>另外，永久居留可能會牽涉到我們的健保，我們健保也是要考量的因素之一，因為我知道有一些是外國人，他是白領的，他也可能就是因為在美國開刀很貴，他就來臺灣找工作，看完病就好了，就回去了。就是說我可以開放很多優秀外國人來是OK，但我覺得健保的部份要去考量，因為現在已經永久居留越來越多了，那很多永久居留，比如說爸爸或者是媽媽取得，連小孩也都可以取得，那這些健保的資源，我覺得是要去考量的，因為外國人一來只要有居留權，馬上就可以有健保，那跟我們國人相比，我們國人是從出生，從小到大已經繳了好幾年了。那外國人就是一來就有，這個部份會不會衝擊我們臺灣的這一些資源啊。(C-8-2)</w:t>
      </w:r>
    </w:p>
    <w:p w:rsidR="0049577B" w:rsidRPr="00B40DC1" w:rsidRDefault="00321574" w:rsidP="00871AD8">
      <w:pPr>
        <w:spacing w:line="240" w:lineRule="auto"/>
        <w:ind w:leftChars="0" w:left="0" w:rightChars="0" w:right="0"/>
      </w:pPr>
      <w:r>
        <w:t xml:space="preserve">　　</w:t>
      </w:r>
      <w:r w:rsidR="0049577B" w:rsidRPr="00B40DC1">
        <w:t>另外有一個部份就是，有一些外國人來臺灣是全家來，但是現在目前就是不開放他們的父母來，那我是覺得可以開放，就是因為目前臺灣我們依親只能小依大，不開放長輩來。可以小孩子依大人，只能子女依父母，但是沒有父母依子女。那如果說你要吸引專技人才，就是可以限定說，但是我覺得這個又要跟健保一起作考量。因為你要去考量說，他們這些人可不可以用停留，但是停留又卡在說，你外交部簽證最多就是180天，因為目前他們很多遇到問題就是這個，父母有些年紀大了的，他又不能照顧，但是又不能接過來，最後還又要半年出國一次。但是這個如果說直接給他居留，可能又考量國家健保資源的成本，因為他們父母來一定也是七八十歲，所以不敢開放可能也有健保因素在啊。或者可以說你健保就是繳多一些費用，我覺得我們國人我們會負擔比較多，因為他們一來就有我們是從出生就繳了…。有一些外國人就是反應這個部份，他們父母是探親名義來，探親可以停留多久最多180天。那所以這個部份是不是要開放說，停留的部份是不是要特別設計，或者是說你居留這一類的，因為我們現在比較大的問題，居留跟健保是綁在一起的，因為現在你只要有居留證你就可以加入健保，所以就造成只要有居留就能享有健保，這對健保造成很大的負擔，不然其實你說年紀大我給你居留沒問題啊，但是就是因為我們健保的關係，那外國沒有這個健保，所以他當然可以大肆開放…。我覺得是因為卡在健保的資源，我覺得可能是健保這部份要去修法，就是說你外國人的部份，什麼樣可以取得健保，或者是說你保費要去調整，你如果要加保，你年紀大，就是要多繳一些錢，不然我覺得不公平，我們臺灣人就是從小繳到大，他們很多外國人就是來用了，然後就走了。就像外勞來矯正牙齒，因為臺灣矯正牙齒便宜啊，他們在外國矯正很貴。所以就變成說外國人會不會利用完我們資源之後就走了。不然我覺得開放居留對臺灣還OK啊。(C-8-5)</w:t>
      </w:r>
    </w:p>
    <w:p w:rsidR="0049577B" w:rsidRPr="00B40DC1" w:rsidRDefault="00321574" w:rsidP="00871AD8">
      <w:pPr>
        <w:spacing w:line="240" w:lineRule="auto"/>
        <w:ind w:leftChars="0" w:left="0" w:rightChars="0" w:right="0"/>
      </w:pPr>
      <w:r>
        <w:t xml:space="preserve">　　</w:t>
      </w:r>
      <w:r w:rsidR="0049577B" w:rsidRPr="00B40DC1">
        <w:t>就是說我們建議的東西其實很多，但人家根本不理我們啊。友善環境啊還有什麼，因為很多比如說給人家什麼福利的那種法令都不是在內政部啦。比如說外籍新生兒，因為我們健保有6個月的，要等6個月的規定嘛，可是他一生出來他就是需要健保，他的爸爸媽媽有健保，他生出來卻沒有健保，你有沒有覺得很奇怪…。就是說移民署能做的根本不多，更不要說政策啦。雖然移民署其中有一項，還是有比較放進去叫做移民政策的規劃，但是誰理你呀，而且當初成立移民署有很大一部份可能原來是要執法的啊，要不然幹嘛給你部份司法警察權。你們知道這個應然與實然相差很多啊。(F-8-3)</w:t>
      </w:r>
    </w:p>
    <w:p w:rsidR="0049577B" w:rsidRPr="00B40DC1" w:rsidRDefault="00321574" w:rsidP="00871AD8">
      <w:pPr>
        <w:spacing w:line="240" w:lineRule="auto"/>
        <w:ind w:leftChars="0" w:left="0" w:rightChars="0" w:right="0"/>
      </w:pPr>
      <w:r>
        <w:t xml:space="preserve">　　</w:t>
      </w:r>
      <w:r w:rsidR="0049577B" w:rsidRPr="00B40DC1">
        <w:t>就我國專技移民政策上優勢，其實我國在這些人士取得永久居留，那原則上可以享受，除了健保、勞工保險，應該就是一般的所謂的勞工保險吧，已經就是最大的福利，健保跟勞工保險，應該就是最大的優勢。比如說這些人進來的話，他可以享有健保，因為原則上沒有每個國家全部統統有健保嘛，然後還可以享有當地的那個保險，在我國有兩個部份，一個是國人可以納保，一個是外國人可以納保的。應該是屬於外國人可以納保的那個勞保就對了。(G-4-1)</w:t>
      </w:r>
    </w:p>
    <w:p w:rsidR="0049577B" w:rsidRPr="00B40DC1" w:rsidRDefault="00E43C92" w:rsidP="00306B20">
      <w:pPr>
        <w:pStyle w:val="afffffff"/>
        <w:spacing w:before="180" w:after="180"/>
        <w:ind w:left="723" w:hanging="44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321574">
      <w:pPr>
        <w:pStyle w:val="3"/>
        <w:rPr>
          <w:lang w:eastAsia="zh-TW"/>
        </w:rPr>
      </w:pPr>
      <w:bookmarkStart w:id="92" w:name="_八、公私部門宜緊密合作，強化我國經濟發展之潛力與條件，並積極改善工作與"/>
      <w:bookmarkEnd w:id="92"/>
      <w:r w:rsidRPr="00B40DC1">
        <w:rPr>
          <w:lang w:eastAsia="zh-TW"/>
        </w:rPr>
        <w:t>八、公私部門宜緊密合作，強化我國經濟發展之潛力與條件，並積極改善工作與生活條件</w:t>
      </w:r>
    </w:p>
    <w:p w:rsidR="0049577B" w:rsidRPr="00B40DC1" w:rsidRDefault="00321574" w:rsidP="00992AB6">
      <w:pPr>
        <w:spacing w:line="240" w:lineRule="auto"/>
        <w:ind w:leftChars="0" w:left="0" w:rightChars="0" w:right="0"/>
      </w:pPr>
      <w:r>
        <w:t xml:space="preserve">　　</w:t>
      </w:r>
      <w:r w:rsidR="0049577B" w:rsidRPr="00B40DC1">
        <w:t>多數受訪者們除提到技術移民政策面之建議，亦提到實務面建議，我國需強化經濟發展之潛力。另外，不管公部門及私部門均需摒除肥貓心態。在薪資方面，我國支付給予專業人才之薪資，宜大幅度地提升，不宜低於先進國家或中國大陸支付給予專業人才之薪資之水平。</w:t>
      </w:r>
    </w:p>
    <w:p w:rsidR="0049577B" w:rsidRPr="00B40DC1" w:rsidRDefault="00321574" w:rsidP="00992AB6">
      <w:pPr>
        <w:spacing w:line="240" w:lineRule="auto"/>
        <w:ind w:leftChars="0" w:left="0" w:rightChars="0" w:right="0"/>
      </w:pPr>
      <w:r>
        <w:t xml:space="preserve">　　</w:t>
      </w:r>
      <w:r w:rsidR="0049577B" w:rsidRPr="00B40DC1">
        <w:t>復次，宜健全我國軟硬體設施，打造友善工作及居住環境。受訪者們認為不僅在移民政策上要與時俱進，在軟硬體設施之規畫亦要健全，現在有些國家為要吸引國外技術移民，甚至會為該些技術移民打造適合他們居住之生活環境，另外亦需營造國際化環境，讓技術移民願意留在臺灣工作及生活。</w:t>
      </w:r>
    </w:p>
    <w:p w:rsidR="0049577B" w:rsidRPr="00B40DC1" w:rsidRDefault="00321574" w:rsidP="00992AB6">
      <w:pPr>
        <w:spacing w:line="240" w:lineRule="auto"/>
        <w:ind w:leftChars="0" w:left="0" w:rightChars="0" w:right="0"/>
      </w:pPr>
      <w:r>
        <w:t xml:space="preserve">　　</w:t>
      </w:r>
      <w:r w:rsidR="0049577B" w:rsidRPr="00B40DC1">
        <w:t>在私部門及人民之協力方面，我國宜鼓勵與促成私部門改善勞動條件及環境，有受訪者亦提出建議，當公部門努力鬆綁法令及研擬移民政策之際，私部門亦須投入心力改善企業環境，積極提高給予專業人才之薪資。</w:t>
      </w:r>
    </w:p>
    <w:p w:rsidR="0049577B" w:rsidRPr="00B40DC1" w:rsidRDefault="00992AB6" w:rsidP="00992AB6">
      <w:pPr>
        <w:spacing w:line="240" w:lineRule="auto"/>
        <w:ind w:leftChars="0" w:left="0" w:rightChars="0" w:right="0"/>
      </w:pPr>
      <w:r>
        <w:t xml:space="preserve">　　</w:t>
      </w:r>
      <w:r w:rsidR="0049577B" w:rsidRPr="00B40DC1">
        <w:t>若跳開政策上的困境，實務上的困境就是，臺灣的企業及法令背景無法提供這麼高的薪水給這些專技人員，這是一個很現實的問題。我們臺灣見不得人家領高薪，人家領高薪就說人家是肥貓，肥貓心態，不是對公家對私人公司也是。上次移民署有請新加坡一位退休下來的部長來演講，他現在在獵人頭公司工作，他說公司給他的子彈就是金援，基本上只要他出國去獵人頭的話，公司都是給一千萬坡幣起跳的，…最多最多公司就給他一千萬可以搞定一個，可能比較會談的一百萬或兩百萬就搞定了。公司有這樣的資源給他讓他去找專技人才的話就很容易，相對的臺灣的困境可能連一千萬台幣的back up都沒有。(D-5-6)</w:t>
      </w:r>
    </w:p>
    <w:p w:rsidR="00306B20" w:rsidRDefault="00992AB6" w:rsidP="00306B20">
      <w:pPr>
        <w:spacing w:line="240" w:lineRule="auto"/>
        <w:ind w:leftChars="0" w:left="0" w:rightChars="0" w:right="0"/>
      </w:pPr>
      <w:r>
        <w:t xml:space="preserve">　　</w:t>
      </w:r>
      <w:r w:rsidR="0049577B" w:rsidRPr="00B40DC1">
        <w:t>包括我剛才提到國發會，就是經建會之前那個吸引優秀人才方案，其實也希望弄那三張卡，其實也是希望說拿那張卡讓他覺得很尊榮，然後希望說外國人喜歡待在這裡。可是我後來只有一個感覺，就是重點不在這裡，你知道其實我覺得這個議題的重點是，就是我們一直說要人才，要有專技移民來。…但是我看到一個很大的問題，第一個就是我很優秀的人才，我如果是學者，我要在世界有名的學校教書，我不會來你臺灣。第二個，所謂真正的管理或是什麼人才，我會待在美國，我們臺灣，我相信即使是鴻海、台積電未必說拿得出這個薪水養這些人。…所以你臺灣再怎麼努力，除非你讓你的經濟強起來，我們整個經濟發展起來。包括公部門，部份那個私人的公司，你要有薪水，你要有足夠的薪水養得起這些人。不然你這些薪水，你可能只能來的可能只是一些比較次級的這些專技的人才，我的感覺是這樣啦，只是我們一直都在瞎弄。(E-5-3)</w:t>
      </w:r>
    </w:p>
    <w:p w:rsidR="00306B20" w:rsidRDefault="00992AB6" w:rsidP="00306B20">
      <w:pPr>
        <w:spacing w:line="240" w:lineRule="auto"/>
        <w:ind w:leftChars="0" w:left="0" w:rightChars="0" w:right="0"/>
      </w:pPr>
      <w:r>
        <w:t xml:space="preserve">　　</w:t>
      </w:r>
      <w:r w:rsidR="0049577B" w:rsidRPr="00B40DC1">
        <w:t>因為就是我剛才講的，真正的專技人才，真正的優秀的人才，以目前臺灣的環境，他不會來臺灣，我可以去新加坡，我甚至去大陸，因為這些地方可以給他更高的薪水，而且除非他是本來就是，除非說他本來就是臺灣人出去的，他對國家有這個，臺灣有一個親情或是一個使命感，不然我認為啦，以我們現在的環境吸引不了這些的人才來，因為我們沒有辦法給人家更高的薪水。然後而且我們，至少我認為到目前為止，我們整體的環境，你在新加坡可以每個人都會講英文啊，幾乎啊，就是他其實還有一些整個環境的問題。應該是說就是先有制度，還是我們要先營造那個環境，要先想清楚。當然因為我們移民署，我的工作的經驗，我們是比較下游，可是看到的問題是這樣。所以你問我會比較悲觀。(E-5-5)</w:t>
      </w:r>
    </w:p>
    <w:p w:rsidR="00306B20" w:rsidRDefault="00992AB6" w:rsidP="00306B20">
      <w:pPr>
        <w:spacing w:line="240" w:lineRule="auto"/>
        <w:ind w:leftChars="0" w:left="0" w:rightChars="0" w:right="0"/>
      </w:pPr>
      <w:r>
        <w:t xml:space="preserve">　　</w:t>
      </w:r>
      <w:r w:rsidR="0049577B" w:rsidRPr="00B40DC1">
        <w:t>就是我還是剛才提到說，我在美國隨便一家公司，我一年給合台幣一千多萬，你臺灣就算高鐵，一年頂多給我三、四百萬，就是我認為那是自由市場，你如果說你可以給我比在國外更高的薪水，我就願意來。那是自由經濟市場…。我的意思是說，那你除非說你臺灣可以做到說，讓人家覺得說，我在你臺灣的公司或者是我在你的中研院我來上班我覺得是一件很光榮的事情，而且你可以給我很高的薪水，然後我住在這邊我覺得很舒服，我去那邊，臺灣人都很友善，而且大家都會講英文，我們騎U-bike什麼的都很方便，那才有辦法說，我再來卡這個東西啊，卡這些計分卡什麼。(E-6-3)</w:t>
      </w:r>
    </w:p>
    <w:p w:rsidR="00306B20" w:rsidRDefault="00992AB6" w:rsidP="00306B20">
      <w:pPr>
        <w:spacing w:line="240" w:lineRule="auto"/>
        <w:ind w:leftChars="0" w:left="0" w:rightChars="0" w:right="0"/>
      </w:pPr>
      <w:r>
        <w:t xml:space="preserve">　　</w:t>
      </w:r>
      <w:r w:rsidR="0049577B" w:rsidRPr="00B40DC1">
        <w:t>我的建議，就是就我剛才講一大堆的話，一個總結就是，以我的工作經驗來說，我認為我們一定要，不管是做專技移民是細分還是吸引所謂優秀人才來臺灣，我始終認為就是我們一定要把我們自己的條件做起來。就是就剛才提到的那些重點，你要吸引優秀人才在臺灣你要第一個核心的問題，你要讓他覺得在臺灣工作會比在那些先進國家工作，讓他覺得至少是相同的薪水以上。(E-8-1)</w:t>
      </w:r>
    </w:p>
    <w:p w:rsidR="00306B20" w:rsidRDefault="00992AB6" w:rsidP="00306B20">
      <w:pPr>
        <w:spacing w:line="240" w:lineRule="auto"/>
        <w:ind w:leftChars="0" w:left="0" w:rightChars="0" w:right="0"/>
      </w:pPr>
      <w:r>
        <w:t xml:space="preserve">　　</w:t>
      </w:r>
      <w:r w:rsidR="0049577B" w:rsidRPr="00B40DC1">
        <w:t>就是我開過那麼多的會的感覺是，你講了半天要吸引人才，優秀人才留在臺灣，你不給他相當的薪水，你不給他相當的薪水，其它都是假的，我拿臺灣的薪水只有美國的二分之一，講白一點，除非是愛國心。真的，正常人是這樣，不然我們很多臺灣的大學生，很多好的大學生去澳洲去那裡打工，我賺個3年，3年去那邊做勞力的事情，再回來，因為我即使在澳洲我去什麼農場工作，當然也有比較不好的，我至少看新聞，我一年可以存一百萬，可是我剛畢業的一個大學生我在臺灣22K，23K。然後房租那麼貴，我幹嘛留在臺灣，你自己臺灣人的人才都留不住了，你還去吸引國外的所謂專技人才，都是騙人的，這些根本的問題當然講都很會講，說實在你現在叫我當總統當院長，我都沒有能力解決這大環境，講誰都會講，可是我看到的是這樣。(E-8-3)</w:t>
      </w:r>
    </w:p>
    <w:p w:rsidR="00306B20" w:rsidRDefault="00992AB6" w:rsidP="00306B20">
      <w:pPr>
        <w:spacing w:line="240" w:lineRule="auto"/>
        <w:ind w:leftChars="0" w:left="0" w:rightChars="0" w:right="0"/>
      </w:pPr>
      <w:r>
        <w:t xml:space="preserve">　　</w:t>
      </w:r>
      <w:r w:rsidR="0049577B" w:rsidRPr="00B40DC1">
        <w:t>整體規畫的部分不是只有修法，軟硬體設施要夠，例如中國大陸如何吸引日本的優秀人才，有一個「中關村」，從白天到晚上，食衣住行育樂，小朋友的托育求學亦都納入設計考量裡。臺灣在吸引外國人才來的時候也要有整體規畫。(B-2-4)</w:t>
      </w:r>
    </w:p>
    <w:p w:rsidR="00306B20" w:rsidRDefault="00992AB6" w:rsidP="00306B20">
      <w:pPr>
        <w:spacing w:line="240" w:lineRule="auto"/>
        <w:ind w:leftChars="0" w:left="0" w:rightChars="0" w:right="0"/>
      </w:pPr>
      <w:r>
        <w:t xml:space="preserve">　　</w:t>
      </w:r>
      <w:r w:rsidR="0049577B" w:rsidRPr="00B40DC1">
        <w:t>我們專技移民是比較低標的，但我國往往卻不是專技移民的首選，因為我們的誘因實在是太低了，我國法令規定還算完善，但為什申請的人還是這麼少呢…，而且臺灣的軟硬體設施不一定那麼優。(B-4-1)</w:t>
      </w:r>
    </w:p>
    <w:p w:rsidR="00306B20" w:rsidRDefault="00992AB6" w:rsidP="00306B20">
      <w:pPr>
        <w:spacing w:line="240" w:lineRule="auto"/>
        <w:ind w:leftChars="0" w:left="0" w:rightChars="0" w:right="0"/>
      </w:pPr>
      <w:r>
        <w:t xml:space="preserve">　　</w:t>
      </w:r>
      <w:r w:rsidR="0049577B" w:rsidRPr="00B40DC1">
        <w:t>這些國家本身就有誘因了，若問我國移出的人口，他們的首選會是去南非嗎?會去越南嗎?都會去加、紐、澳、日、韓，因為他們軟硬體設施是好的，居住環境是棒的，這部份我們要去跟人家比，本身立足點就不一樣。(B-6-3)</w:t>
      </w:r>
    </w:p>
    <w:p w:rsidR="0049577B" w:rsidRPr="00B40DC1" w:rsidRDefault="00306B20" w:rsidP="00306B20">
      <w:pPr>
        <w:spacing w:line="240" w:lineRule="auto"/>
        <w:ind w:leftChars="0" w:left="0" w:rightChars="0" w:right="0"/>
      </w:pPr>
      <w:r>
        <w:t xml:space="preserve">　　</w:t>
      </w:r>
      <w:r w:rsidR="0049577B" w:rsidRPr="00B40DC1">
        <w:t>臺灣相關的軟硬體設施也不是那麼健全，所以真正申請留下來的僑外生也不多啦，所以說外國人的專技移民這部份要不要採納計分制這部分，大家要有個共識，而且大家對「優秀」的標準要提高，寧缺勿濫，還是說降格以求，你要的是A咖、B咖、或C咖。(B-6-4)</w:t>
      </w:r>
    </w:p>
    <w:p w:rsidR="0049577B" w:rsidRPr="00B40DC1" w:rsidRDefault="00992AB6" w:rsidP="00306B20">
      <w:pPr>
        <w:spacing w:line="240" w:lineRule="auto"/>
        <w:ind w:leftChars="0" w:left="0" w:rightChars="0" w:right="0"/>
      </w:pPr>
      <w:r>
        <w:t xml:space="preserve">　　</w:t>
      </w:r>
      <w:r w:rsidR="0049577B" w:rsidRPr="00B40DC1">
        <w:t>第二個讓他覺得在這裡工作是比較尊榮的，或者是另外一個就是你要就是經建會包括研考會之前一直在推的，我們要有那些國際化的生活環境，包括軟體硬體讓他覺得在臺灣，不要說我去買一個東西，結果英文也不會說，什麼也不會說，那或者是你包括你那些路牌，你走到哪裡結果環境沒有達到那種國際化…。(E-8-2)</w:t>
      </w:r>
    </w:p>
    <w:p w:rsidR="0049577B" w:rsidRPr="00B40DC1" w:rsidRDefault="00992AB6" w:rsidP="00306B20">
      <w:pPr>
        <w:spacing w:line="240" w:lineRule="auto"/>
        <w:ind w:leftChars="0" w:left="0" w:rightChars="0" w:right="0"/>
      </w:pPr>
      <w:r>
        <w:t xml:space="preserve">　　</w:t>
      </w:r>
      <w:r w:rsidR="0049577B" w:rsidRPr="00B40DC1">
        <w:t>可能當然臺灣最大沒辦法讓外籍人士留下來的原因，就除了臺灣的一個語言的部份，還有臺灣的交通、臺灣的政治、臺灣的教育，還有政策，那這幾個方面可能讓外國人說，你好不容易讓這些人進來了，但是卻沒有辦法把這些人才留在臺灣。因為他如果留在臺灣，他的子女受教問題就會浮現了，還有他留下來，他要申請永久居留，早期居留的，如果從居留部份要申請永久居留，要有5年的時間，除非他能夠符合我們專技的條款，否則一般要申請永久居留必須要歷經5年。(G-2-7)</w:t>
      </w:r>
    </w:p>
    <w:p w:rsidR="0049577B" w:rsidRPr="00B40DC1" w:rsidRDefault="00992AB6" w:rsidP="00306B20">
      <w:pPr>
        <w:spacing w:line="240" w:lineRule="auto"/>
        <w:ind w:leftChars="0" w:left="0" w:rightChars="0" w:right="0"/>
      </w:pPr>
      <w:r>
        <w:t xml:space="preserve">　　</w:t>
      </w:r>
      <w:r w:rsidR="0049577B" w:rsidRPr="00B40DC1">
        <w:t>未來專技移民政策的一個期許，大概就是其實政策應該是採滾動性的一個檢討啦，就是要與時俱進，隨著整個國際的情況而有所調整啊，所以我們的法規也必須要跟著這個脈動來做調整修正啊，這樣才能夠去所謂的延攬到我們所想要的這些人才啦，就是從整個計分制度來看，如果說整個企業的整個配套措施之後，那我們採取了計分制度，那你在專技這個政策上面你去採這個制度，那你在這個相關的法規，在做得時候你是要整個搭配上，或者現行我們臺灣來講，吸引的人才人數真的是有限，所以我們必須要在相關的法規去做一些友善的環境規畫，你有了友善的環境之後，我想這些外國人要來，應該是不會再排斥來臺灣了啊。所以說我們應該是先要從本身的相關的制度、環境、政策，應該先做檢討，當然是你在這方面有所改進，當然這些外籍人士來看到在國內的，口耳相傳，他也會到國外去推薦，這個臺灣確實這個環境真的不錯。像新加坡，你不用推薦，別人也會推薦你，類似這樣的一個。(G-8-1)</w:t>
      </w:r>
    </w:p>
    <w:p w:rsidR="0049577B" w:rsidRPr="00B40DC1" w:rsidRDefault="00992AB6" w:rsidP="00306B20">
      <w:pPr>
        <w:spacing w:line="240" w:lineRule="auto"/>
        <w:ind w:leftChars="0" w:left="0" w:rightChars="0" w:right="0"/>
      </w:pPr>
      <w:r>
        <w:t xml:space="preserve">　　</w:t>
      </w:r>
      <w:r w:rsidR="0049577B" w:rsidRPr="00B40DC1">
        <w:t>其實法規調整了，除了就是所謂的友善的環境。那我從法規的面向來講，法規面向就是我剛剛在前面有提到，其實外國人對我們的這個永久居留的這個制度，其實這制度可以去做不同類型的一個區隔啦，這是我個人的看法…。(G-8-2)</w:t>
      </w:r>
    </w:p>
    <w:p w:rsidR="0049577B" w:rsidRPr="00B40DC1" w:rsidRDefault="00992AB6" w:rsidP="00306B20">
      <w:pPr>
        <w:spacing w:line="240" w:lineRule="auto"/>
        <w:ind w:leftChars="0" w:left="0" w:rightChars="0" w:right="0"/>
      </w:pPr>
      <w:r>
        <w:t xml:space="preserve">　　</w:t>
      </w:r>
      <w:r w:rsidR="0049577B" w:rsidRPr="00B40DC1">
        <w:t>其他面向的一個建議就是友善的一個環境，友善環境當然是包含到政策嘛、法規，還有其他的措施，這都是屬於政府的一個友善環境。那環境改善了，搞不好你就不用招募，他也想要來，這是最大的好處。友善的環境措施，就是比如說像外籍人士他來，他有小孩，那你可能是在小孩的一個上學的一個方面，你要設定什麼樣的，讓他可以在這裡，比如說雙語學校啊或什麼學校這種的友善措施，可以讓他在這裡工作之外，小孩也可以在這裡讀書，他就不用分心，就是小孩也受惠，就是你的教育體系要相對的去做這方面的，那是屬於面向很廣的啦。(G-8-4)</w:t>
      </w:r>
    </w:p>
    <w:p w:rsidR="0049577B" w:rsidRPr="00B40DC1" w:rsidRDefault="00992AB6" w:rsidP="00306B20">
      <w:pPr>
        <w:spacing w:line="240" w:lineRule="auto"/>
        <w:ind w:leftChars="0" w:left="0" w:rightChars="0" w:right="0"/>
      </w:pPr>
      <w:r>
        <w:t xml:space="preserve">　　</w:t>
      </w:r>
      <w:r w:rsidR="0049577B" w:rsidRPr="00B40DC1">
        <w:t>企業也要投入，而不是只有政府單向投入。因為這些人是企業要用的人，而不是政府要用的人，企業要投入改善人才環境。臺灣目前比較可悲的是政府很努力在推，我法規也鬆綁，人我也到處去拉拉的，結果整個企業環境、生活環境不是那麼的好，比如說離開台北市以外，外國人就不知道要怎麼生活了。很多是企業要用的人，可是他不願意去投入資本，簡單來講，政府責任有了，也要賦予企業責任，這是民間要跟政府做結合，而不是政府只有框死自己，也要把企業也框進來，這是一種期許，困難度是很高的，公私部門的一種協力。(D-8-3)</w:t>
      </w:r>
    </w:p>
    <w:p w:rsidR="0049577B" w:rsidRPr="00B40DC1" w:rsidRDefault="00E43C92" w:rsidP="00306B20">
      <w:pPr>
        <w:pStyle w:val="afffffff"/>
        <w:spacing w:before="180" w:after="180"/>
        <w:ind w:left="723" w:hanging="44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992AB6">
      <w:pPr>
        <w:pStyle w:val="3"/>
        <w:rPr>
          <w:lang w:eastAsia="zh-TW"/>
        </w:rPr>
      </w:pPr>
      <w:bookmarkStart w:id="93" w:name="_九、在行政院之層級宜建置一個常設性之移民政策、融合與輔導之主導機關"/>
      <w:bookmarkEnd w:id="93"/>
      <w:r w:rsidRPr="00B40DC1">
        <w:rPr>
          <w:lang w:eastAsia="zh-TW"/>
        </w:rPr>
        <w:t>九、在行政院之層級宜建置一個常設性之移民政策、融合與輔導之主導機關</w:t>
      </w:r>
    </w:p>
    <w:p w:rsidR="0049577B" w:rsidRPr="00B40DC1" w:rsidRDefault="00992AB6" w:rsidP="00306B20">
      <w:pPr>
        <w:spacing w:line="240" w:lineRule="auto"/>
        <w:ind w:leftChars="0" w:left="0" w:rightChars="0" w:right="0"/>
      </w:pPr>
      <w:r>
        <w:t xml:space="preserve">　　</w:t>
      </w:r>
      <w:r w:rsidR="0049577B" w:rsidRPr="00B40DC1">
        <w:t>移民署為三級機關，其權限不足以主導移民政策。受訪者普遍認為移民署為三級機關，權限不足以主導移民政策，或許可仿效美國等其他國家，移民機關乃有實質移民政策之主導權，並有權協調其他單位配合移民政策之推行。宜在較高之行政院之層級，設置一個跨部會統籌，成立專責之一個委員會，進行移民政策、融合與輔導之工作。</w:t>
      </w:r>
    </w:p>
    <w:p w:rsidR="0049577B" w:rsidRPr="00B40DC1" w:rsidRDefault="0049577B" w:rsidP="00306B20">
      <w:pPr>
        <w:spacing w:line="240" w:lineRule="auto"/>
        <w:ind w:leftChars="0" w:left="0" w:rightChars="0" w:right="0"/>
      </w:pPr>
      <w:r w:rsidRPr="00B40DC1">
        <w:t>行政院的層級較高作一個跨部會統籌，設一個委員會，專技移民是屬於移民政策的一環，目前統籌的是國家發展委員會，國發會基本上也是有點無力感，國發會就是以前的研考會、經建會加上國科會合併，相關的審認是在科技部、教育部、文化部、經濟部，而審查是在審查會，目前政策研擬及認識用法是脫勾的，並沒有結合在一起，多頭馬車，並未完全整合。當然政府設官分職，各職所司，有它行政目的的存在，應該有院層級委員會的設置去做，要怎樣去吸引專業人才，專家學者也有很多不錯的意見，只是實際要執行時就有困難，只要想得到的方法，署也想得到，但那又如何，人家就是不來，不來的原因實在是太多了，相關配套措施未健全，要健全的話，不是單一部會或少數部會能去完成的，要跨部會，因為牽涉的部會太多了。(B-8-1)</w:t>
      </w:r>
    </w:p>
    <w:p w:rsidR="0049577B" w:rsidRPr="00B40DC1" w:rsidRDefault="00992AB6" w:rsidP="00306B20">
      <w:pPr>
        <w:spacing w:line="240" w:lineRule="auto"/>
        <w:ind w:leftChars="0" w:left="0" w:rightChars="0" w:right="0"/>
      </w:pPr>
      <w:r>
        <w:t xml:space="preserve">　　</w:t>
      </w:r>
      <w:r w:rsidR="0049577B" w:rsidRPr="00B40DC1">
        <w:t>另外還有提到育才留才攬才方案，在國發會訂的方案裡是一個非常大的方案，幾乎牽扯到各部會，在我們工作上比較偏向於攬才的部分，育才的部份是教育部比較多，留才的話是勞動部，攬才的部份比較是移民署。…一站式的工作簽證是透過資訊系統讓外國人在臺灣的話，不管做任何事或要提出任何申請，不僅簽證的申請，而是要投資申請，甚至於生活方面的申請，我們希望都能透過一套資訊整合給外國人用。它叫做一站式的工作簽證的服務平台，它整個的正式名稱還沒訂出來，目前還在跟跨部會研議中，只是現在我們有這個方案還在推。針對專技移民我們有這方案在推，但這個方案非常的大，因為這個涉及的部會太多，所以也要跟各部會作接洽，所以這個東西在推也有一些困難。(D-2-5)</w:t>
      </w:r>
    </w:p>
    <w:p w:rsidR="0049577B" w:rsidRPr="00B40DC1" w:rsidRDefault="00992AB6" w:rsidP="00306B20">
      <w:pPr>
        <w:spacing w:line="240" w:lineRule="auto"/>
        <w:ind w:leftChars="0" w:left="0" w:rightChars="0" w:right="0"/>
      </w:pPr>
      <w:r>
        <w:t xml:space="preserve">　　</w:t>
      </w:r>
      <w:r w:rsidR="0049577B" w:rsidRPr="00B40DC1">
        <w:t>若我們要一個專技移民的評點制度，那你認為在臺灣哪個政府機關要去做，你有想過嗎。在臺灣這個專技的部份應該是哪個機關或哪個部會，應該去業管，一定要有一個業管的機關來推動，不然推不動。因為在移民署的立場而言，在整個政策面上，移民署是末端的執行面，你不管經濟部要推投資移民，還是勞動部要推比較白領階級的，後面都會跟移民署的居留或外國人管理部份作結合。前端一定要有leader在做。(D-5-2)</w:t>
      </w:r>
    </w:p>
    <w:p w:rsidR="0049577B" w:rsidRPr="00B40DC1" w:rsidRDefault="00992AB6" w:rsidP="00306B20">
      <w:pPr>
        <w:spacing w:line="240" w:lineRule="auto"/>
        <w:ind w:leftChars="0" w:left="0" w:rightChars="0" w:right="0"/>
      </w:pPr>
      <w:r>
        <w:t xml:space="preserve">　　</w:t>
      </w:r>
      <w:r w:rsidR="0049577B" w:rsidRPr="00B40DC1">
        <w:t>你提到會不會建議說有一個人才資料庫嘛，應該是說那個經濟部、工業局它應該去做一個調查，我想可能也著手在做了。國內應該也有了，但是可能這個調查時間會拉得很長。目前我們署裡這邊沒有一個人才庫，因為我們是下游啦。上面說什麼就得怎麼做這樣子。真的啊，那個陸委會或者是國發會它想要怎麼做，它不用找我們，他就跟我們部長協調一下，部長交辦下來你就非得做不可啊。那個等於國家的政策你一定要做啊。移民署大概都是集中在法規面，那政策面我只能大概跟你講方向是這樣。講移民署負責移民政策是很美麗的錯誤啊。我以前在移民事務組規劃科這邊，我們就是負責跟國發會、勞動部他們協調聯繫啦。(F-4-5)</w:t>
      </w:r>
    </w:p>
    <w:p w:rsidR="0049577B" w:rsidRPr="00B40DC1" w:rsidRDefault="00992AB6" w:rsidP="00306B20">
      <w:pPr>
        <w:spacing w:line="240" w:lineRule="auto"/>
        <w:ind w:leftChars="0" w:left="0" w:rightChars="0" w:right="0"/>
      </w:pPr>
      <w:r>
        <w:t xml:space="preserve">　　</w:t>
      </w:r>
      <w:r w:rsidR="0049577B" w:rsidRPr="00B40DC1">
        <w:t>國發會網站最近有一個有一點創業家簽證，那個可以看一下。可是說真的，就是說現在國發會的政策，它不是整體規劃，可能是執政來日無多嘛，所以能做多少算多少啦，就是這種打點的政策，不是整個全面的規劃。你負責國家發展的部門都這樣的，我們這個三級機關只好配合你辦理了，我們不可能有什麼政策規劃的，因為我們講話也沒人會聽啊。建議不一定有用啊，如果你的老師跟你上課說什麼，請他們實際到中央部會開會的現場去看，就弱肉強食嘛，他們要推的東西他不管我們反不反對他就是要推啊。我們建議的大部份都不採納啊。我們之前有建議說，就是我們之前建議的比較像是改善環境之類的，比如說那個外籍人士的大陸配偶給他工作權啊，或者是擴大馬偕計畫適用範圍啊，就給所有永久居留的人都有馬偕計畫，說真的那個沒什麼福利。還有什麼?放寬雙重國籍，現在有一部份，但是那個不是全部。就是說我們建議的東西其實很多，但人家根本不理我們啊。友善環境啊還有什麼，因為很多比如說給人家什麼福利的那種法令都不是在內政部啦。比如說外籍新生兒，因為我們健保有6個月的，要等6個月的規定嘛，可是他一生出來他就是需要健保，他的爸爸媽媽有健保，他生出來卻沒有健保，你有沒有覺得很奇怪。就是這樣啊，諸如此類的，我們建議說給那個勞工，不管藍、白領，就是可以讓他們適用勞退新制啊，勞動部就說這樣要把錢有關退休金的發放，可能要把它匯到海外，然後查證他這個人還有沒有活著，勞動部就說困難很多啦。就是說移民署能做的根本不多，更不要說政策啦。雖然移民署其中有一項，還是有比較放進去叫做移民政策的規劃，但是誰理你呀，而且當初成立移民署有很大一部份可能原來是要執法的啊，要不然幹嘛給你部份司法警察權。你們知道這個應然與實然相差很多啊。(F-8-3)</w:t>
      </w:r>
    </w:p>
    <w:p w:rsidR="0049577B" w:rsidRPr="00B40DC1" w:rsidRDefault="00992AB6" w:rsidP="00306B20">
      <w:pPr>
        <w:spacing w:line="240" w:lineRule="auto"/>
        <w:ind w:leftChars="0" w:left="0" w:rightChars="0" w:right="0"/>
      </w:pPr>
      <w:r>
        <w:t xml:space="preserve">　　</w:t>
      </w:r>
      <w:r w:rsidR="0049577B" w:rsidRPr="00B40DC1">
        <w:t>早期移民政策由內政部移民署在定的嘛，然後國發會收回去了嘛，等於是他是上位的一個政策的一個規劃，移民署就變成只是下位的一個配合，那你上位的一個政策在規劃的時候，是不是完全的去做一個所謂的溝通協調，因為實際執行的是移民署，那你應該在政策制訂上，應該是要跟移民署做一個充分的溝通，那移民署認為哪些可許可，那些不可許可，可以做一個政策的一個供給跟建議。其實國發會他是訂整個國家的政策，國家要的人口政策，那我們移民署的移民政策是我們是在哪一類，可能延伸了什麼問題，我們在這法規面需要去做調整放寬。(G-8-5)</w:t>
      </w:r>
    </w:p>
    <w:p w:rsidR="0049577B" w:rsidRPr="00B40DC1" w:rsidRDefault="00992AB6" w:rsidP="00306B20">
      <w:pPr>
        <w:spacing w:line="240" w:lineRule="auto"/>
        <w:ind w:leftChars="0" w:left="0" w:rightChars="0" w:right="0"/>
      </w:pPr>
      <w:r>
        <w:t xml:space="preserve">　　</w:t>
      </w:r>
      <w:r w:rsidR="0049577B" w:rsidRPr="00B40DC1">
        <w:t>我國移民政策上的困境，在專技移民方面，這個就是我剛剛跟你講的，我們的法令上面寫的是，我們移民署是主管機關，投資標的還有資金管理應用，然後我們等於說因為這樣子，我們要去訂要吸引外國人來的一個相關辦法。我們不是這方面的專家考進來的，所以你要訂整個專技移民政策的話，有時候我們可能說比較要在執行上面來說的會有困難性，還有我們等於是三級單位，我們是行政院內政部的移民署啊。那現在目前我們的移民政策是放在內政部的人口政策上的，但是我們對整個因為你要吸引專技人才來的話，最主要的目前是要促進我們的經濟發展嘛，那經濟發展的話，這個大政策這個主管機關又是國發會。因為我外派嘛，然後剛好就是說美國離加拿大也近嘛，之前我那時候就是為了要修投資移民部份，所以你看頭髮才會那麼白。我也不是學什麼總體經濟啊，或者是學比較宏觀的經濟發展方面。我是警大畢業，然後我只是說我會懂得外語所以外派。那時候都還沒去過美國啊，就剛好碰到說要鬆綁法令，要吸引外國人才過來。我們的角色我們地位的關係，那時候我們的困境，我們都有寫出來啊。大概我跟你講的，就是說最主要那時候我們都在考慮說要把</w:t>
      </w:r>
      <w:hyperlink r:id="rId412" w:anchor="b35" w:history="1">
        <w:r w:rsidR="00112EF1" w:rsidRPr="00E06828">
          <w:rPr>
            <w:rStyle w:val="a7"/>
            <w:rFonts w:cs="Times New Roman"/>
            <w:lang w:eastAsia="zh-TW" w:bidi="ar-SA"/>
          </w:rPr>
          <w:t>第35條</w:t>
        </w:r>
      </w:hyperlink>
      <w:r w:rsidR="0049577B" w:rsidRPr="00B40DC1">
        <w:t>要不要修掉，因為這條就變成是說不是國發會主管，他們不是主責機關，而是我們移民署是主責機關，曾經想把這個修掉，但是長官他有另外的考量。因為這個說起來有時候就是情緒上面的，比如說你修法你動的條文比較多的話，那個你中間要走的程序就會比較長，那時候也是有那種壓力啦，就是說我們希望能夠快點訂出來相關的條文，所以希望修法的幅度能夠不要變動那麼大的前提之下，能夠趕快定出我們投資移民的條文。就我剛剛跟你講的，同時也要包括吸引那個專技人才來嘛，所以才會說我們要訂一個梅花卡還是學商卡，還有就業PASS卡等等的。這等於說那時候都是在那個短短的那一段時間就必須要趕快訂出來這樣子。(H-5-1)</w:t>
      </w:r>
    </w:p>
    <w:p w:rsidR="0049577B" w:rsidRPr="00B40DC1" w:rsidRDefault="00992AB6" w:rsidP="00306B20">
      <w:pPr>
        <w:spacing w:line="240" w:lineRule="auto"/>
        <w:ind w:leftChars="0" w:left="0" w:rightChars="0" w:right="0"/>
      </w:pPr>
      <w:r>
        <w:t xml:space="preserve">　　</w:t>
      </w:r>
      <w:r w:rsidR="0049577B" w:rsidRPr="00B40DC1">
        <w:t>也就是說當初我們把這個移民</w:t>
      </w:r>
      <w:r w:rsidR="00E06828" w:rsidRPr="00321574">
        <w:t>法</w:t>
      </w:r>
      <w:hyperlink r:id="rId413" w:anchor="b35" w:history="1">
        <w:r w:rsidR="00E06828" w:rsidRPr="00E06828">
          <w:rPr>
            <w:rStyle w:val="a7"/>
            <w:rFonts w:cs="Times New Roman"/>
            <w:lang w:eastAsia="zh-TW" w:bidi="ar-SA"/>
          </w:rPr>
          <w:t>35條</w:t>
        </w:r>
      </w:hyperlink>
      <w:r w:rsidR="0049577B" w:rsidRPr="00B40DC1">
        <w:t>，我們把我們的角色，我們認為說我們可以像美國一樣，因為我在美國待，美國移民局他們屬於可以主導，等於說它可以把相關的經濟部門，相關的單位找來研商移民政策。我們那時候境管局，移民署是屬於行政三級單位，那經建會的話是二級單位，然後你看經濟部的話，我是部下面的一個單位，所以我們也沒辦法。在這個法令明明寫我們是主管機關，投資標的、執行管理運用都要我們自己來做，本身我們又不是這方面的專家。說實在的話，那訂的話就會有那個困難。但是就是只要硬著頭皮，就我們自己就是等於說然後請各相關單位提供給我們意見，就變成比較沒辦法像加拿大那麼細緻的一個條文出來。(H-7-1)</w:t>
      </w:r>
    </w:p>
    <w:p w:rsidR="0049577B" w:rsidRPr="00B40DC1" w:rsidRDefault="00E43C92" w:rsidP="00306B20">
      <w:pPr>
        <w:pStyle w:val="afffffff"/>
        <w:spacing w:before="180" w:after="180"/>
        <w:ind w:left="723" w:hanging="44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992AB6">
      <w:pPr>
        <w:pStyle w:val="3"/>
        <w:rPr>
          <w:lang w:eastAsia="zh-TW"/>
        </w:rPr>
      </w:pPr>
      <w:bookmarkStart w:id="94" w:name="_十、適切地增加移民署人力"/>
      <w:bookmarkEnd w:id="94"/>
      <w:r w:rsidRPr="00B40DC1">
        <w:rPr>
          <w:lang w:eastAsia="zh-TW"/>
        </w:rPr>
        <w:t>十、適切地增加移民署人力</w:t>
      </w:r>
    </w:p>
    <w:p w:rsidR="0049577B" w:rsidRPr="00B40DC1" w:rsidRDefault="00992AB6" w:rsidP="00306B20">
      <w:pPr>
        <w:spacing w:line="240" w:lineRule="auto"/>
        <w:ind w:leftChars="0" w:left="0" w:rightChars="0" w:right="0"/>
      </w:pPr>
      <w:r>
        <w:t xml:space="preserve">　　</w:t>
      </w:r>
      <w:r w:rsidR="0049577B" w:rsidRPr="00B40DC1">
        <w:t>移民署業務單位人力不足，移民政策規畫難以完善。部分受訪者表示目前移民署之人力不足，除要處理一般性之業務，另外還要研擬移民制度，亦有其困難性。目前我國移民署主要之執掌為：1、移民政策之擬訂、協調及執行事項；2、移民輔導之協調及執行事項；3、停留、居留及定居審理許可事項；4、違反入出國及移民相關規定之查察、收容、強制出境及驅逐出國等事項。</w:t>
      </w:r>
    </w:p>
    <w:p w:rsidR="0049577B" w:rsidRPr="00B40DC1" w:rsidRDefault="00992AB6" w:rsidP="00306B20">
      <w:pPr>
        <w:spacing w:line="240" w:lineRule="auto"/>
        <w:ind w:leftChars="0" w:left="0" w:rightChars="0" w:right="0"/>
      </w:pPr>
      <w:r>
        <w:t xml:space="preserve">　　</w:t>
      </w:r>
      <w:r w:rsidR="0049577B" w:rsidRPr="00B40DC1">
        <w:t>但目前以移民署現有員額編制仍顯不足，不僅我國移民機關面臨人力不足問題，日本因外國人犯罪問題日益深化，東京都廳與東京都警視廳曾於2004年作出決定，派員支援法務省管理當局，以利掃蕩不法停（居）留外國人。</w:t>
      </w:r>
      <w:r w:rsidR="0049577B" w:rsidRPr="00306B20">
        <w:rPr>
          <w:rStyle w:val="af7"/>
          <w:rFonts w:eastAsia="新細明體"/>
          <w:sz w:val="20"/>
        </w:rPr>
        <w:footnoteReference w:id="470"/>
      </w:r>
      <w:r w:rsidR="0049577B" w:rsidRPr="00B40DC1">
        <w:t>目前移民署人員配置多在查察違反停（居）留、收容、強制出境及驅逐出國等業務上，因人力不足之考量，目前移民政策之擬訂、協調及執行之編制人員並不多，更無法全力投入移民政策之研擬。</w:t>
      </w:r>
    </w:p>
    <w:p w:rsidR="0049577B" w:rsidRPr="00B40DC1" w:rsidRDefault="00992AB6" w:rsidP="00306B20">
      <w:pPr>
        <w:spacing w:line="240" w:lineRule="auto"/>
        <w:ind w:leftChars="0" w:left="0" w:rightChars="0" w:right="0"/>
      </w:pPr>
      <w:r>
        <w:t xml:space="preserve">　　</w:t>
      </w:r>
      <w:r w:rsidR="0049577B" w:rsidRPr="00B40DC1">
        <w:t>對專技移民制度是要作「滾動式」的檢討，法隨時轉，隨著時代的變遷而會有不一樣，作一個檢討改進，前提是人要夠，但業務組有時才幾隻小貓，光是要蒐集各國的移民制度，人也是要夠，研究這方面政策的人太少，政策研擬若要縝密，若人太少相對的研擬出來的政策就不是這麼優了，有些政策是要深思熟慮的，例如審查基準是隨時可以修的，但有人在修嗎，沒有，因為大家都忙著業務，滾動式檢討就是邀集各部會每3個月或半年來檢討，現在國家急需產業專技人才還是這些方面嗎，若高鐵夠了，那就不用了，換別的，定期作檢討，但目前沒有這樣實行，民眾也無法提建議，目前也無民眾寫首長信箱建議修這些東西，因為什麼是「自動化」，光是看就看不懂了也無法提建議，這些都是各部會提的，但各部會提的是否就是國家所需要的人才，不一定，要作統計數據嘛，目前宗教申請梅花卡超多的，修女神父在台貢獻了四五十年，你不給他們梅花卡，怎麼對得起呢，專技比較少。科技部、交通部、教育部，條文都是各部會提的嘛，各部會的需求就被認定為國家的需求。(B-8-2)</w:t>
      </w:r>
    </w:p>
    <w:p w:rsidR="0049577B" w:rsidRPr="00B40DC1" w:rsidRDefault="00992AB6" w:rsidP="00306B20">
      <w:pPr>
        <w:spacing w:line="240" w:lineRule="auto"/>
        <w:ind w:leftChars="0" w:left="0" w:rightChars="0" w:right="0"/>
      </w:pPr>
      <w:r>
        <w:t xml:space="preserve">　　</w:t>
      </w:r>
      <w:r w:rsidR="0049577B" w:rsidRPr="00B40DC1">
        <w:t>所以移民署的工作越來越多，但是人都沒有，就是人少啦，那你人少，你說你要勤一點去推廣梅花卡，但是你人做不出來啊，因為人等於被壓榨，1個人就等於做5個人的工作了，所以承辦人也沒辦法說全心全力去做。沒有辦法說變成例行性的審查會，我固定一個月定期開一次審查會，也沒辦法(C-5-2)</w:t>
      </w:r>
    </w:p>
    <w:p w:rsidR="0049577B" w:rsidRPr="00B40DC1" w:rsidRDefault="00E43C92" w:rsidP="00306B20">
      <w:pPr>
        <w:pStyle w:val="afffffff"/>
        <w:spacing w:before="180" w:after="180"/>
        <w:ind w:left="723" w:hanging="44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992AB6">
      <w:pPr>
        <w:pStyle w:val="3"/>
        <w:rPr>
          <w:lang w:eastAsia="zh-TW"/>
        </w:rPr>
      </w:pPr>
      <w:bookmarkStart w:id="95" w:name="_十一、改善公部門之橫向聯繫機制"/>
      <w:bookmarkEnd w:id="95"/>
      <w:r w:rsidRPr="00B40DC1">
        <w:rPr>
          <w:lang w:eastAsia="zh-TW"/>
        </w:rPr>
        <w:t>十一、改善公部門之橫向聯繫機制</w:t>
      </w:r>
    </w:p>
    <w:p w:rsidR="0049577B" w:rsidRPr="00B40DC1" w:rsidRDefault="00992AB6" w:rsidP="00306B20">
      <w:pPr>
        <w:spacing w:line="240" w:lineRule="auto"/>
        <w:ind w:leftChars="0" w:left="0" w:rightChars="0" w:right="0"/>
      </w:pPr>
      <w:r>
        <w:t xml:space="preserve">　　</w:t>
      </w:r>
      <w:r w:rsidR="0049577B" w:rsidRPr="00B40DC1">
        <w:t>公部門之橫向聯繫，呈現嚴重不足之現象。受訪者普遍認為公部門各自推各自之政策，但各單位之橫向協調聯繫嚴重不足。受訪之移民署之官員們亦坦言，有時</w:t>
      </w:r>
      <w:hyperlink r:id="rId414" w:history="1">
        <w:r w:rsidR="00E06828" w:rsidRPr="00461F58">
          <w:rPr>
            <w:rStyle w:val="a7"/>
            <w:rFonts w:cs="Times New Roman"/>
            <w:lang w:eastAsia="zh-TW" w:bidi="ar-SA"/>
          </w:rPr>
          <w:t>移民法</w:t>
        </w:r>
      </w:hyperlink>
      <w:r w:rsidR="0049577B" w:rsidRPr="00B40DC1">
        <w:t>令及政策涉及部會很廣泛，當</w:t>
      </w:r>
      <w:hyperlink r:id="rId415" w:history="1">
        <w:r w:rsidR="00E06828" w:rsidRPr="00461F58">
          <w:rPr>
            <w:rStyle w:val="a7"/>
            <w:rFonts w:cs="Times New Roman"/>
            <w:lang w:eastAsia="zh-TW" w:bidi="ar-SA"/>
          </w:rPr>
          <w:t>移民法</w:t>
        </w:r>
      </w:hyperlink>
      <w:r w:rsidR="0049577B" w:rsidRPr="00B40DC1">
        <w:t>令中涉及各部會相關領域及認定時，移民署需要其他部會就其專業給予協助及認定。入出國及移民法</w:t>
      </w:r>
      <w:hyperlink r:id="rId416" w:anchor="b35" w:history="1">
        <w:r w:rsidR="0049577B" w:rsidRPr="00E06828">
          <w:rPr>
            <w:rStyle w:val="a7"/>
            <w:rFonts w:cs="Times New Roman"/>
            <w:lang w:eastAsia="zh-TW" w:bidi="ar-SA"/>
          </w:rPr>
          <w:t>第35條</w:t>
        </w:r>
      </w:hyperlink>
      <w:r w:rsidR="0049577B" w:rsidRPr="00B40DC1">
        <w:t>為例，其明訂外國人停留、居留及永久居留之申請程序、應備文件、資格條件、核發證件種類、效期、投資標的、資金管理運用及其他應遵行事項之辦法，由主管機關定之，又移民署為主管機關，但不少位受訪者亦坦言投資標的及資金管理運用等非移民署之專業所能認定，若公部門橫向聯繫嚴重不足時，就無法順利推動相關</w:t>
      </w:r>
      <w:hyperlink r:id="rId417" w:history="1">
        <w:r w:rsidR="00E06828" w:rsidRPr="00461F58">
          <w:rPr>
            <w:rStyle w:val="a7"/>
            <w:rFonts w:cs="Times New Roman"/>
            <w:lang w:eastAsia="zh-TW" w:bidi="ar-SA"/>
          </w:rPr>
          <w:t>移民法</w:t>
        </w:r>
      </w:hyperlink>
      <w:r w:rsidR="0049577B" w:rsidRPr="00B40DC1">
        <w:t>令及政策。</w:t>
      </w:r>
    </w:p>
    <w:p w:rsidR="0049577B" w:rsidRPr="00B40DC1" w:rsidRDefault="00992AB6" w:rsidP="00306B20">
      <w:pPr>
        <w:spacing w:line="240" w:lineRule="auto"/>
        <w:ind w:leftChars="0" w:left="0" w:rightChars="0" w:right="0"/>
      </w:pPr>
      <w:r>
        <w:t xml:space="preserve">　　</w:t>
      </w:r>
      <w:r w:rsidR="0049577B" w:rsidRPr="00B40DC1">
        <w:t>從育才方面之角度看，人力資源相較於其他組織資源有較高之維護成本，若以「知識會折舊」之觀點來看，組織如果無法對所屬成員提供基本設施，使其便於知識交流與分享，亦或缺乏計畫性之教育訓練，知識之創造力勢必降低，多數受訪者於受訪時亦提及公部門這個組織，若無法提供一平台供內部相關單位及成員作知識交流，或若無計畫性之教育訓練，不僅在公務工作上無默契，各自行政，辦公效率會打折扣，長久下來亦會提高維護人力資源之成本。為促成公部門內部單位及組織成員之橫向聯繫，仍需結合「人」、「資訊科技」、「知識」及「分享」始是改善之道。</w:t>
      </w:r>
      <w:r w:rsidR="0049577B" w:rsidRPr="00306B20">
        <w:rPr>
          <w:rStyle w:val="af7"/>
          <w:rFonts w:eastAsia="新細明體"/>
          <w:sz w:val="20"/>
        </w:rPr>
        <w:footnoteReference w:id="471"/>
      </w:r>
    </w:p>
    <w:p w:rsidR="0049577B" w:rsidRPr="00B40DC1" w:rsidRDefault="00992AB6" w:rsidP="00306B20">
      <w:pPr>
        <w:spacing w:line="240" w:lineRule="auto"/>
        <w:ind w:leftChars="0" w:left="0" w:rightChars="0" w:right="0"/>
      </w:pPr>
      <w:r>
        <w:t xml:space="preserve">　　</w:t>
      </w:r>
      <w:r w:rsidR="0049577B" w:rsidRPr="00B40DC1">
        <w:t>今天港澳承辦人才跟我聯絡，香港投資進來六百萬就能申請定居了，照理講投資的資格符不符合是經濟部那裡要審核，經濟部初審過了，確定也投資六百萬OK了，經濟部就給它投資許可，我們移民署就發給他定居資格，結果之後呢投資人六百萬就轉投資走了，後來詢問經濟部定居要不要撤銷，但經濟部說我們不管，那是你們移民署的事，可是不是呀，他不是投資來的嗎，後來又轉投資走了，那個投資的定義還在不在，這個是不是要經濟部認定還是不是投資移民，經濟部說隨便你們，那是你們移民署的事，要不要撤隨便你們，那個投資還在不在算不算投資，經濟部講不出來。在臺灣各部會在推政策會有這個問題呀。(D-5-7)</w:t>
      </w:r>
    </w:p>
    <w:p w:rsidR="0049577B" w:rsidRPr="00B40DC1" w:rsidRDefault="00992AB6" w:rsidP="00306B20">
      <w:pPr>
        <w:spacing w:line="240" w:lineRule="auto"/>
        <w:ind w:leftChars="0" w:left="0" w:rightChars="0" w:right="0"/>
      </w:pPr>
      <w:r>
        <w:t xml:space="preserve">　　</w:t>
      </w:r>
      <w:r w:rsidR="0049577B" w:rsidRPr="00B40DC1">
        <w:t>這個又會回到說政府和民間之間沒有很密切的連結之外，優點是政府各自推各自的政策都很願意去推，我剛講得行政院只要發一個東西下來，大家都推大家的，都很努力去推，可是橫向聯繫很糟糕，會有這種狀況。(D-5-8)</w:t>
      </w:r>
    </w:p>
    <w:p w:rsidR="0049577B" w:rsidRPr="00B40DC1" w:rsidRDefault="00992AB6" w:rsidP="00306B20">
      <w:pPr>
        <w:spacing w:line="240" w:lineRule="auto"/>
        <w:ind w:leftChars="0" w:left="0" w:rightChars="0" w:right="0"/>
      </w:pPr>
      <w:r>
        <w:t xml:space="preserve">　　</w:t>
      </w:r>
      <w:r w:rsidR="0049577B" w:rsidRPr="00B40DC1">
        <w:t>就是我在類似入出國的移民業務的心得，就是我的感想啦，心得就是你這個要推，要移民署推有困難，就是我常常去行政院、經建會、經濟部開會的感覺就是，政府要推這個東西就是要有，就是可能要類似國發會的那種高度來處理，可是我感覺國發會有他的困難，因為他，就是他畢竟是有點像一個協調單位，就像陸委會一樣。所以他想做什麼，勞動部不一定鳥他，大家都本位主義。因為你這個東西後面就是一個工作許可簽證，然後你真的要做這個專技移民，真的要做，我覺得坦白說，到目前為止，我從來不覺得政府有心要去做這個東西。(E-3-4)</w:t>
      </w:r>
    </w:p>
    <w:p w:rsidR="00306B20" w:rsidRDefault="00992AB6" w:rsidP="00306B20">
      <w:pPr>
        <w:spacing w:line="240" w:lineRule="auto"/>
        <w:ind w:leftChars="0" w:left="0" w:rightChars="0" w:right="0"/>
      </w:pPr>
      <w:r>
        <w:t xml:space="preserve">　　</w:t>
      </w:r>
      <w:r w:rsidR="0049577B" w:rsidRPr="00B40DC1">
        <w:t>真的，你有時候就是部門間的一個橫向協調聯繫。當公務員我當這麼久，我很怕去開那種行政院的會議，覺得很可悲，院長要請大家做個事情，大家就互推了，剩下這個，剩下的這個很抱歉，這個又是誰的，人家推半天。這個你真的要做，就是你剛才問我，真的要做，如果用這審查基準先初步去轉換這個計分制的，我跟你講，這些部會一來第一個他就跟你吵說，哪一個部份不是他管的…。(E-7-8)</w:t>
      </w:r>
    </w:p>
    <w:p w:rsidR="00306B20" w:rsidRDefault="00992AB6" w:rsidP="00306B20">
      <w:pPr>
        <w:spacing w:line="240" w:lineRule="auto"/>
        <w:ind w:leftChars="0" w:left="0" w:rightChars="0" w:right="0"/>
      </w:pPr>
      <w:r>
        <w:t xml:space="preserve">　　</w:t>
      </w:r>
      <w:r w:rsidR="0049577B" w:rsidRPr="00B40DC1">
        <w:t>我們單單那時候，移民法</w:t>
      </w:r>
      <w:hyperlink r:id="rId418" w:anchor="b25" w:history="1">
        <w:r w:rsidR="0049577B" w:rsidRPr="00DA14DC">
          <w:rPr>
            <w:rStyle w:val="a7"/>
            <w:rFonts w:cs="Times New Roman"/>
            <w:lang w:eastAsia="zh-TW" w:bidi="ar-SA"/>
          </w:rPr>
          <w:t>25條</w:t>
        </w:r>
      </w:hyperlink>
      <w:r w:rsidR="0049577B" w:rsidRPr="00B40DC1">
        <w:t>有一個投資移民，我們那個投資移民好像要有一個基金嘛，因為是我們移民事務組在管，當初我記得那時候，那是</w:t>
      </w:r>
      <w:hyperlink r:id="rId419" w:history="1">
        <w:r w:rsidR="00E06828" w:rsidRPr="00461F58">
          <w:rPr>
            <w:rStyle w:val="a7"/>
            <w:rFonts w:cs="Times New Roman"/>
            <w:lang w:eastAsia="zh-TW" w:bidi="ar-SA"/>
          </w:rPr>
          <w:t>移民法</w:t>
        </w:r>
      </w:hyperlink>
      <w:r w:rsidR="0049577B" w:rsidRPr="00B40DC1">
        <w:t>那一次大修的時候，96年那一次大修的時候增訂的嘛，一個投資移民，然後裡面就有什麼基金什麼，那時候那個，那經建會還是什麼，那我們那時候就有，我們署就行文去，他說那不是他們管的，就是大家都在推啦，也不是說推。大家都怕多做事啦，….。就是說以移民署的立場，一定會像這個區塊，就是我剛剛提到我們謝前署長他想去定移民政策，我們內政部戶政司的人口政策科嘛，然後包括因為移民署移民事務組有一些移民輔導那些東西，本來就是人口政策在管。然後我們那時候99年100年，我們謝前署長他就很有那個企圖心想說，我們自己來主導弄一個移民政策嘛。那裡面其實他也有想過就去定這些移民的數額。跟這個其實也有關係，跟你這個也有關係。但是後來也是那時候，我們有一個移民規劃科，後來做一做也沒有做下去，因為我們是三級機關，而且針對就是，不說別的，光是這個區塊，這些不是我們的專業。牽涉的太廣了，不是我們的專業，那你要靠各部會去做，你找各部會來開會，大家都開始，就開始推了，你知道嗎?(E-7-9)</w:t>
      </w:r>
    </w:p>
    <w:p w:rsidR="0049577B" w:rsidRPr="00B40DC1" w:rsidRDefault="00992AB6" w:rsidP="00306B20">
      <w:pPr>
        <w:spacing w:line="240" w:lineRule="auto"/>
        <w:ind w:leftChars="0" w:left="0" w:rightChars="0" w:right="0"/>
      </w:pPr>
      <w:r>
        <w:t xml:space="preserve">　　</w:t>
      </w:r>
      <w:r w:rsidR="0049577B" w:rsidRPr="00B40DC1">
        <w:t>像之前我們修這個法的時候，要找這個投資移民條款的時候，那些與會的人來，都說我們其實不缺資金，我們缺的是人才。我們並不需要人家錢進來，就覺得說國外他們這個制度好，我們要怎麼樣來學加拿大這樣子用計分制，那時候我們是不是請我們的經建會啊，最主要是找經建會嘛，經建會是整個比較總體經濟對到底什麼樣，我們要吸引什麼樣的外國人才來的時候，你是不是要給我們一個意見，但經建會認為他們不是主管機關。因為我們在移民署之前從警政時代，那時候比較有情治單位那種色彩，然後變成就是改制成現在移民單位的時候，你說移民特考考進來的，我們沒有那種財經背景啊，我們又不是那個什麼財經特考，不是金融特考進來的啊，那我們怎麼樣去訂出怎麼樣可以吸引這個外國的專技的人才進來，所以就參考新加坡，就兩個都要啦。那時候美國是創造十個以上的就業機會，投資一定的金額，我們就三千萬好了，那五個就好了，就這樣子。(H-3-9)</w:t>
      </w:r>
    </w:p>
    <w:p w:rsidR="0049577B" w:rsidRPr="00B40DC1" w:rsidRDefault="00E43C92" w:rsidP="00306B20">
      <w:pPr>
        <w:pStyle w:val="afffffff"/>
        <w:spacing w:before="180" w:after="180"/>
        <w:ind w:left="723" w:hanging="440"/>
        <w:jc w:val="right"/>
      </w:pPr>
      <w:r w:rsidRPr="00E43C92">
        <w:rPr>
          <w:rFonts w:hint="eastAsia"/>
          <w:sz w:val="22"/>
          <w:szCs w:val="22"/>
        </w:rPr>
        <w:t>。。。。。。。。。。。。。。</w:t>
      </w:r>
      <w:hyperlink w:anchor="a3b6"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992AB6">
      <w:pPr>
        <w:pStyle w:val="3"/>
        <w:rPr>
          <w:lang w:eastAsia="zh-TW"/>
        </w:rPr>
      </w:pPr>
      <w:bookmarkStart w:id="96" w:name="_十二、改善政黨惡性競爭之氛圍，且令國家政策具有可持續性與發展性"/>
      <w:bookmarkEnd w:id="96"/>
      <w:r w:rsidRPr="00B40DC1">
        <w:rPr>
          <w:lang w:eastAsia="zh-TW"/>
        </w:rPr>
        <w:t>十二、改善政黨惡性競爭之氛圍，且令國家政策具有可持續性與發展性</w:t>
      </w:r>
    </w:p>
    <w:p w:rsidR="0049577B" w:rsidRPr="00B40DC1" w:rsidRDefault="00992AB6" w:rsidP="00306B20">
      <w:pPr>
        <w:spacing w:line="240" w:lineRule="auto"/>
        <w:ind w:leftChars="0" w:left="0" w:rightChars="0" w:right="0"/>
      </w:pPr>
      <w:r>
        <w:t xml:space="preserve">　　</w:t>
      </w:r>
      <w:r w:rsidR="0049577B" w:rsidRPr="00B40DC1">
        <w:t>在待需解決政治問題及民粹問題部分，部分受訪者亦直言，除政府需有清楚之移民政策，了解國內人才缺口外，再好之法令及政策，仍需要有良好之政治環境以利公部門執行法令及政策。目前臺灣面臨政治鬥爭且民粹問題嚴重，且在政黨輪替後，政策往往無法延續。</w:t>
      </w:r>
    </w:p>
    <w:p w:rsidR="0049577B" w:rsidRPr="00B40DC1" w:rsidRDefault="00992AB6" w:rsidP="00306B20">
      <w:pPr>
        <w:spacing w:line="240" w:lineRule="auto"/>
        <w:ind w:leftChars="0" w:left="0" w:rightChars="0" w:right="0"/>
      </w:pPr>
      <w:r>
        <w:t xml:space="preserve">　　</w:t>
      </w:r>
      <w:r w:rsidR="0049577B" w:rsidRPr="00B40DC1">
        <w:t>我要談的比較嚴重的問題是，我們臺灣的真正的困境在於政治的問題比較嚴重，新加坡為什麼可以推，因為新加坡的行政力較強，新加坡的行政是一黨化，他們反對黨的力量很小，他們幾乎一個政策下去，新加坡有一個現象叫做just follow law，我只要一個法律訂下去，全新加坡人都跟著走，我說在這邊左轉你不可能去右轉，可是這在臺灣是做不到的，我們講得好聽一點是非常民主，講白一點是政治鬥爭較重、民粹較重，這是我們在推行上實務上的困境。如果政治力沒那麼重，民粹沒那麼重的話，或許企業也比較願意相信政府會幫他們做事，他們需要的人才他們需要的東西開出來，政府才有辦法幫他們弄。(D-5-3)</w:t>
      </w:r>
    </w:p>
    <w:p w:rsidR="0049577B" w:rsidRPr="00B40DC1" w:rsidRDefault="00992AB6" w:rsidP="00306B20">
      <w:pPr>
        <w:spacing w:line="240" w:lineRule="auto"/>
        <w:ind w:leftChars="0" w:left="0" w:rightChars="0" w:right="0"/>
      </w:pPr>
      <w:r>
        <w:t xml:space="preserve">　　</w:t>
      </w:r>
      <w:r w:rsidR="0049577B" w:rsidRPr="00B40DC1">
        <w:t>第二就是國家來訂政策都沒有問題，但政策要執行的話我們的民粹及政治影響力太大，那時候李鴻源就講了一句話，他說若民粹問題不解決的話，不管誰來當總統都會是下一個馬英九。這句話形容得非常好，非常貼近人心。我要講得是你國家政策再訂得怎麼好，你民粹問題及政治問題不解決的話，誰來做都沒用。若建議的話，你專技移民調查的東西有了，制度有了，配套措施有了，相對的你國內需要去面對的政治問題，政府還是要跳出來去解決，而不是只有在專技移民又做一套政策出來，這一套政策又是一套空的政策，因為政策最主要是要去執行，而不是為了訂政策而去訂政策。(D-8-2)</w:t>
      </w:r>
    </w:p>
    <w:p w:rsidR="0049577B" w:rsidRPr="00B40DC1" w:rsidRDefault="00992AB6" w:rsidP="00306B20">
      <w:pPr>
        <w:spacing w:line="240" w:lineRule="auto"/>
        <w:ind w:leftChars="0" w:left="0" w:rightChars="0" w:right="0"/>
      </w:pPr>
      <w:r>
        <w:t xml:space="preserve">　　</w:t>
      </w:r>
      <w:r w:rsidR="0049577B" w:rsidRPr="00B40DC1">
        <w:t>但是，為什麼吸引不到這些人才?其實應該從國家整體的一個政策面向，新加坡他可以招募到這麼多不同的一個專業人才，他除了他國家的一個制度，他是有一貫性的做法，所以他有辦法貫徹他整個政策。新加坡行政比較是一體化，但是臺灣原則上在政策，在所謂的政黨，或者是不同的政治人物執政，那所謂的政策就沒有辦法延續的問題，導致很多，像之前前陣子還有報導，就是因為國家的政策舉棋不定，所以導致這些外來的投資，他們在國內的一個相關法令動搖或法令政策不明情況之下，他們決定撤離臺灣，這個是在最近幾年的一個，有一件蠻大的一個新聞，就是有一家那個外商公司啦，他就其實在媒體上面就有披露，提到說其實國內的，除了政策及政治沒有辦法很穩定的情況之下，他們認為說對他們整個企業可能投資會有一些造成損失，所以他們就撤離臺灣。(G-2-4)</w:t>
      </w:r>
    </w:p>
    <w:p w:rsidR="0049577B" w:rsidRPr="00E43C92" w:rsidRDefault="00306B20" w:rsidP="00306B20">
      <w:pPr>
        <w:jc w:val="right"/>
        <w:rPr>
          <w:sz w:val="22"/>
          <w:szCs w:val="22"/>
        </w:rPr>
      </w:pPr>
      <w:r w:rsidRPr="00E43C92">
        <w:rPr>
          <w:rFonts w:hint="eastAsia"/>
          <w:sz w:val="22"/>
          <w:szCs w:val="22"/>
        </w:rPr>
        <w:t>。。。。。。。。。。。。。。</w:t>
      </w:r>
      <w:hyperlink w:anchor="a3b7"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B40DC1" w:rsidRDefault="0049577B" w:rsidP="002F19DE">
      <w:pPr>
        <w:pStyle w:val="2"/>
      </w:pPr>
      <w:bookmarkStart w:id="97" w:name="_柒、結論與建議"/>
      <w:bookmarkEnd w:id="97"/>
      <w:r w:rsidRPr="00B40DC1">
        <w:t>柒、結論與建議</w:t>
      </w:r>
    </w:p>
    <w:p w:rsidR="0049577B" w:rsidRPr="00AB7AEA" w:rsidRDefault="0049577B" w:rsidP="00321574">
      <w:pPr>
        <w:pStyle w:val="3"/>
        <w:rPr>
          <w:lang w:eastAsia="zh-TW"/>
        </w:rPr>
      </w:pPr>
      <w:bookmarkStart w:id="98" w:name="_一、結論_1"/>
      <w:bookmarkEnd w:id="98"/>
      <w:r w:rsidRPr="00AB7AEA">
        <w:rPr>
          <w:lang w:eastAsia="zh-TW"/>
        </w:rPr>
        <w:t>一、結論</w:t>
      </w:r>
    </w:p>
    <w:p w:rsidR="0049577B" w:rsidRPr="00AB7AEA" w:rsidRDefault="00AB7AEA" w:rsidP="00992AB6">
      <w:pPr>
        <w:spacing w:line="240" w:lineRule="auto"/>
        <w:ind w:leftChars="0" w:left="0" w:rightChars="0" w:right="0"/>
      </w:pPr>
      <w:r>
        <w:t xml:space="preserve">　　</w:t>
      </w:r>
      <w:r w:rsidR="0049577B" w:rsidRPr="00AB7AEA">
        <w:t>本文之研究結論如下：</w:t>
      </w:r>
    </w:p>
    <w:p w:rsidR="0049577B" w:rsidRPr="00AB7AEA" w:rsidRDefault="00AB7AEA" w:rsidP="00992AB6">
      <w:pPr>
        <w:spacing w:line="240" w:lineRule="auto"/>
        <w:ind w:leftChars="0" w:left="0" w:rightChars="0" w:right="0"/>
      </w:pPr>
      <w:r>
        <w:t xml:space="preserve">　　</w:t>
      </w:r>
      <w:r w:rsidR="0049577B" w:rsidRPr="00AB7AEA">
        <w:t>(一)我國吸引技術移民之優勢及困境</w:t>
      </w:r>
    </w:p>
    <w:p w:rsidR="0049577B" w:rsidRPr="00AB7AEA" w:rsidRDefault="00AB7AEA" w:rsidP="00992AB6">
      <w:pPr>
        <w:spacing w:line="240" w:lineRule="auto"/>
        <w:ind w:leftChars="0" w:left="0" w:rightChars="0" w:right="0"/>
      </w:pPr>
      <w:r>
        <w:t xml:space="preserve">　　</w:t>
      </w:r>
      <w:r w:rsidR="0049577B" w:rsidRPr="00AB7AEA">
        <w:t>1.我國吸引技術移民之優勢</w:t>
      </w:r>
    </w:p>
    <w:p w:rsidR="0049577B" w:rsidRPr="00AB7AEA" w:rsidRDefault="00AB7AEA" w:rsidP="00992AB6">
      <w:pPr>
        <w:spacing w:line="240" w:lineRule="auto"/>
        <w:ind w:leftChars="0" w:left="0" w:rightChars="0" w:right="0"/>
      </w:pPr>
      <w:r>
        <w:t xml:space="preserve">　　</w:t>
      </w:r>
      <w:r w:rsidR="0049577B" w:rsidRPr="00AB7AEA">
        <w:t>我國在整體環境上優勢乃我國是一個友善之國家，賦有人情味。另法律及政策寬鬆之優勢，外國人若在臺灣住5年，每年住滿183天，即可申請一般之永久居留。另國外高級專業人才申請梅花卡永久居留，並不需要有居留期間限制，且申辦時不收取任何規費。梅花卡透過審查機制較彈性化且利於發現人才。藉由審查會中委員們之專業討論及審查，對申請個案一一作審查及討論，這有利於人才之發現。</w:t>
      </w:r>
    </w:p>
    <w:p w:rsidR="0049577B" w:rsidRPr="00AB7AEA" w:rsidRDefault="0049577B" w:rsidP="00992AB6">
      <w:pPr>
        <w:spacing w:line="240" w:lineRule="auto"/>
        <w:ind w:leftChars="0" w:left="0" w:rightChars="0" w:right="0"/>
      </w:pPr>
      <w:r w:rsidRPr="00AB7AEA">
        <w:t>於民國103年6月，國家發展委員會提出「強化優秀僑外生留臺工作行動計畫」，對在臺畢業之港澳生、僑生及外籍生若未符合滿2年工作經驗及企業聘僱薪資若未達新臺幣47,971元之條件，則可由擬聘僱企業代為向勞動部申請「評點配額」機制，核發其留臺工作許可。相關法令之鬆綁快速以利在臺灣完成大學以上教育之優秀僑外生，在畢業後能順利進入我國勞動市場。</w:t>
      </w:r>
    </w:p>
    <w:p w:rsidR="0049577B" w:rsidRPr="00AB7AEA" w:rsidRDefault="00AB7AEA" w:rsidP="00992AB6">
      <w:pPr>
        <w:spacing w:line="240" w:lineRule="auto"/>
        <w:ind w:leftChars="0" w:left="0" w:rightChars="0" w:right="0"/>
      </w:pPr>
      <w:r>
        <w:t xml:space="preserve">　　</w:t>
      </w:r>
      <w:r w:rsidR="0049577B" w:rsidRPr="00AB7AEA">
        <w:t>我國之技術移民可全民健保及勞工保險之優勢。我國之全民健保及勞工保險是技術移民之保障，可享有和國人同等之待遇，另全民健保費用及勞工保險費用並未過於其所能負擔，但其保障卻是很大，相較於其他國家，技術移民未必有此保障及福利。</w:t>
      </w:r>
    </w:p>
    <w:p w:rsidR="0049577B" w:rsidRPr="00AB7AEA" w:rsidRDefault="00AB7AEA" w:rsidP="00992AB6">
      <w:pPr>
        <w:spacing w:line="240" w:lineRule="auto"/>
        <w:ind w:leftChars="0" w:left="0" w:rightChars="0" w:right="0"/>
      </w:pPr>
      <w:r>
        <w:t xml:space="preserve">　　</w:t>
      </w:r>
      <w:r w:rsidR="0049577B" w:rsidRPr="00AB7AEA">
        <w:t>2.我國吸引技術移民之困境</w:t>
      </w:r>
    </w:p>
    <w:p w:rsidR="0049577B" w:rsidRPr="00AB7AEA" w:rsidRDefault="00AB7AEA" w:rsidP="00992AB6">
      <w:pPr>
        <w:spacing w:line="240" w:lineRule="auto"/>
        <w:ind w:leftChars="0" w:left="0" w:rightChars="0" w:right="0"/>
      </w:pPr>
      <w:r>
        <w:t xml:space="preserve">　　</w:t>
      </w:r>
      <w:r w:rsidR="0049577B" w:rsidRPr="00AB7AEA">
        <w:t>由於我國技術</w:t>
      </w:r>
      <w:hyperlink r:id="rId420" w:history="1">
        <w:r w:rsidR="00E06828" w:rsidRPr="00461F58">
          <w:rPr>
            <w:rStyle w:val="a7"/>
            <w:rFonts w:cs="Times New Roman"/>
            <w:lang w:eastAsia="zh-TW" w:bidi="ar-SA"/>
          </w:rPr>
          <w:t>移民法</w:t>
        </w:r>
      </w:hyperlink>
      <w:r w:rsidR="0049577B" w:rsidRPr="00AB7AEA">
        <w:t>令寬鬆，一般居留、一般永久居留及梅花卡永久居留，其權益及差異並不大，故申請梅花卡之永久居留並無太大誘因。我國對技術移民之定義相當模糊，目前國內對技術移民亦無明確定義，目前我國對技術移民之定義相當於是外國人從事就業服務法第四十六條第一項第一款至第六款工作資格及審查標準中</w:t>
      </w:r>
      <w:hyperlink r:id="rId421" w:anchor="a4" w:history="1">
        <w:r w:rsidR="00DA14DC" w:rsidRPr="00461F58">
          <w:rPr>
            <w:rStyle w:val="a7"/>
            <w:rFonts w:cs="Times New Roman"/>
            <w:lang w:eastAsia="zh-TW" w:bidi="ar-SA"/>
          </w:rPr>
          <w:t>第4條</w:t>
        </w:r>
      </w:hyperlink>
      <w:r w:rsidR="0049577B" w:rsidRPr="00AB7AEA">
        <w:t>對白領之定義。由於我國技術移民之定位及定義未釐清，故未有單獨之技術移民之政策，移民政策就在人口政策被大包裹一起被推動，以致較無實質效益。</w:t>
      </w:r>
    </w:p>
    <w:p w:rsidR="0049577B" w:rsidRPr="00AB7AEA" w:rsidRDefault="00DA14DC" w:rsidP="00992AB6">
      <w:pPr>
        <w:spacing w:line="240" w:lineRule="auto"/>
        <w:ind w:leftChars="0" w:left="0" w:rightChars="0" w:right="0"/>
      </w:pPr>
      <w:r>
        <w:t xml:space="preserve">　　</w:t>
      </w:r>
      <w:r w:rsidR="0049577B" w:rsidRPr="00AB7AEA">
        <w:t>另梅花卡永久居留權和技術移民之工作未結合，具有相當專業技術背景之梅花卡申請者在獲得梅花卡永久居留後，無法得知該些專業技術移民是否有進至我國相關專業技術領域繼續作貢獻。目前公部門無法適時掌握國內人才需求狀況，亦直接影響至國內無法訂出有適切之技術移民政策，政策推行易流於喊口號之形式。外籍高級專業人才申請梅花卡永久居留之利基不足，並無實質之權利或優惠，一方面並無準國民之權利，並無選舉權、被選舉權及租稅優惠等。另一方面，在生活中亦無優惠，至超商購物及搭乘大眾運輸系統並未享有折扣。另梅花卡永久居留流於數據及績效迷思，致使業務單位有時從資料庫尋找符合申請梅花卡資格之外籍人士，並請託他們來申請，這和原本梅花卡最初推行立意有分歧。</w:t>
      </w:r>
    </w:p>
    <w:p w:rsidR="0049577B" w:rsidRPr="00AB7AEA" w:rsidRDefault="00AB7AEA" w:rsidP="00992AB6">
      <w:pPr>
        <w:spacing w:line="240" w:lineRule="auto"/>
        <w:ind w:leftChars="0" w:left="0" w:rightChars="0" w:right="0"/>
      </w:pPr>
      <w:r>
        <w:t xml:space="preserve">　　</w:t>
      </w:r>
      <w:r w:rsidR="0049577B" w:rsidRPr="00AB7AEA">
        <w:t>再者，面對中國大陸市場的迅速發展，大陸市場的國際化程度已不輸台灣，且願意招攬技術人才之薪資也可能已超過台灣，因此，台灣在吸引外國技術移民，還必須和大陸競爭，也算是相當嚴竣之困境。此外，大陸市場除了吸收各國技術人才外，大陸國台辦在2018年2月28日宣布31條「關於促進兩岸經濟文化交流合作的若干措施」，內容涵蓋金融、就業、教育、醫療、影視等多個領域</w:t>
      </w:r>
      <w:r w:rsidR="0049577B" w:rsidRPr="00306B20">
        <w:rPr>
          <w:rFonts w:ascii="Arial Unicode MS" w:eastAsia="新細明體" w:hAnsi="Arial Unicode MS"/>
          <w:color w:val="FF6600"/>
          <w:sz w:val="20"/>
        </w:rPr>
        <w:footnoteReference w:id="472"/>
      </w:r>
      <w:r w:rsidR="0049577B" w:rsidRPr="00AB7AEA">
        <w:t>，亦即惠台31項措施，對台灣企業，採積極促進在投資和經濟合作領域加快給予台資企業與大陸企業同等待遇；對台灣人民，則逐步為臺灣同胞在大陸學習、創業、就業、生活提供與大陸同胞同等的待遇。大陸惠台31項措施，也將使台灣的人才困境，雪上加霜，非但得面臨與大陸競爭外國人才，還得加強留才，避免台灣的人才被大陸吸引，造成「台流效應」。</w:t>
      </w:r>
    </w:p>
    <w:p w:rsidR="0049577B" w:rsidRPr="00AB7AEA" w:rsidRDefault="00AB7AEA" w:rsidP="00992AB6">
      <w:pPr>
        <w:spacing w:line="240" w:lineRule="auto"/>
        <w:ind w:leftChars="0" w:left="0" w:rightChars="0" w:right="0"/>
      </w:pPr>
      <w:r>
        <w:t xml:space="preserve">　　</w:t>
      </w:r>
      <w:r w:rsidR="0049577B" w:rsidRPr="00AB7AEA">
        <w:t>(二)技術移民政策評點制之優缺點</w:t>
      </w:r>
    </w:p>
    <w:p w:rsidR="0049577B" w:rsidRPr="00AB7AEA" w:rsidRDefault="00AB7AEA" w:rsidP="00992AB6">
      <w:pPr>
        <w:spacing w:line="240" w:lineRule="auto"/>
        <w:ind w:leftChars="0" w:left="0" w:rightChars="0" w:right="0"/>
      </w:pPr>
      <w:r>
        <w:t xml:space="preserve">　　</w:t>
      </w:r>
      <w:r w:rsidR="0049577B" w:rsidRPr="00AB7AEA">
        <w:t>1.技術移民政策評點制之優點</w:t>
      </w:r>
    </w:p>
    <w:p w:rsidR="0049577B" w:rsidRPr="00AB7AEA" w:rsidRDefault="00AB7AEA" w:rsidP="00992AB6">
      <w:pPr>
        <w:spacing w:line="240" w:lineRule="auto"/>
        <w:ind w:leftChars="0" w:left="0" w:rightChars="0" w:right="0"/>
      </w:pPr>
      <w:r>
        <w:t xml:space="preserve">　　</w:t>
      </w:r>
      <w:r w:rsidR="0049577B" w:rsidRPr="00AB7AEA">
        <w:t>「評點制」是一套客觀量化制度，有其公平性制度及一個SOP標準流程，這套制度以利政府篩出符合國內所需之技術人員。評點制可配合整個國家之國情，可藉由年齡、教育程度、語文能力及工作經驗等項目之調整及設定，遴選出適合國內需要引進之技術人才，另一方面藉由上述這些項目之設定，「評點制」所遴選出移民之素質較齊全，可篩選出青壯年齡層、教育程度較高之族群、語文能力較好之族群及工作經驗較佳之族群。</w:t>
      </w:r>
    </w:p>
    <w:p w:rsidR="0049577B" w:rsidRPr="00AB7AEA" w:rsidRDefault="00AB7AEA" w:rsidP="00992AB6">
      <w:pPr>
        <w:spacing w:line="240" w:lineRule="auto"/>
        <w:ind w:leftChars="0" w:left="0" w:rightChars="0" w:right="0"/>
      </w:pPr>
      <w:r>
        <w:t xml:space="preserve">　　</w:t>
      </w:r>
      <w:r w:rsidR="0049577B" w:rsidRPr="00AB7AEA">
        <w:t>評點制能運行之前提乃政府已適時掌握國內人才需求狀況，政府已能列出國內所需之職業類別及各類別之配額。因著政府和產業互動良好，政府可適時掌握國內產業缺哪些職業類別之人才及缺額有多少，政府亦能即時攬進國內產業所需要之人才，可立即補足勞動人缺口，可提升國家競爭力。政府亦能即時來協助企業招募像各行各業產業所需要之人才，政府所招進來之技術人才不會過剩亦不會不夠。</w:t>
      </w:r>
    </w:p>
    <w:p w:rsidR="0049577B" w:rsidRPr="00AB7AEA" w:rsidRDefault="00AB7AEA" w:rsidP="00992AB6">
      <w:pPr>
        <w:spacing w:line="240" w:lineRule="auto"/>
        <w:ind w:leftChars="0" w:left="0" w:rightChars="0" w:right="0"/>
      </w:pPr>
      <w:r>
        <w:t xml:space="preserve">　　</w:t>
      </w:r>
      <w:r w:rsidR="0049577B" w:rsidRPr="00AB7AEA">
        <w:t>2.技術移民政策評點制之缺點</w:t>
      </w:r>
    </w:p>
    <w:p w:rsidR="0049577B" w:rsidRPr="00AB7AEA" w:rsidRDefault="00AB7AEA" w:rsidP="00992AB6">
      <w:pPr>
        <w:spacing w:line="240" w:lineRule="auto"/>
        <w:ind w:leftChars="0" w:left="0" w:rightChars="0" w:right="0"/>
      </w:pPr>
      <w:r>
        <w:t xml:space="preserve">　　</w:t>
      </w:r>
      <w:r w:rsidR="0049577B" w:rsidRPr="00AB7AEA">
        <w:t>「評點制」之計分標準可能會淘汰某些具高技術之移民。評點制是一套自動遴選之制度，相對地亦較機械化，可能造成某些高技術人員，因其年齡較大，教育程度不高，在這套評點制中可能會被淘汰出局。</w:t>
      </w:r>
    </w:p>
    <w:p w:rsidR="0049577B" w:rsidRPr="00AB7AEA" w:rsidRDefault="00AB7AEA" w:rsidP="00992AB6">
      <w:pPr>
        <w:spacing w:line="240" w:lineRule="auto"/>
        <w:ind w:leftChars="0" w:left="0" w:rightChars="0" w:right="0"/>
      </w:pPr>
      <w:r>
        <w:t xml:space="preserve">　　</w:t>
      </w:r>
      <w:r w:rsidR="0049577B" w:rsidRPr="00AB7AEA">
        <w:t>另外「評點制」無法符合移民政策短期目標。因評點制是一套自動且穩定遴選制度，較無法符合國內移民政策短期目標，且無法跟上不斷變動之經濟及勞動市場之腳步，無法即時回應國內所需。評點制設計有其複雜性，相關配套措施亦需被考量，公部門人力及分工不足則難以施行「評點制」。評點制運行上需有相關政府部門負責，從國內所需技術人才職業類別之調查及各職業類別所需數額之調查，從簽證許可至永久居留權之給予，評點制所牽涉之政府部門相當廣範。</w:t>
      </w:r>
    </w:p>
    <w:p w:rsidR="0049577B" w:rsidRDefault="00AB7AEA" w:rsidP="00992AB6">
      <w:pPr>
        <w:spacing w:line="240" w:lineRule="auto"/>
        <w:ind w:leftChars="0" w:left="0" w:rightChars="0" w:right="0"/>
      </w:pPr>
      <w:r>
        <w:t xml:space="preserve">　　</w:t>
      </w:r>
      <w:r w:rsidR="0049577B" w:rsidRPr="00AB7AEA">
        <w:t>評點制是一套自動化、系統化及機械式之制度，該設計難以了解移民個別意圖。評點制乃由系統設定自動篩選出符合條件之移民，但卻無法了解移民真正意圖。有些申請者或許符合評點制之標準，系統自動媒合將該申請者篩選進來，但申請者最終申請之目的為何不得而知，或許僅為取得該國家之永久居留權，若申請者內心隱藏不軌意圖，後續對移入國國家安全亦是個隱憂。</w:t>
      </w:r>
    </w:p>
    <w:p w:rsidR="00306B20" w:rsidRPr="00AB7AEA" w:rsidRDefault="003C2947" w:rsidP="00306B20">
      <w:pPr>
        <w:spacing w:line="240" w:lineRule="auto"/>
        <w:ind w:leftChars="0" w:left="0" w:rightChars="0" w:right="0"/>
        <w:jc w:val="right"/>
      </w:pPr>
      <w:r w:rsidRPr="00E43C92">
        <w:rPr>
          <w:rFonts w:hint="eastAsia"/>
          <w:sz w:val="22"/>
          <w:szCs w:val="22"/>
        </w:rPr>
        <w:t>。。。。。。。。。。。。。。</w:t>
      </w:r>
      <w:hyperlink w:anchor="a3b7"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AB7AEA" w:rsidRDefault="0049577B" w:rsidP="00321574">
      <w:pPr>
        <w:pStyle w:val="3"/>
        <w:rPr>
          <w:lang w:eastAsia="zh-TW"/>
        </w:rPr>
      </w:pPr>
      <w:bookmarkStart w:id="99" w:name="_二、建議_1"/>
      <w:bookmarkEnd w:id="99"/>
      <w:r w:rsidRPr="00AB7AEA">
        <w:rPr>
          <w:lang w:eastAsia="zh-TW"/>
        </w:rPr>
        <w:t>二、建議</w:t>
      </w:r>
    </w:p>
    <w:p w:rsidR="0049577B" w:rsidRPr="00AB7AEA" w:rsidRDefault="00AB7AEA" w:rsidP="00992AB6">
      <w:pPr>
        <w:spacing w:line="240" w:lineRule="auto"/>
        <w:ind w:leftChars="0" w:left="0" w:rightChars="0" w:right="0"/>
      </w:pPr>
      <w:r>
        <w:t xml:space="preserve">　　</w:t>
      </w:r>
      <w:r w:rsidR="0049577B" w:rsidRPr="00AB7AEA">
        <w:t>現今多數先進國家均面臨少子化、人口老化及勞動人口逐年下降之現象，在移民政策上開放引進國外勞動人口來補足國內勞動人口之不足，尤其在技術人才引進更是首選，知識就是經濟，知識就是力量，技術人才不僅能為移入國帶來大量之產值，亦能協助移入國技術領域之提升，擁有高薪之技術人才之消費力更能帶動國內經濟振興。</w:t>
      </w:r>
    </w:p>
    <w:p w:rsidR="0049577B" w:rsidRPr="00AB7AEA" w:rsidRDefault="00AB7AEA" w:rsidP="00992AB6">
      <w:pPr>
        <w:spacing w:line="240" w:lineRule="auto"/>
        <w:ind w:leftChars="0" w:left="0" w:rightChars="0" w:right="0"/>
      </w:pPr>
      <w:r>
        <w:t xml:space="preserve">　　</w:t>
      </w:r>
      <w:r w:rsidR="0049577B" w:rsidRPr="00AB7AEA">
        <w:t>以我國目前現況而言，高級專業人才欲取得我國梅花卡永久居留，申請後則需經過審查會之機制審查。評點制因為由系統自動為技術移民計分及自動遴選，比由委員來審查之審查制更為客觀、公平、科學化並可量化，在遴選技術移民上是一套可以參酌之機制，故世界各先進之國家紛紛跟進採用此制度。目前我國在「強化優秀僑外生留臺工作行動計畫」亦採用此制度，我國在遴選技術移民亦可考慮採用科學、客觀且可量化之評點制。</w:t>
      </w:r>
    </w:p>
    <w:p w:rsidR="0049577B" w:rsidRPr="00AB7AEA" w:rsidRDefault="00AB7AEA" w:rsidP="00992AB6">
      <w:pPr>
        <w:spacing w:line="240" w:lineRule="auto"/>
        <w:ind w:leftChars="0" w:left="0" w:rightChars="0" w:right="0"/>
      </w:pPr>
      <w:r>
        <w:t xml:space="preserve">　　</w:t>
      </w:r>
      <w:r w:rsidR="0049577B" w:rsidRPr="00AB7AEA">
        <w:t>本研究期望從政策面、法律面及實務面歸納出幾點建議，希冀我國技術移民政策跟著世界之脈動，能更趨完善成熟。本文之建議，如下所述。</w:t>
      </w:r>
    </w:p>
    <w:p w:rsidR="0049577B" w:rsidRPr="00AB7AEA" w:rsidRDefault="0049577B" w:rsidP="00F94BFB">
      <w:pPr>
        <w:pStyle w:val="3"/>
        <w:rPr>
          <w:lang w:eastAsia="zh-TW"/>
        </w:rPr>
      </w:pPr>
      <w:bookmarkStart w:id="100" w:name="_(一)政策面建議"/>
      <w:bookmarkEnd w:id="100"/>
      <w:r w:rsidRPr="00AB7AEA">
        <w:rPr>
          <w:lang w:eastAsia="zh-TW"/>
        </w:rPr>
        <w:t>(一)政策面建議</w:t>
      </w:r>
    </w:p>
    <w:p w:rsidR="003C1792" w:rsidRPr="00AB7AEA" w:rsidRDefault="0049577B" w:rsidP="00F94BFB">
      <w:pPr>
        <w:pStyle w:val="3"/>
        <w:rPr>
          <w:lang w:eastAsia="zh-TW"/>
        </w:rPr>
      </w:pPr>
      <w:r w:rsidRPr="00AB7AEA">
        <w:rPr>
          <w:lang w:eastAsia="zh-TW"/>
        </w:rPr>
        <w:t xml:space="preserve">1.我國技術移民制度可適時與適度地採行評點制 </w:t>
      </w:r>
    </w:p>
    <w:p w:rsidR="0049577B" w:rsidRPr="00AB7AEA" w:rsidRDefault="00AB7AEA" w:rsidP="00992AB6">
      <w:pPr>
        <w:spacing w:line="240" w:lineRule="auto"/>
        <w:ind w:leftChars="0" w:left="0" w:rightChars="0" w:right="0"/>
      </w:pPr>
      <w:r>
        <w:t xml:space="preserve">　　</w:t>
      </w:r>
      <w:r w:rsidR="0049577B" w:rsidRPr="00AB7AEA">
        <w:t>由於評點制是一套科學、客觀及可量化之遴選技術移民之機制，我國可適時參酌採行。我國可適國情先採評點制及審查併行制之方式進行。實行之方式有兩種，第一種方式是以先計分後審查制度進行。第二種方式是計分及審查雙軌併行制，一方面現行審查制可繼續運行，另一方面國內所需之高級技術人才，可以先試用評點制，且在制度之設計上可以提供技術移民更佳之優惠，且可以給該些招聘企業更好之配套措施。</w:t>
      </w:r>
    </w:p>
    <w:p w:rsidR="0049577B" w:rsidRPr="00AB7AEA" w:rsidRDefault="00AB7AEA" w:rsidP="00992AB6">
      <w:pPr>
        <w:spacing w:line="240" w:lineRule="auto"/>
        <w:ind w:leftChars="0" w:left="0" w:rightChars="0" w:right="0"/>
      </w:pPr>
      <w:r>
        <w:t xml:space="preserve">　　</w:t>
      </w:r>
      <w:r w:rsidR="0049577B" w:rsidRPr="00AB7AEA">
        <w:t>另外我國可在評點制之計分項目中作符合國情需求之設定，例如國別、年齡及家庭適應能力等計分項目設定，例如讓比較沒有疑慮之國別技術移民核予較高分數，例如設定申請者年齡若為青壯年，則核予較高分數；例如技術移民之家人適應能力良好者，則核予較高分數。可以藉由評點制上某些項目之設計以利遴選出我國所需之技術移民。</w:t>
      </w:r>
    </w:p>
    <w:p w:rsidR="0049577B" w:rsidRPr="00AB7AEA" w:rsidRDefault="0049577B" w:rsidP="00F94BFB">
      <w:pPr>
        <w:pStyle w:val="3"/>
        <w:rPr>
          <w:lang w:eastAsia="zh-TW"/>
        </w:rPr>
      </w:pPr>
      <w:r w:rsidRPr="00AB7AEA">
        <w:rPr>
          <w:lang w:eastAsia="zh-TW"/>
        </w:rPr>
        <w:t>2.梅花卡永久居留權宜和技術移民之工作結合</w:t>
      </w:r>
    </w:p>
    <w:p w:rsidR="0049577B" w:rsidRPr="00AB7AEA" w:rsidRDefault="0049577B" w:rsidP="00992AB6">
      <w:pPr>
        <w:spacing w:line="240" w:lineRule="auto"/>
        <w:ind w:leftChars="0" w:left="0" w:rightChars="0" w:right="0"/>
      </w:pPr>
      <w:r w:rsidRPr="00AB7AEA">
        <w:t>加拿大、紐西蘭及澳洲等國家之技術移民，一方面能在移入國從事技術工作，另一方面還能獲得永久居留權利。加拿大、紐西蘭及澳洲技術移民之永久居留權和技術工作結合，更可確保國家攬進來之高技術人才繼續在其國家作貢獻。</w:t>
      </w:r>
    </w:p>
    <w:p w:rsidR="0049577B" w:rsidRDefault="0049577B" w:rsidP="00992AB6">
      <w:pPr>
        <w:spacing w:line="240" w:lineRule="auto"/>
        <w:ind w:leftChars="0" w:left="0" w:rightChars="0" w:right="0"/>
      </w:pPr>
      <w:r w:rsidRPr="00AB7AEA">
        <w:t>目前我國梅花卡永久居留制度和高級專業人才之技術工作並未結合，實屬相當可惜。高級專業人才在獲得梅花卡永久居留後，是否在我國就業市場繼續貢獻專業技術則不得而知。我國未來在延攬國外技術移民政策上，可考慮將梅花卡永久居留權和技術移民之工作結合。</w:t>
      </w:r>
    </w:p>
    <w:p w:rsidR="00E43C92" w:rsidRPr="00AB7AEA" w:rsidRDefault="00E43C92" w:rsidP="00E43C92">
      <w:pPr>
        <w:spacing w:line="240" w:lineRule="auto"/>
        <w:ind w:leftChars="0" w:left="0" w:rightChars="0" w:right="0"/>
        <w:jc w:val="right"/>
      </w:pPr>
      <w:r w:rsidRPr="00E43C92">
        <w:rPr>
          <w:rFonts w:hint="eastAsia"/>
          <w:sz w:val="22"/>
          <w:szCs w:val="22"/>
        </w:rPr>
        <w:t>。。。。。。。。。。。。。。</w:t>
      </w:r>
      <w:hyperlink w:anchor="a3b7"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3C1792" w:rsidRPr="00AB7AEA" w:rsidRDefault="0049577B" w:rsidP="00F94BFB">
      <w:pPr>
        <w:pStyle w:val="3"/>
        <w:rPr>
          <w:lang w:eastAsia="zh-TW"/>
        </w:rPr>
      </w:pPr>
      <w:r w:rsidRPr="00AB7AEA">
        <w:rPr>
          <w:lang w:eastAsia="zh-TW"/>
        </w:rPr>
        <w:t xml:space="preserve">3.建置技術移民永久居留人才資料庫 </w:t>
      </w:r>
    </w:p>
    <w:p w:rsidR="0049577B" w:rsidRPr="00B40DC1" w:rsidRDefault="00AB7AEA" w:rsidP="00992AB6">
      <w:pPr>
        <w:spacing w:line="240" w:lineRule="auto"/>
        <w:ind w:leftChars="0" w:left="0" w:rightChars="0" w:right="0"/>
      </w:pPr>
      <w:r>
        <w:t xml:space="preserve">　　</w:t>
      </w:r>
      <w:r w:rsidR="0049577B" w:rsidRPr="00B40DC1">
        <w:t>由於目前我國梅花卡永久居留制度和高級專業人才之技術工作並未結合，故亦無法掌握獲得梅花卡永久居留之高級專業人才在我國就業狀況。建議在許可給予高級專業人才梅花卡後，後續可建置人才資料庫，以利我國人才運用，高級專業人才個資之運用在我國</w:t>
      </w:r>
      <w:hyperlink r:id="rId422" w:history="1">
        <w:r w:rsidR="0049577B" w:rsidRPr="00DA14DC">
          <w:rPr>
            <w:rStyle w:val="a7"/>
            <w:rFonts w:cs="Times New Roman"/>
            <w:lang w:eastAsia="zh-TW" w:bidi="ar-SA"/>
          </w:rPr>
          <w:t>個資法</w:t>
        </w:r>
      </w:hyperlink>
      <w:r w:rsidR="0049577B" w:rsidRPr="00B40DC1">
        <w:t>個資規範上宜作特別規定。</w:t>
      </w:r>
    </w:p>
    <w:p w:rsidR="0049577B" w:rsidRPr="00AB7AEA" w:rsidRDefault="0049577B" w:rsidP="00E43C92">
      <w:pPr>
        <w:pStyle w:val="3"/>
        <w:rPr>
          <w:lang w:eastAsia="zh-TW"/>
        </w:rPr>
      </w:pPr>
      <w:r w:rsidRPr="00AB7AEA">
        <w:rPr>
          <w:lang w:eastAsia="zh-TW"/>
        </w:rPr>
        <w:t>4.強化我國經濟發展之潛力與條件，並積極改善工作條件與生活環境，營造一個有利於外國專技人才工作與生活之溫馨環境</w:t>
      </w:r>
      <w:r w:rsidRPr="00AB7AEA">
        <w:rPr>
          <w:rFonts w:ascii="Arial Unicode MS" w:eastAsia="新細明體" w:hAnsi="Arial Unicode MS"/>
          <w:color w:val="FF6600"/>
          <w:sz w:val="20"/>
        </w:rPr>
        <w:footnoteReference w:id="473"/>
      </w:r>
    </w:p>
    <w:p w:rsidR="0049577B" w:rsidRPr="00B40DC1" w:rsidRDefault="00AB7AEA" w:rsidP="00992AB6">
      <w:pPr>
        <w:spacing w:line="240" w:lineRule="auto"/>
        <w:ind w:leftChars="0" w:left="0" w:rightChars="0" w:right="0"/>
      </w:pPr>
      <w:r>
        <w:t xml:space="preserve">　　</w:t>
      </w:r>
      <w:r w:rsidR="0049577B" w:rsidRPr="00B40DC1">
        <w:t>於2015年5月底，我國工業及服務業受僱員工總人數，係為736萬4千人，5月經常性薪資為38,637元，5月薪資平均為43,845元，1至5月經常性薪資平均為38,490元，同期薪資平均為53,746元。由於我國經常性薪資僅為38,637元，薪資平均為43,845元</w:t>
      </w:r>
      <w:r w:rsidR="0049577B" w:rsidRPr="00AB7AEA">
        <w:rPr>
          <w:rStyle w:val="af7"/>
          <w:rFonts w:eastAsia="新細明體"/>
          <w:sz w:val="20"/>
        </w:rPr>
        <w:footnoteReference w:id="474"/>
      </w:r>
      <w:r w:rsidR="0049577B" w:rsidRPr="00B40DC1">
        <w:t>，似乎，是有偏低之情形，於此，恐較難吸引外國專技人才來台工作，我國宜強化我國經濟發展之潛力與條件，大幅提升薪資平均之水平。</w:t>
      </w:r>
    </w:p>
    <w:p w:rsidR="0049577B" w:rsidRPr="00B40DC1" w:rsidRDefault="0049577B" w:rsidP="00992AB6">
      <w:pPr>
        <w:spacing w:line="240" w:lineRule="auto"/>
        <w:ind w:leftChars="0" w:left="0" w:rightChars="0" w:right="0"/>
      </w:pPr>
      <w:r w:rsidRPr="00B40DC1">
        <w:t>我國實質薪資停滯之可能成因，根據中研院經濟所陳香如研究員與郭哲瑋氏之研究，原因如下</w:t>
      </w:r>
      <w:r w:rsidRPr="00AB7AEA">
        <w:rPr>
          <w:rStyle w:val="af7"/>
          <w:rFonts w:eastAsia="新細明體"/>
          <w:sz w:val="20"/>
        </w:rPr>
        <w:footnoteReference w:id="475"/>
      </w:r>
      <w:r w:rsidRPr="00B40DC1">
        <w:t>：</w:t>
      </w:r>
    </w:p>
    <w:p w:rsidR="0049577B" w:rsidRPr="00B40DC1" w:rsidRDefault="00AB7AEA" w:rsidP="00992AB6">
      <w:pPr>
        <w:spacing w:line="240" w:lineRule="auto"/>
        <w:ind w:leftChars="0" w:left="0" w:rightChars="0" w:right="0"/>
      </w:pPr>
      <w:r>
        <w:t xml:space="preserve">　　</w:t>
      </w:r>
      <w:r w:rsidR="0049577B" w:rsidRPr="00B40DC1">
        <w:t>(1)中國大陸改革開放、造成台灣產業大量外移；</w:t>
      </w:r>
    </w:p>
    <w:p w:rsidR="0049577B" w:rsidRPr="00B40DC1" w:rsidRDefault="00AB7AEA" w:rsidP="00992AB6">
      <w:pPr>
        <w:spacing w:line="240" w:lineRule="auto"/>
        <w:ind w:leftChars="0" w:left="0" w:rightChars="0" w:right="0"/>
      </w:pPr>
      <w:r>
        <w:t xml:space="preserve">　　</w:t>
      </w:r>
      <w:r w:rsidR="0049577B" w:rsidRPr="00B40DC1">
        <w:t>(2)超乎想像快速之全球化；</w:t>
      </w:r>
    </w:p>
    <w:p w:rsidR="0049577B" w:rsidRPr="00B40DC1" w:rsidRDefault="00AB7AEA" w:rsidP="00992AB6">
      <w:pPr>
        <w:spacing w:line="240" w:lineRule="auto"/>
        <w:ind w:leftChars="0" w:left="0" w:rightChars="0" w:right="0"/>
        <w:rPr>
          <w:kern w:val="0"/>
        </w:rPr>
      </w:pPr>
      <w:r>
        <w:t xml:space="preserve">　　</w:t>
      </w:r>
      <w:r w:rsidR="0049577B" w:rsidRPr="00B40DC1">
        <w:t>(3)台灣產業升級之速度，無法追上快速之全球化（</w:t>
      </w:r>
      <w:r w:rsidR="0049577B" w:rsidRPr="00B40DC1">
        <w:rPr>
          <w:kern w:val="0"/>
        </w:rPr>
        <w:t>產業技術升級趕不上全球化腳步）；</w:t>
      </w:r>
    </w:p>
    <w:p w:rsidR="0049577B" w:rsidRPr="00B40DC1" w:rsidRDefault="00AB7AEA" w:rsidP="00992AB6">
      <w:pPr>
        <w:spacing w:line="240" w:lineRule="auto"/>
        <w:ind w:leftChars="0" w:left="0" w:rightChars="0" w:right="0"/>
      </w:pPr>
      <w:r>
        <w:rPr>
          <w:kern w:val="0"/>
        </w:rPr>
        <w:t xml:space="preserve">　　</w:t>
      </w:r>
      <w:r w:rsidR="0049577B" w:rsidRPr="00B40DC1">
        <w:rPr>
          <w:kern w:val="0"/>
        </w:rPr>
        <w:t>(4)</w:t>
      </w:r>
      <w:r w:rsidR="0049577B" w:rsidRPr="00B40DC1">
        <w:t>月薪22K所產生之定錨效果；</w:t>
      </w:r>
    </w:p>
    <w:p w:rsidR="0049577B" w:rsidRPr="00B40DC1" w:rsidRDefault="00AB7AEA" w:rsidP="00992AB6">
      <w:pPr>
        <w:spacing w:line="240" w:lineRule="auto"/>
        <w:ind w:leftChars="0" w:left="0" w:rightChars="0" w:right="0"/>
      </w:pPr>
      <w:r>
        <w:t xml:space="preserve">　　</w:t>
      </w:r>
      <w:r w:rsidR="0049577B" w:rsidRPr="00B40DC1">
        <w:t>(5)企業主不願大幅度地將所得分配與受雇者；</w:t>
      </w:r>
    </w:p>
    <w:p w:rsidR="0049577B" w:rsidRPr="00B40DC1" w:rsidRDefault="00AB7AEA" w:rsidP="00992AB6">
      <w:pPr>
        <w:spacing w:line="240" w:lineRule="auto"/>
        <w:ind w:leftChars="0" w:left="0" w:rightChars="0" w:right="0"/>
      </w:pPr>
      <w:r>
        <w:t xml:space="preserve">　　</w:t>
      </w:r>
      <w:r w:rsidR="0049577B" w:rsidRPr="00B40DC1">
        <w:t>(6)「調升法定最低工資」已造成全國之底層勞動力集體失業；</w:t>
      </w:r>
    </w:p>
    <w:p w:rsidR="0049577B" w:rsidRPr="00B40DC1" w:rsidRDefault="00AB7AEA" w:rsidP="00992AB6">
      <w:pPr>
        <w:spacing w:line="240" w:lineRule="auto"/>
        <w:ind w:leftChars="0" w:left="0" w:rightChars="0" w:right="0"/>
      </w:pPr>
      <w:r>
        <w:t xml:space="preserve">　　</w:t>
      </w:r>
      <w:r w:rsidR="0049577B" w:rsidRPr="00B40DC1">
        <w:t>(7)在貿易開放之前，配套措施未充分被實施；</w:t>
      </w:r>
    </w:p>
    <w:p w:rsidR="0049577B" w:rsidRPr="00B40DC1" w:rsidRDefault="00AB7AEA" w:rsidP="00992AB6">
      <w:pPr>
        <w:spacing w:line="240" w:lineRule="auto"/>
        <w:ind w:leftChars="0" w:left="0" w:rightChars="0" w:right="0"/>
      </w:pPr>
      <w:r>
        <w:t xml:space="preserve">　　</w:t>
      </w:r>
      <w:r w:rsidR="0049577B" w:rsidRPr="00B40DC1">
        <w:t>(8)對外籍專業人士與投資移民之各項限制，無法適時鬆綁，無法吸引高級技術人員來台；</w:t>
      </w:r>
    </w:p>
    <w:p w:rsidR="0049577B" w:rsidRPr="00B40DC1" w:rsidRDefault="00AB7AEA" w:rsidP="00992AB6">
      <w:pPr>
        <w:spacing w:line="240" w:lineRule="auto"/>
        <w:ind w:leftChars="0" w:left="0" w:rightChars="0" w:right="0"/>
      </w:pPr>
      <w:r>
        <w:t xml:space="preserve">　　</w:t>
      </w:r>
      <w:r w:rsidR="0049577B" w:rsidRPr="00B40DC1">
        <w:t>(9)廣設大學，並非我國實質薪資停滯之可能成因，但是，高等教育宜多元化，不應只訓練學生具備產業界所需之技術能力，而是培養具學習能力、思考力和行動力之學生。</w:t>
      </w:r>
    </w:p>
    <w:p w:rsidR="0049577B" w:rsidRPr="00B40DC1" w:rsidRDefault="00AB7AEA" w:rsidP="00992AB6">
      <w:pPr>
        <w:spacing w:line="240" w:lineRule="auto"/>
        <w:ind w:leftChars="0" w:left="0" w:rightChars="0" w:right="0"/>
      </w:pPr>
      <w:r>
        <w:t xml:space="preserve">　　</w:t>
      </w:r>
      <w:r w:rsidR="0049577B" w:rsidRPr="00B40DC1">
        <w:t>另外，根據台大經濟所林向愷教授之研究，假若就全球化對台灣社會與經濟之衝擊而論，其認為具有以下之特色</w:t>
      </w:r>
      <w:r w:rsidR="0049577B" w:rsidRPr="00AB7AEA">
        <w:rPr>
          <w:rStyle w:val="af7"/>
          <w:rFonts w:eastAsia="新細明體"/>
          <w:sz w:val="20"/>
        </w:rPr>
        <w:footnoteReference w:id="476"/>
      </w:r>
      <w:r w:rsidR="0049577B" w:rsidRPr="00B40DC1">
        <w:t>：</w:t>
      </w:r>
    </w:p>
    <w:p w:rsidR="0049577B" w:rsidRPr="00B40DC1" w:rsidRDefault="00AB7AEA" w:rsidP="00992AB6">
      <w:pPr>
        <w:spacing w:line="240" w:lineRule="auto"/>
        <w:ind w:leftChars="0" w:left="0" w:rightChars="0" w:right="0"/>
      </w:pPr>
      <w:r>
        <w:t xml:space="preserve">　　</w:t>
      </w:r>
      <w:r w:rsidR="0049577B" w:rsidRPr="00B40DC1">
        <w:t>(1)在高速之全球化下，台灣未能與先進之國家，發展一套更加密切之經貿關係。</w:t>
      </w:r>
    </w:p>
    <w:p w:rsidR="0049577B" w:rsidRPr="00B40DC1" w:rsidRDefault="00AB7AEA" w:rsidP="00992AB6">
      <w:pPr>
        <w:spacing w:line="240" w:lineRule="auto"/>
        <w:ind w:leftChars="0" w:left="0" w:rightChars="0" w:right="0"/>
      </w:pPr>
      <w:r>
        <w:t xml:space="preserve">　　</w:t>
      </w:r>
      <w:r w:rsidR="0049577B" w:rsidRPr="00B40DC1">
        <w:t>(2)由於台灣未能與先進國家發展一套更加密切之經貿關係，導致於先進國家之高層次商品之生產，或新技術無法引進台灣。</w:t>
      </w:r>
    </w:p>
    <w:p w:rsidR="0049577B" w:rsidRPr="00B40DC1" w:rsidRDefault="00AB7AEA" w:rsidP="00992AB6">
      <w:pPr>
        <w:spacing w:line="240" w:lineRule="auto"/>
        <w:ind w:leftChars="0" w:left="0" w:rightChars="0" w:right="0"/>
      </w:pPr>
      <w:r>
        <w:t xml:space="preserve">　　</w:t>
      </w:r>
      <w:r w:rsidR="0049577B" w:rsidRPr="00B40DC1">
        <w:t>(3)更由於高層次商品之生產與新技術無法引入台灣，故其所創造出來之有限工作機會，無法填補台灣對後進國家之投資比重過高（如中國），所導致流失之工作機會。</w:t>
      </w:r>
    </w:p>
    <w:p w:rsidR="0049577B" w:rsidRPr="00B40DC1" w:rsidRDefault="00AB7AEA" w:rsidP="00992AB6">
      <w:pPr>
        <w:spacing w:line="240" w:lineRule="auto"/>
        <w:ind w:leftChars="0" w:left="0" w:rightChars="0" w:right="0"/>
      </w:pPr>
      <w:r>
        <w:t xml:space="preserve">　　</w:t>
      </w:r>
      <w:r w:rsidR="0049577B" w:rsidRPr="00B40DC1">
        <w:t>(4)因此，全球化對台灣之失業率，薪資所得成長率以及家庭所得差異之衝擊特別嚴重。</w:t>
      </w:r>
    </w:p>
    <w:p w:rsidR="0049577B" w:rsidRPr="00B40DC1" w:rsidRDefault="00AB7AEA" w:rsidP="00992AB6">
      <w:pPr>
        <w:spacing w:line="240" w:lineRule="auto"/>
        <w:ind w:leftChars="0" w:left="0" w:rightChars="0" w:right="0"/>
        <w:rPr>
          <w:kern w:val="0"/>
        </w:rPr>
      </w:pPr>
      <w:r>
        <w:rPr>
          <w:kern w:val="0"/>
        </w:rPr>
        <w:t xml:space="preserve">　　</w:t>
      </w:r>
      <w:r w:rsidR="0049577B" w:rsidRPr="00B40DC1">
        <w:rPr>
          <w:kern w:val="0"/>
        </w:rPr>
        <w:t>是以，如欲</w:t>
      </w:r>
      <w:r w:rsidR="0049577B" w:rsidRPr="00B40DC1">
        <w:t>強化我國經濟發展之潛力與條件，並積極改善工作條件，相關之配套措施，本文建議如下：1.台灣產業升級之速度，宜追上快速之全球化</w:t>
      </w:r>
      <w:r w:rsidR="0049577B" w:rsidRPr="00B40DC1">
        <w:rPr>
          <w:kern w:val="0"/>
        </w:rPr>
        <w:t>；2.宜減緩或中止</w:t>
      </w:r>
      <w:r w:rsidR="0049577B" w:rsidRPr="00B40DC1">
        <w:t>台灣產業大量外移之速度；3.企業主宜將利潤所得，適切地分配與受雇者；4.在貿易開放之前，配套措施應被實施；5.</w:t>
      </w:r>
      <w:r w:rsidR="0049577B" w:rsidRPr="00B40DC1">
        <w:rPr>
          <w:kern w:val="0"/>
        </w:rPr>
        <w:t>對外籍專業人士與投資移民之各項法制上及行政上之限制，宜適時鬆綁，以吸引高級技術人員來台；6.高等教育不宜淪為職業訓練所，宜培養學生之學習能力、思考力和行動力；7.</w:t>
      </w:r>
      <w:r w:rsidR="0049577B" w:rsidRPr="00B40DC1">
        <w:t>台灣宜與先進國家發展一套更加密切之經貿關係，令先進國家之高層次商品之生產，或新技術順利地引進台灣</w:t>
      </w:r>
      <w:r w:rsidR="0049577B" w:rsidRPr="00B40DC1">
        <w:rPr>
          <w:kern w:val="0"/>
        </w:rPr>
        <w:t>。</w:t>
      </w:r>
    </w:p>
    <w:p w:rsidR="0049577B" w:rsidRPr="00B40DC1" w:rsidRDefault="00321574" w:rsidP="00992AB6">
      <w:pPr>
        <w:spacing w:line="240" w:lineRule="auto"/>
        <w:ind w:leftChars="0" w:left="0" w:rightChars="0" w:right="0"/>
      </w:pPr>
      <w:r>
        <w:t xml:space="preserve">　　</w:t>
      </w:r>
      <w:r w:rsidR="0049577B" w:rsidRPr="00B40DC1">
        <w:t>復次，台灣如欲達到以上之目標，由其是如欲令先進國家之新技術能順利地進入台灣，特別須藉助於外籍專業人才。在此脈絡之下，更彰顯出營造一個有利於外國專技人才工作與生活之溫馨環境，有其必要性。在積極改善工作條件與生活環境，營造一個有利於外國專技人才工作與生活之溫馨環境方面，針對外籍專業人才之食、衣、住、行、娛樂、子女教育、與工作之層次，宜建置溫馨之生活環境機能，俾利其能安心於台灣工作。</w:t>
      </w:r>
    </w:p>
    <w:p w:rsidR="003C1792" w:rsidRPr="00AB7AEA" w:rsidRDefault="0049577B" w:rsidP="00E43C92">
      <w:pPr>
        <w:pStyle w:val="3"/>
        <w:rPr>
          <w:lang w:eastAsia="zh-TW"/>
        </w:rPr>
      </w:pPr>
      <w:r w:rsidRPr="00AB7AEA">
        <w:rPr>
          <w:lang w:eastAsia="zh-TW"/>
        </w:rPr>
        <w:t xml:space="preserve">5.放寬技術移民或婚姻移民具一定技能者單一國籍之限制 </w:t>
      </w:r>
    </w:p>
    <w:p w:rsidR="0049577B" w:rsidRPr="00B40DC1" w:rsidRDefault="00AB7AEA" w:rsidP="00992AB6">
      <w:pPr>
        <w:spacing w:line="240" w:lineRule="auto"/>
        <w:ind w:leftChars="0" w:left="0" w:rightChars="0" w:right="0"/>
      </w:pPr>
      <w:r>
        <w:t xml:space="preserve">　　</w:t>
      </w:r>
      <w:r w:rsidR="0049577B" w:rsidRPr="00B40DC1">
        <w:t>外籍專業人才，如擬取得我國國籍，我國一向是不容許其擁有雙重國籍，以確保其對中華民國國家認同之忠貞。不過，此項之單一國籍政策，恐與吸引外籍專業人才來台之移民政策，會有衝突之現象。於2013年，曾發生一個著名之案例，即籃球好手戴維斯，於2013年7月時，擬歸化我國，但其須放棄美國籍，為此，國內即針對外籍專業人才，如擬取得我國國籍，我國是否可容許其擁有雙重國籍，進行廣泛地討論</w:t>
      </w:r>
      <w:r w:rsidR="0049577B" w:rsidRPr="00AB7AEA">
        <w:rPr>
          <w:rStyle w:val="af7"/>
          <w:rFonts w:eastAsia="新細明體"/>
          <w:sz w:val="20"/>
        </w:rPr>
        <w:footnoteReference w:id="477"/>
      </w:r>
      <w:r w:rsidR="0049577B" w:rsidRPr="00B40DC1">
        <w:t>。</w:t>
      </w:r>
    </w:p>
    <w:p w:rsidR="003C1792" w:rsidRDefault="00AB7AEA" w:rsidP="00992AB6">
      <w:pPr>
        <w:spacing w:line="240" w:lineRule="auto"/>
        <w:ind w:leftChars="0" w:left="0" w:rightChars="0" w:right="0"/>
      </w:pPr>
      <w:r>
        <w:t xml:space="preserve">　　</w:t>
      </w:r>
      <w:r w:rsidR="0049577B" w:rsidRPr="00B40DC1">
        <w:t>為此，</w:t>
      </w:r>
      <w:r w:rsidR="0049577B" w:rsidRPr="00B40DC1">
        <w:rPr>
          <w:lang w:eastAsia="zh-HK"/>
        </w:rPr>
        <w:t>政府已通過</w:t>
      </w:r>
      <w:r w:rsidR="0049577B" w:rsidRPr="00B40DC1">
        <w:t>《</w:t>
      </w:r>
      <w:hyperlink r:id="rId423" w:history="1">
        <w:r w:rsidR="004B3637" w:rsidRPr="004B3637">
          <w:rPr>
            <w:rStyle w:val="a7"/>
            <w:rFonts w:cs="Times New Roman"/>
            <w:lang w:eastAsia="zh-TW" w:bidi="ar-SA"/>
          </w:rPr>
          <w:t>國籍法</w:t>
        </w:r>
      </w:hyperlink>
      <w:r w:rsidR="0049577B" w:rsidRPr="00B40DC1">
        <w:t>》修正草案，明定外籍專業人才，若經內政部邀請社會公正人士、相關機關審核通過者，申請歸化我國國籍之時，我國政府將允許其擁有雙重國籍，本文對於此一政策，表示肯定，主要之原因，乃擁有雙重國籍之政策，針對於吸引外國專技人才而言，係為一種加分之機制，</w:t>
      </w:r>
      <w:r w:rsidR="0049577B" w:rsidRPr="00B40DC1">
        <w:rPr>
          <w:lang w:eastAsia="zh-HK"/>
        </w:rPr>
        <w:t>更期待在開放高級專業人才之後，能再放寬一般性技術移民，或是婚姻移民本身具有一定之技能者，也能擁有雙重國籍</w:t>
      </w:r>
      <w:r w:rsidR="0049577B" w:rsidRPr="00B40DC1">
        <w:t>，令更多之外籍專業人才，願意取得我國國籍。</w:t>
      </w:r>
    </w:p>
    <w:p w:rsidR="003C1792" w:rsidRPr="00AB7AEA" w:rsidRDefault="0049577B" w:rsidP="00E43C92">
      <w:pPr>
        <w:pStyle w:val="3"/>
        <w:rPr>
          <w:lang w:eastAsia="zh-TW"/>
        </w:rPr>
      </w:pPr>
      <w:r w:rsidRPr="00AB7AEA">
        <w:rPr>
          <w:lang w:eastAsia="zh-TW"/>
        </w:rPr>
        <w:t xml:space="preserve">6.改善政黨惡鬥之氛圍，強化國家政策具有可持續性與可發展性之機制 </w:t>
      </w:r>
    </w:p>
    <w:p w:rsidR="0049577B" w:rsidRPr="00B40DC1" w:rsidRDefault="00AB7AEA" w:rsidP="00992AB6">
      <w:pPr>
        <w:spacing w:line="240" w:lineRule="auto"/>
        <w:ind w:leftChars="0" w:left="0" w:rightChars="0" w:right="0"/>
      </w:pPr>
      <w:r>
        <w:t xml:space="preserve">　　</w:t>
      </w:r>
      <w:r w:rsidR="0049577B" w:rsidRPr="00B40DC1">
        <w:t>根據中國時報社論之觀點，我國之憲政設計並非良好，易造成兩個政黨惡鬥嚴重，遂造成政府失能，進一步促使製造業大量外移，造成我國之產業，形成空洞化之現象。復次，我國產業之轉型與升級，受到頓挫與困境，再加上服務業國際化與現代化之步調，嚴重落後其他國家，造成我國經濟困頓之局面</w:t>
      </w:r>
      <w:r w:rsidR="0049577B" w:rsidRPr="00AB7AEA">
        <w:rPr>
          <w:rStyle w:val="af7"/>
          <w:rFonts w:eastAsia="新細明體"/>
          <w:sz w:val="20"/>
        </w:rPr>
        <w:footnoteReference w:id="478"/>
      </w:r>
      <w:r w:rsidR="0049577B" w:rsidRPr="00B40DC1">
        <w:t>。</w:t>
      </w:r>
    </w:p>
    <w:p w:rsidR="0049577B" w:rsidRDefault="00AB7AEA" w:rsidP="00992AB6">
      <w:pPr>
        <w:spacing w:line="240" w:lineRule="auto"/>
        <w:ind w:leftChars="0" w:left="0" w:rightChars="0" w:right="0"/>
      </w:pPr>
      <w:r>
        <w:t xml:space="preserve">　　</w:t>
      </w:r>
      <w:r w:rsidR="0049577B" w:rsidRPr="00B40DC1">
        <w:t>本文認為，植基於以上之論述，由於我國政府效能不佳，兩個政黨惡鬥嚴重，重大之國家政策，不具有可持續性與可發展性，亦會造成本國籍與外籍廠商不願在台設廠，導致外籍專業人才無心來台工作。是以，有必要改善政黨惡鬥之氛圍，強化國家政策具有可持續性與可發展性之機制。</w:t>
      </w:r>
    </w:p>
    <w:p w:rsidR="00E43C92" w:rsidRPr="00B40DC1" w:rsidRDefault="00E43C92" w:rsidP="00E43C92">
      <w:pPr>
        <w:spacing w:line="240" w:lineRule="auto"/>
        <w:ind w:leftChars="0" w:left="0" w:rightChars="0" w:right="0"/>
        <w:jc w:val="right"/>
      </w:pPr>
      <w:r w:rsidRPr="00E43C92">
        <w:rPr>
          <w:rFonts w:hint="eastAsia"/>
          <w:sz w:val="22"/>
          <w:szCs w:val="22"/>
        </w:rPr>
        <w:t>。。。。。。。。。。。。。。</w:t>
      </w:r>
      <w:hyperlink w:anchor="a3b7"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3C1792" w:rsidRPr="00AB7AEA" w:rsidRDefault="0049577B" w:rsidP="00E43C92">
      <w:pPr>
        <w:pStyle w:val="3"/>
        <w:rPr>
          <w:lang w:eastAsia="zh-TW"/>
        </w:rPr>
      </w:pPr>
      <w:bookmarkStart w:id="101" w:name="_(二)法律建議"/>
      <w:bookmarkEnd w:id="101"/>
      <w:r w:rsidRPr="00AB7AEA">
        <w:rPr>
          <w:lang w:eastAsia="zh-TW"/>
        </w:rPr>
        <w:t xml:space="preserve">(二)法律建議 </w:t>
      </w:r>
    </w:p>
    <w:p w:rsidR="0049577B" w:rsidRPr="00AB7AEA" w:rsidRDefault="0049577B" w:rsidP="00E43C92">
      <w:pPr>
        <w:pStyle w:val="3"/>
        <w:rPr>
          <w:lang w:eastAsia="zh-TW"/>
        </w:rPr>
      </w:pPr>
      <w:r w:rsidRPr="00AB7AEA">
        <w:rPr>
          <w:lang w:eastAsia="zh-TW"/>
        </w:rPr>
        <w:t>1.宜強化國會議事之功能，縮短相關</w:t>
      </w:r>
      <w:hyperlink r:id="rId424" w:history="1">
        <w:r w:rsidR="00E06828" w:rsidRPr="00461F58">
          <w:rPr>
            <w:rStyle w:val="a7"/>
            <w:rFonts w:cs="Times New Roman"/>
            <w:lang w:eastAsia="zh-TW" w:bidi="ar-SA"/>
          </w:rPr>
          <w:t>移民法</w:t>
        </w:r>
      </w:hyperlink>
      <w:r w:rsidRPr="00AB7AEA">
        <w:rPr>
          <w:lang w:eastAsia="zh-TW"/>
        </w:rPr>
        <w:t>令審議期，以立法授權方式，機動地調整移民政策</w:t>
      </w:r>
    </w:p>
    <w:p w:rsidR="0049577B" w:rsidRPr="00B40DC1" w:rsidRDefault="00AB7AEA" w:rsidP="00992AB6">
      <w:pPr>
        <w:spacing w:line="240" w:lineRule="auto"/>
        <w:ind w:leftChars="0" w:left="0" w:rightChars="0" w:right="0"/>
      </w:pPr>
      <w:r w:rsidRPr="00AB7AEA">
        <w:t xml:space="preserve">　　</w:t>
      </w:r>
      <w:r w:rsidR="0049577B" w:rsidRPr="00AB7AEA">
        <w:t>我國為成文法國家，凡事依法行政，法令施行較僵化，在法令之研修上又較緩慢，無法像其他國家可採用行政措施因應國內人才之需求。在法律鬆綁過程中，送</w:t>
      </w:r>
      <w:r w:rsidR="0049577B" w:rsidRPr="00B40DC1">
        <w:t>進立法院審議之時間漫長，造成法律與國情無法與時俱進。建議可就立法授權行政命令適時調整移民政策，另移民相關法律審議期間宜縮短以利迅速吸引技術移民。</w:t>
      </w:r>
    </w:p>
    <w:p w:rsidR="003C1792" w:rsidRPr="00AB7AEA" w:rsidRDefault="0049577B" w:rsidP="00E43C92">
      <w:pPr>
        <w:pStyle w:val="3"/>
        <w:rPr>
          <w:lang w:eastAsia="zh-TW"/>
        </w:rPr>
      </w:pPr>
      <w:r w:rsidRPr="00AB7AEA">
        <w:rPr>
          <w:lang w:eastAsia="zh-TW"/>
        </w:rPr>
        <w:t>2.</w:t>
      </w:r>
      <w:r w:rsidR="00E06828">
        <w:rPr>
          <w:rFonts w:hint="eastAsia"/>
          <w:lang w:eastAsia="zh-TW"/>
        </w:rPr>
        <w:t xml:space="preserve"> </w:t>
      </w:r>
      <w:hyperlink r:id="rId425" w:history="1">
        <w:r w:rsidR="00E06828" w:rsidRPr="00461F58">
          <w:rPr>
            <w:rStyle w:val="a7"/>
            <w:rFonts w:cs="Times New Roman"/>
            <w:lang w:eastAsia="zh-TW" w:bidi="ar-SA"/>
          </w:rPr>
          <w:t>移民法</w:t>
        </w:r>
      </w:hyperlink>
      <w:r w:rsidRPr="00AB7AEA">
        <w:rPr>
          <w:lang w:eastAsia="zh-TW"/>
        </w:rPr>
        <w:t xml:space="preserve">令對技術移民定義應明確 </w:t>
      </w:r>
    </w:p>
    <w:p w:rsidR="0049577B" w:rsidRPr="00AB7AEA" w:rsidRDefault="00AB7AEA" w:rsidP="00992AB6">
      <w:pPr>
        <w:spacing w:line="240" w:lineRule="auto"/>
        <w:ind w:leftChars="0" w:left="0" w:rightChars="0" w:right="0"/>
      </w:pPr>
      <w:r w:rsidRPr="00AB7AEA">
        <w:t xml:space="preserve">　　</w:t>
      </w:r>
      <w:r w:rsidR="0049577B" w:rsidRPr="00AB7AEA">
        <w:t>我國相關</w:t>
      </w:r>
      <w:hyperlink r:id="rId426" w:history="1">
        <w:r w:rsidR="00E06828" w:rsidRPr="00461F58">
          <w:rPr>
            <w:rStyle w:val="a7"/>
            <w:rFonts w:cs="Times New Roman"/>
            <w:lang w:eastAsia="zh-TW" w:bidi="ar-SA"/>
          </w:rPr>
          <w:t>移民法</w:t>
        </w:r>
      </w:hyperlink>
      <w:r w:rsidR="0049577B" w:rsidRPr="00AB7AEA">
        <w:t>令對技術移民並無明確定義，目前我國對技術移民之定義，相當於是外國人從事就業服務法第四十六條第一項第一款至第六款工作資格及審查標準</w:t>
      </w:r>
      <w:r w:rsidR="001C57C4" w:rsidRPr="00AB7AEA">
        <w:t>中</w:t>
      </w:r>
      <w:hyperlink r:id="rId427" w:anchor="a4" w:history="1">
        <w:r w:rsidR="001C57C4" w:rsidRPr="00461F58">
          <w:rPr>
            <w:rStyle w:val="a7"/>
            <w:rFonts w:cs="Times New Roman"/>
            <w:lang w:eastAsia="zh-TW" w:bidi="ar-SA"/>
          </w:rPr>
          <w:t>第4條</w:t>
        </w:r>
      </w:hyperlink>
      <w:r w:rsidR="0049577B" w:rsidRPr="00AB7AEA">
        <w:t>對白領之定義。由於我國對技術移民之定義相當模糊，在定義技術移民之過程，宛如是瞎子摸象。本文建議，我國在移民政策研擬上，對技術移民之定義，應明確化。由於國內對技術移民之定位及定義未釐清，目前，我國技術移民之政策為人口政策其中一部分，並未獨立出來，移民政策就在人口政策大包裹裡面一起被推動，移民政策之專業性，已被淡化，故建議</w:t>
      </w:r>
      <w:hyperlink r:id="rId428" w:history="1">
        <w:r w:rsidR="00E06828" w:rsidRPr="00461F58">
          <w:rPr>
            <w:rStyle w:val="a7"/>
            <w:rFonts w:cs="Times New Roman"/>
            <w:lang w:eastAsia="zh-TW" w:bidi="ar-SA"/>
          </w:rPr>
          <w:t>移民法</w:t>
        </w:r>
      </w:hyperlink>
      <w:r w:rsidR="0049577B" w:rsidRPr="00AB7AEA">
        <w:t>令對技術移民定義應明確化。</w:t>
      </w:r>
    </w:p>
    <w:p w:rsidR="003C1792" w:rsidRPr="00AB7AEA" w:rsidRDefault="0049577B" w:rsidP="00E43C92">
      <w:pPr>
        <w:pStyle w:val="3"/>
        <w:rPr>
          <w:lang w:eastAsia="zh-TW"/>
        </w:rPr>
      </w:pPr>
      <w:r w:rsidRPr="00AB7AEA">
        <w:rPr>
          <w:lang w:eastAsia="zh-TW"/>
        </w:rPr>
        <w:t>3.強化梅花卡利基適時給予高級專業人才準國民權</w:t>
      </w:r>
    </w:p>
    <w:p w:rsidR="0049577B" w:rsidRPr="00B40DC1" w:rsidRDefault="00AB7AEA" w:rsidP="00992AB6">
      <w:pPr>
        <w:spacing w:line="240" w:lineRule="auto"/>
        <w:ind w:leftChars="0" w:left="0" w:rightChars="0" w:right="0"/>
      </w:pPr>
      <w:r>
        <w:t xml:space="preserve">　　</w:t>
      </w:r>
      <w:r w:rsidR="0049577B" w:rsidRPr="00B40DC1">
        <w:t>許多先進國家會適時給予永久居民及技術移民準國民權，例如美國各州之移民，歐盟之移民在歐盟會員國，紐西蘭之永久居留居民，英國境內大英國協居民，英國境內歐盟會員國移民，新加坡永久住民或其所認定之人才，均可享有不同程度之準國民權利，可以服公職、或擁有國家層級之選舉權及被選舉權、或地方層級之選舉權及被選舉權等</w:t>
      </w:r>
      <w:r w:rsidR="0049577B" w:rsidRPr="00AB7AEA">
        <w:rPr>
          <w:rStyle w:val="af7"/>
          <w:rFonts w:eastAsia="新細明體"/>
          <w:sz w:val="20"/>
        </w:rPr>
        <w:footnoteReference w:id="479"/>
      </w:r>
      <w:r w:rsidR="0049577B" w:rsidRPr="00B40DC1">
        <w:t>。</w:t>
      </w:r>
    </w:p>
    <w:p w:rsidR="0049577B" w:rsidRPr="00B40DC1" w:rsidRDefault="00AB7AEA" w:rsidP="00992AB6">
      <w:pPr>
        <w:spacing w:line="240" w:lineRule="auto"/>
        <w:ind w:leftChars="0" w:left="0" w:rightChars="0" w:right="0"/>
      </w:pPr>
      <w:r>
        <w:t xml:space="preserve">　　</w:t>
      </w:r>
      <w:r w:rsidR="0049577B" w:rsidRPr="00B40DC1">
        <w:t>目前依我國法律，一般永久居留和梅花卡之永久居留亦無差別實益，梅花卡之申辦利基不足，另我國永久居留居民之準國民待遇亦不夠，目前並無選舉權、被選舉權及服公職之權利。建議可參酌其他先進國家，適時修法並給予梅花卡高級專業人才有準國民之權利。</w:t>
      </w:r>
    </w:p>
    <w:p w:rsidR="0049577B" w:rsidRPr="00B40DC1" w:rsidRDefault="00AB7AEA" w:rsidP="00992AB6">
      <w:pPr>
        <w:spacing w:line="240" w:lineRule="auto"/>
        <w:ind w:leftChars="0" w:left="0" w:rightChars="0" w:right="0"/>
      </w:pPr>
      <w:r>
        <w:t xml:space="preserve">　　</w:t>
      </w:r>
      <w:r w:rsidR="0049577B" w:rsidRPr="00B40DC1">
        <w:t>本文建議，憲法宜明文規範與保障已取得永久居留資格外國人享有政治上之選舉權與任公職權利。玆以芬蘭憲法第14條為例，本條主要係規定政治上之選舉權與任公職權利；依據芬蘭憲法第14條第3項之規定，已取得永久居留資格之外國人（</w:t>
      </w:r>
      <w:r w:rsidR="0049577B" w:rsidRPr="00B40DC1">
        <w:rPr>
          <w:kern w:val="0"/>
          <w:lang w:bidi="bn-IN"/>
        </w:rPr>
        <w:t xml:space="preserve">every foreigner permanently </w:t>
      </w:r>
      <w:r w:rsidR="0049577B" w:rsidRPr="00B40DC1">
        <w:t>resident</w:t>
      </w:r>
      <w:r w:rsidR="0049577B" w:rsidRPr="00B40DC1">
        <w:rPr>
          <w:kern w:val="0"/>
          <w:lang w:bidi="bn-IN"/>
        </w:rPr>
        <w:t xml:space="preserve"> in Finland）</w:t>
      </w:r>
      <w:r w:rsidR="0049577B" w:rsidRPr="00B40DC1">
        <w:t>，於其年齡達到18歲之後（</w:t>
      </w:r>
      <w:r w:rsidR="0049577B" w:rsidRPr="00B40DC1">
        <w:rPr>
          <w:kern w:val="0"/>
          <w:lang w:bidi="bn-IN"/>
        </w:rPr>
        <w:t>having attained eighteen years of age）</w:t>
      </w:r>
      <w:r w:rsidR="0049577B" w:rsidRPr="00B40DC1">
        <w:t>，有權參與市政選舉及市政公投之投票行為（</w:t>
      </w:r>
      <w:r w:rsidR="0049577B" w:rsidRPr="00B40DC1">
        <w:rPr>
          <w:kern w:val="0"/>
          <w:lang w:bidi="bn-IN"/>
        </w:rPr>
        <w:t>has the right to vote in municipal elections and municipal referendums）</w:t>
      </w:r>
      <w:r w:rsidR="0049577B" w:rsidRPr="00B40DC1">
        <w:t>；上述之投票行為，由法律另定之（</w:t>
      </w:r>
      <w:r w:rsidR="0049577B" w:rsidRPr="00B40DC1">
        <w:rPr>
          <w:kern w:val="0"/>
          <w:lang w:bidi="bn-IN"/>
        </w:rPr>
        <w:t>as provided by an Act）</w:t>
      </w:r>
      <w:r w:rsidR="0049577B" w:rsidRPr="00B40DC1">
        <w:t>。有關於具有永久居留資格外國人在芬蘭市政機關任公職等之其他相關參政權利（</w:t>
      </w:r>
      <w:r w:rsidR="0049577B" w:rsidRPr="00B40DC1">
        <w:rPr>
          <w:kern w:val="0"/>
          <w:lang w:bidi="bn-IN"/>
        </w:rPr>
        <w:t>Provisions on the right to otherwise participate in municipal government）</w:t>
      </w:r>
      <w:r w:rsidR="0049577B" w:rsidRPr="00B40DC1">
        <w:t>，亦由法律明文規定之（</w:t>
      </w:r>
      <w:r w:rsidR="0049577B" w:rsidRPr="00B40DC1">
        <w:rPr>
          <w:kern w:val="0"/>
          <w:lang w:bidi="bn-IN"/>
        </w:rPr>
        <w:t>are laid down by an Act）</w:t>
      </w:r>
      <w:r w:rsidR="0049577B" w:rsidRPr="00B40DC1">
        <w:t>。</w:t>
      </w:r>
    </w:p>
    <w:p w:rsidR="0049577B" w:rsidRDefault="00AB7AEA" w:rsidP="00992AB6">
      <w:pPr>
        <w:spacing w:line="240" w:lineRule="auto"/>
        <w:ind w:leftChars="0" w:left="0" w:rightChars="0" w:right="0"/>
      </w:pPr>
      <w:r>
        <w:t xml:space="preserve">　　</w:t>
      </w:r>
      <w:r w:rsidR="0049577B" w:rsidRPr="00B40DC1">
        <w:t>為有效提升台灣實質上之國際競爭力、創造力與生產力，及營造有利於外國人生活之有善與舒適生活環境及機能，對於在台灣境內已取得永久居留資格之外國人，在憲法法理部分，可將其認定為準本國人，基此，我</w:t>
      </w:r>
      <w:r w:rsidR="002D4379" w:rsidRPr="00B40DC1">
        <w:t>國</w:t>
      </w:r>
      <w:hyperlink r:id="rId429" w:history="1">
        <w:r w:rsidR="002D4379" w:rsidRPr="002D4379">
          <w:rPr>
            <w:rStyle w:val="a7"/>
            <w:rFonts w:cs="Times New Roman" w:hint="eastAsia"/>
            <w:lang w:eastAsia="zh-TW" w:bidi="ar-SA"/>
          </w:rPr>
          <w:t>憲法</w:t>
        </w:r>
      </w:hyperlink>
      <w:r w:rsidR="0049577B" w:rsidRPr="00B40DC1">
        <w:t>似亦宜比照芬蘭憲法第14條之立憲模式，明文賦予及規範保障外國人政治上之選舉權與任公職權利。</w:t>
      </w:r>
    </w:p>
    <w:p w:rsidR="003C2947" w:rsidRPr="00B40DC1" w:rsidRDefault="003C2947" w:rsidP="003C2947">
      <w:pPr>
        <w:spacing w:line="240" w:lineRule="auto"/>
        <w:ind w:leftChars="0" w:left="0" w:rightChars="0" w:right="0"/>
        <w:jc w:val="right"/>
      </w:pPr>
      <w:r w:rsidRPr="00E43C92">
        <w:rPr>
          <w:rFonts w:hint="eastAsia"/>
          <w:sz w:val="22"/>
          <w:szCs w:val="22"/>
        </w:rPr>
        <w:t>。。。。。。。。。。。。。。</w:t>
      </w:r>
      <w:hyperlink w:anchor="a3b7" w:history="1">
        <w:r w:rsidRPr="00E43C92">
          <w:rPr>
            <w:rStyle w:val="a7"/>
            <w:sz w:val="22"/>
            <w:szCs w:val="22"/>
            <w:lang w:eastAsia="zh-TW"/>
          </w:rPr>
          <w:t>回本章</w:t>
        </w:r>
      </w:hyperlink>
      <w:r w:rsidRPr="00E43C92">
        <w:rPr>
          <w:color w:val="808000"/>
          <w:sz w:val="22"/>
          <w:szCs w:val="22"/>
        </w:rPr>
        <w:t>〉〉</w:t>
      </w:r>
      <w:hyperlink w:anchor="a目次3" w:history="1">
        <w:r w:rsidR="00E9715D">
          <w:rPr>
            <w:rStyle w:val="a7"/>
            <w:sz w:val="24"/>
            <w:lang w:eastAsia="zh-TW"/>
          </w:rPr>
          <w:t>回總目次</w:t>
        </w:r>
      </w:hyperlink>
      <w:r w:rsidR="00E9715D" w:rsidRPr="0008714D">
        <w:rPr>
          <w:color w:val="808000"/>
          <w:sz w:val="20"/>
        </w:rPr>
        <w:t>〉〉</w:t>
      </w:r>
    </w:p>
    <w:p w:rsidR="0049577B" w:rsidRPr="00AB7AEA" w:rsidRDefault="0049577B" w:rsidP="00E43C92">
      <w:pPr>
        <w:pStyle w:val="3"/>
        <w:rPr>
          <w:lang w:eastAsia="zh-TW"/>
        </w:rPr>
      </w:pPr>
      <w:bookmarkStart w:id="102" w:name="_(三)實務面建議"/>
      <w:bookmarkEnd w:id="102"/>
      <w:r w:rsidRPr="00AB7AEA">
        <w:rPr>
          <w:lang w:eastAsia="zh-TW"/>
        </w:rPr>
        <w:t>(三)實務面建議</w:t>
      </w:r>
    </w:p>
    <w:p w:rsidR="0049577B" w:rsidRPr="00AB7AEA" w:rsidRDefault="0049577B" w:rsidP="00E43C92">
      <w:pPr>
        <w:pStyle w:val="3"/>
        <w:rPr>
          <w:lang w:eastAsia="zh-TW"/>
        </w:rPr>
      </w:pPr>
      <w:r w:rsidRPr="00AB7AEA">
        <w:rPr>
          <w:lang w:eastAsia="zh-TW"/>
        </w:rPr>
        <w:t>1.公部門宜及國內企業緊密聯繫以利掌握國內人才需求，並建置技術移民永久居留之人才資料庫</w:t>
      </w:r>
    </w:p>
    <w:p w:rsidR="0049577B" w:rsidRPr="00B40DC1" w:rsidRDefault="00AB7AEA" w:rsidP="00992AB6">
      <w:pPr>
        <w:spacing w:line="240" w:lineRule="auto"/>
        <w:ind w:leftChars="0" w:left="0" w:rightChars="0" w:right="0"/>
      </w:pPr>
      <w:r>
        <w:t xml:space="preserve">　　</w:t>
      </w:r>
      <w:r w:rsidR="0049577B" w:rsidRPr="00B40DC1">
        <w:t>可借鏡國外經驗，加強公部門和國內企業緊密度，以利公部門掌握國內產業人才需求，並可進一步推估近程、中程及遠程國內需求之技術職業類別及數額。若國內公部門能精確掌握國內技術人才之需求，攬進來之技術移民不致於不足與過剩。國內公部門蹤然作田野調查、民間調查、委外報告及相關統計資料等，惟我國公部門因和國內企業緊密度不夠，目前仍無法適時掌握國內產業之人才缺口及人才需求。因著國內無法掌握技術人才需求，這亦直接影響至無法訂出有適切之技術移民政策，以致於政策推行流於喊口號之形式。建議公部門宜及國內企業緊密聯繫以利掌握國內人才需求。</w:t>
      </w:r>
    </w:p>
    <w:p w:rsidR="003C1792" w:rsidRPr="00AB7AEA" w:rsidRDefault="0049577B" w:rsidP="003C2947">
      <w:pPr>
        <w:pStyle w:val="3"/>
        <w:rPr>
          <w:lang w:eastAsia="zh-TW"/>
        </w:rPr>
      </w:pPr>
      <w:r w:rsidRPr="00AB7AEA">
        <w:rPr>
          <w:lang w:eastAsia="zh-TW"/>
        </w:rPr>
        <w:t xml:space="preserve">2.移民機關組織再造，以利全權主導移民政策──在行政院之下，宜建置一個常設性之「行政院移民政策、融合與輔導委員會」 </w:t>
      </w:r>
    </w:p>
    <w:p w:rsidR="0049577B" w:rsidRPr="00B40DC1" w:rsidRDefault="00AB7AEA" w:rsidP="00992AB6">
      <w:pPr>
        <w:spacing w:line="240" w:lineRule="auto"/>
        <w:ind w:leftChars="0" w:left="0" w:rightChars="0" w:right="0"/>
      </w:pPr>
      <w:r>
        <w:t xml:space="preserve">　　</w:t>
      </w:r>
      <w:r w:rsidR="0049577B" w:rsidRPr="00B40DC1">
        <w:t>受訪者普遍認為移民署為行政院三級機關，權限不足以主導移民政策，可仿效美國等其他國家，以美國國土安全部公民及移民服務局為例，其施政目標之一乃確保移民政策或方案具有彈性及效率，並配合國家發展所需。</w:t>
      </w:r>
      <w:r w:rsidR="0049577B" w:rsidRPr="00AB7AEA">
        <w:rPr>
          <w:rStyle w:val="af7"/>
          <w:rFonts w:eastAsia="新細明體"/>
          <w:sz w:val="20"/>
        </w:rPr>
        <w:footnoteReference w:id="480"/>
      </w:r>
      <w:r w:rsidR="0049577B" w:rsidRPr="00B40DC1">
        <w:t>本文建議，在行政院之下，宜建置一個常設性之「移民政策、融合與輔導委員會」。</w:t>
      </w:r>
    </w:p>
    <w:p w:rsidR="0049577B" w:rsidRPr="00B40DC1" w:rsidRDefault="00AB7AEA" w:rsidP="00992AB6">
      <w:pPr>
        <w:spacing w:line="240" w:lineRule="auto"/>
        <w:ind w:leftChars="0" w:left="0" w:rightChars="0" w:right="0"/>
      </w:pPr>
      <w:r>
        <w:t xml:space="preserve">　　</w:t>
      </w:r>
      <w:r w:rsidR="0049577B" w:rsidRPr="00B40DC1">
        <w:t>於2015年，行政院前毛治國院長業已核定「新住民事務協調會報實施要點」，且已正式成立新住民事務協調會</w:t>
      </w:r>
      <w:r w:rsidR="0049577B" w:rsidRPr="00AB7AEA">
        <w:rPr>
          <w:rStyle w:val="af7"/>
          <w:rFonts w:eastAsia="新細明體"/>
          <w:sz w:val="20"/>
        </w:rPr>
        <w:footnoteReference w:id="481"/>
      </w:r>
      <w:r w:rsidR="0049577B" w:rsidRPr="00B40DC1">
        <w:t>。本文認為，宜將新住民事務協調會（會報之機制）改變成為一個常設性之移民政策、融合與輔導委員會，或可名為「行政院移民政策、融合與輔導委員會」。同時，提升移民署之層次，將移民署直接隸屬於「行政院移民政策、融合與輔導委員會」之下，成為行政院之二級機關，以利「行政院移民政策、融合與輔導委員會」與移民署作非常緊密之政策面與執行面之結合。</w:t>
      </w:r>
    </w:p>
    <w:p w:rsidR="003C1792" w:rsidRPr="00AB7AEA" w:rsidRDefault="0049577B" w:rsidP="003C2947">
      <w:pPr>
        <w:pStyle w:val="3"/>
        <w:rPr>
          <w:lang w:eastAsia="zh-TW"/>
        </w:rPr>
      </w:pPr>
      <w:r w:rsidRPr="00AB7AEA">
        <w:rPr>
          <w:lang w:eastAsia="zh-TW"/>
        </w:rPr>
        <w:t xml:space="preserve">3.宜增添移民政策規畫之人力 </w:t>
      </w:r>
    </w:p>
    <w:p w:rsidR="0049577B" w:rsidRPr="00AB7AEA" w:rsidRDefault="00AB7AEA" w:rsidP="00992AB6">
      <w:pPr>
        <w:spacing w:line="240" w:lineRule="auto"/>
        <w:ind w:leftChars="0" w:left="0" w:rightChars="0" w:right="0"/>
      </w:pPr>
      <w:r w:rsidRPr="00AB7AEA">
        <w:t xml:space="preserve">　　</w:t>
      </w:r>
      <w:r w:rsidR="0049577B" w:rsidRPr="00AB7AEA">
        <w:t>移民政策之擬訂、協調及執行乃移民署業務職掌之一環，但受訪者表示目前移民署人力不足，移民政策規畫之人力更是捉襟見肘，相關業務承辦人除要處理一般性之業務，另外還要全心研擬移民制度亦有其困難性。建議增添移民政策規畫之人力以利移民政策之推行。</w:t>
      </w:r>
    </w:p>
    <w:p w:rsidR="003C1792" w:rsidRPr="00AB7AEA" w:rsidRDefault="0049577B" w:rsidP="003C2947">
      <w:pPr>
        <w:pStyle w:val="3"/>
        <w:rPr>
          <w:lang w:eastAsia="zh-TW"/>
        </w:rPr>
      </w:pPr>
      <w:r w:rsidRPr="00AB7AEA">
        <w:rPr>
          <w:lang w:eastAsia="zh-TW"/>
        </w:rPr>
        <w:t xml:space="preserve">4.強化公部門之橫向聯繫及合作 </w:t>
      </w:r>
    </w:p>
    <w:p w:rsidR="0049577B" w:rsidRPr="00B40DC1" w:rsidRDefault="00AB7AEA" w:rsidP="00992AB6">
      <w:pPr>
        <w:spacing w:line="240" w:lineRule="auto"/>
        <w:ind w:leftChars="0" w:left="0" w:rightChars="0" w:right="0"/>
      </w:pPr>
      <w:r w:rsidRPr="00AB7AEA">
        <w:t xml:space="preserve">　　</w:t>
      </w:r>
      <w:r w:rsidR="0049577B" w:rsidRPr="00AB7AEA">
        <w:t>受訪者認為，公部門本位主義嚴重，僅願意各推自各自之政策，且各自為政，各單位之橫向協調聯繫嚴重不足，最後導致移民政策無法貫徹。受訪者亦坦言，有時移民相關法令及政策所涉及部會頗為廣泛，當</w:t>
      </w:r>
      <w:hyperlink r:id="rId430" w:history="1">
        <w:r w:rsidR="00E06828" w:rsidRPr="00461F58">
          <w:rPr>
            <w:rStyle w:val="a7"/>
            <w:rFonts w:cs="Times New Roman"/>
            <w:lang w:eastAsia="zh-TW" w:bidi="ar-SA"/>
          </w:rPr>
          <w:t>移民法</w:t>
        </w:r>
      </w:hyperlink>
      <w:r w:rsidR="0049577B" w:rsidRPr="00AB7AEA">
        <w:t>令中，涉及各部會相關領域之際，移民署需要其他部會就其專業給予協助及認定，但有時其他部會卻界定該事務非屬於自己之業管，拒絕給予協助及認定。受訪者表示這讓移民政策常有窒礙難行之困難。建議強化公部門之橫向聯繫及合作，以利貫徹移民政策。</w:t>
      </w:r>
    </w:p>
    <w:p w:rsidR="0049577B" w:rsidRPr="00B40DC1" w:rsidRDefault="0049577B" w:rsidP="003C2947">
      <w:pPr>
        <w:pStyle w:val="3"/>
        <w:rPr>
          <w:b/>
          <w:lang w:eastAsia="zh-TW"/>
        </w:rPr>
      </w:pPr>
      <w:r w:rsidRPr="00B40DC1">
        <w:rPr>
          <w:lang w:eastAsia="zh-TW"/>
        </w:rPr>
        <w:t>5.破除梅花卡永久居留之績效迷思</w:t>
      </w:r>
    </w:p>
    <w:p w:rsidR="0049577B" w:rsidRDefault="00AB7AEA" w:rsidP="00992AB6">
      <w:pPr>
        <w:spacing w:line="240" w:lineRule="auto"/>
        <w:ind w:leftChars="0" w:left="0" w:rightChars="0" w:right="0"/>
      </w:pPr>
      <w:r>
        <w:t xml:space="preserve">　　</w:t>
      </w:r>
      <w:r w:rsidR="0049577B" w:rsidRPr="00B40DC1">
        <w:t>任何攬才之移民政策最根本之目的，乃為延攬外籍優秀人才，而非為展現推行成效，而衝績效，但受訪者直言，梅花卡推行有績效之考量，國家發展委員會會函文移民署，並要求提報績效，受訪者直言，即使努力推行梅花卡業務，但仍不免流於數據迷思，有時，為呈現推行之績效，甚且需要從資料庫尋找符合梅花卡申請資格之外籍人士，並請託他們至移民署申請梅花卡。建議公部門應破除梅花卡永久居留之績效迷思，並思考如何延攬外籍優秀人才，始是真正國家之所需。</w:t>
      </w:r>
    </w:p>
    <w:p w:rsidR="00AF69C2" w:rsidRDefault="00AF69C2" w:rsidP="00992AB6">
      <w:pPr>
        <w:spacing w:line="240" w:lineRule="auto"/>
        <w:ind w:leftChars="0" w:left="0" w:rightChars="0" w:right="0"/>
      </w:pPr>
    </w:p>
    <w:p w:rsidR="001A0B61" w:rsidRDefault="001A0B61" w:rsidP="00992AB6">
      <w:pPr>
        <w:spacing w:line="240" w:lineRule="auto"/>
        <w:ind w:leftChars="0" w:left="0" w:rightChars="0" w:right="0"/>
      </w:pPr>
    </w:p>
    <w:p w:rsidR="001A0B61" w:rsidRPr="00B40DC1" w:rsidRDefault="001A0B61" w:rsidP="00992AB6">
      <w:pPr>
        <w:spacing w:line="240" w:lineRule="auto"/>
        <w:ind w:leftChars="0" w:left="0" w:rightChars="0" w:right="0"/>
      </w:pPr>
    </w:p>
    <w:p w:rsidR="0049577B" w:rsidRPr="00B40DC1" w:rsidRDefault="00AF69C2" w:rsidP="00AF69C2">
      <w:pPr>
        <w:jc w:val="right"/>
      </w:pPr>
      <w:r w:rsidRPr="00D45AD2">
        <w:rPr>
          <w:rFonts w:hint="eastAsia"/>
          <w:sz w:val="22"/>
        </w:rPr>
        <w:t>。。。。。。。。。。。。。。。。。。</w:t>
      </w:r>
      <w:hyperlink w:anchor="a目次4" w:history="1">
        <w:r w:rsidR="003E18C8">
          <w:rPr>
            <w:rStyle w:val="a7"/>
            <w:sz w:val="22"/>
            <w:lang w:eastAsia="zh-TW"/>
          </w:rPr>
          <w:t>回總目次</w:t>
        </w:r>
      </w:hyperlink>
      <w:r w:rsidR="003E18C8" w:rsidRPr="00D45AD2">
        <w:rPr>
          <w:color w:val="808000"/>
          <w:sz w:val="22"/>
        </w:rPr>
        <w:t>〉</w:t>
      </w:r>
      <w:r w:rsidRPr="00D45AD2">
        <w:rPr>
          <w:color w:val="808000"/>
          <w:sz w:val="22"/>
        </w:rPr>
        <w:t>〉</w:t>
      </w:r>
    </w:p>
    <w:p w:rsidR="0049577B" w:rsidRPr="00B40DC1" w:rsidRDefault="0049577B" w:rsidP="00B662A4">
      <w:pPr>
        <w:pStyle w:val="11"/>
      </w:pPr>
      <w:bookmarkStart w:id="103" w:name="_第四章、不同國籍新移民生活適應與需求的實證分析"/>
      <w:bookmarkEnd w:id="103"/>
      <w:r w:rsidRPr="00B40DC1">
        <w:t>第四章</w:t>
      </w:r>
      <w:r w:rsidR="00FA0216" w:rsidRPr="00B40DC1">
        <w:t>、</w:t>
      </w:r>
      <w:r w:rsidRPr="00B40DC1">
        <w:t>不同國籍新移民生活適應與需求的實證分析</w:t>
      </w:r>
    </w:p>
    <w:tbl>
      <w:tblPr>
        <w:tblStyle w:val="af4"/>
        <w:tblW w:w="0" w:type="auto"/>
        <w:tblLook w:val="04A0" w:firstRow="1" w:lastRow="0" w:firstColumn="1" w:lastColumn="0" w:noHBand="0" w:noVBand="1"/>
      </w:tblPr>
      <w:tblGrid>
        <w:gridCol w:w="9634"/>
      </w:tblGrid>
      <w:tr w:rsidR="0049577B" w:rsidRPr="00B40DC1" w:rsidTr="00AB7AEA">
        <w:tc>
          <w:tcPr>
            <w:tcW w:w="9634" w:type="dxa"/>
          </w:tcPr>
          <w:p w:rsidR="0049577B" w:rsidRPr="007A22F1" w:rsidRDefault="0049577B" w:rsidP="00FA0216">
            <w:pPr>
              <w:spacing w:line="240" w:lineRule="auto"/>
              <w:ind w:leftChars="0" w:left="0" w:rightChars="0" w:right="0"/>
              <w:rPr>
                <w:b/>
                <w:color w:val="990000"/>
                <w:sz w:val="20"/>
                <w:szCs w:val="20"/>
              </w:rPr>
            </w:pPr>
            <w:bookmarkStart w:id="104" w:name="a4"/>
            <w:bookmarkEnd w:id="104"/>
            <w:r w:rsidRPr="007A22F1">
              <w:rPr>
                <w:b/>
                <w:color w:val="990000"/>
              </w:rPr>
              <w:t>目次</w:t>
            </w:r>
            <w:r w:rsidR="00FA0216" w:rsidRPr="008A0D9F">
              <w:rPr>
                <w:rFonts w:hint="eastAsia"/>
                <w:b/>
                <w:color w:val="FFFFFF" w:themeColor="background1"/>
                <w:sz w:val="20"/>
                <w:szCs w:val="20"/>
              </w:rPr>
              <w:t>*</w:t>
            </w:r>
          </w:p>
          <w:p w:rsidR="0049577B" w:rsidRPr="00366D57" w:rsidRDefault="0049577B" w:rsidP="00FA0216">
            <w:pPr>
              <w:spacing w:line="240" w:lineRule="auto"/>
              <w:ind w:leftChars="0" w:left="0" w:rightChars="0" w:right="0"/>
              <w:rPr>
                <w:color w:val="990000"/>
              </w:rPr>
            </w:pPr>
            <w:r w:rsidRPr="00366D57">
              <w:rPr>
                <w:color w:val="990000"/>
              </w:rPr>
              <w:t>壹</w:t>
            </w:r>
            <w:r w:rsidR="007A22F1" w:rsidRPr="00496946">
              <w:rPr>
                <w:rFonts w:hint="eastAsia"/>
                <w:color w:val="990000"/>
                <w:kern w:val="36"/>
              </w:rPr>
              <w:t>、</w:t>
            </w:r>
            <w:hyperlink w:anchor="_壹、前言_1" w:history="1">
              <w:r w:rsidR="007A22F1" w:rsidRPr="003E18C8">
                <w:rPr>
                  <w:rStyle w:val="a7"/>
                  <w:rFonts w:cs="Times New Roman" w:hint="eastAsia"/>
                  <w:kern w:val="36"/>
                  <w:lang w:eastAsia="zh-TW" w:bidi="ar-SA"/>
                </w:rPr>
                <w:t>前言</w:t>
              </w:r>
            </w:hyperlink>
            <w:r w:rsidR="00FA0216" w:rsidRPr="007A22F1">
              <w:rPr>
                <w:rFonts w:hint="eastAsia"/>
                <w:b/>
                <w:color w:val="FFFFFF" w:themeColor="background1"/>
                <w:sz w:val="20"/>
                <w:szCs w:val="20"/>
              </w:rPr>
              <w:t>*</w:t>
            </w:r>
          </w:p>
          <w:p w:rsidR="0049577B" w:rsidRPr="00366D57" w:rsidRDefault="0049577B" w:rsidP="00FA0216">
            <w:pPr>
              <w:spacing w:line="240" w:lineRule="auto"/>
              <w:ind w:leftChars="0" w:left="0" w:rightChars="0" w:right="0"/>
              <w:rPr>
                <w:color w:val="990000"/>
              </w:rPr>
            </w:pPr>
            <w:r w:rsidRPr="00366D57">
              <w:rPr>
                <w:color w:val="990000"/>
              </w:rPr>
              <w:t>貳</w:t>
            </w:r>
            <w:r w:rsidR="007A22F1" w:rsidRPr="00496946">
              <w:rPr>
                <w:rFonts w:hint="eastAsia"/>
                <w:color w:val="990000"/>
                <w:kern w:val="36"/>
              </w:rPr>
              <w:t>、</w:t>
            </w:r>
            <w:hyperlink w:anchor="_貳、文獻探討" w:history="1">
              <w:r w:rsidR="007A22F1" w:rsidRPr="003E18C8">
                <w:rPr>
                  <w:rStyle w:val="a7"/>
                  <w:rFonts w:cs="Times New Roman" w:hint="eastAsia"/>
                  <w:kern w:val="36"/>
                  <w:lang w:eastAsia="zh-TW" w:bidi="ar-SA"/>
                </w:rPr>
                <w:t>文獻探討</w:t>
              </w:r>
            </w:hyperlink>
          </w:p>
          <w:p w:rsidR="0049577B" w:rsidRPr="00366D57" w:rsidRDefault="0044169F" w:rsidP="00FA0216">
            <w:pPr>
              <w:spacing w:line="240" w:lineRule="auto"/>
              <w:ind w:leftChars="0" w:left="0" w:rightChars="0" w:right="0"/>
              <w:rPr>
                <w:color w:val="990000"/>
              </w:rPr>
            </w:pPr>
            <w:r w:rsidRPr="00366D57">
              <w:rPr>
                <w:rFonts w:hint="eastAsia"/>
                <w:color w:val="990000"/>
              </w:rPr>
              <w:t>》</w:t>
            </w:r>
            <w:r w:rsidR="0049577B" w:rsidRPr="00366D57">
              <w:rPr>
                <w:color w:val="990000"/>
              </w:rPr>
              <w:t>一、</w:t>
            </w:r>
            <w:hyperlink w:anchor="_一、新移民適應上的問題" w:history="1">
              <w:r w:rsidR="0049577B" w:rsidRPr="00971E86">
                <w:rPr>
                  <w:rStyle w:val="a7"/>
                  <w:rFonts w:cs="Times New Roman"/>
                  <w:lang w:eastAsia="zh-TW" w:bidi="ar-SA"/>
                </w:rPr>
                <w:t>新移民適應上的問題</w:t>
              </w:r>
            </w:hyperlink>
          </w:p>
          <w:p w:rsidR="0049577B" w:rsidRPr="00366D57" w:rsidRDefault="0044169F" w:rsidP="00FA0216">
            <w:pPr>
              <w:spacing w:line="240" w:lineRule="auto"/>
              <w:ind w:leftChars="0" w:left="0" w:rightChars="0" w:right="0"/>
              <w:rPr>
                <w:color w:val="990000"/>
              </w:rPr>
            </w:pPr>
            <w:r w:rsidRPr="00366D57">
              <w:rPr>
                <w:rFonts w:hint="eastAsia"/>
                <w:color w:val="990000"/>
              </w:rPr>
              <w:t>》</w:t>
            </w:r>
            <w:r w:rsidR="0049577B" w:rsidRPr="00366D57">
              <w:rPr>
                <w:color w:val="990000"/>
              </w:rPr>
              <w:t>二、</w:t>
            </w:r>
            <w:hyperlink w:anchor="_二、臺灣婚姻移民輔導政策現況與課題" w:history="1">
              <w:r w:rsidR="0049577B" w:rsidRPr="00971E86">
                <w:rPr>
                  <w:rStyle w:val="a7"/>
                  <w:rFonts w:cs="Times New Roman"/>
                  <w:lang w:eastAsia="zh-TW" w:bidi="ar-SA"/>
                </w:rPr>
                <w:t>臺灣婚姻移民輔導政策現況與課題</w:t>
              </w:r>
            </w:hyperlink>
            <w:r w:rsidR="00FA0216" w:rsidRPr="00971E86">
              <w:rPr>
                <w:rFonts w:hint="eastAsia"/>
                <w:b/>
                <w:color w:val="FFFFFF" w:themeColor="background1"/>
                <w:sz w:val="20"/>
                <w:szCs w:val="20"/>
              </w:rPr>
              <w:t>*</w:t>
            </w:r>
          </w:p>
          <w:p w:rsidR="0049577B" w:rsidRPr="00366D57" w:rsidRDefault="0049577B" w:rsidP="00FA0216">
            <w:pPr>
              <w:spacing w:line="240" w:lineRule="auto"/>
              <w:ind w:leftChars="0" w:left="0" w:rightChars="0" w:right="0"/>
              <w:rPr>
                <w:color w:val="990000"/>
              </w:rPr>
            </w:pPr>
            <w:bookmarkStart w:id="105" w:name="a4b3"/>
            <w:bookmarkEnd w:id="105"/>
            <w:r w:rsidRPr="00366D57">
              <w:rPr>
                <w:color w:val="990000"/>
              </w:rPr>
              <w:t>參</w:t>
            </w:r>
            <w:r w:rsidR="007A22F1" w:rsidRPr="00496946">
              <w:rPr>
                <w:rFonts w:hint="eastAsia"/>
                <w:color w:val="990000"/>
                <w:kern w:val="36"/>
              </w:rPr>
              <w:t>、</w:t>
            </w:r>
            <w:hyperlink w:anchor="_參、研究方法" w:history="1">
              <w:r w:rsidR="007A22F1" w:rsidRPr="003E18C8">
                <w:rPr>
                  <w:rStyle w:val="a7"/>
                  <w:rFonts w:cs="Times New Roman" w:hint="eastAsia"/>
                  <w:kern w:val="36"/>
                  <w:lang w:eastAsia="zh-TW" w:bidi="ar-SA"/>
                </w:rPr>
                <w:t>研究方法</w:t>
              </w:r>
            </w:hyperlink>
          </w:p>
          <w:p w:rsidR="0049577B" w:rsidRPr="00366D57" w:rsidRDefault="0044169F" w:rsidP="00FA0216">
            <w:pPr>
              <w:spacing w:line="240" w:lineRule="auto"/>
              <w:ind w:leftChars="0" w:left="0" w:rightChars="0" w:right="0"/>
              <w:rPr>
                <w:color w:val="990000"/>
              </w:rPr>
            </w:pPr>
            <w:r w:rsidRPr="00366D57">
              <w:rPr>
                <w:rFonts w:hint="eastAsia"/>
                <w:color w:val="990000"/>
              </w:rPr>
              <w:t>》</w:t>
            </w:r>
            <w:r w:rsidR="0049577B" w:rsidRPr="00366D57">
              <w:rPr>
                <w:color w:val="990000"/>
              </w:rPr>
              <w:t>一、</w:t>
            </w:r>
            <w:hyperlink w:anchor="_一、次級資料分析" w:history="1">
              <w:r w:rsidR="0049577B" w:rsidRPr="00971E86">
                <w:rPr>
                  <w:rStyle w:val="a7"/>
                  <w:rFonts w:cs="Times New Roman"/>
                  <w:lang w:eastAsia="zh-TW" w:bidi="ar-SA"/>
                </w:rPr>
                <w:t>次級資料分析</w:t>
              </w:r>
            </w:hyperlink>
          </w:p>
          <w:p w:rsidR="0049577B" w:rsidRPr="00366D57" w:rsidRDefault="0044169F" w:rsidP="00FA0216">
            <w:pPr>
              <w:spacing w:line="240" w:lineRule="auto"/>
              <w:ind w:leftChars="0" w:left="0" w:rightChars="0" w:right="0"/>
              <w:rPr>
                <w:color w:val="990000"/>
              </w:rPr>
            </w:pPr>
            <w:r w:rsidRPr="00366D57">
              <w:rPr>
                <w:rFonts w:hint="eastAsia"/>
                <w:color w:val="990000"/>
              </w:rPr>
              <w:t>》</w:t>
            </w:r>
            <w:r w:rsidR="0049577B" w:rsidRPr="00366D57">
              <w:rPr>
                <w:color w:val="990000"/>
              </w:rPr>
              <w:t>二、</w:t>
            </w:r>
            <w:hyperlink w:anchor="_二、深度訪談法" w:history="1">
              <w:r w:rsidR="0049577B" w:rsidRPr="00971E86">
                <w:rPr>
                  <w:rStyle w:val="a7"/>
                  <w:rFonts w:cs="Times New Roman"/>
                  <w:lang w:eastAsia="zh-TW" w:bidi="ar-SA"/>
                </w:rPr>
                <w:t>深度訪談法</w:t>
              </w:r>
            </w:hyperlink>
            <w:r w:rsidR="00FA0216" w:rsidRPr="007A22F1">
              <w:rPr>
                <w:rFonts w:hint="eastAsia"/>
                <w:b/>
                <w:color w:val="FFFFFF" w:themeColor="background1"/>
                <w:sz w:val="20"/>
                <w:szCs w:val="20"/>
              </w:rPr>
              <w:t>*</w:t>
            </w:r>
          </w:p>
          <w:p w:rsidR="0049577B" w:rsidRPr="00366D57" w:rsidRDefault="0049577B" w:rsidP="00FA0216">
            <w:pPr>
              <w:spacing w:line="240" w:lineRule="auto"/>
              <w:ind w:leftChars="0" w:left="0" w:rightChars="0" w:right="0"/>
              <w:rPr>
                <w:color w:val="990000"/>
              </w:rPr>
            </w:pPr>
            <w:bookmarkStart w:id="106" w:name="a4b4"/>
            <w:bookmarkEnd w:id="106"/>
            <w:r w:rsidRPr="00366D57">
              <w:rPr>
                <w:color w:val="990000"/>
              </w:rPr>
              <w:t>肆</w:t>
            </w:r>
            <w:r w:rsidR="007A22F1" w:rsidRPr="00496946">
              <w:rPr>
                <w:rFonts w:hint="eastAsia"/>
                <w:color w:val="990000"/>
                <w:kern w:val="36"/>
              </w:rPr>
              <w:t>、</w:t>
            </w:r>
            <w:hyperlink w:anchor="_肆、資料分析" w:history="1">
              <w:r w:rsidR="007A22F1" w:rsidRPr="003E18C8">
                <w:rPr>
                  <w:rStyle w:val="a7"/>
                  <w:rFonts w:cs="Times New Roman" w:hint="eastAsia"/>
                  <w:kern w:val="36"/>
                  <w:lang w:eastAsia="zh-TW" w:bidi="ar-SA"/>
                </w:rPr>
                <w:t>資料分析</w:t>
              </w:r>
            </w:hyperlink>
          </w:p>
          <w:p w:rsidR="0049577B" w:rsidRPr="00366D57" w:rsidRDefault="0044169F" w:rsidP="00FA0216">
            <w:pPr>
              <w:spacing w:line="240" w:lineRule="auto"/>
              <w:ind w:leftChars="0" w:left="0" w:rightChars="0" w:right="0"/>
              <w:rPr>
                <w:color w:val="990000"/>
              </w:rPr>
            </w:pPr>
            <w:r w:rsidRPr="00366D57">
              <w:rPr>
                <w:rFonts w:hint="eastAsia"/>
                <w:color w:val="990000"/>
              </w:rPr>
              <w:t>》</w:t>
            </w:r>
            <w:r w:rsidR="0049577B" w:rsidRPr="00366D57">
              <w:rPr>
                <w:color w:val="990000"/>
              </w:rPr>
              <w:t>一、</w:t>
            </w:r>
            <w:hyperlink w:anchor="_一、樣本資料" w:history="1">
              <w:r w:rsidR="0049577B" w:rsidRPr="00DD52C8">
                <w:rPr>
                  <w:rStyle w:val="a7"/>
                  <w:rFonts w:cs="Times New Roman"/>
                  <w:lang w:eastAsia="zh-TW" w:bidi="ar-SA"/>
                </w:rPr>
                <w:t>樣本資料</w:t>
              </w:r>
            </w:hyperlink>
          </w:p>
          <w:p w:rsidR="0049577B" w:rsidRPr="00366D57" w:rsidRDefault="0044169F" w:rsidP="00FA0216">
            <w:pPr>
              <w:spacing w:line="240" w:lineRule="auto"/>
              <w:ind w:leftChars="0" w:left="0" w:rightChars="0" w:right="0"/>
              <w:rPr>
                <w:color w:val="990000"/>
              </w:rPr>
            </w:pPr>
            <w:r w:rsidRPr="00366D57">
              <w:rPr>
                <w:rFonts w:hint="eastAsia"/>
                <w:color w:val="990000"/>
              </w:rPr>
              <w:t>》</w:t>
            </w:r>
            <w:r w:rsidR="0049577B" w:rsidRPr="00366D57">
              <w:rPr>
                <w:color w:val="990000"/>
              </w:rPr>
              <w:t>二、</w:t>
            </w:r>
            <w:hyperlink w:anchor="_二、不同國籍新移民家庭生活情形分析" w:history="1">
              <w:r w:rsidR="0049577B" w:rsidRPr="00DD52C8">
                <w:rPr>
                  <w:rStyle w:val="a7"/>
                  <w:rFonts w:cs="Times New Roman"/>
                  <w:lang w:eastAsia="zh-TW" w:bidi="ar-SA"/>
                </w:rPr>
                <w:t>不同國籍新移民家庭生活情形分析</w:t>
              </w:r>
            </w:hyperlink>
          </w:p>
          <w:p w:rsidR="0049577B" w:rsidRPr="00366D57" w:rsidRDefault="0044169F" w:rsidP="00FA0216">
            <w:pPr>
              <w:spacing w:line="240" w:lineRule="auto"/>
              <w:ind w:leftChars="0" w:left="0" w:rightChars="0" w:right="0"/>
              <w:rPr>
                <w:color w:val="990000"/>
              </w:rPr>
            </w:pPr>
            <w:r w:rsidRPr="00366D57">
              <w:rPr>
                <w:rFonts w:hint="eastAsia"/>
                <w:color w:val="990000"/>
              </w:rPr>
              <w:t>》</w:t>
            </w:r>
            <w:r w:rsidR="0049577B" w:rsidRPr="00366D57">
              <w:rPr>
                <w:color w:val="990000"/>
              </w:rPr>
              <w:t>三、</w:t>
            </w:r>
            <w:hyperlink w:anchor="_三、不同國籍新移民就業情形分析" w:history="1">
              <w:r w:rsidR="0049577B" w:rsidRPr="00DD52C8">
                <w:rPr>
                  <w:rStyle w:val="a7"/>
                  <w:rFonts w:cs="Times New Roman"/>
                  <w:lang w:eastAsia="zh-TW" w:bidi="ar-SA"/>
                </w:rPr>
                <w:t>不同國籍新移民就業情形分析</w:t>
              </w:r>
            </w:hyperlink>
          </w:p>
          <w:p w:rsidR="0049577B" w:rsidRPr="00CB46D7" w:rsidRDefault="0044169F" w:rsidP="00FA0216">
            <w:pPr>
              <w:spacing w:line="240" w:lineRule="auto"/>
              <w:ind w:leftChars="0" w:left="0" w:rightChars="0" w:right="0"/>
              <w:rPr>
                <w:color w:val="FFFFFF" w:themeColor="background1"/>
              </w:rPr>
            </w:pPr>
            <w:r w:rsidRPr="00366D57">
              <w:rPr>
                <w:rFonts w:hint="eastAsia"/>
                <w:color w:val="990000"/>
              </w:rPr>
              <w:t>》</w:t>
            </w:r>
            <w:r w:rsidR="0049577B" w:rsidRPr="00366D57">
              <w:rPr>
                <w:color w:val="990000"/>
              </w:rPr>
              <w:t>四、</w:t>
            </w:r>
            <w:hyperlink w:anchor="_四、不同國籍新移民生活適應情形分析" w:history="1">
              <w:r w:rsidR="0049577B" w:rsidRPr="003F4661">
                <w:rPr>
                  <w:rStyle w:val="a7"/>
                  <w:rFonts w:cs="Times New Roman"/>
                  <w:lang w:eastAsia="zh-TW" w:bidi="ar-SA"/>
                </w:rPr>
                <w:t>不同國籍新移民生活適應情形分析</w:t>
              </w:r>
            </w:hyperlink>
            <w:r w:rsidR="00FA0216" w:rsidRPr="00CB46D7">
              <w:rPr>
                <w:rFonts w:hint="eastAsia"/>
                <w:b/>
                <w:color w:val="FFFFFF" w:themeColor="background1"/>
                <w:sz w:val="20"/>
                <w:szCs w:val="20"/>
              </w:rPr>
              <w:t>*</w:t>
            </w:r>
          </w:p>
          <w:p w:rsidR="0049577B" w:rsidRPr="00366D57" w:rsidRDefault="0049577B" w:rsidP="00FA0216">
            <w:pPr>
              <w:spacing w:line="240" w:lineRule="auto"/>
              <w:ind w:leftChars="0" w:left="0" w:rightChars="0" w:right="0"/>
              <w:rPr>
                <w:color w:val="990000"/>
              </w:rPr>
            </w:pPr>
            <w:bookmarkStart w:id="107" w:name="a4b5"/>
            <w:bookmarkEnd w:id="107"/>
            <w:r w:rsidRPr="00366D57">
              <w:rPr>
                <w:color w:val="990000"/>
              </w:rPr>
              <w:t>伍</w:t>
            </w:r>
            <w:r w:rsidR="007A22F1" w:rsidRPr="00496946">
              <w:rPr>
                <w:rFonts w:hint="eastAsia"/>
                <w:color w:val="990000"/>
                <w:kern w:val="36"/>
              </w:rPr>
              <w:t>、</w:t>
            </w:r>
            <w:hyperlink w:anchor="_伍、結論與建議_1" w:history="1">
              <w:r w:rsidR="007A22F1" w:rsidRPr="00042127">
                <w:rPr>
                  <w:rStyle w:val="a7"/>
                  <w:rFonts w:cs="Times New Roman" w:hint="eastAsia"/>
                  <w:kern w:val="36"/>
                  <w:lang w:eastAsia="zh-TW" w:bidi="ar-SA"/>
                </w:rPr>
                <w:t>結論與建議</w:t>
              </w:r>
            </w:hyperlink>
          </w:p>
          <w:p w:rsidR="0049577B" w:rsidRPr="00366D57" w:rsidRDefault="0044169F" w:rsidP="00FA0216">
            <w:pPr>
              <w:spacing w:line="240" w:lineRule="auto"/>
              <w:ind w:leftChars="0" w:left="0" w:rightChars="0" w:right="0"/>
              <w:rPr>
                <w:color w:val="990000"/>
              </w:rPr>
            </w:pPr>
            <w:r w:rsidRPr="00366D57">
              <w:rPr>
                <w:rFonts w:hint="eastAsia"/>
                <w:color w:val="990000"/>
              </w:rPr>
              <w:t>》</w:t>
            </w:r>
            <w:r w:rsidR="0049577B" w:rsidRPr="00366D57">
              <w:rPr>
                <w:color w:val="990000"/>
              </w:rPr>
              <w:t>一、</w:t>
            </w:r>
            <w:hyperlink w:anchor="_一、家庭生活層面" w:history="1">
              <w:r w:rsidR="0049577B" w:rsidRPr="00DD52C8">
                <w:rPr>
                  <w:rStyle w:val="a7"/>
                  <w:rFonts w:cs="Times New Roman"/>
                  <w:lang w:eastAsia="zh-TW" w:bidi="ar-SA"/>
                </w:rPr>
                <w:t>家庭生活層面</w:t>
              </w:r>
            </w:hyperlink>
          </w:p>
          <w:p w:rsidR="0049577B" w:rsidRPr="00366D57" w:rsidRDefault="0044169F" w:rsidP="00FA0216">
            <w:pPr>
              <w:spacing w:line="240" w:lineRule="auto"/>
              <w:ind w:leftChars="0" w:left="0" w:rightChars="0" w:right="0"/>
              <w:rPr>
                <w:color w:val="990000"/>
              </w:rPr>
            </w:pPr>
            <w:r w:rsidRPr="00366D57">
              <w:rPr>
                <w:rFonts w:hint="eastAsia"/>
                <w:color w:val="990000"/>
              </w:rPr>
              <w:t>》</w:t>
            </w:r>
            <w:r w:rsidR="0049577B" w:rsidRPr="00366D57">
              <w:rPr>
                <w:color w:val="990000"/>
              </w:rPr>
              <w:t>二、</w:t>
            </w:r>
            <w:hyperlink w:anchor="_二、就業層面" w:history="1">
              <w:r w:rsidR="0049577B" w:rsidRPr="00DD52C8">
                <w:rPr>
                  <w:rStyle w:val="a7"/>
                  <w:rFonts w:cs="Times New Roman"/>
                  <w:lang w:eastAsia="zh-TW" w:bidi="ar-SA"/>
                </w:rPr>
                <w:t>就業層面</w:t>
              </w:r>
            </w:hyperlink>
          </w:p>
          <w:p w:rsidR="0049577B" w:rsidRPr="00366D57" w:rsidRDefault="0044169F" w:rsidP="00FA0216">
            <w:pPr>
              <w:spacing w:line="240" w:lineRule="auto"/>
              <w:ind w:leftChars="0" w:left="0" w:rightChars="0" w:right="0"/>
              <w:rPr>
                <w:color w:val="990000"/>
              </w:rPr>
            </w:pPr>
            <w:r w:rsidRPr="00366D57">
              <w:rPr>
                <w:rFonts w:hint="eastAsia"/>
                <w:color w:val="990000"/>
              </w:rPr>
              <w:t>》</w:t>
            </w:r>
            <w:r w:rsidR="0049577B" w:rsidRPr="00366D57">
              <w:rPr>
                <w:color w:val="990000"/>
              </w:rPr>
              <w:t>三、</w:t>
            </w:r>
            <w:hyperlink w:anchor="_三、生活適應層面" w:history="1">
              <w:r w:rsidR="0049577B" w:rsidRPr="00DD52C8">
                <w:rPr>
                  <w:rStyle w:val="a7"/>
                  <w:rFonts w:cs="Times New Roman"/>
                  <w:lang w:eastAsia="zh-TW" w:bidi="ar-SA"/>
                </w:rPr>
                <w:t>生活適應層面</w:t>
              </w:r>
            </w:hyperlink>
          </w:p>
          <w:p w:rsidR="0049577B" w:rsidRPr="00B40DC1" w:rsidRDefault="0044169F" w:rsidP="00FA0216">
            <w:pPr>
              <w:spacing w:line="240" w:lineRule="auto"/>
              <w:ind w:leftChars="0" w:left="0" w:rightChars="0" w:right="0"/>
            </w:pPr>
            <w:r w:rsidRPr="00366D57">
              <w:rPr>
                <w:rFonts w:hint="eastAsia"/>
                <w:color w:val="990000"/>
              </w:rPr>
              <w:t>》</w:t>
            </w:r>
            <w:r w:rsidR="0049577B" w:rsidRPr="00366D57">
              <w:rPr>
                <w:color w:val="990000"/>
              </w:rPr>
              <w:t>四、</w:t>
            </w:r>
            <w:hyperlink w:anchor="_四、生活環境整體感受層面" w:history="1">
              <w:r w:rsidR="0049577B" w:rsidRPr="00DD52C8">
                <w:rPr>
                  <w:rStyle w:val="a7"/>
                  <w:rFonts w:cs="Times New Roman"/>
                  <w:lang w:eastAsia="zh-TW" w:bidi="ar-SA"/>
                </w:rPr>
                <w:t>生活環境整體感受層面</w:t>
              </w:r>
            </w:hyperlink>
          </w:p>
        </w:tc>
      </w:tr>
    </w:tbl>
    <w:p w:rsidR="0049577B" w:rsidRPr="00B40DC1" w:rsidRDefault="0049577B" w:rsidP="000D26BB"/>
    <w:tbl>
      <w:tblPr>
        <w:tblStyle w:val="af4"/>
        <w:tblW w:w="0" w:type="auto"/>
        <w:tblLook w:val="04A0" w:firstRow="1" w:lastRow="0" w:firstColumn="1" w:lastColumn="0" w:noHBand="0" w:noVBand="1"/>
      </w:tblPr>
      <w:tblGrid>
        <w:gridCol w:w="9776"/>
      </w:tblGrid>
      <w:tr w:rsidR="0049577B" w:rsidRPr="00B40DC1" w:rsidTr="008A0D9F">
        <w:tc>
          <w:tcPr>
            <w:tcW w:w="9776" w:type="dxa"/>
          </w:tcPr>
          <w:p w:rsidR="0049577B" w:rsidRPr="00FA0216" w:rsidRDefault="0049577B" w:rsidP="00FA0216">
            <w:pPr>
              <w:jc w:val="center"/>
              <w:rPr>
                <w:b/>
              </w:rPr>
            </w:pPr>
            <w:r w:rsidRPr="00FA0216">
              <w:rPr>
                <w:b/>
              </w:rPr>
              <w:t>摘要</w:t>
            </w:r>
          </w:p>
          <w:p w:rsidR="0049577B" w:rsidRPr="00B40DC1" w:rsidRDefault="00FA0216" w:rsidP="00FA0216">
            <w:pPr>
              <w:spacing w:line="240" w:lineRule="auto"/>
              <w:ind w:leftChars="0" w:left="0" w:rightChars="0" w:right="0"/>
            </w:pPr>
            <w:r>
              <w:t xml:space="preserve">　　</w:t>
            </w:r>
            <w:r w:rsidR="0049577B" w:rsidRPr="00B40DC1">
              <w:t>目前臺灣新移民數量已達五十萬餘人，成為另一新興族群。然而跨國婚姻常因感情基礎薄弱，家庭環境不佳等因素，致易衍生各種個人適應與家庭問題，亟需政府介入輔導與協助。近年來，政府推動一連串的輔導措施，然而是否有助於新移民的生活適應？就新移民占縣市現住人口的比率而言，桃園市新移民所占比率居全國之冠，因此，其新移民的生活適應與需求是頗值得觀察的。考量過去研究並未針對不同國籍別的新移民生活適應需求進行比較分析，加以新移民研究樣本接觸不易，過去研究多以質化訪談方式進行，往往缺乏外在效度，若是能夠有大樣本的調查，將對新移民的處境與需求有更為客觀的瞭解。因此，本研究乃以設籍在桃園市的新移民為對象，資料蒐集方法兼採質化與量化取向，針對不同國籍別的新移民生活適應與需求進行比較分析，最後則分別從新移民的家庭生活、工作及就業、生活適應、生活環境整體感受等四個層面，提出政府的施政建言。</w:t>
            </w:r>
          </w:p>
        </w:tc>
      </w:tr>
    </w:tbl>
    <w:p w:rsidR="0049577B" w:rsidRPr="00B40DC1" w:rsidRDefault="001B6AED" w:rsidP="00FA0216">
      <w:pPr>
        <w:spacing w:line="240" w:lineRule="auto"/>
        <w:ind w:leftChars="0" w:left="0" w:rightChars="0" w:right="0"/>
      </w:pPr>
      <w:r>
        <w:t>【關鍵詞】</w:t>
      </w:r>
      <w:r w:rsidR="0049577B" w:rsidRPr="00B40DC1">
        <w:t>新移民，生活需求，外籍配偶，輔導政策</w:t>
      </w:r>
    </w:p>
    <w:p w:rsidR="0049577B" w:rsidRPr="00610E6D" w:rsidRDefault="0091385C" w:rsidP="0091385C">
      <w:pPr>
        <w:jc w:val="right"/>
        <w:rPr>
          <w:sz w:val="22"/>
          <w:szCs w:val="22"/>
        </w:rPr>
      </w:pPr>
      <w:r w:rsidRPr="00610E6D">
        <w:rPr>
          <w:rFonts w:hint="eastAsia"/>
          <w:sz w:val="22"/>
          <w:szCs w:val="22"/>
        </w:rPr>
        <w:t>。。。。。。。。。。。。。。</w:t>
      </w:r>
      <w:hyperlink w:anchor="a4" w:history="1">
        <w:r w:rsidRPr="00610E6D">
          <w:rPr>
            <w:rStyle w:val="a7"/>
            <w:sz w:val="22"/>
            <w:szCs w:val="22"/>
            <w:lang w:eastAsia="zh-TW"/>
          </w:rPr>
          <w:t>回本章</w:t>
        </w:r>
      </w:hyperlink>
      <w:r w:rsidRPr="00610E6D">
        <w:rPr>
          <w:color w:val="808000"/>
          <w:sz w:val="22"/>
          <w:szCs w:val="22"/>
        </w:rPr>
        <w:t>〉〉</w:t>
      </w:r>
      <w:hyperlink w:anchor="a目次4" w:history="1">
        <w:r w:rsidR="00E9715D">
          <w:rPr>
            <w:rStyle w:val="a7"/>
            <w:sz w:val="22"/>
            <w:lang w:eastAsia="zh-TW"/>
          </w:rPr>
          <w:t>回總目次</w:t>
        </w:r>
      </w:hyperlink>
      <w:r w:rsidR="00E9715D" w:rsidRPr="00D45AD2">
        <w:rPr>
          <w:color w:val="808000"/>
          <w:sz w:val="22"/>
        </w:rPr>
        <w:t>〉〉</w:t>
      </w:r>
    </w:p>
    <w:p w:rsidR="003C1792" w:rsidRDefault="0049577B" w:rsidP="002F19DE">
      <w:pPr>
        <w:pStyle w:val="2"/>
      </w:pPr>
      <w:bookmarkStart w:id="108" w:name="_壹、前言_1"/>
      <w:bookmarkEnd w:id="108"/>
      <w:r w:rsidRPr="00B40DC1">
        <w:t>壹、前言</w:t>
      </w:r>
    </w:p>
    <w:p w:rsidR="0049577B" w:rsidRPr="00B40DC1" w:rsidRDefault="00AB7AEA" w:rsidP="008A0D9F">
      <w:pPr>
        <w:spacing w:line="240" w:lineRule="auto"/>
        <w:ind w:leftChars="0" w:left="0" w:rightChars="0" w:right="0"/>
        <w:rPr>
          <w:kern w:val="0"/>
        </w:rPr>
      </w:pPr>
      <w:r>
        <w:t xml:space="preserve">　　</w:t>
      </w:r>
      <w:r w:rsidR="0049577B" w:rsidRPr="00B40DC1">
        <w:t>過去卅年來，臺灣地區隨著經濟活動發達，教育水準提高，使得女性經濟獨立，促成擇偶條件大幅提升。但在臺灣工業化的過程中，農業衰退，使得許多以工、農、漁業為主的鄉村男子，多方面條件較不如都會青年，在學歷與經濟能力普遍偏低的情況下，追求婚姻伴侶相對缺乏競爭力，較難獲得在地臺灣女性的青睞，驅使他們成為跨國婚姻的一員。另一方面，自1994年政府積極推動南向政策，除與東南亞國家在經濟上發展出互惠的關係外，臺灣亦成為東南亞國家民眾嚮往發展的地方，尤其帶動了東南亞部分國家民眾希望與臺灣民眾聯姻的現象。東南亞民眾因結婚而移民至臺灣的趨勢，與臺灣資本外移趨勢有相當程度的一致性，亦即當臺灣與某國簽有投資保障協定，或資本外移投資至東南亞某國家時，該國婚姻移民便有增加趨勢</w:t>
      </w:r>
      <w:r w:rsidR="0049577B" w:rsidRPr="00AB7AEA">
        <w:rPr>
          <w:rStyle w:val="af7"/>
          <w:rFonts w:eastAsia="新細明體"/>
          <w:sz w:val="20"/>
        </w:rPr>
        <w:footnoteReference w:id="482"/>
      </w:r>
      <w:r w:rsidR="0049577B" w:rsidRPr="00B40DC1">
        <w:t>。在此同時，隨著海峽兩岸關係之轉變，政府亦開放大陸配偶來臺政策，政府與民間在不斷激盪中，逐漸有較明顯的共識，在許多法令與制度之設計上，朝向了更符合當事人需求的方向發展。然而當這些新移民排除萬難、遠渡重洋來到臺灣時，一切夢想就如願以償了嗎？由於幸福的婚姻必須植基在夫妻雙方皆能相互體諒、包容、接納，及以仁慈和真心相待，但許多跨國聯姻之婚姻並不是植基在感情基礎下，加上文化適應上的問題，容易因為婚後的種種適應問題，而衍生其他社會問題</w:t>
      </w:r>
      <w:r w:rsidR="0049577B" w:rsidRPr="00B40DC1">
        <w:rPr>
          <w:kern w:val="0"/>
        </w:rPr>
        <w:t>。</w:t>
      </w:r>
    </w:p>
    <w:p w:rsidR="0049577B" w:rsidRPr="00B40DC1" w:rsidRDefault="008A0D9F" w:rsidP="008A0D9F">
      <w:pPr>
        <w:spacing w:line="240" w:lineRule="auto"/>
        <w:ind w:leftChars="0" w:left="0" w:rightChars="0" w:right="0"/>
      </w:pPr>
      <w:r>
        <w:t xml:space="preserve">　　</w:t>
      </w:r>
      <w:r w:rsidR="0049577B" w:rsidRPr="00B40DC1">
        <w:t>自第二次世界大戰結束後，國際間紛紛經歷人口遷徙問題，而且有愈演愈烈趨勢，故各國在面對如潮而來的移民社會問題時，普遍修改原有的移民政策和法律。然而臺灣由於特殊的歷史背景，先以國安機制下軍警管理，因應臺海兩地政局平穩下，逐漸開放移民政策，至今轉而朝向人權、人道為出發點之移民輔導。二十一世紀起，政府開始推動一連串的移民輔導政策，包括：於2003年內政部開始規劃「外籍與大陸配偶照顧輔導措施」；於2005年設置「外籍配偶照顧輔導基金」，分十年每年籌措3億元，加強外籍配偶照顧輔導工作；於2006年內政部考量新移民各類照顧服務常因主辦機關不同而顯得分散與片段，無法立即而有效地滿足新移民及其家庭之多元需求。為建構符合新移民及其家庭需求，並以其家庭為中心之社會福利資源服務網絡，乃訂頒「內政部設置外籍配偶家庭服務中心實施計畫」補助各地方政府設立「外籍配偶家庭服務中心」，以建構新移民資源服務網絡，提供整合性之全方位服務；於2007年，經濟部商業司經由行政院婦權會多位民間委員推動與要求下，刪除公司行號營業項目中的「婚姻媒合業」，不再接受公司行號以婚姻仲介為業登記，且已登記有案的業者也不能再以婚姻仲介作為商業經營，更不能有人口販運之嫌。然而政府所推動的一連串輔導政策，是否能夠改善臺灣新移民的處境？是否可以減少買賣式的婚姻？政府輔導政策有無改善必要？是頗值得關注的議題。</w:t>
      </w:r>
    </w:p>
    <w:p w:rsidR="003C1792" w:rsidRDefault="00AB7AEA" w:rsidP="008A0D9F">
      <w:pPr>
        <w:spacing w:line="240" w:lineRule="auto"/>
        <w:ind w:leftChars="0" w:left="0" w:rightChars="0" w:right="0"/>
      </w:pPr>
      <w:r>
        <w:t xml:space="preserve">　　</w:t>
      </w:r>
      <w:r w:rsidR="0049577B" w:rsidRPr="00B40DC1">
        <w:t>相較於本國籍婦女，女性新移民獨自來到臺灣缺乏娘家支持系統，加上語言的隔閡，甚或遭受監控等不利因素導致其生活層面窄小，許多新移民不易形成支持網絡以累積與運用資本，協助其適應臺灣的生活。其社會處境是「弱勢中的弱勢」，「社會資本」往往較本國籍婦女來得匱乏，對政府所提供的保護與輔導需求則往往比本國籍婦女來得強烈。因此，了解新移民需求並提供其需求之輔導措施，將有助於提升其婚姻品質，降低因生活適應不良而衍生的社會問題。而在臺灣各縣市中，桃園市是一個相當獨特的縣市，由於鄰近大臺北都會區，工商業發達，不但吸引許多外來人口遷入，同時亦是新移民及外籍勞工集中之城市。官方統計顯示，2014年底臺灣外籍勞工計有55萬2,000人，與前一年底相較，增加了6萬2千人，成長率達12.8%，其中桃園市外籍勞工數居全臺之冠，高達92,555人，占外籍勞工總數的16.78％；而新移民的數量，根據內政部統計資料，至2015年11月底累計已高達55,576人（見表1），桃園市新移民人數僅次於臺北市、新北市及高雄市</w:t>
      </w:r>
      <w:r w:rsidR="0049577B" w:rsidRPr="00AB7AEA">
        <w:rPr>
          <w:rStyle w:val="af7"/>
          <w:rFonts w:eastAsia="新細明體"/>
          <w:sz w:val="20"/>
        </w:rPr>
        <w:footnoteReference w:id="483"/>
      </w:r>
      <w:r w:rsidR="0049577B" w:rsidRPr="00B40DC1">
        <w:t>。但若以新移民占縣市現住人口的比率而言，則桃園市新移民所占比率居全國之冠</w:t>
      </w:r>
      <w:r w:rsidR="0049577B" w:rsidRPr="00AB7AEA">
        <w:rPr>
          <w:rStyle w:val="af7"/>
          <w:rFonts w:eastAsia="新細明體"/>
          <w:sz w:val="20"/>
        </w:rPr>
        <w:footnoteReference w:id="484"/>
      </w:r>
      <w:r w:rsidR="0049577B" w:rsidRPr="00B40DC1">
        <w:t xml:space="preserve">。因此，其新移民的生活適應與需求是頗值得觀察的。其次，所謂「新移民」包括：東南亞籍配偶、大陸與港澳地區配偶以及其他國籍的外籍配偶。但來自於不同地區與國家的新移民應有不同程度的生活適應與需求，然而過去研究並未針對不同國籍別的新移民生活適應需求進行比較分析。第三，由於新移民研究樣本接觸不易，過去研究多以質化訪談方式進行，往往缺乏外在效度，若是能夠有大樣本的調查，將對新移民的處境與需求有更為客觀的瞭解。因此，本研究將以設籍在桃園市的新移民為對象，資料蒐集方法將兼採質化與量化取向，針對不同國籍別的新移民生活適應與需求進行比較分析，最後則分別從新移民的家庭生活、工作及就業、生活適應、生活環境整體感受等四個層面，提出政府的施政建言。 </w:t>
      </w:r>
    </w:p>
    <w:p w:rsidR="0049577B" w:rsidRPr="00B40DC1" w:rsidRDefault="00610E6D" w:rsidP="00610E6D">
      <w:pPr>
        <w:jc w:val="right"/>
      </w:pPr>
      <w:r w:rsidRPr="00610E6D">
        <w:rPr>
          <w:rFonts w:hint="eastAsia"/>
          <w:sz w:val="22"/>
          <w:szCs w:val="22"/>
        </w:rPr>
        <w:t>。。。。。。。。。。。。。。</w:t>
      </w:r>
      <w:hyperlink w:anchor="a4" w:history="1">
        <w:r w:rsidRPr="00610E6D">
          <w:rPr>
            <w:rStyle w:val="a7"/>
            <w:sz w:val="22"/>
            <w:szCs w:val="22"/>
            <w:lang w:eastAsia="zh-TW"/>
          </w:rPr>
          <w:t>回本章</w:t>
        </w:r>
      </w:hyperlink>
      <w:r w:rsidRPr="00610E6D">
        <w:rPr>
          <w:color w:val="808000"/>
          <w:sz w:val="22"/>
          <w:szCs w:val="22"/>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表1</w:t>
      </w:r>
      <w:r w:rsidR="003E18C8">
        <w:rPr>
          <w:rFonts w:ascii="新細明體" w:eastAsia="新細明體" w:hAnsi="新細明體" w:hint="eastAsia"/>
          <w:lang w:eastAsia="zh-TW"/>
        </w:rPr>
        <w:t>、</w:t>
      </w:r>
      <w:r w:rsidRPr="00B40DC1">
        <w:rPr>
          <w:lang w:eastAsia="zh-TW"/>
        </w:rPr>
        <w:t>桃園市人口結構</w:t>
      </w:r>
      <w:r w:rsidR="00AB7AEA">
        <w:rPr>
          <w:lang w:eastAsia="zh-TW"/>
        </w:rPr>
        <w:t xml:space="preserve">　</w:t>
      </w:r>
      <w:r w:rsidRPr="00B40DC1">
        <w:rPr>
          <w:lang w:eastAsia="zh-TW"/>
        </w:rPr>
        <w:t>2014年底</w:t>
      </w:r>
    </w:p>
    <w:tbl>
      <w:tblPr>
        <w:tblW w:w="9639"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7"/>
        <w:gridCol w:w="2429"/>
        <w:gridCol w:w="1606"/>
        <w:gridCol w:w="2173"/>
        <w:gridCol w:w="2174"/>
      </w:tblGrid>
      <w:tr w:rsidR="0049577B" w:rsidRPr="00B40DC1" w:rsidTr="008B0F5E">
        <w:trPr>
          <w:trHeight w:val="335"/>
        </w:trPr>
        <w:tc>
          <w:tcPr>
            <w:tcW w:w="3686" w:type="dxa"/>
            <w:gridSpan w:val="2"/>
            <w:tcBorders>
              <w:top w:val="single" w:sz="12" w:space="0" w:color="auto"/>
              <w:bottom w:val="single" w:sz="8" w:space="0" w:color="auto"/>
            </w:tcBorders>
            <w:shd w:val="clear" w:color="auto" w:fill="EFFDFF"/>
            <w:vAlign w:val="center"/>
          </w:tcPr>
          <w:p w:rsidR="0049577B" w:rsidRPr="00B40DC1" w:rsidRDefault="0049577B" w:rsidP="00AB7AEA">
            <w:pPr>
              <w:jc w:val="center"/>
            </w:pPr>
            <w:r w:rsidRPr="00B40DC1">
              <w:t>類別</w:t>
            </w:r>
          </w:p>
        </w:tc>
        <w:tc>
          <w:tcPr>
            <w:tcW w:w="1606" w:type="dxa"/>
            <w:tcBorders>
              <w:top w:val="single" w:sz="12" w:space="0" w:color="auto"/>
              <w:bottom w:val="single" w:sz="8" w:space="0" w:color="auto"/>
            </w:tcBorders>
            <w:shd w:val="clear" w:color="auto" w:fill="EFFDFF"/>
            <w:vAlign w:val="center"/>
          </w:tcPr>
          <w:p w:rsidR="0049577B" w:rsidRPr="00B40DC1" w:rsidRDefault="0049577B" w:rsidP="00AB7AEA">
            <w:pPr>
              <w:jc w:val="center"/>
            </w:pPr>
            <w:r w:rsidRPr="00B40DC1">
              <w:t>總計</w:t>
            </w:r>
          </w:p>
        </w:tc>
        <w:tc>
          <w:tcPr>
            <w:tcW w:w="2173" w:type="dxa"/>
            <w:tcBorders>
              <w:top w:val="single" w:sz="12" w:space="0" w:color="auto"/>
              <w:bottom w:val="single" w:sz="8" w:space="0" w:color="auto"/>
            </w:tcBorders>
            <w:shd w:val="clear" w:color="auto" w:fill="EFFDFF"/>
            <w:vAlign w:val="center"/>
          </w:tcPr>
          <w:p w:rsidR="0049577B" w:rsidRPr="00B40DC1" w:rsidRDefault="0049577B" w:rsidP="00AB7AEA">
            <w:pPr>
              <w:jc w:val="center"/>
            </w:pPr>
            <w:r w:rsidRPr="00B40DC1">
              <w:t>男</w:t>
            </w:r>
          </w:p>
        </w:tc>
        <w:tc>
          <w:tcPr>
            <w:tcW w:w="2174" w:type="dxa"/>
            <w:tcBorders>
              <w:top w:val="single" w:sz="12" w:space="0" w:color="auto"/>
              <w:bottom w:val="single" w:sz="8" w:space="0" w:color="auto"/>
            </w:tcBorders>
            <w:shd w:val="clear" w:color="auto" w:fill="EFFDFF"/>
            <w:vAlign w:val="center"/>
          </w:tcPr>
          <w:p w:rsidR="0049577B" w:rsidRPr="00B40DC1" w:rsidRDefault="0049577B" w:rsidP="00AB7AEA">
            <w:pPr>
              <w:jc w:val="center"/>
            </w:pPr>
            <w:r w:rsidRPr="00B40DC1">
              <w:t>女</w:t>
            </w:r>
          </w:p>
        </w:tc>
      </w:tr>
      <w:tr w:rsidR="0049577B" w:rsidRPr="00B40DC1" w:rsidTr="008B0F5E">
        <w:trPr>
          <w:trHeight w:val="269"/>
        </w:trPr>
        <w:tc>
          <w:tcPr>
            <w:tcW w:w="3686" w:type="dxa"/>
            <w:gridSpan w:val="2"/>
            <w:tcBorders>
              <w:top w:val="single" w:sz="8" w:space="0" w:color="auto"/>
            </w:tcBorders>
            <w:shd w:val="clear" w:color="auto" w:fill="auto"/>
            <w:vAlign w:val="center"/>
          </w:tcPr>
          <w:p w:rsidR="0049577B" w:rsidRPr="0091385C" w:rsidRDefault="0049577B" w:rsidP="0091385C">
            <w:pPr>
              <w:spacing w:line="240" w:lineRule="auto"/>
              <w:ind w:leftChars="0" w:left="0" w:rightChars="0" w:right="0"/>
              <w:rPr>
                <w:sz w:val="24"/>
                <w:szCs w:val="24"/>
              </w:rPr>
            </w:pPr>
            <w:r w:rsidRPr="0091385C">
              <w:rPr>
                <w:sz w:val="24"/>
                <w:szCs w:val="24"/>
              </w:rPr>
              <w:t>桃園市總人口</w:t>
            </w:r>
          </w:p>
        </w:tc>
        <w:tc>
          <w:tcPr>
            <w:tcW w:w="1606" w:type="dxa"/>
            <w:tcBorders>
              <w:top w:val="single" w:sz="8" w:space="0" w:color="auto"/>
            </w:tcBorders>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2,058,328</w:t>
            </w:r>
          </w:p>
        </w:tc>
        <w:tc>
          <w:tcPr>
            <w:tcW w:w="2173" w:type="dxa"/>
            <w:tcBorders>
              <w:top w:val="single" w:sz="8" w:space="0" w:color="auto"/>
            </w:tcBorders>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1,032,625（49.83%）</w:t>
            </w:r>
          </w:p>
        </w:tc>
        <w:tc>
          <w:tcPr>
            <w:tcW w:w="2174" w:type="dxa"/>
            <w:tcBorders>
              <w:top w:val="single" w:sz="8" w:space="0" w:color="auto"/>
            </w:tcBorders>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1,025,703（50.17%）</w:t>
            </w:r>
          </w:p>
        </w:tc>
      </w:tr>
      <w:tr w:rsidR="0049577B" w:rsidRPr="00B40DC1" w:rsidTr="008B0F5E">
        <w:tc>
          <w:tcPr>
            <w:tcW w:w="3686" w:type="dxa"/>
            <w:gridSpan w:val="2"/>
            <w:shd w:val="clear" w:color="auto" w:fill="auto"/>
            <w:vAlign w:val="center"/>
          </w:tcPr>
          <w:p w:rsidR="0049577B" w:rsidRPr="0091385C" w:rsidRDefault="0049577B" w:rsidP="0091385C">
            <w:pPr>
              <w:spacing w:line="240" w:lineRule="auto"/>
              <w:ind w:leftChars="0" w:left="0" w:rightChars="0" w:right="0"/>
              <w:rPr>
                <w:sz w:val="24"/>
                <w:szCs w:val="24"/>
              </w:rPr>
            </w:pPr>
            <w:r w:rsidRPr="0091385C">
              <w:rPr>
                <w:sz w:val="24"/>
                <w:szCs w:val="24"/>
              </w:rPr>
              <w:t>外籍勞工</w:t>
            </w:r>
          </w:p>
        </w:tc>
        <w:tc>
          <w:tcPr>
            <w:tcW w:w="1606" w:type="dxa"/>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92,555</w:t>
            </w:r>
          </w:p>
        </w:tc>
        <w:tc>
          <w:tcPr>
            <w:tcW w:w="2173" w:type="dxa"/>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50,108（53.36%）</w:t>
            </w:r>
          </w:p>
        </w:tc>
        <w:tc>
          <w:tcPr>
            <w:tcW w:w="2174" w:type="dxa"/>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42,447（46.64%）</w:t>
            </w:r>
          </w:p>
        </w:tc>
      </w:tr>
      <w:tr w:rsidR="0049577B" w:rsidRPr="00B40DC1" w:rsidTr="008B0F5E">
        <w:trPr>
          <w:trHeight w:val="271"/>
        </w:trPr>
        <w:tc>
          <w:tcPr>
            <w:tcW w:w="1257" w:type="dxa"/>
            <w:vMerge w:val="restart"/>
            <w:shd w:val="clear" w:color="auto" w:fill="auto"/>
            <w:vAlign w:val="center"/>
          </w:tcPr>
          <w:p w:rsidR="0049577B" w:rsidRPr="0091385C" w:rsidRDefault="0049577B" w:rsidP="0091385C">
            <w:pPr>
              <w:spacing w:line="240" w:lineRule="auto"/>
              <w:ind w:leftChars="0" w:left="0" w:rightChars="0" w:right="0"/>
              <w:rPr>
                <w:sz w:val="24"/>
                <w:szCs w:val="24"/>
              </w:rPr>
            </w:pPr>
            <w:r w:rsidRPr="0091385C">
              <w:rPr>
                <w:sz w:val="24"/>
                <w:szCs w:val="24"/>
              </w:rPr>
              <w:t>新移民（外裔、外籍配偶）</w:t>
            </w:r>
          </w:p>
        </w:tc>
        <w:tc>
          <w:tcPr>
            <w:tcW w:w="2429" w:type="dxa"/>
            <w:shd w:val="clear" w:color="auto" w:fill="auto"/>
            <w:vAlign w:val="center"/>
          </w:tcPr>
          <w:p w:rsidR="0049577B" w:rsidRPr="0091385C" w:rsidRDefault="0049577B" w:rsidP="0091385C">
            <w:pPr>
              <w:spacing w:line="240" w:lineRule="auto"/>
              <w:ind w:leftChars="0" w:left="0" w:rightChars="0" w:right="0"/>
              <w:rPr>
                <w:sz w:val="24"/>
                <w:szCs w:val="24"/>
              </w:rPr>
            </w:pPr>
            <w:r w:rsidRPr="0091385C">
              <w:rPr>
                <w:sz w:val="24"/>
                <w:szCs w:val="24"/>
              </w:rPr>
              <w:t>大陸港澳地區</w:t>
            </w:r>
          </w:p>
        </w:tc>
        <w:tc>
          <w:tcPr>
            <w:tcW w:w="1606" w:type="dxa"/>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34,997</w:t>
            </w:r>
          </w:p>
        </w:tc>
        <w:tc>
          <w:tcPr>
            <w:tcW w:w="2173" w:type="dxa"/>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2,410（6.82%）</w:t>
            </w:r>
          </w:p>
        </w:tc>
        <w:tc>
          <w:tcPr>
            <w:tcW w:w="2174" w:type="dxa"/>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32,587（93.18%）</w:t>
            </w:r>
          </w:p>
        </w:tc>
      </w:tr>
      <w:tr w:rsidR="0049577B" w:rsidRPr="00B40DC1" w:rsidTr="008B0F5E">
        <w:tc>
          <w:tcPr>
            <w:tcW w:w="1257" w:type="dxa"/>
            <w:vMerge/>
            <w:shd w:val="clear" w:color="auto" w:fill="auto"/>
            <w:vAlign w:val="center"/>
          </w:tcPr>
          <w:p w:rsidR="0049577B" w:rsidRPr="0091385C" w:rsidRDefault="0049577B" w:rsidP="0091385C">
            <w:pPr>
              <w:spacing w:line="240" w:lineRule="auto"/>
              <w:ind w:leftChars="0" w:left="0" w:rightChars="0" w:right="0"/>
              <w:rPr>
                <w:sz w:val="24"/>
                <w:szCs w:val="24"/>
              </w:rPr>
            </w:pPr>
          </w:p>
        </w:tc>
        <w:tc>
          <w:tcPr>
            <w:tcW w:w="2429" w:type="dxa"/>
            <w:shd w:val="clear" w:color="auto" w:fill="auto"/>
            <w:vAlign w:val="center"/>
          </w:tcPr>
          <w:p w:rsidR="0049577B" w:rsidRPr="0091385C" w:rsidRDefault="0049577B" w:rsidP="0091385C">
            <w:pPr>
              <w:spacing w:line="240" w:lineRule="auto"/>
              <w:ind w:leftChars="0" w:left="0" w:rightChars="0" w:right="0"/>
              <w:rPr>
                <w:sz w:val="24"/>
                <w:szCs w:val="24"/>
              </w:rPr>
            </w:pPr>
            <w:r w:rsidRPr="0091385C">
              <w:rPr>
                <w:sz w:val="24"/>
                <w:szCs w:val="24"/>
              </w:rPr>
              <w:t>越南、印尼、泰國、菲律賓、柬埔寨及其它國家</w:t>
            </w:r>
          </w:p>
        </w:tc>
        <w:tc>
          <w:tcPr>
            <w:tcW w:w="1606" w:type="dxa"/>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19,266</w:t>
            </w:r>
          </w:p>
        </w:tc>
        <w:tc>
          <w:tcPr>
            <w:tcW w:w="2173" w:type="dxa"/>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2,124（22.96%）</w:t>
            </w:r>
          </w:p>
        </w:tc>
        <w:tc>
          <w:tcPr>
            <w:tcW w:w="2174" w:type="dxa"/>
            <w:shd w:val="clear" w:color="auto" w:fill="auto"/>
            <w:vAlign w:val="center"/>
          </w:tcPr>
          <w:p w:rsidR="0049577B" w:rsidRPr="0091385C" w:rsidRDefault="0049577B" w:rsidP="0091385C">
            <w:pPr>
              <w:spacing w:line="240" w:lineRule="auto"/>
              <w:ind w:leftChars="0" w:left="0" w:rightChars="0" w:right="0"/>
              <w:jc w:val="center"/>
              <w:rPr>
                <w:sz w:val="24"/>
                <w:szCs w:val="24"/>
              </w:rPr>
            </w:pPr>
            <w:r w:rsidRPr="0091385C">
              <w:rPr>
                <w:sz w:val="24"/>
                <w:szCs w:val="24"/>
              </w:rPr>
              <w:t>17,142（77.04%）</w:t>
            </w:r>
          </w:p>
        </w:tc>
      </w:tr>
    </w:tbl>
    <w:p w:rsidR="0049577B" w:rsidRPr="00B40DC1" w:rsidRDefault="00817A92" w:rsidP="0091385C">
      <w:pPr>
        <w:spacing w:line="240" w:lineRule="auto"/>
        <w:ind w:leftChars="0" w:left="0" w:rightChars="0" w:right="0"/>
      </w:pPr>
      <w:r>
        <w:t>【資料來源】</w:t>
      </w:r>
      <w:r w:rsidR="0049577B" w:rsidRPr="00B40DC1">
        <w:t>內政部戶政司網站</w:t>
      </w:r>
      <w:r w:rsidR="003C1792">
        <w:t>(</w:t>
      </w:r>
      <w:r w:rsidR="0049577B" w:rsidRPr="00B40DC1">
        <w:t xml:space="preserve"> 2015年12月10日瀏覽，</w:t>
      </w:r>
      <w:hyperlink r:id="rId431" w:history="1">
        <w:r w:rsidR="0049577B" w:rsidRPr="00B40DC1">
          <w:rPr>
            <w:rStyle w:val="a7"/>
          </w:rPr>
          <w:t>http://www.ris.gov.tw/346</w:t>
        </w:r>
      </w:hyperlink>
      <w:r w:rsidR="0049577B" w:rsidRPr="00B40DC1">
        <w:t xml:space="preserve"> )；內政部移民署網站</w:t>
      </w:r>
      <w:r w:rsidR="003C1792">
        <w:t>(</w:t>
      </w:r>
      <w:r w:rsidR="0049577B" w:rsidRPr="00B40DC1">
        <w:t>2015年11月25日瀏覽，</w:t>
      </w:r>
      <w:hyperlink r:id="rId432" w:history="1">
        <w:r w:rsidR="0049577B" w:rsidRPr="00B40DC1">
          <w:rPr>
            <w:rStyle w:val="a7"/>
          </w:rPr>
          <w:t>http://www.immigration.gov.tw/ lp.asp?ctNode=29699&amp;CtUnit=16434&amp;BaseDSD=7&amp;mp=1</w:t>
        </w:r>
      </w:hyperlink>
      <w:r w:rsidR="0049577B" w:rsidRPr="00B40DC1">
        <w:t xml:space="preserve"> )。</w:t>
      </w:r>
    </w:p>
    <w:p w:rsidR="0049577B" w:rsidRPr="00B40DC1" w:rsidRDefault="00C213EE" w:rsidP="00C213EE">
      <w:pPr>
        <w:jc w:val="right"/>
      </w:pPr>
      <w:r w:rsidRPr="00D45AD2">
        <w:rPr>
          <w:rFonts w:hint="eastAsia"/>
          <w:sz w:val="22"/>
        </w:rPr>
        <w:t>。。。。。。。。。。。。。。</w:t>
      </w:r>
      <w:hyperlink w:anchor="a4" w:history="1">
        <w:r>
          <w:rPr>
            <w:rStyle w:val="a7"/>
            <w:sz w:val="24"/>
            <w:lang w:eastAsia="zh-TW"/>
          </w:rPr>
          <w:t>回本章</w:t>
        </w:r>
      </w:hyperlink>
      <w:r w:rsidRPr="0008714D">
        <w:rPr>
          <w:color w:val="808000"/>
          <w:sz w:val="20"/>
        </w:rPr>
        <w:t>〉〉</w:t>
      </w:r>
      <w:hyperlink w:anchor="a目次4" w:history="1">
        <w:r w:rsidR="00E9715D">
          <w:rPr>
            <w:rStyle w:val="a7"/>
            <w:sz w:val="22"/>
            <w:lang w:eastAsia="zh-TW"/>
          </w:rPr>
          <w:t>回總目次</w:t>
        </w:r>
      </w:hyperlink>
      <w:r w:rsidR="00E9715D" w:rsidRPr="00D45AD2">
        <w:rPr>
          <w:color w:val="808000"/>
          <w:sz w:val="22"/>
        </w:rPr>
        <w:t>〉〉</w:t>
      </w:r>
    </w:p>
    <w:p w:rsidR="003C1792" w:rsidRDefault="0049577B" w:rsidP="002F19DE">
      <w:pPr>
        <w:pStyle w:val="2"/>
      </w:pPr>
      <w:bookmarkStart w:id="109" w:name="_貳、文獻探討"/>
      <w:bookmarkEnd w:id="109"/>
      <w:r w:rsidRPr="00B40DC1">
        <w:t>貳、文獻探討</w:t>
      </w:r>
    </w:p>
    <w:p w:rsidR="0049577B" w:rsidRPr="00B40DC1" w:rsidRDefault="00AF1178" w:rsidP="0091385C">
      <w:pPr>
        <w:spacing w:line="240" w:lineRule="auto"/>
        <w:ind w:leftChars="0" w:left="0" w:rightChars="0" w:right="0"/>
      </w:pPr>
      <w:r>
        <w:t xml:space="preserve">　　</w:t>
      </w:r>
      <w:r w:rsidR="0049577B" w:rsidRPr="00B40DC1">
        <w:t>夏曉鵑研究指出，臺灣農村青年在經濟發展的過程，不僅邊緣化他們的經濟地位，更邊緣化了他們在國內婚姻市場的競爭地位</w:t>
      </w:r>
      <w:r w:rsidR="0049577B" w:rsidRPr="00AF1178">
        <w:rPr>
          <w:rStyle w:val="af7"/>
          <w:rFonts w:eastAsia="新細明體"/>
          <w:sz w:val="20"/>
        </w:rPr>
        <w:footnoteReference w:id="485"/>
      </w:r>
      <w:r w:rsidR="0049577B" w:rsidRPr="00B40DC1">
        <w:t>。傳統婚姻受到「上嫁婚配」與「門當戶對」的影響，女性在選擇婚配對象時，通常會以社經地位比自己高的男生作為選擇對象。因此，處於臺灣社會結構轉型下，經濟、教育條件較差的男性，已形成一群社會階級弱勢的族群，在其學歷與經濟能力普遍偏低的情況下，於國內的婚姻市場相對缺乏競爭力，較難獲得女性的青睞，在本國婚姻市場難以尋找合適的對象，跨國婚姻焉然形成</w:t>
      </w:r>
      <w:r w:rsidR="0049577B" w:rsidRPr="00AF1178">
        <w:rPr>
          <w:rStyle w:val="af7"/>
          <w:rFonts w:eastAsia="新細明體"/>
          <w:sz w:val="20"/>
        </w:rPr>
        <w:footnoteReference w:id="486"/>
      </w:r>
      <w:r w:rsidR="0049577B" w:rsidRPr="00B40DC1">
        <w:t>。大量移入的婚姻移民已成為臺灣一員，也對臺灣社會原本存在的「四大族群」（原住民、臺灣客家人、臺灣閩南人、外省人）組合，注入了新元素。根據內政部移民署的統計，自1987年1月至2015年3月止，臺灣婚姻移民之人口已達500,468人，其中大陸、港澳配偶人數最多，計337,998人；東南亞外籍配偶則以越南籍為多數，加上其子女人數，在臺灣已達一定人口百分比</w:t>
      </w:r>
      <w:r w:rsidR="0049577B" w:rsidRPr="00AF1178">
        <w:rPr>
          <w:rStyle w:val="af7"/>
          <w:rFonts w:eastAsia="新細明體"/>
          <w:sz w:val="20"/>
        </w:rPr>
        <w:footnoteReference w:id="487"/>
      </w:r>
      <w:r w:rsidR="0049577B" w:rsidRPr="00B40DC1">
        <w:t>。這股數量龐大的婚姻移民有其結構特性，不僅造成臺灣地區人口結構、人口數量與婚姻、家庭之重大變化，更對未來發展造成持續性的影響</w:t>
      </w:r>
      <w:r w:rsidR="0049577B" w:rsidRPr="00AF1178">
        <w:rPr>
          <w:rStyle w:val="af7"/>
          <w:rFonts w:eastAsia="新細明體"/>
          <w:sz w:val="20"/>
        </w:rPr>
        <w:footnoteReference w:id="488"/>
      </w:r>
      <w:r w:rsidR="0049577B" w:rsidRPr="00B40DC1">
        <w:t>。</w:t>
      </w:r>
    </w:p>
    <w:p w:rsidR="0049577B" w:rsidRPr="00B40DC1" w:rsidRDefault="00AF1178" w:rsidP="0091385C">
      <w:pPr>
        <w:spacing w:line="240" w:lineRule="auto"/>
        <w:ind w:leftChars="0" w:left="0" w:rightChars="0" w:right="0"/>
      </w:pPr>
      <w:r>
        <w:t xml:space="preserve">　　</w:t>
      </w:r>
      <w:r w:rsidR="0049577B" w:rsidRPr="00B40DC1">
        <w:t>但婚姻移民常因社會制度、價值觀等差異，加上有相當比例的婚姻移民與其臺灣配偶感情基礎較薄弱，家庭環境不佳等因素，以致容易衍生各種個人、家庭與社會問題，亟需政府介入輔導與協助。隨著跨國婚姻熱潮的逐漸趨緩以及因應個人與家庭不同生命歷程而來的適應難題，使得跨國婚姻現象及其所可能衍生出來的各種衝擊影響，已經蛻變成為某種隱含著集體性質的社會事實（holistic social fact），而有嚴肅看待的必要。大量的婚姻移民亦可能引發人們對國家與社會安全、就業機會、社會資源和社會治安的不安與焦慮感，但面對此等不可擋的世界趨勢，政府應該採取理性和同理心的態度來輔導移民，積極規劃婚姻移民之輔導政策</w:t>
      </w:r>
      <w:r w:rsidR="0049577B" w:rsidRPr="00AF1178">
        <w:rPr>
          <w:rStyle w:val="af7"/>
          <w:rFonts w:eastAsia="新細明體"/>
          <w:sz w:val="20"/>
        </w:rPr>
        <w:footnoteReference w:id="489"/>
      </w:r>
      <w:r w:rsidR="0049577B" w:rsidRPr="00B40DC1">
        <w:t>。</w:t>
      </w:r>
    </w:p>
    <w:p w:rsidR="0049577B" w:rsidRDefault="00AF1178" w:rsidP="00971E86">
      <w:pPr>
        <w:spacing w:line="240" w:lineRule="auto"/>
        <w:ind w:leftChars="0" w:left="0" w:rightChars="0" w:right="0"/>
        <w:rPr>
          <w:kern w:val="0"/>
        </w:rPr>
      </w:pPr>
      <w:r>
        <w:t xml:space="preserve">　　</w:t>
      </w:r>
      <w:r w:rsidR="0049577B" w:rsidRPr="00B40DC1">
        <w:t>新移民因婚姻而遷徙，在移居至一個與自身的生長背景完全不同的新環境中生活，必定會因環境改變而產生社會上的適應問題</w:t>
      </w:r>
      <w:r w:rsidR="0049577B" w:rsidRPr="00AF1178">
        <w:rPr>
          <w:rStyle w:val="af7"/>
          <w:rFonts w:eastAsia="新細明體"/>
          <w:sz w:val="20"/>
        </w:rPr>
        <w:footnoteReference w:id="490"/>
      </w:r>
      <w:r w:rsidR="0049577B" w:rsidRPr="00B40DC1">
        <w:t>。新移民入境後，</w:t>
      </w:r>
      <w:r w:rsidR="0049577B" w:rsidRPr="00B40DC1">
        <w:rPr>
          <w:kern w:val="0"/>
        </w:rPr>
        <w:t>首先面臨語言障礙與文化衝擊，接著亦將產生其它適應上的問題。</w:t>
      </w:r>
      <w:r w:rsidR="0049577B" w:rsidRPr="00B40DC1">
        <w:t>相關研究發現，新移民的年齡、教育程度及對跨國文化背景的瞭解等，對其在國內社會的適應問題有相當大的影響</w:t>
      </w:r>
      <w:r w:rsidR="0049577B" w:rsidRPr="00AF1178">
        <w:rPr>
          <w:rStyle w:val="af7"/>
          <w:rFonts w:eastAsia="新細明體"/>
          <w:sz w:val="20"/>
        </w:rPr>
        <w:footnoteReference w:id="491"/>
      </w:r>
      <w:r w:rsidR="0049577B" w:rsidRPr="00B40DC1">
        <w:t>。以下參考過去新移民的相關文獻，分別針對新移民適應上的問題以及臺灣婚姻移民輔導政策現況與課題等二大面向</w:t>
      </w:r>
      <w:r w:rsidR="0049577B" w:rsidRPr="00B40DC1">
        <w:rPr>
          <w:kern w:val="0"/>
        </w:rPr>
        <w:t>。</w:t>
      </w:r>
    </w:p>
    <w:p w:rsidR="00A028E4" w:rsidRPr="00971E86" w:rsidRDefault="00A028E4" w:rsidP="00A028E4">
      <w:pPr>
        <w:jc w:val="right"/>
        <w:rPr>
          <w:sz w:val="24"/>
        </w:rPr>
      </w:pPr>
      <w:r w:rsidRPr="00971E86">
        <w:rPr>
          <w:rFonts w:hint="eastAsia"/>
          <w:sz w:val="20"/>
        </w:rPr>
        <w:t>。。。。。。。。。。。。。。</w:t>
      </w:r>
      <w:hyperlink w:anchor="a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3C1792" w:rsidRDefault="0049577B" w:rsidP="00A028E4">
      <w:pPr>
        <w:pStyle w:val="3"/>
        <w:rPr>
          <w:lang w:eastAsia="zh-TW"/>
        </w:rPr>
      </w:pPr>
      <w:bookmarkStart w:id="110" w:name="_一、新移民適應上的問題"/>
      <w:bookmarkEnd w:id="110"/>
      <w:r w:rsidRPr="00B40DC1">
        <w:rPr>
          <w:lang w:eastAsia="zh-TW"/>
        </w:rPr>
        <w:t>一、新移民適應上的問題</w:t>
      </w:r>
    </w:p>
    <w:p w:rsidR="0049577B" w:rsidRPr="00B40DC1" w:rsidRDefault="00AF1178" w:rsidP="00971E86">
      <w:pPr>
        <w:spacing w:line="240" w:lineRule="auto"/>
        <w:ind w:leftChars="0" w:left="0" w:rightChars="0" w:right="0"/>
      </w:pPr>
      <w:r>
        <w:t xml:space="preserve">　　</w:t>
      </w:r>
      <w:r w:rsidR="0049577B" w:rsidRPr="00B40DC1">
        <w:t>新移民的是映問題主標包括：語言障礙與溝通問題、文化差異與人際關係的調整、教育程度偏低與子女的教養問題、社會的負面評價與歧視及社會支援網絡薄弱與就業困難等。</w:t>
      </w:r>
    </w:p>
    <w:p w:rsidR="0049577B" w:rsidRPr="00B40DC1" w:rsidRDefault="00AF1178" w:rsidP="00971E86">
      <w:pPr>
        <w:spacing w:line="240" w:lineRule="auto"/>
        <w:ind w:leftChars="0" w:left="0" w:rightChars="0" w:right="0"/>
      </w:pPr>
      <w:r>
        <w:t xml:space="preserve">　　</w:t>
      </w:r>
      <w:r w:rsidR="0049577B" w:rsidRPr="00B40DC1">
        <w:t>（一）語言障礙與溝通問題</w:t>
      </w:r>
    </w:p>
    <w:p w:rsidR="0049577B" w:rsidRPr="00B40DC1" w:rsidRDefault="00AF1178" w:rsidP="00971E86">
      <w:pPr>
        <w:spacing w:line="240" w:lineRule="auto"/>
        <w:ind w:leftChars="0" w:left="0" w:rightChars="0" w:right="0"/>
      </w:pPr>
      <w:r>
        <w:t xml:space="preserve">　　</w:t>
      </w:r>
      <w:r w:rsidR="0049577B" w:rsidRPr="00B40DC1">
        <w:t>新移民因跨國婚姻離開原鄉來到陌生的臺灣，最需要適應的便是語言的表達。語言的學習是進入另一個異國文化生活最先面臨的必要過程，也是深入異國社會的工具。由於語言及文化的共通性，會讓人聚居在一起，也會讓人感到安全感</w:t>
      </w:r>
      <w:r w:rsidR="0049577B" w:rsidRPr="00AF1178">
        <w:rPr>
          <w:rStyle w:val="af7"/>
          <w:rFonts w:eastAsia="新細明體"/>
          <w:sz w:val="20"/>
        </w:rPr>
        <w:footnoteReference w:id="492"/>
      </w:r>
      <w:r w:rsidR="0049577B" w:rsidRPr="00B40DC1">
        <w:t>。因此，新移民來到臺灣首先要克服語言的障礙，通常要花一些時間來承受並克服有口難言而造成的種種壓力和沮喪後，才有能力提昇自身之自信心，才能更進一步進行人際關係的拓展。而過去研究亦顯示：新移民最希望上的課程以識字與語文教學為主，可能由於她們來自不同文化背景，語文不同，為求生活適應良好，便於和家人鄰里溝通，與增進親子關係，認識中文與學說中國話乃為最主要關鍵。同時，新移民普遍有學習臺灣語言的需求，卻因為不識字，無法得知各補校或識字班的招生訊息，加上部分家庭不願她們讀書識字或接觸外界，造成語言學習課程需求者眾，參與者寡的情形</w:t>
      </w:r>
      <w:r w:rsidR="0049577B" w:rsidRPr="00AF1178">
        <w:rPr>
          <w:rStyle w:val="af7"/>
          <w:rFonts w:eastAsia="新細明體"/>
          <w:sz w:val="20"/>
        </w:rPr>
        <w:footnoteReference w:id="493"/>
      </w:r>
      <w:r w:rsidR="0049577B" w:rsidRPr="00B40DC1">
        <w:t>。儘管是來自大陸及港、澳地區的新移民，仍需面對臺灣在地語言溝通的問題，如臺語、客家語、甚至原住民語言等。由於「溝通」是婚姻關係中最重要的一部分，故新移民來臺灣遭遇到最大的困難，便是語言溝通的問題，也間接產生許多逃婚的例子。對於新移民而言，學習母國以外的語言是一件比較困難卻也是極為重要的事，但是更多的新移民都是來到臺灣才慢慢開始學習國語，更何況是屬於臺灣地方的方言「臺語」，對於與配偶家人語言不通，容易成為引發衝突的原因，彼此不甚了解說話的意思，多半的情況都是用猜的或是自我解讀彼此的語意，往往造成誤會與猜忌</w:t>
      </w:r>
      <w:r w:rsidR="0049577B" w:rsidRPr="00AF1178">
        <w:rPr>
          <w:rStyle w:val="af7"/>
          <w:rFonts w:eastAsia="新細明體"/>
          <w:sz w:val="20"/>
        </w:rPr>
        <w:footnoteReference w:id="494"/>
      </w:r>
      <w:r w:rsidR="0049577B" w:rsidRPr="00B40DC1">
        <w:t>。</w:t>
      </w:r>
    </w:p>
    <w:p w:rsidR="0049577B" w:rsidRPr="00B40DC1" w:rsidRDefault="00AF1178" w:rsidP="00971E86">
      <w:pPr>
        <w:spacing w:line="240" w:lineRule="auto"/>
        <w:ind w:leftChars="0" w:left="0" w:rightChars="0" w:right="0"/>
      </w:pPr>
      <w:r>
        <w:t xml:space="preserve">　　</w:t>
      </w:r>
      <w:r w:rsidR="0049577B" w:rsidRPr="00B40DC1">
        <w:t>（二）文化差異與人際關係的調整</w:t>
      </w:r>
    </w:p>
    <w:p w:rsidR="0049577B" w:rsidRPr="00B40DC1" w:rsidRDefault="00AF1178" w:rsidP="00971E86">
      <w:pPr>
        <w:spacing w:line="240" w:lineRule="auto"/>
        <w:ind w:leftChars="0" w:left="0" w:rightChars="0" w:right="0"/>
      </w:pPr>
      <w:r>
        <w:t xml:space="preserve">　　</w:t>
      </w:r>
      <w:r w:rsidR="0049577B" w:rsidRPr="00B40DC1">
        <w:t>新移民雖然都期望能在異國他鄉落地生根，想要獲得新的舒適、愉悅的生存空間，但來自文化血緣上的天性，成為其間不可逾越的障礙</w:t>
      </w:r>
      <w:r w:rsidR="0049577B" w:rsidRPr="0091385C">
        <w:rPr>
          <w:rStyle w:val="af7"/>
          <w:rFonts w:eastAsia="新細明體"/>
          <w:sz w:val="20"/>
        </w:rPr>
        <w:footnoteReference w:id="495"/>
      </w:r>
      <w:r w:rsidR="0049577B" w:rsidRPr="00B40DC1">
        <w:t>。方維保、曾豔（2005）在其論文中提到：文化衝突是進入另一個文化的必然過程，以及必然會面臨到各種在心理適應、價值觀念以及社會中的人際關係調整。因此，容易造成新移民來到新環境時種種壓力的增加，例如：情緒緊張、過多疑慮、心情低潮，以及害怕因長期無法改善會遭人批評或拒絕、因此可能會形成自我孤立，退縮不願面對社會，甚至導致心理疾病的產生</w:t>
      </w:r>
      <w:r w:rsidR="0049577B" w:rsidRPr="00AF1178">
        <w:rPr>
          <w:rStyle w:val="af7"/>
          <w:rFonts w:eastAsia="新細明體"/>
          <w:sz w:val="20"/>
        </w:rPr>
        <w:footnoteReference w:id="496"/>
      </w:r>
      <w:r w:rsidR="0049577B" w:rsidRPr="00B40DC1">
        <w:t>。而新移民來到臺灣後，由於遠離親朋好友或拋棄原有的工作，原有的地位當然隨之瓦解，意味著與舊有關係的疏遠，失去長期以來所建立關係網絡的支持，同時也喪失他們所熟悉的社會價值所支持。加上她們有著與臺灣配偶不同的語言、生活習慣、風俗文化及環境適應問題，除了要面對新建立的家庭，還有不同於原鄉的文化習慣，使得文化差異和生活適應等問題隨之產生，其中以人際關係困擾為最主要困擾。長期下來，產生情緒困擾，如想家、想哭、睡不著、寂寞、生氣、焦慮、後悔等等，對其子女行為表現會有較負面影響</w:t>
      </w:r>
      <w:r w:rsidR="0049577B" w:rsidRPr="00AF1178">
        <w:rPr>
          <w:rStyle w:val="af7"/>
          <w:rFonts w:eastAsia="新細明體"/>
          <w:sz w:val="20"/>
        </w:rPr>
        <w:footnoteReference w:id="497"/>
      </w:r>
      <w:r w:rsidR="0049577B" w:rsidRPr="00B40DC1">
        <w:t>。更嚴重的是，臺灣配偶往往因為擔心新移民交到壞朋友、不易控制，常侷限他們的生活圈，造成他們與整個社會的疏離，最終將導致他們負面情緒與壓力的產生，而無法良好地與社會環境互動，進而適應於臺灣社會</w:t>
      </w:r>
      <w:r w:rsidR="0049577B" w:rsidRPr="00AF1178">
        <w:rPr>
          <w:rStyle w:val="af7"/>
          <w:rFonts w:eastAsia="新細明體"/>
          <w:sz w:val="20"/>
        </w:rPr>
        <w:footnoteReference w:id="498"/>
      </w:r>
      <w:r w:rsidR="0049577B" w:rsidRPr="00B40DC1">
        <w:t>。</w:t>
      </w:r>
    </w:p>
    <w:p w:rsidR="0049577B" w:rsidRPr="00B40DC1" w:rsidRDefault="00AF1178" w:rsidP="00971E86">
      <w:pPr>
        <w:spacing w:line="240" w:lineRule="auto"/>
        <w:ind w:leftChars="0" w:left="0" w:rightChars="0" w:right="0"/>
      </w:pPr>
      <w:r>
        <w:t xml:space="preserve">　　</w:t>
      </w:r>
      <w:r w:rsidR="0049577B" w:rsidRPr="00B40DC1">
        <w:t>（三）子女教養問題</w:t>
      </w:r>
    </w:p>
    <w:p w:rsidR="0049577B" w:rsidRPr="00B40DC1" w:rsidRDefault="00AF1178" w:rsidP="00971E86">
      <w:pPr>
        <w:spacing w:line="240" w:lineRule="auto"/>
        <w:ind w:leftChars="0" w:left="0" w:rightChars="0" w:right="0"/>
      </w:pPr>
      <w:r>
        <w:t xml:space="preserve">　　</w:t>
      </w:r>
      <w:r w:rsidR="0049577B" w:rsidRPr="00B40DC1">
        <w:t>許多新移民剛來到臺灣不久，即馬上懷孕。但因為她們無法於短時間內適應在臺生活，加上有些新移民的年齡很輕，對於擔任親職角色缺乏充分準備，衍生對其下一代之語言學習、學業發展、生活習慣、人際關係及人格發展等教養問題。而他們的子女由於受到父母社經地位較低、管教態度較放任或疏忽、家庭成員溝通困難、家庭衝突頻繁及主要照顧者在語言和文化認知上的弱勢，加上忙於家務生計等不利因素影響，致使新移民子女在行為表現上可能有負面表現，學業成績低落，語言程度較差的現象</w:t>
      </w:r>
      <w:r w:rsidR="0049577B" w:rsidRPr="00AF1178">
        <w:rPr>
          <w:rStyle w:val="af7"/>
          <w:rFonts w:eastAsia="新細明體"/>
          <w:sz w:val="20"/>
        </w:rPr>
        <w:footnoteReference w:id="499"/>
      </w:r>
      <w:r w:rsidR="0049577B" w:rsidRPr="00B40DC1">
        <w:t>。</w:t>
      </w:r>
    </w:p>
    <w:p w:rsidR="0049577B" w:rsidRPr="00B40DC1" w:rsidRDefault="00AF1178" w:rsidP="00971E86">
      <w:pPr>
        <w:spacing w:line="240" w:lineRule="auto"/>
        <w:ind w:leftChars="0" w:left="0" w:rightChars="0" w:right="0"/>
      </w:pPr>
      <w:r>
        <w:t xml:space="preserve">　　</w:t>
      </w:r>
      <w:r w:rsidR="0049577B" w:rsidRPr="00B40DC1">
        <w:t>（四）社會負面評價與歧視</w:t>
      </w:r>
    </w:p>
    <w:p w:rsidR="0049577B" w:rsidRPr="00B40DC1" w:rsidRDefault="001C57C4" w:rsidP="00971E86">
      <w:pPr>
        <w:spacing w:line="240" w:lineRule="auto"/>
        <w:ind w:leftChars="0" w:left="0" w:rightChars="0" w:right="0"/>
      </w:pPr>
      <w:r>
        <w:t xml:space="preserve">　　</w:t>
      </w:r>
      <w:r w:rsidR="0049577B" w:rsidRPr="00B40DC1">
        <w:t>新聞傳播媒體為追求能引起社會大眾注意或是搏取同情的新聞，偏好報導少數特殊負面的消息，因此常用聳動的標題來報導一些有關新移民的內容，而其措辭與用語都偏向以弱勢者或社會問題製造者的角度來描繪他們，加上過去多數新移民透過婚姻仲介居中安排而來到臺灣，婚姻成了買賣行為。由於過去存在此種現象，讓他們被物化當成商品來交易，導致社會大眾會以偏概全地用異樣眼光來看這些新移民。因此，女性新移民往往被污名化，標籤為社會問題的製造者</w:t>
      </w:r>
      <w:r w:rsidR="0049577B" w:rsidRPr="00AF1178">
        <w:rPr>
          <w:rStyle w:val="af7"/>
          <w:rFonts w:eastAsia="新細明體"/>
          <w:sz w:val="20"/>
        </w:rPr>
        <w:footnoteReference w:id="500"/>
      </w:r>
      <w:r w:rsidR="0049577B" w:rsidRPr="00B40DC1">
        <w:t>。</w:t>
      </w:r>
    </w:p>
    <w:p w:rsidR="0049577B" w:rsidRPr="00B40DC1" w:rsidRDefault="00AF1178" w:rsidP="00971E86">
      <w:pPr>
        <w:spacing w:line="240" w:lineRule="auto"/>
        <w:ind w:leftChars="0" w:left="0" w:rightChars="0" w:right="0"/>
        <w:rPr>
          <w:kern w:val="0"/>
        </w:rPr>
      </w:pPr>
      <w:r>
        <w:t xml:space="preserve">　　</w:t>
      </w:r>
      <w:r w:rsidR="0049577B" w:rsidRPr="00B40DC1">
        <w:t>（五）社會支援網絡薄弱與就業困難</w:t>
      </w:r>
    </w:p>
    <w:p w:rsidR="0049577B" w:rsidRPr="00B40DC1" w:rsidRDefault="0049577B" w:rsidP="00971E86">
      <w:pPr>
        <w:spacing w:line="240" w:lineRule="auto"/>
        <w:ind w:leftChars="0" w:left="0" w:rightChars="0" w:right="0"/>
      </w:pPr>
      <w:r w:rsidRPr="00B40DC1">
        <w:rPr>
          <w:kern w:val="0"/>
        </w:rPr>
        <w:t xml:space="preserve">　　</w:t>
      </w:r>
      <w:r w:rsidRPr="00B40DC1">
        <w:t>新移民擁有愈多的個人資源、配偶及家庭資源、經濟資源、社會資源，則愈有助於在臺的生活適應。反之，社會資源的缺乏，讓新移民在親職的實踐過程中經常遭遇無力和無助感，易發生生活適應困擾，造成家庭及社會問題發生</w:t>
      </w:r>
      <w:r w:rsidRPr="00AF1178">
        <w:rPr>
          <w:rStyle w:val="af7"/>
          <w:rFonts w:eastAsia="新細明體"/>
          <w:sz w:val="20"/>
        </w:rPr>
        <w:footnoteReference w:id="501"/>
      </w:r>
      <w:r w:rsidRPr="00B40DC1">
        <w:t>。尤其許多臺灣男性對於所娶的女性新移民，年齡多半為二十出頭，在年齡差距大的情況下會有綠帽焦慮與逃妻恐懼，也常以「保護」之名來限制他們的行動，「保護」的背後，常常是臺灣男性的「逃妻」或「綠帽」恐懼症。儘管是用保護的論述在包裝自己對妻子的限制，仍可以清楚的看出他們害怕的是妻子會拓展社會網絡。此時就須仰賴政府有關部門以公權力來輔導新移民，為新移民擬訂管理制度，為其創造資源、建立人際支持網絡，以彌補資源不足，使其能盡早適應融入生活與文化。</w:t>
      </w:r>
    </w:p>
    <w:p w:rsidR="0049577B" w:rsidRPr="00B40DC1" w:rsidRDefault="00AF1178" w:rsidP="00971E86">
      <w:pPr>
        <w:spacing w:line="240" w:lineRule="auto"/>
        <w:ind w:leftChars="0" w:left="0" w:rightChars="0" w:right="0"/>
      </w:pPr>
      <w:r>
        <w:t xml:space="preserve">　　</w:t>
      </w:r>
      <w:r w:rsidR="0049577B" w:rsidRPr="00B40DC1">
        <w:t>經濟獨立將有助於提升新移民的適應能力。然而在新移民就業方面，過去許多研究均發現，新移民家庭多集中於農業與勞工的社會階層，新移民在來台的初期就需負擔生養子女、分擔家務或需急於就業或工作以補貼家用改善家庭經濟狀況。即使「</w:t>
      </w:r>
      <w:hyperlink r:id="rId433" w:history="1">
        <w:r w:rsidR="00B4647C" w:rsidRPr="00B4647C">
          <w:rPr>
            <w:rStyle w:val="a7"/>
            <w:rFonts w:cs="Times New Roman"/>
            <w:lang w:eastAsia="zh-TW" w:bidi="ar-SA"/>
          </w:rPr>
          <w:t>就業服務法</w:t>
        </w:r>
      </w:hyperlink>
      <w:r w:rsidR="0049577B" w:rsidRPr="00B40DC1">
        <w:t>」已放寬工作規定，但對於東南亞籍新移民而言，仍可能因為語言溝通能力及識字力的限制，加上學歷認證操作的困難，而讓許多東南亞籍新移民無法找到適當的工作，只能靠家務勞動、幫傭、苦力工作、擺地攤或自己開商店等方式，賺取金錢以貼補家用。這些新移民來臺後組織的家庭，大都是屬於經濟弱勢的家庭，配偶所從事的行業也都屬於非主流經濟範圍，不是留在家鄉中務農或捕魚，就是從事較低階的藍領工作，工作的穩定性也不高，因此很容易落入經濟弱勢的族群</w:t>
      </w:r>
      <w:r w:rsidR="0049577B" w:rsidRPr="00AF1178">
        <w:rPr>
          <w:rStyle w:val="af7"/>
          <w:rFonts w:eastAsia="新細明體"/>
          <w:sz w:val="20"/>
        </w:rPr>
        <w:footnoteReference w:id="502"/>
      </w:r>
      <w:r w:rsidR="0049577B" w:rsidRPr="00B40DC1">
        <w:t>。</w:t>
      </w:r>
    </w:p>
    <w:p w:rsidR="0049577B" w:rsidRPr="00B40DC1" w:rsidRDefault="00971E86" w:rsidP="00971E86">
      <w:pPr>
        <w:spacing w:line="240" w:lineRule="auto"/>
        <w:ind w:leftChars="0" w:left="0" w:rightChars="0" w:right="0"/>
        <w:jc w:val="right"/>
      </w:pPr>
      <w:r w:rsidRPr="00971E86">
        <w:rPr>
          <w:rFonts w:hint="eastAsia"/>
          <w:sz w:val="20"/>
        </w:rPr>
        <w:t>。。。。。。。。。。。。。。</w:t>
      </w:r>
      <w:hyperlink w:anchor="a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971E86">
      <w:pPr>
        <w:pStyle w:val="3"/>
        <w:keepNext w:val="0"/>
        <w:adjustRightInd/>
        <w:snapToGrid/>
        <w:spacing w:beforeLines="0" w:before="0" w:afterLines="0" w:after="0"/>
        <w:jc w:val="both"/>
        <w:rPr>
          <w:lang w:eastAsia="zh-TW"/>
        </w:rPr>
      </w:pPr>
      <w:bookmarkStart w:id="111" w:name="_二、臺灣婚姻移民輔導政策現況與課題"/>
      <w:bookmarkEnd w:id="111"/>
      <w:r w:rsidRPr="00B40DC1">
        <w:rPr>
          <w:lang w:eastAsia="zh-TW"/>
        </w:rPr>
        <w:t>二、臺灣婚姻移民輔導政策現況與課題</w:t>
      </w:r>
    </w:p>
    <w:p w:rsidR="0049577B" w:rsidRPr="00B40DC1" w:rsidRDefault="00AF1178" w:rsidP="00971E86">
      <w:pPr>
        <w:spacing w:line="240" w:lineRule="auto"/>
        <w:ind w:leftChars="0" w:left="0" w:rightChars="0" w:right="0"/>
      </w:pPr>
      <w:r>
        <w:t xml:space="preserve">　　</w:t>
      </w:r>
      <w:r w:rsidR="0049577B" w:rsidRPr="00B40DC1">
        <w:t>若未先對移民問題進行深入了解，提出的政策勢必將只會流於表面化，空泛而不實際。綜合目前臺灣對於婚姻移民適應臺灣社會所採取的輔導措施大可分為三大面向：協助婚姻移民生活適應、辦理宣導以及成立新移民家庭服務中心。其具體工作內涵包括：開設課程、電話關懷、個案連繫、初次入境個案訪談與提供在臺生活資訊袋…等。然而研究卻發現，雖然近年來政府對婚姻移民的輔導措施與政策已發揮某種程度的作用，但由於在實施上輔導與協助措施不夠深入落實，以及無法讓婚姻移民普及的參與輔導與協助措施等問題，使得部分婚姻移民在適應台灣社會的腳步，無法跟得上現實所面臨的需要；也因為並非所有的婚姻移民皆能夠接受到政府部門相關的協助，更突顯出目前仍有相當比率的婚姻移民有社會適應的問題存在。婚姻移民常因文字語言不熟悉，加上婚姻移民剛面臨到陌生環境的不適應與不信任，使其在運用政府或社福團體協助就業措施或資源時，常來自其家人或親友鄰居的訊息傳遞，必須藉由與相同背景的親友或同鄉串起資源的互通管道，才有辦法接近資源</w:t>
      </w:r>
      <w:r w:rsidR="0049577B" w:rsidRPr="00AF1178">
        <w:rPr>
          <w:rStyle w:val="af7"/>
          <w:rFonts w:eastAsia="新細明體"/>
          <w:sz w:val="20"/>
        </w:rPr>
        <w:footnoteReference w:id="503"/>
      </w:r>
      <w:r w:rsidR="0049577B" w:rsidRPr="00B40DC1">
        <w:t>。另根據桃園縣政府針對其外籍配偶社區服務據點輔導經驗發現，據點所推動之服務存在諸多問題，諸如：據點幹部與志工不易接近與服務婚姻移民家庭，導致服務量非常少，服務效果不張；在服務過程中，由於據點並無補助經費可聘請專職人力推動婚姻移民服務工作，僅能運用志工提供服務，然志工則常因專業能力不足而有諸多挫折；以及，外籍配偶家庭服務中心與服務據點連結情形不佳，據點無轉介個案能力，而服務中心亦無輔導、整合與連結社區服務據點之能力，致外籍配偶家庭服務中心之服務個案量不如預期等</w:t>
      </w:r>
      <w:r w:rsidR="0049577B" w:rsidRPr="00AF1178">
        <w:rPr>
          <w:rStyle w:val="af7"/>
          <w:rFonts w:eastAsia="新細明體"/>
          <w:sz w:val="20"/>
        </w:rPr>
        <w:footnoteReference w:id="504"/>
      </w:r>
      <w:r w:rsidR="0049577B" w:rsidRPr="00B40DC1">
        <w:t>。因此，在婚姻移民的輔導政策規劃上，最迫切且應慎重考慮的具體措施與政策建議包括：居留與工作權、去除社會歧視、強化親職教育、重視優生保健、統籌管理機制，以及建立社會支持網絡。可見政府在服務與輔導婚姻移民時，仍有許多可以突破之處</w:t>
      </w:r>
      <w:r w:rsidR="0049577B" w:rsidRPr="00AF1178">
        <w:rPr>
          <w:rStyle w:val="af7"/>
          <w:rFonts w:eastAsia="新細明體"/>
          <w:sz w:val="20"/>
        </w:rPr>
        <w:footnoteReference w:id="505"/>
      </w:r>
      <w:r w:rsidR="0049577B" w:rsidRPr="00B40DC1">
        <w:t>。</w:t>
      </w:r>
    </w:p>
    <w:p w:rsidR="0049577B" w:rsidRPr="00B40DC1" w:rsidRDefault="0091385C" w:rsidP="0091385C">
      <w:pPr>
        <w:jc w:val="right"/>
      </w:pPr>
      <w:r w:rsidRPr="00971E86">
        <w:rPr>
          <w:rFonts w:hint="eastAsia"/>
          <w:sz w:val="20"/>
        </w:rPr>
        <w:t>。。。。。。。。。。。。。。</w:t>
      </w:r>
      <w:hyperlink w:anchor="a4b3"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12" w:name="_參、研究方法"/>
      <w:bookmarkEnd w:id="112"/>
      <w:r w:rsidRPr="00B40DC1">
        <w:t>參、研究方法</w:t>
      </w:r>
    </w:p>
    <w:p w:rsidR="0049577B" w:rsidRPr="00B40DC1" w:rsidRDefault="00AF1178" w:rsidP="00971E86">
      <w:pPr>
        <w:spacing w:line="240" w:lineRule="auto"/>
        <w:ind w:leftChars="0" w:left="0" w:rightChars="0" w:right="0"/>
      </w:pPr>
      <w:r>
        <w:t xml:space="preserve">　　</w:t>
      </w:r>
      <w:r w:rsidR="0049577B" w:rsidRPr="00B40DC1">
        <w:t>本研究的主軸，在於探究桃園市新移民的生活適應情形及其需求。</w:t>
      </w:r>
      <w:r w:rsidR="0049577B" w:rsidRPr="00B40DC1">
        <w:rPr>
          <w:kern w:val="0"/>
        </w:rPr>
        <w:t>文中所指「新移民」係指外籍及大陸、港澳地區配偶。</w:t>
      </w:r>
      <w:r w:rsidR="0049577B" w:rsidRPr="00B40DC1">
        <w:t>為順利達成研究目的，本研究除先蒐集與分析相關文獻，以做為本研究的概念架構外，並蒐集有關桃園市新移民生活需求的系統性量化資料，在輔以深度訪談方式。</w:t>
      </w:r>
    </w:p>
    <w:p w:rsidR="0049577B" w:rsidRPr="00B40DC1" w:rsidRDefault="0049577B" w:rsidP="00A028E4">
      <w:pPr>
        <w:pStyle w:val="3"/>
        <w:rPr>
          <w:lang w:eastAsia="zh-TW"/>
        </w:rPr>
      </w:pPr>
      <w:bookmarkStart w:id="113" w:name="_一、次級資料分析"/>
      <w:bookmarkEnd w:id="113"/>
      <w:r w:rsidRPr="00B40DC1">
        <w:rPr>
          <w:lang w:eastAsia="zh-TW"/>
        </w:rPr>
        <w:t>一、次級資料分析</w:t>
      </w:r>
    </w:p>
    <w:p w:rsidR="0049577B" w:rsidRPr="00B40DC1" w:rsidRDefault="00AF1178" w:rsidP="00971E86">
      <w:pPr>
        <w:spacing w:line="240" w:lineRule="auto"/>
        <w:ind w:leftChars="0" w:left="0" w:rightChars="0" w:right="0"/>
      </w:pPr>
      <w:r>
        <w:t xml:space="preserve">　　</w:t>
      </w:r>
      <w:r w:rsidR="0049577B" w:rsidRPr="00B40DC1">
        <w:t>本研究的量化次級資料蒐集自內政部於2014年底所完成的「外籍與大陸配偶生活需求調查報告」。惟該報告所呈現者係全國整體性資料的分析結果，並未針對個別縣市進行分析，本研究乃在桃園市政府的委託和協助下，從全國資料中萃取出桃園市的原始資料（raw data），繼而對該資料進行較細部的分析。桃園市的原始資料，為1,416個樣本經成功面訪而獲得的資料。該1,416個樣本源自分層系統抽樣過程，首先依全國縣市別分為21個副母群體（金門及連江縣因母體數較少，合併為金馬地區），每個副母體下以「國籍別」做為分層變數，含東南亞國家（印尼、越南、泰國、柬埔寨及緬甸）、其他國家（日本、韓國、歐美及其他各國）、大陸地區、港澳地區等4層，各副母題分層後，依層內國家別及性別排序後採系統抽樣方式進行。樣本配置採比例配置法，總計至少完成13,340份有效樣本。該全國性調查研究，最終共計成功訪問13,688份有效樣本 。</w:t>
      </w:r>
    </w:p>
    <w:p w:rsidR="0049577B" w:rsidRDefault="00A028E4" w:rsidP="00971E86">
      <w:pPr>
        <w:spacing w:line="240" w:lineRule="auto"/>
        <w:ind w:leftChars="0" w:left="0" w:rightChars="0" w:right="0"/>
      </w:pPr>
      <w:r>
        <w:t xml:space="preserve">　　</w:t>
      </w:r>
      <w:r w:rsidR="0049577B" w:rsidRPr="00B40DC1">
        <w:t>原始資料的蒐集採訪員實地訪問調查法，研究工具為結構性問卷，問卷內容包含以下構面：（一）新移民（外籍與大陸、港澳配偶）基本資料：包含國籍、性別、年齡、教育程度、健康狀況、在臺居住時間、在臺身分資格等。（二）家庭生活情形：包含家庭收入、與配偶認識方式、配偶教育程度及健康狀況、婚姻次數及狀況、結婚年數、生育子女狀況等。（三）工作及就業情形：包含是否就業、工作性質、平均月薪、工作滿意度、工作困難等。（四）生活適應情形：包含中文溝通能力、在臺生活困擾、與家人溝通狀況、生活照顧輔導接觸情形。（五）生活環境整體感受：包含居住在臺灣感到自由民主、臺灣社會是平等對待符合社會公益、居住環境安全、臺灣有良好的教育環境、良好的醫療照顧、居住在臺灣感到幸福等面向的同意度等。</w:t>
      </w:r>
    </w:p>
    <w:p w:rsidR="00A028E4" w:rsidRPr="00B40DC1" w:rsidRDefault="00971E86" w:rsidP="00A028E4">
      <w:pPr>
        <w:jc w:val="right"/>
      </w:pPr>
      <w:r w:rsidRPr="00971E86">
        <w:rPr>
          <w:rFonts w:hint="eastAsia"/>
          <w:sz w:val="20"/>
        </w:rPr>
        <w:t>。。。。。。。。。。。。。。</w:t>
      </w:r>
      <w:hyperlink w:anchor="a4b3"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A028E4">
      <w:pPr>
        <w:pStyle w:val="3"/>
        <w:rPr>
          <w:lang w:eastAsia="zh-TW"/>
        </w:rPr>
      </w:pPr>
      <w:bookmarkStart w:id="114" w:name="_二、深度訪談法"/>
      <w:bookmarkEnd w:id="114"/>
      <w:r w:rsidRPr="00B40DC1">
        <w:rPr>
          <w:lang w:eastAsia="zh-TW"/>
        </w:rPr>
        <w:t>二、深度訪談法</w:t>
      </w:r>
    </w:p>
    <w:p w:rsidR="0049577B" w:rsidRPr="00B40DC1" w:rsidRDefault="00A028E4" w:rsidP="00971E86">
      <w:pPr>
        <w:spacing w:line="240" w:lineRule="auto"/>
        <w:ind w:leftChars="0" w:left="0" w:rightChars="0" w:right="0"/>
      </w:pPr>
      <w:r>
        <w:t xml:space="preserve">　　</w:t>
      </w:r>
      <w:r w:rsidR="0049577B" w:rsidRPr="00B40DC1">
        <w:t>在進一步了解新移民需求與其對政府輔導措施的期待時，常面臨新移民語言溝通不易以及個別差異相當大等問題，為能避免研究上的偏誤，研究者輔以桃園市新移民服務據點、新移民專業服務團體等有與新移民實際接觸經驗的實務工作者進行深度訪談，藉由其服務經驗，了解桃園市外籍與大陸配偶需求、生活適應狀況與對生活環境的整體感受和對政府輔導措施的期待。目前桃園市新移民服務據點和登記有案的專業團體為23個，但在進行研究時，有2個專業團體無法取得聯繫，加上目前亦無承接桃園市的方案，因此不予訪談。本研究總計成功訪談的團體為21個。此外，「知情同意」與隱私的保密為最重要的研究倫理。有關前者，本研究在進行訪談前，皆讓每位受訪者瞭解訪談目的，待其願意接受訪談並簽署同意書後，才進行訪談工作；而在後者的部分本研究在分析資料時，均以代碼呈現受訪者意見不披露其原始身分。最後，在本案訪員部分，原則上由計畫主持人與協同主持人分別帶1至2位研究助理共同訪談，以提升訪談的信度與效度。</w:t>
      </w:r>
    </w:p>
    <w:p w:rsidR="0049577B" w:rsidRPr="00B40DC1" w:rsidRDefault="00971E86" w:rsidP="00971E86">
      <w:pPr>
        <w:spacing w:line="240" w:lineRule="auto"/>
        <w:ind w:leftChars="0" w:rightChars="0"/>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15" w:name="_肆、資料分析"/>
      <w:bookmarkEnd w:id="115"/>
      <w:r w:rsidRPr="00B40DC1">
        <w:t>肆、資料分析</w:t>
      </w:r>
    </w:p>
    <w:p w:rsidR="0049577B" w:rsidRPr="00B40DC1" w:rsidRDefault="0049577B" w:rsidP="000D5F5F">
      <w:pPr>
        <w:pStyle w:val="3"/>
        <w:rPr>
          <w:lang w:eastAsia="zh-TW"/>
        </w:rPr>
      </w:pPr>
      <w:bookmarkStart w:id="116" w:name="_一、樣本資料"/>
      <w:bookmarkEnd w:id="116"/>
      <w:r w:rsidRPr="00B40DC1">
        <w:rPr>
          <w:lang w:eastAsia="zh-TW"/>
        </w:rPr>
        <w:t>一、樣本資料</w:t>
      </w:r>
    </w:p>
    <w:p w:rsidR="0049577B" w:rsidRDefault="00AA03F8" w:rsidP="000D5F5F">
      <w:pPr>
        <w:spacing w:line="240" w:lineRule="auto"/>
        <w:ind w:leftChars="0" w:left="0" w:rightChars="0" w:right="0"/>
      </w:pPr>
      <w:r>
        <w:t xml:space="preserve">　　</w:t>
      </w:r>
      <w:r w:rsidR="0049577B" w:rsidRPr="00B40DC1">
        <w:t>本研究的樣本資料詳如表2，分析內容如下。</w:t>
      </w:r>
    </w:p>
    <w:p w:rsidR="003E18C8" w:rsidRDefault="003E18C8" w:rsidP="000D5F5F">
      <w:pPr>
        <w:spacing w:line="240" w:lineRule="auto"/>
        <w:ind w:leftChars="0" w:left="0" w:rightChars="0" w:right="0"/>
      </w:pPr>
      <w:r>
        <w:rPr>
          <w:rFonts w:hint="eastAsia"/>
        </w:rPr>
        <w:t xml:space="preserve">　　（一）受訪者的國籍以大陸籍最多（</w:t>
      </w:r>
      <w:r>
        <w:t>64.48%），其次為東南亞國家（31.78%）。</w:t>
      </w:r>
    </w:p>
    <w:p w:rsidR="003E18C8" w:rsidRDefault="003E18C8" w:rsidP="000D5F5F">
      <w:pPr>
        <w:spacing w:line="240" w:lineRule="auto"/>
        <w:ind w:leftChars="0" w:left="0" w:rightChars="0" w:right="0"/>
      </w:pPr>
      <w:r>
        <w:rPr>
          <w:rFonts w:hint="eastAsia"/>
        </w:rPr>
        <w:t xml:space="preserve">　　（二）受訪者以女性居多（</w:t>
      </w:r>
      <w:r>
        <w:t>95.83%）。</w:t>
      </w:r>
    </w:p>
    <w:p w:rsidR="003E18C8" w:rsidRDefault="003E18C8" w:rsidP="000D5F5F">
      <w:pPr>
        <w:spacing w:line="240" w:lineRule="auto"/>
        <w:ind w:leftChars="0" w:left="0" w:rightChars="0" w:right="0"/>
      </w:pPr>
      <w:r>
        <w:rPr>
          <w:rFonts w:hint="eastAsia"/>
        </w:rPr>
        <w:t xml:space="preserve">　　（三）受訪者中有</w:t>
      </w:r>
      <w:r>
        <w:t>73.73％集中在25～44歲的年齡層。</w:t>
      </w:r>
    </w:p>
    <w:p w:rsidR="003E18C8" w:rsidRDefault="003E18C8" w:rsidP="000D5F5F">
      <w:pPr>
        <w:spacing w:line="240" w:lineRule="auto"/>
        <w:ind w:leftChars="0" w:left="0" w:rightChars="0" w:right="0"/>
      </w:pPr>
      <w:r>
        <w:rPr>
          <w:rFonts w:hint="eastAsia"/>
        </w:rPr>
        <w:t xml:space="preserve">　　（四）受訪者在原屬國取得的最高教育程度，以國中或初中畢業所占百分比最高（</w:t>
      </w:r>
      <w:r>
        <w:t>36.58%），其次為高中或高職畢業（32.27%），值得注意的是大專畢業及以上者接近10%。</w:t>
      </w:r>
    </w:p>
    <w:p w:rsidR="003E18C8" w:rsidRDefault="003E18C8" w:rsidP="000D5F5F">
      <w:pPr>
        <w:spacing w:line="240" w:lineRule="auto"/>
        <w:ind w:leftChars="0" w:left="0" w:rightChars="0" w:right="0"/>
      </w:pPr>
      <w:r>
        <w:rPr>
          <w:rFonts w:hint="eastAsia"/>
        </w:rPr>
        <w:t xml:space="preserve">　　（五）大部分受訪者來臺後並未取得學歷證明（占</w:t>
      </w:r>
      <w:r>
        <w:t>86.23%），8.69%的受訪者選擇自修方式，3.60%的受訪者來臺後完成小學學歷，完成其他學歷者均甚少。</w:t>
      </w:r>
    </w:p>
    <w:p w:rsidR="003E18C8" w:rsidRDefault="003E18C8" w:rsidP="000D5F5F">
      <w:pPr>
        <w:spacing w:line="240" w:lineRule="auto"/>
        <w:ind w:leftChars="0" w:left="0" w:rightChars="0" w:right="0"/>
      </w:pPr>
      <w:r>
        <w:rPr>
          <w:rFonts w:hint="eastAsia"/>
        </w:rPr>
        <w:t xml:space="preserve">　　（六）大部分受訪者表示自己的身體健康狀況良好（</w:t>
      </w:r>
      <w:r>
        <w:t>98.02%）。</w:t>
      </w:r>
    </w:p>
    <w:p w:rsidR="003E18C8" w:rsidRDefault="003E18C8" w:rsidP="000D5F5F">
      <w:pPr>
        <w:spacing w:line="240" w:lineRule="auto"/>
        <w:ind w:leftChars="0" w:left="0" w:rightChars="0" w:right="0"/>
      </w:pPr>
      <w:r>
        <w:rPr>
          <w:rFonts w:hint="eastAsia"/>
        </w:rPr>
        <w:t xml:space="preserve">　　（七）受訪者在臺居住滿</w:t>
      </w:r>
      <w:r>
        <w:t>8年以上者占69.50％，70.62%的受訪者已取得定居資格。</w:t>
      </w:r>
    </w:p>
    <w:p w:rsidR="003E18C8" w:rsidRPr="00B40DC1" w:rsidRDefault="003E18C8" w:rsidP="000D5F5F">
      <w:pPr>
        <w:spacing w:line="240" w:lineRule="auto"/>
        <w:ind w:leftChars="0" w:left="0" w:rightChars="0" w:right="0"/>
      </w:pPr>
      <w:r>
        <w:rPr>
          <w:rFonts w:hint="eastAsia"/>
        </w:rPr>
        <w:t xml:space="preserve">　　由於港澳地區新移民的樣本甚少，基於統計合理性與可行性的考量，以下的關聯性分析將大陸地區與港澳地區的新移民樣本合併，以大陸及港澳地區新移民代表之。</w:t>
      </w:r>
    </w:p>
    <w:p w:rsidR="00AA03F8" w:rsidRPr="00B40DC1" w:rsidRDefault="00AA03F8" w:rsidP="000D26BB">
      <w:pPr>
        <w:pStyle w:val="af2"/>
        <w:ind w:left="520"/>
      </w:pPr>
    </w:p>
    <w:p w:rsidR="0049577B" w:rsidRPr="00B40DC1" w:rsidRDefault="0049577B" w:rsidP="000D5F5F">
      <w:pPr>
        <w:pStyle w:val="4"/>
      </w:pPr>
      <w:r w:rsidRPr="00B40DC1">
        <w:t>表2</w:t>
      </w:r>
      <w:r w:rsidR="003E18C8">
        <w:rPr>
          <w:rFonts w:ascii="新細明體" w:eastAsia="新細明體" w:hAnsi="新細明體" w:hint="eastAsia"/>
        </w:rPr>
        <w:t>、</w:t>
      </w:r>
      <w:r w:rsidRPr="00B40DC1">
        <w:t>樣本結構分析</w:t>
      </w:r>
    </w:p>
    <w:tbl>
      <w:tblPr>
        <w:tblW w:w="974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2"/>
        <w:gridCol w:w="1559"/>
        <w:gridCol w:w="3544"/>
        <w:gridCol w:w="2693"/>
      </w:tblGrid>
      <w:tr w:rsidR="0049577B" w:rsidRPr="00602938" w:rsidTr="00A028E4">
        <w:tc>
          <w:tcPr>
            <w:tcW w:w="1952" w:type="dxa"/>
            <w:shd w:val="clear" w:color="auto" w:fill="FAF0FA"/>
            <w:vAlign w:val="center"/>
          </w:tcPr>
          <w:p w:rsidR="0049577B" w:rsidRPr="00602938" w:rsidRDefault="0049577B" w:rsidP="00AA03F8">
            <w:pPr>
              <w:spacing w:line="240" w:lineRule="auto"/>
              <w:ind w:leftChars="0" w:left="0" w:rightChars="0" w:right="0"/>
              <w:jc w:val="center"/>
              <w:rPr>
                <w:b/>
                <w:sz w:val="24"/>
              </w:rPr>
            </w:pPr>
            <w:r w:rsidRPr="00602938">
              <w:rPr>
                <w:b/>
                <w:sz w:val="24"/>
              </w:rPr>
              <w:t>變項</w:t>
            </w:r>
          </w:p>
        </w:tc>
        <w:tc>
          <w:tcPr>
            <w:tcW w:w="1559" w:type="dxa"/>
            <w:shd w:val="clear" w:color="auto" w:fill="FAF0FA"/>
            <w:vAlign w:val="center"/>
          </w:tcPr>
          <w:p w:rsidR="0049577B" w:rsidRPr="00602938" w:rsidRDefault="0049577B" w:rsidP="00AA03F8">
            <w:pPr>
              <w:spacing w:line="240" w:lineRule="auto"/>
              <w:ind w:leftChars="0" w:left="0" w:rightChars="0" w:right="0"/>
              <w:jc w:val="center"/>
              <w:rPr>
                <w:b/>
                <w:sz w:val="24"/>
              </w:rPr>
            </w:pPr>
            <w:r w:rsidRPr="00602938">
              <w:rPr>
                <w:b/>
                <w:sz w:val="24"/>
              </w:rPr>
              <w:t>百分比（%）</w:t>
            </w:r>
          </w:p>
        </w:tc>
        <w:tc>
          <w:tcPr>
            <w:tcW w:w="3544" w:type="dxa"/>
            <w:shd w:val="clear" w:color="auto" w:fill="FAF0FA"/>
            <w:vAlign w:val="center"/>
          </w:tcPr>
          <w:p w:rsidR="0049577B" w:rsidRPr="00602938" w:rsidRDefault="0049577B" w:rsidP="00AA03F8">
            <w:pPr>
              <w:spacing w:line="240" w:lineRule="auto"/>
              <w:ind w:leftChars="0" w:left="0" w:rightChars="0" w:right="0"/>
              <w:jc w:val="center"/>
              <w:rPr>
                <w:b/>
                <w:sz w:val="24"/>
              </w:rPr>
            </w:pPr>
            <w:r w:rsidRPr="00602938">
              <w:rPr>
                <w:b/>
                <w:sz w:val="24"/>
              </w:rPr>
              <w:t>變項</w:t>
            </w:r>
          </w:p>
        </w:tc>
        <w:tc>
          <w:tcPr>
            <w:tcW w:w="2693" w:type="dxa"/>
            <w:shd w:val="clear" w:color="auto" w:fill="FAF0FA"/>
            <w:vAlign w:val="center"/>
          </w:tcPr>
          <w:p w:rsidR="0049577B" w:rsidRPr="00602938" w:rsidRDefault="0049577B" w:rsidP="00AA03F8">
            <w:pPr>
              <w:spacing w:line="240" w:lineRule="auto"/>
              <w:ind w:leftChars="0" w:left="0" w:rightChars="0" w:right="0"/>
              <w:jc w:val="center"/>
              <w:rPr>
                <w:b/>
                <w:sz w:val="24"/>
              </w:rPr>
            </w:pPr>
            <w:r w:rsidRPr="00602938">
              <w:rPr>
                <w:b/>
                <w:sz w:val="24"/>
              </w:rPr>
              <w:t>百分比（%）</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國籍</w:t>
            </w:r>
          </w:p>
        </w:tc>
        <w:tc>
          <w:tcPr>
            <w:tcW w:w="1559" w:type="dxa"/>
            <w:vAlign w:val="center"/>
          </w:tcPr>
          <w:p w:rsidR="0049577B" w:rsidRPr="00602938" w:rsidRDefault="0049577B" w:rsidP="00A028E4">
            <w:pPr>
              <w:spacing w:line="240" w:lineRule="auto"/>
              <w:ind w:leftChars="0" w:left="0" w:rightChars="0" w:right="0"/>
              <w:jc w:val="center"/>
              <w:rPr>
                <w:sz w:val="24"/>
              </w:rPr>
            </w:pP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在臺灣取得的最高教育</w:t>
            </w:r>
          </w:p>
        </w:tc>
        <w:tc>
          <w:tcPr>
            <w:tcW w:w="2693" w:type="dxa"/>
            <w:vAlign w:val="center"/>
          </w:tcPr>
          <w:p w:rsidR="0049577B" w:rsidRPr="00602938" w:rsidRDefault="0049577B" w:rsidP="00A028E4">
            <w:pPr>
              <w:spacing w:line="240" w:lineRule="auto"/>
              <w:ind w:leftChars="0" w:left="0" w:rightChars="0" w:right="0"/>
              <w:jc w:val="center"/>
              <w:rPr>
                <w:sz w:val="24"/>
              </w:rPr>
            </w:pP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東南亞國家</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31.78</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不識字</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0.07</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其他國家</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2.90</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自修（含小學在學或肄業）</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8.69</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大陸地區</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64.48</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小學畢業</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3.60</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港澳地區</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0.85</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國中或初中畢業（含五專1~3年級肄業）</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0.78</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性別</w:t>
            </w:r>
          </w:p>
          <w:p w:rsidR="0049577B" w:rsidRPr="00602938" w:rsidRDefault="0049577B" w:rsidP="00C64E78">
            <w:pPr>
              <w:spacing w:line="240" w:lineRule="auto"/>
              <w:ind w:leftChars="0" w:left="142" w:rightChars="0" w:right="0"/>
              <w:jc w:val="left"/>
              <w:rPr>
                <w:sz w:val="24"/>
              </w:rPr>
            </w:pPr>
            <w:r w:rsidRPr="00602938">
              <w:rPr>
                <w:sz w:val="24"/>
              </w:rPr>
              <w:t>男</w:t>
            </w:r>
          </w:p>
        </w:tc>
        <w:tc>
          <w:tcPr>
            <w:tcW w:w="1559" w:type="dxa"/>
            <w:vAlign w:val="center"/>
          </w:tcPr>
          <w:p w:rsidR="0049577B" w:rsidRPr="00602938" w:rsidRDefault="0049577B" w:rsidP="00A028E4">
            <w:pPr>
              <w:spacing w:line="240" w:lineRule="auto"/>
              <w:ind w:leftChars="0" w:left="0" w:rightChars="0" w:right="0"/>
              <w:jc w:val="center"/>
              <w:rPr>
                <w:sz w:val="24"/>
              </w:rPr>
            </w:pPr>
          </w:p>
          <w:p w:rsidR="0049577B" w:rsidRPr="00602938" w:rsidRDefault="0049577B" w:rsidP="00A028E4">
            <w:pPr>
              <w:spacing w:line="240" w:lineRule="auto"/>
              <w:ind w:leftChars="0" w:left="0" w:rightChars="0" w:right="0"/>
              <w:jc w:val="center"/>
              <w:rPr>
                <w:sz w:val="24"/>
              </w:rPr>
            </w:pPr>
            <w:r w:rsidRPr="00602938">
              <w:rPr>
                <w:sz w:val="24"/>
              </w:rPr>
              <w:t>4.17</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高中或高職畢業（含五專4~5年級肄業）</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0.07</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女</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95.83</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專科畢業</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0.14</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p>
        </w:tc>
        <w:tc>
          <w:tcPr>
            <w:tcW w:w="1559" w:type="dxa"/>
            <w:vAlign w:val="center"/>
          </w:tcPr>
          <w:p w:rsidR="0049577B" w:rsidRPr="00602938" w:rsidRDefault="0049577B" w:rsidP="00A028E4">
            <w:pPr>
              <w:spacing w:line="240" w:lineRule="auto"/>
              <w:ind w:leftChars="0" w:left="0" w:rightChars="0" w:right="0"/>
              <w:jc w:val="center"/>
              <w:rPr>
                <w:sz w:val="24"/>
              </w:rPr>
            </w:pP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大學畢業</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0.42</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年齡</w:t>
            </w:r>
          </w:p>
        </w:tc>
        <w:tc>
          <w:tcPr>
            <w:tcW w:w="1559" w:type="dxa"/>
            <w:vAlign w:val="center"/>
          </w:tcPr>
          <w:p w:rsidR="0049577B" w:rsidRPr="00602938" w:rsidRDefault="0049577B" w:rsidP="00A028E4">
            <w:pPr>
              <w:spacing w:line="240" w:lineRule="auto"/>
              <w:ind w:leftChars="0" w:left="0" w:rightChars="0" w:right="0"/>
              <w:jc w:val="center"/>
              <w:rPr>
                <w:sz w:val="24"/>
              </w:rPr>
            </w:pP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研究所畢業及以上</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0</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15~24歲</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1.98</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在臺灣未取得學歷證明</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86.23</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25~34歲</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38.84</w:t>
            </w:r>
          </w:p>
        </w:tc>
        <w:tc>
          <w:tcPr>
            <w:tcW w:w="3544" w:type="dxa"/>
            <w:vAlign w:val="center"/>
          </w:tcPr>
          <w:p w:rsidR="0049577B" w:rsidRPr="00602938" w:rsidRDefault="0049577B" w:rsidP="00A028E4">
            <w:pPr>
              <w:spacing w:line="240" w:lineRule="auto"/>
              <w:ind w:leftChars="0" w:left="0" w:rightChars="0" w:right="0"/>
              <w:rPr>
                <w:sz w:val="24"/>
              </w:rPr>
            </w:pPr>
          </w:p>
        </w:tc>
        <w:tc>
          <w:tcPr>
            <w:tcW w:w="2693" w:type="dxa"/>
            <w:vAlign w:val="center"/>
          </w:tcPr>
          <w:p w:rsidR="0049577B" w:rsidRPr="00602938" w:rsidRDefault="0049577B" w:rsidP="00A028E4">
            <w:pPr>
              <w:spacing w:line="240" w:lineRule="auto"/>
              <w:ind w:leftChars="0" w:left="0" w:rightChars="0" w:right="0"/>
              <w:jc w:val="center"/>
              <w:rPr>
                <w:sz w:val="24"/>
              </w:rPr>
            </w:pP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35~44歲</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34.89</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健康狀況</w:t>
            </w:r>
          </w:p>
        </w:tc>
        <w:tc>
          <w:tcPr>
            <w:tcW w:w="2693" w:type="dxa"/>
            <w:vAlign w:val="center"/>
          </w:tcPr>
          <w:p w:rsidR="0049577B" w:rsidRPr="00602938" w:rsidRDefault="0049577B" w:rsidP="00A028E4">
            <w:pPr>
              <w:spacing w:line="240" w:lineRule="auto"/>
              <w:ind w:leftChars="0" w:left="0" w:rightChars="0" w:right="0"/>
              <w:jc w:val="center"/>
              <w:rPr>
                <w:sz w:val="24"/>
              </w:rPr>
            </w:pP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45~54歲</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13.70</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健康狀況良好</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98.02</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55~64歲</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7.77</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患病或傷殘但不致影響家居生活</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1.98</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65歲以上</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2.82</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生活起居困難需人照顧</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0</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p>
        </w:tc>
        <w:tc>
          <w:tcPr>
            <w:tcW w:w="1559" w:type="dxa"/>
            <w:vAlign w:val="center"/>
          </w:tcPr>
          <w:p w:rsidR="0049577B" w:rsidRPr="00602938" w:rsidRDefault="0049577B" w:rsidP="00A028E4">
            <w:pPr>
              <w:spacing w:line="240" w:lineRule="auto"/>
              <w:ind w:leftChars="0" w:left="0" w:rightChars="0" w:right="0"/>
              <w:jc w:val="center"/>
              <w:rPr>
                <w:sz w:val="24"/>
              </w:rPr>
            </w:pP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長年臥病在床</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0</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在原屬國取得的最高教育</w:t>
            </w:r>
          </w:p>
        </w:tc>
        <w:tc>
          <w:tcPr>
            <w:tcW w:w="1559" w:type="dxa"/>
            <w:vAlign w:val="center"/>
          </w:tcPr>
          <w:p w:rsidR="0049577B" w:rsidRPr="00602938" w:rsidRDefault="0049577B" w:rsidP="00A028E4">
            <w:pPr>
              <w:spacing w:line="240" w:lineRule="auto"/>
              <w:ind w:leftChars="0" w:left="0" w:rightChars="0" w:right="0"/>
              <w:jc w:val="center"/>
              <w:rPr>
                <w:sz w:val="24"/>
              </w:rPr>
            </w:pPr>
          </w:p>
        </w:tc>
        <w:tc>
          <w:tcPr>
            <w:tcW w:w="3544" w:type="dxa"/>
            <w:vAlign w:val="center"/>
          </w:tcPr>
          <w:p w:rsidR="0049577B" w:rsidRPr="00602938" w:rsidRDefault="0049577B" w:rsidP="00A028E4">
            <w:pPr>
              <w:spacing w:line="240" w:lineRule="auto"/>
              <w:ind w:leftChars="0" w:left="0" w:rightChars="0" w:right="0"/>
              <w:rPr>
                <w:sz w:val="24"/>
              </w:rPr>
            </w:pPr>
          </w:p>
        </w:tc>
        <w:tc>
          <w:tcPr>
            <w:tcW w:w="2693" w:type="dxa"/>
            <w:vAlign w:val="center"/>
          </w:tcPr>
          <w:p w:rsidR="0049577B" w:rsidRPr="00602938" w:rsidRDefault="0049577B" w:rsidP="00A028E4">
            <w:pPr>
              <w:spacing w:line="240" w:lineRule="auto"/>
              <w:ind w:leftChars="0" w:left="0" w:rightChars="0" w:right="0"/>
              <w:jc w:val="center"/>
              <w:rPr>
                <w:sz w:val="24"/>
              </w:rPr>
            </w:pP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不識字</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3.67</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在臺居住時間</w:t>
            </w:r>
          </w:p>
        </w:tc>
        <w:tc>
          <w:tcPr>
            <w:tcW w:w="2693" w:type="dxa"/>
            <w:vAlign w:val="center"/>
          </w:tcPr>
          <w:p w:rsidR="0049577B" w:rsidRPr="00602938" w:rsidRDefault="0049577B" w:rsidP="00A028E4">
            <w:pPr>
              <w:spacing w:line="240" w:lineRule="auto"/>
              <w:ind w:leftChars="0" w:left="0" w:rightChars="0" w:right="0"/>
              <w:jc w:val="center"/>
              <w:rPr>
                <w:sz w:val="24"/>
              </w:rPr>
            </w:pP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自修（含小學在學或肄業）</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2.33</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未滿1年</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0.99</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小學畢業</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15.75</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1年至未滿2年</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3.04</w:t>
            </w:r>
          </w:p>
        </w:tc>
      </w:tr>
      <w:tr w:rsidR="00A028E4" w:rsidRPr="00602938" w:rsidTr="00A028E4">
        <w:tc>
          <w:tcPr>
            <w:tcW w:w="1952" w:type="dxa"/>
            <w:vMerge w:val="restart"/>
          </w:tcPr>
          <w:p w:rsidR="00A028E4" w:rsidRPr="00602938" w:rsidRDefault="00A028E4" w:rsidP="00C64E78">
            <w:pPr>
              <w:spacing w:line="240" w:lineRule="auto"/>
              <w:ind w:leftChars="0" w:left="142" w:rightChars="0" w:right="0"/>
              <w:jc w:val="left"/>
              <w:rPr>
                <w:sz w:val="24"/>
              </w:rPr>
            </w:pPr>
            <w:r w:rsidRPr="00602938">
              <w:rPr>
                <w:sz w:val="24"/>
              </w:rPr>
              <w:t>國中或初中畢業（含五專1~3</w:t>
            </w:r>
          </w:p>
          <w:p w:rsidR="00A028E4" w:rsidRPr="00602938" w:rsidRDefault="00A028E4" w:rsidP="00C64E78">
            <w:pPr>
              <w:spacing w:line="240" w:lineRule="auto"/>
              <w:ind w:leftChars="0" w:left="142" w:rightChars="0" w:right="0"/>
              <w:jc w:val="left"/>
              <w:rPr>
                <w:sz w:val="24"/>
              </w:rPr>
            </w:pPr>
            <w:r w:rsidRPr="00602938">
              <w:rPr>
                <w:sz w:val="24"/>
              </w:rPr>
              <w:t>年級肄業）</w:t>
            </w:r>
          </w:p>
        </w:tc>
        <w:tc>
          <w:tcPr>
            <w:tcW w:w="1559" w:type="dxa"/>
            <w:vAlign w:val="center"/>
          </w:tcPr>
          <w:p w:rsidR="00A028E4" w:rsidRPr="00602938" w:rsidRDefault="00A028E4" w:rsidP="00A028E4">
            <w:pPr>
              <w:spacing w:line="240" w:lineRule="auto"/>
              <w:ind w:leftChars="0" w:left="0" w:rightChars="0" w:right="0"/>
              <w:jc w:val="center"/>
              <w:rPr>
                <w:sz w:val="24"/>
              </w:rPr>
            </w:pPr>
            <w:r w:rsidRPr="00602938">
              <w:rPr>
                <w:sz w:val="24"/>
              </w:rPr>
              <w:t>36.58</w:t>
            </w:r>
          </w:p>
        </w:tc>
        <w:tc>
          <w:tcPr>
            <w:tcW w:w="3544" w:type="dxa"/>
            <w:vAlign w:val="center"/>
          </w:tcPr>
          <w:p w:rsidR="00A028E4" w:rsidRPr="00602938" w:rsidRDefault="00A028E4" w:rsidP="00A028E4">
            <w:pPr>
              <w:spacing w:line="240" w:lineRule="auto"/>
              <w:ind w:leftChars="0" w:left="0" w:rightChars="0" w:right="0"/>
              <w:rPr>
                <w:sz w:val="24"/>
              </w:rPr>
            </w:pPr>
            <w:r w:rsidRPr="00602938">
              <w:rPr>
                <w:sz w:val="24"/>
              </w:rPr>
              <w:t>2年至未滿4年</w:t>
            </w:r>
          </w:p>
        </w:tc>
        <w:tc>
          <w:tcPr>
            <w:tcW w:w="2693" w:type="dxa"/>
            <w:vAlign w:val="center"/>
          </w:tcPr>
          <w:p w:rsidR="00A028E4" w:rsidRPr="00602938" w:rsidRDefault="00A028E4" w:rsidP="00A028E4">
            <w:pPr>
              <w:spacing w:line="240" w:lineRule="auto"/>
              <w:ind w:leftChars="0" w:left="0" w:rightChars="0" w:right="0"/>
              <w:jc w:val="center"/>
              <w:rPr>
                <w:sz w:val="24"/>
              </w:rPr>
            </w:pPr>
            <w:r w:rsidRPr="00602938">
              <w:rPr>
                <w:sz w:val="24"/>
              </w:rPr>
              <w:t>7.77</w:t>
            </w:r>
          </w:p>
        </w:tc>
      </w:tr>
      <w:tr w:rsidR="00A028E4" w:rsidRPr="00602938" w:rsidTr="00A028E4">
        <w:tc>
          <w:tcPr>
            <w:tcW w:w="1952" w:type="dxa"/>
            <w:vMerge/>
          </w:tcPr>
          <w:p w:rsidR="00A028E4" w:rsidRPr="00602938" w:rsidRDefault="00A028E4" w:rsidP="00C64E78">
            <w:pPr>
              <w:jc w:val="left"/>
              <w:rPr>
                <w:sz w:val="24"/>
              </w:rPr>
            </w:pPr>
          </w:p>
        </w:tc>
        <w:tc>
          <w:tcPr>
            <w:tcW w:w="1559" w:type="dxa"/>
            <w:vAlign w:val="center"/>
          </w:tcPr>
          <w:p w:rsidR="00A028E4" w:rsidRPr="00602938" w:rsidRDefault="00A028E4" w:rsidP="00A028E4">
            <w:pPr>
              <w:spacing w:line="240" w:lineRule="auto"/>
              <w:ind w:leftChars="0" w:left="0" w:rightChars="0" w:right="0"/>
              <w:jc w:val="center"/>
              <w:rPr>
                <w:sz w:val="24"/>
              </w:rPr>
            </w:pPr>
          </w:p>
        </w:tc>
        <w:tc>
          <w:tcPr>
            <w:tcW w:w="3544" w:type="dxa"/>
            <w:vAlign w:val="center"/>
          </w:tcPr>
          <w:p w:rsidR="00A028E4" w:rsidRPr="00602938" w:rsidRDefault="00A028E4" w:rsidP="00A028E4">
            <w:pPr>
              <w:spacing w:line="240" w:lineRule="auto"/>
              <w:ind w:leftChars="0" w:left="0" w:rightChars="0" w:right="0"/>
              <w:rPr>
                <w:sz w:val="24"/>
              </w:rPr>
            </w:pPr>
            <w:r w:rsidRPr="00602938">
              <w:rPr>
                <w:sz w:val="24"/>
              </w:rPr>
              <w:t>4年至未滿6年</w:t>
            </w:r>
          </w:p>
        </w:tc>
        <w:tc>
          <w:tcPr>
            <w:tcW w:w="2693" w:type="dxa"/>
            <w:vAlign w:val="center"/>
          </w:tcPr>
          <w:p w:rsidR="00A028E4" w:rsidRPr="00602938" w:rsidRDefault="00A028E4" w:rsidP="00A028E4">
            <w:pPr>
              <w:spacing w:line="240" w:lineRule="auto"/>
              <w:ind w:leftChars="0" w:left="0" w:rightChars="0" w:right="0"/>
              <w:jc w:val="center"/>
              <w:rPr>
                <w:sz w:val="24"/>
              </w:rPr>
            </w:pPr>
            <w:r w:rsidRPr="00602938">
              <w:rPr>
                <w:sz w:val="24"/>
              </w:rPr>
              <w:t>10.24</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高中或高職畢業（含五專4~5年級肄業）</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32.27</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6年至未滿8年</w:t>
            </w:r>
          </w:p>
          <w:p w:rsidR="0049577B" w:rsidRPr="00602938" w:rsidRDefault="0049577B" w:rsidP="00A028E4">
            <w:pPr>
              <w:spacing w:line="240" w:lineRule="auto"/>
              <w:ind w:leftChars="0" w:left="0" w:rightChars="0" w:right="0"/>
              <w:rPr>
                <w:sz w:val="24"/>
              </w:rPr>
            </w:pPr>
            <w:r w:rsidRPr="00602938">
              <w:rPr>
                <w:sz w:val="24"/>
              </w:rPr>
              <w:t>8年至未滿10年</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8.47</w:t>
            </w:r>
          </w:p>
          <w:p w:rsidR="0049577B" w:rsidRPr="00602938" w:rsidRDefault="0049577B" w:rsidP="00A028E4">
            <w:pPr>
              <w:spacing w:line="240" w:lineRule="auto"/>
              <w:ind w:leftChars="0" w:left="0" w:rightChars="0" w:right="0"/>
              <w:jc w:val="center"/>
              <w:rPr>
                <w:sz w:val="24"/>
              </w:rPr>
            </w:pPr>
            <w:r w:rsidRPr="00602938">
              <w:rPr>
                <w:sz w:val="24"/>
              </w:rPr>
              <w:t>10.81</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專科畢業</w:t>
            </w:r>
          </w:p>
          <w:p w:rsidR="0049577B" w:rsidRPr="00602938" w:rsidRDefault="0049577B" w:rsidP="00C64E78">
            <w:pPr>
              <w:spacing w:line="240" w:lineRule="auto"/>
              <w:ind w:leftChars="0" w:left="142" w:rightChars="0" w:right="0"/>
              <w:jc w:val="left"/>
              <w:rPr>
                <w:sz w:val="24"/>
              </w:rPr>
            </w:pPr>
            <w:r w:rsidRPr="00602938">
              <w:rPr>
                <w:sz w:val="24"/>
              </w:rPr>
              <w:t>大學畢業</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4.03</w:t>
            </w:r>
          </w:p>
          <w:p w:rsidR="0049577B" w:rsidRPr="00602938" w:rsidRDefault="0049577B" w:rsidP="00A028E4">
            <w:pPr>
              <w:spacing w:line="240" w:lineRule="auto"/>
              <w:ind w:leftChars="0" w:left="0" w:rightChars="0" w:right="0"/>
              <w:jc w:val="center"/>
              <w:rPr>
                <w:sz w:val="24"/>
              </w:rPr>
            </w:pPr>
            <w:r w:rsidRPr="00602938">
              <w:rPr>
                <w:sz w:val="24"/>
              </w:rPr>
              <w:t>5.23</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滿10年以上</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58.69</w:t>
            </w:r>
          </w:p>
        </w:tc>
      </w:tr>
      <w:tr w:rsidR="0049577B" w:rsidRPr="00602938" w:rsidTr="00A028E4">
        <w:tc>
          <w:tcPr>
            <w:tcW w:w="1952" w:type="dxa"/>
          </w:tcPr>
          <w:p w:rsidR="0049577B" w:rsidRPr="00602938" w:rsidRDefault="0049577B" w:rsidP="00C64E78">
            <w:pPr>
              <w:spacing w:line="240" w:lineRule="auto"/>
              <w:ind w:leftChars="0" w:left="142" w:rightChars="0" w:right="0"/>
              <w:jc w:val="left"/>
              <w:rPr>
                <w:sz w:val="24"/>
              </w:rPr>
            </w:pPr>
            <w:r w:rsidRPr="00602938">
              <w:rPr>
                <w:sz w:val="24"/>
              </w:rPr>
              <w:t>研究所畢業及以上</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0.14</w:t>
            </w: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在臺資格</w:t>
            </w:r>
          </w:p>
        </w:tc>
        <w:tc>
          <w:tcPr>
            <w:tcW w:w="2693" w:type="dxa"/>
            <w:vAlign w:val="center"/>
          </w:tcPr>
          <w:p w:rsidR="0049577B" w:rsidRPr="00602938" w:rsidRDefault="0049577B" w:rsidP="00A028E4">
            <w:pPr>
              <w:spacing w:line="240" w:lineRule="auto"/>
              <w:ind w:leftChars="0" w:left="0" w:rightChars="0" w:right="0"/>
              <w:jc w:val="center"/>
              <w:rPr>
                <w:sz w:val="24"/>
              </w:rPr>
            </w:pPr>
          </w:p>
        </w:tc>
      </w:tr>
      <w:tr w:rsidR="0049577B" w:rsidRPr="00602938" w:rsidTr="00A028E4">
        <w:tc>
          <w:tcPr>
            <w:tcW w:w="1952" w:type="dxa"/>
          </w:tcPr>
          <w:p w:rsidR="0049577B" w:rsidRPr="00602938" w:rsidRDefault="0049577B" w:rsidP="00C64E78">
            <w:pPr>
              <w:spacing w:line="240" w:lineRule="auto"/>
              <w:ind w:leftChars="0" w:left="142" w:rightChars="0" w:right="0"/>
              <w:rPr>
                <w:sz w:val="24"/>
              </w:rPr>
            </w:pPr>
            <w:r w:rsidRPr="00602938">
              <w:rPr>
                <w:sz w:val="24"/>
              </w:rPr>
              <w:t xml:space="preserve">  </w:t>
            </w:r>
          </w:p>
        </w:tc>
        <w:tc>
          <w:tcPr>
            <w:tcW w:w="1559" w:type="dxa"/>
            <w:vAlign w:val="center"/>
          </w:tcPr>
          <w:p w:rsidR="0049577B" w:rsidRPr="00602938" w:rsidRDefault="0049577B" w:rsidP="00A028E4">
            <w:pPr>
              <w:spacing w:line="240" w:lineRule="auto"/>
              <w:ind w:leftChars="0" w:left="0" w:rightChars="0" w:right="0"/>
              <w:jc w:val="center"/>
              <w:rPr>
                <w:sz w:val="24"/>
              </w:rPr>
            </w:pP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停留（團聚）</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0.21</w:t>
            </w:r>
          </w:p>
        </w:tc>
      </w:tr>
      <w:tr w:rsidR="0049577B" w:rsidRPr="00602938" w:rsidTr="00A028E4">
        <w:tc>
          <w:tcPr>
            <w:tcW w:w="1952" w:type="dxa"/>
          </w:tcPr>
          <w:p w:rsidR="0049577B" w:rsidRPr="00602938" w:rsidRDefault="0049577B" w:rsidP="00C64E78">
            <w:pPr>
              <w:spacing w:line="240" w:lineRule="auto"/>
              <w:ind w:leftChars="0" w:left="142" w:rightChars="0" w:right="0"/>
              <w:rPr>
                <w:sz w:val="24"/>
              </w:rPr>
            </w:pPr>
            <w:r w:rsidRPr="00602938">
              <w:rPr>
                <w:sz w:val="24"/>
              </w:rPr>
              <w:t xml:space="preserve">  </w:t>
            </w:r>
          </w:p>
        </w:tc>
        <w:tc>
          <w:tcPr>
            <w:tcW w:w="1559" w:type="dxa"/>
            <w:vAlign w:val="center"/>
          </w:tcPr>
          <w:p w:rsidR="0049577B" w:rsidRPr="00602938" w:rsidRDefault="0049577B" w:rsidP="00A028E4">
            <w:pPr>
              <w:spacing w:line="240" w:lineRule="auto"/>
              <w:ind w:leftChars="0" w:left="0" w:rightChars="0" w:right="0"/>
              <w:jc w:val="center"/>
              <w:rPr>
                <w:sz w:val="24"/>
              </w:rPr>
            </w:pP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短期居留（外僑或依親居留）</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17.23</w:t>
            </w:r>
          </w:p>
        </w:tc>
      </w:tr>
      <w:tr w:rsidR="0049577B" w:rsidRPr="00602938" w:rsidTr="00A028E4">
        <w:tc>
          <w:tcPr>
            <w:tcW w:w="1952" w:type="dxa"/>
          </w:tcPr>
          <w:p w:rsidR="0049577B" w:rsidRPr="00602938" w:rsidRDefault="0049577B" w:rsidP="00C64E78">
            <w:pPr>
              <w:spacing w:line="240" w:lineRule="auto"/>
              <w:ind w:leftChars="0" w:left="142" w:rightChars="0" w:right="0"/>
              <w:rPr>
                <w:sz w:val="24"/>
              </w:rPr>
            </w:pPr>
          </w:p>
        </w:tc>
        <w:tc>
          <w:tcPr>
            <w:tcW w:w="1559" w:type="dxa"/>
            <w:vAlign w:val="center"/>
          </w:tcPr>
          <w:p w:rsidR="0049577B" w:rsidRPr="00602938" w:rsidRDefault="0049577B" w:rsidP="00A028E4">
            <w:pPr>
              <w:spacing w:line="240" w:lineRule="auto"/>
              <w:ind w:leftChars="0" w:left="0" w:rightChars="0" w:right="0"/>
              <w:jc w:val="center"/>
              <w:rPr>
                <w:sz w:val="24"/>
              </w:rPr>
            </w:pP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長期居留</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11.94</w:t>
            </w:r>
          </w:p>
        </w:tc>
      </w:tr>
      <w:tr w:rsidR="0049577B" w:rsidRPr="00602938" w:rsidTr="00A028E4">
        <w:tc>
          <w:tcPr>
            <w:tcW w:w="1952" w:type="dxa"/>
          </w:tcPr>
          <w:p w:rsidR="0049577B" w:rsidRPr="00602938" w:rsidRDefault="0049577B" w:rsidP="00C64E78">
            <w:pPr>
              <w:spacing w:line="240" w:lineRule="auto"/>
              <w:ind w:leftChars="0" w:left="142" w:rightChars="0" w:right="0"/>
              <w:rPr>
                <w:sz w:val="24"/>
              </w:rPr>
            </w:pPr>
          </w:p>
        </w:tc>
        <w:tc>
          <w:tcPr>
            <w:tcW w:w="1559" w:type="dxa"/>
            <w:vAlign w:val="center"/>
          </w:tcPr>
          <w:p w:rsidR="0049577B" w:rsidRPr="00602938" w:rsidRDefault="0049577B" w:rsidP="00A028E4">
            <w:pPr>
              <w:spacing w:line="240" w:lineRule="auto"/>
              <w:ind w:leftChars="0" w:left="0" w:rightChars="0" w:right="0"/>
              <w:jc w:val="center"/>
              <w:rPr>
                <w:sz w:val="24"/>
              </w:rPr>
            </w:pPr>
          </w:p>
        </w:tc>
        <w:tc>
          <w:tcPr>
            <w:tcW w:w="3544" w:type="dxa"/>
            <w:vAlign w:val="center"/>
          </w:tcPr>
          <w:p w:rsidR="0049577B" w:rsidRPr="00602938" w:rsidRDefault="0049577B" w:rsidP="00A028E4">
            <w:pPr>
              <w:spacing w:line="240" w:lineRule="auto"/>
              <w:ind w:leftChars="0" w:left="0" w:rightChars="0" w:right="0"/>
              <w:rPr>
                <w:sz w:val="24"/>
              </w:rPr>
            </w:pPr>
            <w:r w:rsidRPr="00602938">
              <w:rPr>
                <w:sz w:val="24"/>
              </w:rPr>
              <w:t>定居</w:t>
            </w:r>
          </w:p>
        </w:tc>
        <w:tc>
          <w:tcPr>
            <w:tcW w:w="2693" w:type="dxa"/>
            <w:vAlign w:val="center"/>
          </w:tcPr>
          <w:p w:rsidR="0049577B" w:rsidRPr="00602938" w:rsidRDefault="0049577B" w:rsidP="00A028E4">
            <w:pPr>
              <w:spacing w:line="240" w:lineRule="auto"/>
              <w:ind w:leftChars="0" w:left="0" w:rightChars="0" w:right="0"/>
              <w:jc w:val="center"/>
              <w:rPr>
                <w:sz w:val="24"/>
              </w:rPr>
            </w:pPr>
            <w:r w:rsidRPr="00602938">
              <w:rPr>
                <w:sz w:val="24"/>
              </w:rPr>
              <w:t>70.62</w:t>
            </w:r>
          </w:p>
        </w:tc>
      </w:tr>
    </w:tbl>
    <w:p w:rsidR="0049577B" w:rsidRPr="00602938" w:rsidRDefault="0049577B" w:rsidP="00A028E4">
      <w:pPr>
        <w:spacing w:line="240" w:lineRule="auto"/>
        <w:ind w:leftChars="0" w:left="0" w:rightChars="0" w:right="0"/>
        <w:rPr>
          <w:sz w:val="24"/>
        </w:rPr>
      </w:pPr>
      <w:r w:rsidRPr="00602938">
        <w:rPr>
          <w:sz w:val="24"/>
        </w:rPr>
        <w:t xml:space="preserve"> </w:t>
      </w:r>
      <w:r w:rsidR="00817A92" w:rsidRPr="00602938">
        <w:rPr>
          <w:sz w:val="24"/>
        </w:rPr>
        <w:t>【資料來源】</w:t>
      </w:r>
      <w:r w:rsidRPr="00602938">
        <w:rPr>
          <w:sz w:val="24"/>
        </w:rPr>
        <w:t>作者自行製作。</w:t>
      </w:r>
    </w:p>
    <w:p w:rsidR="0049577B" w:rsidRPr="00B40DC1" w:rsidRDefault="00DD52C8" w:rsidP="00A028E4">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3"/>
        <w:rPr>
          <w:lang w:eastAsia="zh-TW"/>
        </w:rPr>
      </w:pPr>
      <w:bookmarkStart w:id="117" w:name="_二、不同國籍新移民家庭生活情形分析"/>
      <w:bookmarkEnd w:id="117"/>
      <w:r w:rsidRPr="00B40DC1">
        <w:rPr>
          <w:lang w:eastAsia="zh-TW"/>
        </w:rPr>
        <w:t>二、不同國籍新移民家庭生活情形分析</w:t>
      </w:r>
    </w:p>
    <w:p w:rsidR="0049577B" w:rsidRPr="00B40DC1" w:rsidRDefault="00AA03F8" w:rsidP="000D5F5F">
      <w:pPr>
        <w:spacing w:line="240" w:lineRule="auto"/>
        <w:ind w:leftChars="0" w:left="0" w:rightChars="0" w:right="0"/>
      </w:pPr>
      <w:r>
        <w:t xml:space="preserve">　　</w:t>
      </w:r>
      <w:r w:rsidR="0049577B" w:rsidRPr="00B40DC1">
        <w:t>表3顯示國籍別和受訪者家庭月收入之關聯性。本表顯示：國籍別和受訪者家庭月收入的關連程度達到統計上的顯著水準（χ</w:t>
      </w:r>
      <w:r w:rsidR="0049577B" w:rsidRPr="00B40DC1">
        <w:rPr>
          <w:vertAlign w:val="superscript"/>
        </w:rPr>
        <w:t>2</w:t>
      </w:r>
      <w:r w:rsidR="0049577B" w:rsidRPr="00B40DC1">
        <w:t>=69.96；df=16；p&lt;0.001），顯示：會因為受訪者國籍別之不同，而有不同的家庭月收入。當進一步觀察百分比分布情形可以發現，原籍為東南亞國家的新移民家庭月收入以5萬元至未滿6萬元所占百分比最高，占24.10％，其次為4萬元至未滿5萬元，占16.10%。而原籍為大陸及港澳地區家庭月收入以7萬元至未滿10萬元所占百分比最高，占14.50％，其次為4萬元至未滿5萬元、5萬元至未滿6萬元及10萬元以上，三者均占14.10%。而原籍為其他國家的新移民家庭月收入以7萬元至未滿10萬元所占百分比最高，占21.60％，其次為5萬元至未滿6萬元，占18.90%。可以發現，以其他國家的新移民家庭月收入較高，以東南亞國家的新移民家庭月收入較低，而大陸及港澳地區的新移民家庭月收入分布較廣。</w:t>
      </w:r>
    </w:p>
    <w:p w:rsidR="0049577B" w:rsidRPr="00B40DC1" w:rsidRDefault="00AA03F8" w:rsidP="000D5F5F">
      <w:pPr>
        <w:spacing w:line="240" w:lineRule="auto"/>
        <w:ind w:leftChars="0" w:left="0" w:rightChars="0" w:right="0"/>
      </w:pPr>
      <w:r>
        <w:t xml:space="preserve">　　</w:t>
      </w:r>
      <w:r w:rsidR="0049577B" w:rsidRPr="00B40DC1">
        <w:t>其次，本研究針對桃園市新移民服務據點和專業團體的訪談資料顯示，「家庭經濟問題」是新移民家庭生活上常見的另一個的問題。換言之，儘管桃園市新移民家庭每月總收入普遍高於全國新移民家庭，家庭經濟問題仍舊是新移民家庭生活方面的主要問題。</w:t>
      </w:r>
    </w:p>
    <w:p w:rsidR="0049577B" w:rsidRPr="00B40DC1" w:rsidRDefault="00AA03F8" w:rsidP="000D5F5F">
      <w:pPr>
        <w:spacing w:line="240" w:lineRule="auto"/>
        <w:ind w:leftChars="0" w:left="0" w:rightChars="0" w:right="0"/>
      </w:pPr>
      <w:r>
        <w:t xml:space="preserve">　　</w:t>
      </w:r>
      <w:r w:rsidR="0049577B" w:rsidRPr="00B40DC1">
        <w:t>新移民家庭生活上常見的問題，第一是家庭經濟問題。(1-4-1，受訪者代碼，以下皆同)</w:t>
      </w:r>
    </w:p>
    <w:p w:rsidR="0049577B" w:rsidRPr="00B40DC1" w:rsidRDefault="00AA03F8" w:rsidP="000D5F5F">
      <w:pPr>
        <w:spacing w:line="240" w:lineRule="auto"/>
        <w:ind w:leftChars="0" w:left="0" w:rightChars="0" w:right="0"/>
      </w:pPr>
      <w:r>
        <w:t xml:space="preserve">　　</w:t>
      </w:r>
      <w:r w:rsidR="0049577B" w:rsidRPr="00B40DC1">
        <w:t>家庭經濟問題，普遍上來說，新移民家庭大多家庭經濟狀況不是很好，加上有些家庭丈夫有能力卻不願意出去上班也是有，所以變成是都是這些外配姐妹在上班賺錢。(2-4-1)</w:t>
      </w:r>
    </w:p>
    <w:p w:rsidR="0049577B" w:rsidRPr="00B40DC1" w:rsidRDefault="00AA03F8" w:rsidP="000D5F5F">
      <w:pPr>
        <w:spacing w:line="240" w:lineRule="auto"/>
        <w:ind w:leftChars="0" w:left="0" w:rightChars="0" w:right="0"/>
      </w:pPr>
      <w:r>
        <w:t xml:space="preserve">　　</w:t>
      </w:r>
      <w:r w:rsidR="0049577B" w:rsidRPr="00B40DC1">
        <w:t>第一是經濟狀況都不是很好，共同的特點是先生是傷殘人士，約佔總數的一半左右，即身體健康狀況不佳的人，新移民嫁來臺灣原本以為是很美好的，結果來臺灣才知道不像自己所期待的，既要上班又要服侍丈夫，又還要照顧家庭小孩，相當吃力。(6-4-1)</w:t>
      </w:r>
    </w:p>
    <w:p w:rsidR="0049577B" w:rsidRPr="00B40DC1" w:rsidRDefault="00AA03F8" w:rsidP="000D5F5F">
      <w:pPr>
        <w:spacing w:line="240" w:lineRule="auto"/>
        <w:ind w:leftChars="0" w:left="0" w:rightChars="0" w:right="0"/>
      </w:pPr>
      <w:r>
        <w:t xml:space="preserve">　　</w:t>
      </w:r>
      <w:r w:rsidR="0049577B" w:rsidRPr="00B40DC1">
        <w:t>是經濟問題，一般來說，新移民家庭的經濟狀況普遍都不好，而我們這邊上課的多半家庭經濟還過得去，才有辦法來上課，沒辦法來的通常是迫切需要錢生活的根本沒有時間來上課，這是我們必須要去關注的，這些家庭加上有的先生又不工作，變成經濟壓力都在新移民的身上。(14-4-1)</w:t>
      </w:r>
    </w:p>
    <w:p w:rsidR="0049577B" w:rsidRDefault="00AA03F8" w:rsidP="000D5F5F">
      <w:pPr>
        <w:spacing w:line="240" w:lineRule="auto"/>
        <w:ind w:leftChars="0" w:left="0" w:rightChars="0" w:right="0"/>
      </w:pPr>
      <w:r>
        <w:t xml:space="preserve">　　</w:t>
      </w:r>
      <w:r w:rsidR="0049577B" w:rsidRPr="00B40DC1">
        <w:t>普遍來說大多新移民的家庭經濟狀況都不好，因為本身先生的社會經濟地位就不高，賺的錢不多，會娶外籍配偶，目的只是為了傳宗接代，而養小孩是很花錢的，而新移民在家庭經濟不佳的情形下自己還要出去工作協助家計，如果雙方不能好好溝通的話，常常會為了家庭經濟問題發生爭執。(15-4-1)</w:t>
      </w:r>
    </w:p>
    <w:p w:rsidR="00A028E4" w:rsidRPr="00B40DC1" w:rsidRDefault="00A028E4" w:rsidP="00A028E4">
      <w:pPr>
        <w:spacing w:line="240" w:lineRule="auto"/>
        <w:ind w:leftChars="0" w:left="0" w:rightChars="0" w:right="0"/>
        <w:jc w:val="right"/>
      </w:pPr>
      <w:r w:rsidRPr="00D45AD2">
        <w:rPr>
          <w:rFonts w:hint="eastAsia"/>
          <w:sz w:val="22"/>
        </w:rPr>
        <w:t>。。。。。。。。。。。。。。</w:t>
      </w:r>
      <w:hyperlink w:anchor="a4" w:history="1">
        <w:r>
          <w:rPr>
            <w:rStyle w:val="a7"/>
            <w:sz w:val="24"/>
            <w:lang w:eastAsia="zh-TW"/>
          </w:rPr>
          <w:t>回本章</w:t>
        </w:r>
      </w:hyperlink>
      <w:r w:rsidRPr="0008714D">
        <w:rPr>
          <w:color w:val="808000"/>
          <w:sz w:val="20"/>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表3</w:t>
      </w:r>
      <w:r w:rsidR="000D5F5F">
        <w:rPr>
          <w:rFonts w:ascii="新細明體" w:eastAsia="新細明體" w:hAnsi="新細明體" w:hint="eastAsia"/>
          <w:lang w:eastAsia="zh-TW"/>
        </w:rPr>
        <w:t>、</w:t>
      </w:r>
      <w:r w:rsidRPr="00B40DC1">
        <w:rPr>
          <w:lang w:eastAsia="zh-TW"/>
        </w:rPr>
        <w:t>受訪者國籍與其家庭月收入之關聯分析</w:t>
      </w:r>
    </w:p>
    <w:tbl>
      <w:tblPr>
        <w:tblStyle w:val="43"/>
        <w:tblW w:w="0" w:type="auto"/>
        <w:tblInd w:w="-15" w:type="dxa"/>
        <w:tblLayout w:type="fixed"/>
        <w:tblLook w:val="04A0" w:firstRow="1" w:lastRow="0" w:firstColumn="1" w:lastColumn="0" w:noHBand="0" w:noVBand="1"/>
      </w:tblPr>
      <w:tblGrid>
        <w:gridCol w:w="1701"/>
        <w:gridCol w:w="1134"/>
        <w:gridCol w:w="1701"/>
        <w:gridCol w:w="1701"/>
        <w:gridCol w:w="1701"/>
        <w:gridCol w:w="1701"/>
      </w:tblGrid>
      <w:tr w:rsidR="0049577B" w:rsidRPr="00B40DC1" w:rsidTr="00A028E4">
        <w:tc>
          <w:tcPr>
            <w:tcW w:w="1701" w:type="dxa"/>
            <w:tcBorders>
              <w:top w:val="single" w:sz="12" w:space="0" w:color="auto"/>
              <w:left w:val="single" w:sz="12" w:space="0" w:color="auto"/>
              <w:bottom w:val="single" w:sz="8" w:space="0" w:color="auto"/>
            </w:tcBorders>
            <w:shd w:val="clear" w:color="auto" w:fill="EFFDFF"/>
            <w:vAlign w:val="center"/>
          </w:tcPr>
          <w:p w:rsidR="0049577B" w:rsidRPr="00602938" w:rsidRDefault="0049577B" w:rsidP="00AA03F8">
            <w:pPr>
              <w:spacing w:line="240" w:lineRule="auto"/>
              <w:ind w:leftChars="0" w:left="0" w:rightChars="0" w:right="0"/>
              <w:jc w:val="center"/>
              <w:rPr>
                <w:sz w:val="24"/>
              </w:rPr>
            </w:pPr>
            <w:r w:rsidRPr="00602938">
              <w:rPr>
                <w:sz w:val="24"/>
              </w:rPr>
              <w:t>收入</w:t>
            </w:r>
          </w:p>
        </w:tc>
        <w:tc>
          <w:tcPr>
            <w:tcW w:w="1134" w:type="dxa"/>
            <w:tcBorders>
              <w:top w:val="single" w:sz="12" w:space="0" w:color="auto"/>
              <w:bottom w:val="single" w:sz="8" w:space="0" w:color="auto"/>
            </w:tcBorders>
            <w:shd w:val="clear" w:color="auto" w:fill="EFFDFF"/>
          </w:tcPr>
          <w:p w:rsidR="0049577B" w:rsidRPr="00602938" w:rsidRDefault="0049577B" w:rsidP="00AA03F8">
            <w:pPr>
              <w:spacing w:line="240" w:lineRule="auto"/>
              <w:ind w:leftChars="0" w:left="0" w:rightChars="0" w:right="0"/>
              <w:jc w:val="center"/>
              <w:rPr>
                <w:sz w:val="24"/>
              </w:rPr>
            </w:pPr>
            <w:r w:rsidRPr="00602938">
              <w:rPr>
                <w:sz w:val="24"/>
              </w:rPr>
              <w:t>次數</w:t>
            </w:r>
          </w:p>
          <w:p w:rsidR="0049577B" w:rsidRPr="00602938" w:rsidRDefault="0049577B" w:rsidP="00AA03F8">
            <w:pPr>
              <w:spacing w:line="240" w:lineRule="auto"/>
              <w:ind w:leftChars="0" w:left="0" w:rightChars="0" w:right="0"/>
              <w:jc w:val="center"/>
              <w:rPr>
                <w:sz w:val="24"/>
              </w:rPr>
            </w:pPr>
            <w:r w:rsidRPr="00602938">
              <w:rPr>
                <w:sz w:val="24"/>
              </w:rPr>
              <w:t>百分比</w:t>
            </w:r>
          </w:p>
        </w:tc>
        <w:tc>
          <w:tcPr>
            <w:tcW w:w="1701" w:type="dxa"/>
            <w:tcBorders>
              <w:top w:val="single" w:sz="12" w:space="0" w:color="auto"/>
              <w:bottom w:val="single" w:sz="8" w:space="0" w:color="auto"/>
            </w:tcBorders>
            <w:shd w:val="clear" w:color="auto" w:fill="EFFDFF"/>
            <w:vAlign w:val="center"/>
          </w:tcPr>
          <w:p w:rsidR="0049577B" w:rsidRPr="00602938" w:rsidRDefault="0049577B" w:rsidP="00AA03F8">
            <w:pPr>
              <w:spacing w:line="240" w:lineRule="auto"/>
              <w:ind w:leftChars="0" w:left="0" w:rightChars="0" w:right="0"/>
              <w:jc w:val="center"/>
              <w:rPr>
                <w:sz w:val="24"/>
              </w:rPr>
            </w:pPr>
            <w:r w:rsidRPr="00602938">
              <w:rPr>
                <w:sz w:val="24"/>
              </w:rPr>
              <w:t>東南亞國家</w:t>
            </w:r>
          </w:p>
        </w:tc>
        <w:tc>
          <w:tcPr>
            <w:tcW w:w="1701" w:type="dxa"/>
            <w:tcBorders>
              <w:top w:val="single" w:sz="12" w:space="0" w:color="auto"/>
              <w:bottom w:val="single" w:sz="8" w:space="0" w:color="auto"/>
            </w:tcBorders>
            <w:shd w:val="clear" w:color="auto" w:fill="EFFDFF"/>
            <w:vAlign w:val="center"/>
          </w:tcPr>
          <w:p w:rsidR="0049577B" w:rsidRPr="00602938" w:rsidRDefault="0049577B" w:rsidP="00AA03F8">
            <w:pPr>
              <w:spacing w:line="240" w:lineRule="auto"/>
              <w:ind w:leftChars="0" w:left="0" w:rightChars="0" w:right="0"/>
              <w:jc w:val="center"/>
              <w:rPr>
                <w:sz w:val="24"/>
              </w:rPr>
            </w:pPr>
            <w:r w:rsidRPr="00602938">
              <w:rPr>
                <w:sz w:val="24"/>
              </w:rPr>
              <w:t>大陸及港澳地區</w:t>
            </w:r>
          </w:p>
        </w:tc>
        <w:tc>
          <w:tcPr>
            <w:tcW w:w="1701" w:type="dxa"/>
            <w:tcBorders>
              <w:top w:val="single" w:sz="12" w:space="0" w:color="auto"/>
              <w:bottom w:val="single" w:sz="8" w:space="0" w:color="auto"/>
            </w:tcBorders>
            <w:shd w:val="clear" w:color="auto" w:fill="EFFDFF"/>
            <w:vAlign w:val="center"/>
          </w:tcPr>
          <w:p w:rsidR="0049577B" w:rsidRPr="00602938" w:rsidRDefault="0049577B" w:rsidP="00AA03F8">
            <w:pPr>
              <w:spacing w:line="240" w:lineRule="auto"/>
              <w:ind w:leftChars="0" w:left="0" w:rightChars="0" w:right="0"/>
              <w:jc w:val="center"/>
              <w:rPr>
                <w:sz w:val="24"/>
              </w:rPr>
            </w:pPr>
            <w:r w:rsidRPr="00602938">
              <w:rPr>
                <w:sz w:val="24"/>
              </w:rPr>
              <w:t>其他國家</w:t>
            </w:r>
          </w:p>
        </w:tc>
        <w:tc>
          <w:tcPr>
            <w:tcW w:w="1701" w:type="dxa"/>
            <w:tcBorders>
              <w:top w:val="single" w:sz="12" w:space="0" w:color="auto"/>
              <w:bottom w:val="single" w:sz="8" w:space="0" w:color="auto"/>
              <w:right w:val="single" w:sz="12" w:space="0" w:color="auto"/>
            </w:tcBorders>
            <w:shd w:val="clear" w:color="auto" w:fill="EFFDFF"/>
            <w:vAlign w:val="center"/>
          </w:tcPr>
          <w:p w:rsidR="0049577B" w:rsidRPr="00602938" w:rsidRDefault="0049577B" w:rsidP="00AA03F8">
            <w:pPr>
              <w:spacing w:line="240" w:lineRule="auto"/>
              <w:ind w:leftChars="0" w:left="0" w:rightChars="0" w:right="0"/>
              <w:jc w:val="center"/>
              <w:rPr>
                <w:sz w:val="24"/>
              </w:rPr>
            </w:pPr>
            <w:r w:rsidRPr="00602938">
              <w:rPr>
                <w:sz w:val="24"/>
              </w:rPr>
              <w:t>總和</w:t>
            </w:r>
          </w:p>
        </w:tc>
      </w:tr>
      <w:tr w:rsidR="0049577B" w:rsidRPr="00B40DC1" w:rsidTr="00A028E4">
        <w:tc>
          <w:tcPr>
            <w:tcW w:w="1701" w:type="dxa"/>
            <w:vMerge w:val="restart"/>
            <w:tcBorders>
              <w:top w:val="single" w:sz="8" w:space="0" w:color="auto"/>
              <w:lef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未滿2萬元</w:t>
            </w:r>
          </w:p>
        </w:tc>
        <w:tc>
          <w:tcPr>
            <w:tcW w:w="1134" w:type="dxa"/>
            <w:tcBorders>
              <w:top w:val="single" w:sz="8" w:space="0" w:color="auto"/>
            </w:tcBorders>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01" w:type="dxa"/>
            <w:tcBorders>
              <w:top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46</w:t>
            </w:r>
          </w:p>
        </w:tc>
        <w:tc>
          <w:tcPr>
            <w:tcW w:w="1701" w:type="dxa"/>
            <w:tcBorders>
              <w:top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62</w:t>
            </w:r>
          </w:p>
        </w:tc>
        <w:tc>
          <w:tcPr>
            <w:tcW w:w="1701" w:type="dxa"/>
            <w:tcBorders>
              <w:top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w:t>
            </w:r>
          </w:p>
        </w:tc>
        <w:tc>
          <w:tcPr>
            <w:tcW w:w="1701" w:type="dxa"/>
            <w:tcBorders>
              <w:top w:val="single" w:sz="8" w:space="0" w:color="auto"/>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109</w:t>
            </w:r>
          </w:p>
        </w:tc>
      </w:tr>
      <w:tr w:rsidR="0049577B" w:rsidRPr="00B40DC1" w:rsidTr="00A028E4">
        <w:tc>
          <w:tcPr>
            <w:tcW w:w="1701" w:type="dxa"/>
            <w:vMerge/>
            <w:tcBorders>
              <w:left w:val="single" w:sz="12" w:space="0" w:color="auto"/>
            </w:tcBorders>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10.50%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6.90%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2.70%</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7.90%</w:t>
            </w:r>
          </w:p>
        </w:tc>
      </w:tr>
      <w:tr w:rsidR="0049577B" w:rsidRPr="00B40DC1" w:rsidTr="00A028E4">
        <w:tc>
          <w:tcPr>
            <w:tcW w:w="1701" w:type="dxa"/>
            <w:vMerge w:val="restart"/>
            <w:tcBorders>
              <w:lef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2萬元至未滿3萬元</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52</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111</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3</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166</w:t>
            </w:r>
          </w:p>
        </w:tc>
      </w:tr>
      <w:tr w:rsidR="0049577B" w:rsidRPr="00B40DC1" w:rsidTr="00A028E4">
        <w:tc>
          <w:tcPr>
            <w:tcW w:w="1701" w:type="dxa"/>
            <w:vMerge/>
            <w:tcBorders>
              <w:left w:val="single" w:sz="12" w:space="0" w:color="auto"/>
            </w:tcBorders>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11.80%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12.40%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8.10%</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12.10%</w:t>
            </w:r>
          </w:p>
        </w:tc>
      </w:tr>
      <w:tr w:rsidR="0049577B" w:rsidRPr="00B40DC1" w:rsidTr="00A028E4">
        <w:tc>
          <w:tcPr>
            <w:tcW w:w="1701" w:type="dxa"/>
            <w:vMerge w:val="restart"/>
            <w:tcBorders>
              <w:lef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3萬元至未滿4萬元</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62</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115</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4</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181</w:t>
            </w:r>
          </w:p>
        </w:tc>
      </w:tr>
      <w:tr w:rsidR="0049577B" w:rsidRPr="00B40DC1" w:rsidTr="00A028E4">
        <w:tc>
          <w:tcPr>
            <w:tcW w:w="1701" w:type="dxa"/>
            <w:vMerge/>
            <w:tcBorders>
              <w:left w:val="single" w:sz="12" w:space="0" w:color="auto"/>
            </w:tcBorders>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14.10%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12.80%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10.80%</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13.20%</w:t>
            </w:r>
          </w:p>
        </w:tc>
      </w:tr>
      <w:tr w:rsidR="0049577B" w:rsidRPr="00B40DC1" w:rsidTr="00A028E4">
        <w:tc>
          <w:tcPr>
            <w:tcW w:w="1701" w:type="dxa"/>
            <w:vMerge w:val="restart"/>
            <w:tcBorders>
              <w:lef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4萬元至未滿5萬元</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71</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127</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2</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200</w:t>
            </w:r>
          </w:p>
        </w:tc>
      </w:tr>
      <w:tr w:rsidR="0049577B" w:rsidRPr="00B40DC1" w:rsidTr="00A028E4">
        <w:tc>
          <w:tcPr>
            <w:tcW w:w="1701" w:type="dxa"/>
            <w:vMerge/>
            <w:tcBorders>
              <w:left w:val="single" w:sz="12" w:space="0" w:color="auto"/>
            </w:tcBorders>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16.10%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14.10%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5.40%</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14.50%</w:t>
            </w:r>
          </w:p>
        </w:tc>
      </w:tr>
      <w:tr w:rsidR="0049577B" w:rsidRPr="00B40DC1" w:rsidTr="00A028E4">
        <w:tc>
          <w:tcPr>
            <w:tcW w:w="1701" w:type="dxa"/>
            <w:vMerge w:val="restart"/>
            <w:tcBorders>
              <w:lef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5萬元至未滿6萬元</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106</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127</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7</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240</w:t>
            </w:r>
          </w:p>
        </w:tc>
      </w:tr>
      <w:tr w:rsidR="0049577B" w:rsidRPr="00B40DC1" w:rsidTr="00A028E4">
        <w:tc>
          <w:tcPr>
            <w:tcW w:w="1701" w:type="dxa"/>
            <w:vMerge/>
            <w:tcBorders>
              <w:left w:val="single" w:sz="12" w:space="0" w:color="auto"/>
            </w:tcBorders>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24.10%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14.10%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18.90%</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17.50%</w:t>
            </w:r>
          </w:p>
        </w:tc>
      </w:tr>
      <w:tr w:rsidR="0049577B" w:rsidRPr="00B40DC1" w:rsidTr="00A028E4">
        <w:tc>
          <w:tcPr>
            <w:tcW w:w="1701" w:type="dxa"/>
            <w:vMerge w:val="restart"/>
            <w:tcBorders>
              <w:lef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6萬元至未滿7萬元</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35</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106</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4</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145</w:t>
            </w:r>
          </w:p>
        </w:tc>
      </w:tr>
      <w:tr w:rsidR="0049577B" w:rsidRPr="00B40DC1" w:rsidTr="00A028E4">
        <w:tc>
          <w:tcPr>
            <w:tcW w:w="1701" w:type="dxa"/>
            <w:vMerge/>
            <w:tcBorders>
              <w:left w:val="single" w:sz="12" w:space="0" w:color="auto"/>
            </w:tcBorders>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8.00%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11.80%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10.80%</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10.50%</w:t>
            </w:r>
          </w:p>
        </w:tc>
      </w:tr>
      <w:tr w:rsidR="0049577B" w:rsidRPr="00B40DC1" w:rsidTr="00A028E4">
        <w:tc>
          <w:tcPr>
            <w:tcW w:w="1701" w:type="dxa"/>
            <w:vMerge w:val="restart"/>
            <w:tcBorders>
              <w:lef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7萬元至未滿10萬元</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20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130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8</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158</w:t>
            </w:r>
          </w:p>
        </w:tc>
      </w:tr>
      <w:tr w:rsidR="0049577B" w:rsidRPr="00B40DC1" w:rsidTr="00A028E4">
        <w:tc>
          <w:tcPr>
            <w:tcW w:w="1701" w:type="dxa"/>
            <w:vMerge/>
            <w:tcBorders>
              <w:left w:val="single" w:sz="12" w:space="0" w:color="auto"/>
            </w:tcBorders>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4.50%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14.50%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21.60%</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11.50%</w:t>
            </w:r>
          </w:p>
        </w:tc>
      </w:tr>
      <w:tr w:rsidR="0049577B" w:rsidRPr="00B40DC1" w:rsidTr="00A028E4">
        <w:tc>
          <w:tcPr>
            <w:tcW w:w="1701" w:type="dxa"/>
            <w:vMerge w:val="restart"/>
            <w:tcBorders>
              <w:lef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10萬元以上</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13</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37</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5</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55</w:t>
            </w:r>
          </w:p>
        </w:tc>
      </w:tr>
      <w:tr w:rsidR="0049577B" w:rsidRPr="00B40DC1" w:rsidTr="00A028E4">
        <w:tc>
          <w:tcPr>
            <w:tcW w:w="1701" w:type="dxa"/>
            <w:vMerge/>
            <w:tcBorders>
              <w:left w:val="single" w:sz="12" w:space="0" w:color="auto"/>
            </w:tcBorders>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3.00%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4.10%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13.50%</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4.00%</w:t>
            </w:r>
          </w:p>
        </w:tc>
      </w:tr>
      <w:tr w:rsidR="0049577B" w:rsidRPr="00B40DC1" w:rsidTr="00A028E4">
        <w:tc>
          <w:tcPr>
            <w:tcW w:w="1701" w:type="dxa"/>
            <w:vMerge w:val="restart"/>
            <w:tcBorders>
              <w:lef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不知道</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35</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83</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3</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121</w:t>
            </w:r>
          </w:p>
        </w:tc>
      </w:tr>
      <w:tr w:rsidR="0049577B" w:rsidRPr="00B40DC1" w:rsidTr="00A028E4">
        <w:tc>
          <w:tcPr>
            <w:tcW w:w="1701" w:type="dxa"/>
            <w:vMerge/>
            <w:tcBorders>
              <w:left w:val="single" w:sz="12" w:space="0" w:color="auto"/>
            </w:tcBorders>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8.00%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9.20%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8.10%</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8.80%</w:t>
            </w:r>
          </w:p>
        </w:tc>
      </w:tr>
      <w:tr w:rsidR="0049577B" w:rsidRPr="00B40DC1" w:rsidTr="00A028E4">
        <w:tc>
          <w:tcPr>
            <w:tcW w:w="1701" w:type="dxa"/>
            <w:vMerge w:val="restart"/>
            <w:tcBorders>
              <w:lef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總和</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440</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898</w:t>
            </w:r>
          </w:p>
        </w:tc>
        <w:tc>
          <w:tcPr>
            <w:tcW w:w="1701" w:type="dxa"/>
            <w:vAlign w:val="center"/>
          </w:tcPr>
          <w:p w:rsidR="0049577B" w:rsidRPr="00602938" w:rsidRDefault="0049577B" w:rsidP="00AA03F8">
            <w:pPr>
              <w:spacing w:line="240" w:lineRule="auto"/>
              <w:ind w:leftChars="0" w:left="0" w:rightChars="0" w:right="0"/>
              <w:jc w:val="center"/>
              <w:rPr>
                <w:sz w:val="24"/>
              </w:rPr>
            </w:pPr>
            <w:r w:rsidRPr="00602938">
              <w:rPr>
                <w:sz w:val="24"/>
              </w:rPr>
              <w:t>37</w:t>
            </w:r>
          </w:p>
        </w:tc>
        <w:tc>
          <w:tcPr>
            <w:tcW w:w="1701" w:type="dxa"/>
            <w:tcBorders>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1375</w:t>
            </w:r>
          </w:p>
        </w:tc>
      </w:tr>
      <w:tr w:rsidR="0049577B" w:rsidRPr="00B40DC1" w:rsidTr="00A028E4">
        <w:tc>
          <w:tcPr>
            <w:tcW w:w="1701" w:type="dxa"/>
            <w:vMerge/>
            <w:tcBorders>
              <w:left w:val="single" w:sz="12" w:space="0" w:color="auto"/>
              <w:bottom w:val="single" w:sz="8" w:space="0" w:color="auto"/>
            </w:tcBorders>
          </w:tcPr>
          <w:p w:rsidR="0049577B" w:rsidRPr="00602938" w:rsidRDefault="0049577B" w:rsidP="00AA03F8">
            <w:pPr>
              <w:spacing w:line="240" w:lineRule="auto"/>
              <w:ind w:leftChars="0" w:left="0" w:rightChars="0" w:right="0"/>
              <w:rPr>
                <w:sz w:val="24"/>
              </w:rPr>
            </w:pPr>
          </w:p>
        </w:tc>
        <w:tc>
          <w:tcPr>
            <w:tcW w:w="1134" w:type="dxa"/>
            <w:tcBorders>
              <w:bottom w:val="single" w:sz="8" w:space="0" w:color="auto"/>
            </w:tcBorders>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01" w:type="dxa"/>
            <w:tcBorders>
              <w:bottom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100.00%</w:t>
            </w:r>
          </w:p>
        </w:tc>
        <w:tc>
          <w:tcPr>
            <w:tcW w:w="1701" w:type="dxa"/>
            <w:tcBorders>
              <w:bottom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100.00%</w:t>
            </w:r>
          </w:p>
        </w:tc>
        <w:tc>
          <w:tcPr>
            <w:tcW w:w="1701" w:type="dxa"/>
            <w:tcBorders>
              <w:bottom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100.00%</w:t>
            </w:r>
          </w:p>
        </w:tc>
        <w:tc>
          <w:tcPr>
            <w:tcW w:w="1701" w:type="dxa"/>
            <w:tcBorders>
              <w:bottom w:val="single" w:sz="8" w:space="0" w:color="auto"/>
              <w:right w:val="single" w:sz="12"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100.00%</w:t>
            </w:r>
          </w:p>
        </w:tc>
      </w:tr>
      <w:tr w:rsidR="0049577B" w:rsidRPr="00B40DC1" w:rsidTr="00A028E4">
        <w:tc>
          <w:tcPr>
            <w:tcW w:w="1701" w:type="dxa"/>
            <w:tcBorders>
              <w:top w:val="single" w:sz="8" w:space="0" w:color="auto"/>
              <w:left w:val="single" w:sz="12" w:space="0" w:color="auto"/>
              <w:bottom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卡方值</w:t>
            </w:r>
          </w:p>
        </w:tc>
        <w:tc>
          <w:tcPr>
            <w:tcW w:w="7938" w:type="dxa"/>
            <w:gridSpan w:val="5"/>
            <w:tcBorders>
              <w:top w:val="single" w:sz="8" w:space="0" w:color="auto"/>
              <w:bottom w:val="single" w:sz="12" w:space="0" w:color="auto"/>
              <w:right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χ</w:t>
            </w:r>
            <w:r w:rsidRPr="00602938">
              <w:rPr>
                <w:sz w:val="24"/>
                <w:vertAlign w:val="superscript"/>
              </w:rPr>
              <w:t>2</w:t>
            </w:r>
            <w:r w:rsidRPr="00602938">
              <w:rPr>
                <w:sz w:val="24"/>
              </w:rPr>
              <w:t>=69.96；df=16；p&lt;0.001</w:t>
            </w:r>
          </w:p>
        </w:tc>
      </w:tr>
    </w:tbl>
    <w:p w:rsidR="0049577B" w:rsidRPr="00B40DC1" w:rsidRDefault="00817A92" w:rsidP="000D26BB">
      <w:r>
        <w:t>【資料來源】</w:t>
      </w:r>
      <w:r w:rsidR="0049577B" w:rsidRPr="00B40DC1">
        <w:t>作者自行製作。</w:t>
      </w:r>
    </w:p>
    <w:p w:rsidR="0049577B" w:rsidRPr="00B40DC1" w:rsidRDefault="0049577B" w:rsidP="000D26BB"/>
    <w:p w:rsidR="0049577B" w:rsidRDefault="00AA03F8" w:rsidP="000D5F5F">
      <w:pPr>
        <w:spacing w:line="240" w:lineRule="auto"/>
        <w:ind w:leftChars="0" w:left="0" w:rightChars="0" w:right="0"/>
      </w:pPr>
      <w:r>
        <w:t xml:space="preserve">　　</w:t>
      </w:r>
      <w:r w:rsidR="0049577B" w:rsidRPr="00B40DC1">
        <w:t>表4顯示國籍別與受訪者和配偶認識方式之關聯性分析。本表顯示：國籍別與受訪者和配偶認識方式的關連程度達到統計上的顯著水準（χ</w:t>
      </w:r>
      <w:r w:rsidR="0049577B" w:rsidRPr="00B40DC1">
        <w:rPr>
          <w:vertAlign w:val="superscript"/>
        </w:rPr>
        <w:t>2</w:t>
      </w:r>
      <w:r w:rsidR="0049577B" w:rsidRPr="00B40DC1">
        <w:t>=141.28；df=10；p&lt;0.001），顯示：會因為受訪者國籍別之不同，而在和配偶認識方式上有所差異。當進一步觀察百分比分布情形可以發現，原籍為東南亞國家的新移民和配偶認識方式以經由婚姻介紹所認識所占百分比最高，占40.40％，其次為透過網路認識，占29.10%。而原籍為大陸及港澳地區新移民和配偶認識方式以經由婚姻介紹所認識所占百分比最高，占54.30％，其次為工作關係認識，占18.70%。而原籍為其他國家的新移民和配偶認識方式以工作關係認識所占百分比最高，占65.90％，其次為經由婚姻介紹所認識，占14.60%。</w:t>
      </w:r>
    </w:p>
    <w:p w:rsidR="00A028E4" w:rsidRPr="00B40DC1" w:rsidRDefault="00A028E4" w:rsidP="00A028E4">
      <w:pPr>
        <w:spacing w:line="240" w:lineRule="auto"/>
        <w:ind w:leftChars="0" w:left="0" w:rightChars="0" w:right="0"/>
        <w:jc w:val="right"/>
      </w:pPr>
      <w:r w:rsidRPr="00D45AD2">
        <w:rPr>
          <w:rFonts w:hint="eastAsia"/>
          <w:sz w:val="22"/>
        </w:rPr>
        <w:t>。。。。。。。。。。。。。。</w:t>
      </w:r>
      <w:hyperlink w:anchor="a4" w:history="1">
        <w:r>
          <w:rPr>
            <w:rStyle w:val="a7"/>
            <w:sz w:val="24"/>
            <w:lang w:eastAsia="zh-TW"/>
          </w:rPr>
          <w:t>回本章</w:t>
        </w:r>
      </w:hyperlink>
      <w:r w:rsidRPr="0008714D">
        <w:rPr>
          <w:color w:val="808000"/>
          <w:sz w:val="20"/>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表4</w:t>
      </w:r>
      <w:r w:rsidR="000D5F5F">
        <w:rPr>
          <w:rFonts w:ascii="新細明體" w:eastAsia="新細明體" w:hAnsi="新細明體" w:hint="eastAsia"/>
          <w:lang w:eastAsia="zh-TW"/>
        </w:rPr>
        <w:t>、</w:t>
      </w:r>
      <w:r w:rsidRPr="00B40DC1">
        <w:rPr>
          <w:lang w:eastAsia="zh-TW"/>
        </w:rPr>
        <w:t>受訪者國籍與配偶認識方式之關聯分析</w:t>
      </w:r>
    </w:p>
    <w:tbl>
      <w:tblPr>
        <w:tblStyle w:val="43"/>
        <w:tblW w:w="9781" w:type="dxa"/>
        <w:tblInd w:w="12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59"/>
        <w:gridCol w:w="1134"/>
        <w:gridCol w:w="1772"/>
        <w:gridCol w:w="1772"/>
        <w:gridCol w:w="1772"/>
        <w:gridCol w:w="1772"/>
      </w:tblGrid>
      <w:tr w:rsidR="0049577B" w:rsidRPr="00B40DC1" w:rsidTr="00AA03F8">
        <w:tc>
          <w:tcPr>
            <w:tcW w:w="1559" w:type="dxa"/>
            <w:tcBorders>
              <w:top w:val="single" w:sz="12" w:space="0" w:color="auto"/>
              <w:bottom w:val="single" w:sz="8" w:space="0" w:color="auto"/>
            </w:tcBorders>
            <w:shd w:val="clear" w:color="auto" w:fill="FAF0FA"/>
            <w:vAlign w:val="center"/>
          </w:tcPr>
          <w:p w:rsidR="0049577B" w:rsidRPr="00602938" w:rsidRDefault="0049577B" w:rsidP="00AA03F8">
            <w:pPr>
              <w:spacing w:line="240" w:lineRule="auto"/>
              <w:ind w:leftChars="0" w:left="0" w:rightChars="0" w:right="0"/>
              <w:jc w:val="center"/>
              <w:rPr>
                <w:sz w:val="24"/>
              </w:rPr>
            </w:pPr>
            <w:r w:rsidRPr="00602938">
              <w:rPr>
                <w:sz w:val="24"/>
              </w:rPr>
              <w:t>認識方式</w:t>
            </w:r>
          </w:p>
        </w:tc>
        <w:tc>
          <w:tcPr>
            <w:tcW w:w="1134" w:type="dxa"/>
            <w:tcBorders>
              <w:top w:val="single" w:sz="12" w:space="0" w:color="auto"/>
              <w:bottom w:val="single" w:sz="8" w:space="0" w:color="auto"/>
            </w:tcBorders>
            <w:shd w:val="clear" w:color="auto" w:fill="FAF0FA"/>
          </w:tcPr>
          <w:p w:rsidR="0049577B" w:rsidRPr="00602938" w:rsidRDefault="0049577B" w:rsidP="00AA03F8">
            <w:pPr>
              <w:spacing w:line="240" w:lineRule="auto"/>
              <w:ind w:leftChars="0" w:left="0" w:rightChars="0" w:right="0"/>
              <w:jc w:val="center"/>
              <w:rPr>
                <w:sz w:val="24"/>
              </w:rPr>
            </w:pPr>
            <w:r w:rsidRPr="00602938">
              <w:rPr>
                <w:sz w:val="24"/>
              </w:rPr>
              <w:t>次數</w:t>
            </w:r>
          </w:p>
          <w:p w:rsidR="0049577B" w:rsidRPr="00602938" w:rsidRDefault="0049577B" w:rsidP="00AA03F8">
            <w:pPr>
              <w:spacing w:line="240" w:lineRule="auto"/>
              <w:ind w:leftChars="0" w:left="0" w:rightChars="0" w:right="0"/>
              <w:jc w:val="center"/>
              <w:rPr>
                <w:sz w:val="24"/>
              </w:rPr>
            </w:pPr>
            <w:r w:rsidRPr="00602938">
              <w:rPr>
                <w:sz w:val="24"/>
              </w:rPr>
              <w:t>百分比</w:t>
            </w:r>
          </w:p>
        </w:tc>
        <w:tc>
          <w:tcPr>
            <w:tcW w:w="1772" w:type="dxa"/>
            <w:tcBorders>
              <w:top w:val="single" w:sz="12" w:space="0" w:color="auto"/>
              <w:bottom w:val="single" w:sz="8" w:space="0" w:color="auto"/>
            </w:tcBorders>
            <w:shd w:val="clear" w:color="auto" w:fill="FAF0FA"/>
            <w:vAlign w:val="center"/>
          </w:tcPr>
          <w:p w:rsidR="0049577B" w:rsidRPr="00602938" w:rsidRDefault="0049577B" w:rsidP="00AA03F8">
            <w:pPr>
              <w:spacing w:line="240" w:lineRule="auto"/>
              <w:ind w:leftChars="0" w:left="0" w:rightChars="0" w:right="0"/>
              <w:jc w:val="center"/>
              <w:rPr>
                <w:sz w:val="24"/>
              </w:rPr>
            </w:pPr>
            <w:r w:rsidRPr="00602938">
              <w:rPr>
                <w:sz w:val="24"/>
              </w:rPr>
              <w:t>東南亞國家</w:t>
            </w:r>
          </w:p>
        </w:tc>
        <w:tc>
          <w:tcPr>
            <w:tcW w:w="1772" w:type="dxa"/>
            <w:tcBorders>
              <w:top w:val="single" w:sz="12" w:space="0" w:color="auto"/>
              <w:bottom w:val="single" w:sz="8" w:space="0" w:color="auto"/>
            </w:tcBorders>
            <w:shd w:val="clear" w:color="auto" w:fill="FAF0FA"/>
            <w:vAlign w:val="center"/>
          </w:tcPr>
          <w:p w:rsidR="0049577B" w:rsidRPr="00602938" w:rsidRDefault="0049577B" w:rsidP="00AA03F8">
            <w:pPr>
              <w:spacing w:line="240" w:lineRule="auto"/>
              <w:ind w:leftChars="0" w:left="0" w:rightChars="0" w:right="0"/>
              <w:jc w:val="center"/>
              <w:rPr>
                <w:sz w:val="24"/>
              </w:rPr>
            </w:pPr>
            <w:r w:rsidRPr="00602938">
              <w:rPr>
                <w:sz w:val="24"/>
              </w:rPr>
              <w:t>大陸及港澳地區</w:t>
            </w:r>
          </w:p>
        </w:tc>
        <w:tc>
          <w:tcPr>
            <w:tcW w:w="1772" w:type="dxa"/>
            <w:tcBorders>
              <w:top w:val="single" w:sz="12" w:space="0" w:color="auto"/>
              <w:bottom w:val="single" w:sz="8" w:space="0" w:color="auto"/>
            </w:tcBorders>
            <w:shd w:val="clear" w:color="auto" w:fill="FAF0FA"/>
            <w:vAlign w:val="center"/>
          </w:tcPr>
          <w:p w:rsidR="0049577B" w:rsidRPr="00602938" w:rsidRDefault="0049577B" w:rsidP="00AA03F8">
            <w:pPr>
              <w:spacing w:line="240" w:lineRule="auto"/>
              <w:ind w:leftChars="0" w:left="0" w:rightChars="0" w:right="0"/>
              <w:jc w:val="center"/>
              <w:rPr>
                <w:sz w:val="24"/>
              </w:rPr>
            </w:pPr>
            <w:r w:rsidRPr="00602938">
              <w:rPr>
                <w:sz w:val="24"/>
              </w:rPr>
              <w:t>其他國家</w:t>
            </w:r>
          </w:p>
        </w:tc>
        <w:tc>
          <w:tcPr>
            <w:tcW w:w="1772" w:type="dxa"/>
            <w:tcBorders>
              <w:top w:val="single" w:sz="12" w:space="0" w:color="auto"/>
              <w:bottom w:val="single" w:sz="8" w:space="0" w:color="auto"/>
            </w:tcBorders>
            <w:shd w:val="clear" w:color="auto" w:fill="FAF0FA"/>
            <w:vAlign w:val="center"/>
          </w:tcPr>
          <w:p w:rsidR="0049577B" w:rsidRPr="00602938" w:rsidRDefault="0049577B" w:rsidP="00AA03F8">
            <w:pPr>
              <w:spacing w:line="240" w:lineRule="auto"/>
              <w:ind w:leftChars="0" w:left="0" w:rightChars="0" w:right="0"/>
              <w:jc w:val="center"/>
              <w:rPr>
                <w:sz w:val="24"/>
              </w:rPr>
            </w:pPr>
            <w:r w:rsidRPr="00602938">
              <w:rPr>
                <w:sz w:val="24"/>
              </w:rPr>
              <w:t>總和</w:t>
            </w:r>
          </w:p>
        </w:tc>
      </w:tr>
      <w:tr w:rsidR="0049577B" w:rsidRPr="00B40DC1" w:rsidTr="00AA03F8">
        <w:tc>
          <w:tcPr>
            <w:tcW w:w="1559" w:type="dxa"/>
            <w:vMerge w:val="restart"/>
            <w:tcBorders>
              <w:top w:val="single" w:sz="8" w:space="0" w:color="auto"/>
            </w:tcBorders>
            <w:vAlign w:val="center"/>
          </w:tcPr>
          <w:p w:rsidR="0049577B" w:rsidRPr="00602938" w:rsidRDefault="0049577B" w:rsidP="00AA03F8">
            <w:pPr>
              <w:spacing w:line="240" w:lineRule="auto"/>
              <w:ind w:leftChars="0" w:left="0" w:rightChars="0" w:right="0"/>
              <w:rPr>
                <w:sz w:val="24"/>
              </w:rPr>
            </w:pPr>
            <w:r w:rsidRPr="00602938">
              <w:rPr>
                <w:sz w:val="24"/>
              </w:rPr>
              <w:t>工作關係認識</w:t>
            </w:r>
          </w:p>
        </w:tc>
        <w:tc>
          <w:tcPr>
            <w:tcW w:w="1134" w:type="dxa"/>
            <w:tcBorders>
              <w:top w:val="single" w:sz="8" w:space="0" w:color="auto"/>
            </w:tcBorders>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72" w:type="dxa"/>
            <w:tcBorders>
              <w:top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91</w:t>
            </w:r>
          </w:p>
        </w:tc>
        <w:tc>
          <w:tcPr>
            <w:tcW w:w="1772" w:type="dxa"/>
            <w:tcBorders>
              <w:top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173</w:t>
            </w:r>
          </w:p>
        </w:tc>
        <w:tc>
          <w:tcPr>
            <w:tcW w:w="1772" w:type="dxa"/>
            <w:tcBorders>
              <w:top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27</w:t>
            </w:r>
          </w:p>
        </w:tc>
        <w:tc>
          <w:tcPr>
            <w:tcW w:w="1772" w:type="dxa"/>
            <w:tcBorders>
              <w:top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291</w:t>
            </w:r>
          </w:p>
        </w:tc>
      </w:tr>
      <w:tr w:rsidR="0049577B" w:rsidRPr="00B40DC1" w:rsidTr="00AA03F8">
        <w:tc>
          <w:tcPr>
            <w:tcW w:w="1559" w:type="dxa"/>
            <w:vMerge/>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20.20%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18.70%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65.90%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20.60%</w:t>
            </w:r>
          </w:p>
        </w:tc>
      </w:tr>
      <w:tr w:rsidR="0049577B" w:rsidRPr="00B40DC1" w:rsidTr="00AA03F8">
        <w:tc>
          <w:tcPr>
            <w:tcW w:w="1559" w:type="dxa"/>
            <w:vMerge w:val="restart"/>
            <w:vAlign w:val="center"/>
          </w:tcPr>
          <w:p w:rsidR="0049577B" w:rsidRPr="00602938" w:rsidRDefault="0049577B" w:rsidP="00AA03F8">
            <w:pPr>
              <w:spacing w:line="240" w:lineRule="auto"/>
              <w:ind w:leftChars="0" w:left="0" w:rightChars="0" w:right="0"/>
              <w:rPr>
                <w:sz w:val="24"/>
              </w:rPr>
            </w:pPr>
            <w:r w:rsidRPr="00602938">
              <w:rPr>
                <w:sz w:val="24"/>
              </w:rPr>
              <w:t>透過網路認識</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131</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114</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2</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247</w:t>
            </w:r>
          </w:p>
        </w:tc>
      </w:tr>
      <w:tr w:rsidR="0049577B" w:rsidRPr="00B40DC1" w:rsidTr="00AA03F8">
        <w:tc>
          <w:tcPr>
            <w:tcW w:w="1559" w:type="dxa"/>
            <w:vMerge/>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29.10%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12.30%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4.90%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17.40%</w:t>
            </w:r>
          </w:p>
        </w:tc>
      </w:tr>
      <w:tr w:rsidR="0049577B" w:rsidRPr="00B40DC1" w:rsidTr="00AA03F8">
        <w:tc>
          <w:tcPr>
            <w:tcW w:w="1559" w:type="dxa"/>
            <w:vMerge w:val="restart"/>
            <w:vAlign w:val="center"/>
          </w:tcPr>
          <w:p w:rsidR="0049577B" w:rsidRPr="00602938" w:rsidRDefault="0049577B" w:rsidP="00AA03F8">
            <w:pPr>
              <w:spacing w:line="240" w:lineRule="auto"/>
              <w:ind w:leftChars="0" w:left="0" w:rightChars="0" w:right="0"/>
              <w:rPr>
                <w:sz w:val="24"/>
              </w:rPr>
            </w:pPr>
            <w:r w:rsidRPr="00602938">
              <w:rPr>
                <w:sz w:val="24"/>
              </w:rPr>
              <w:t>經由婚姻介紹所認識</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182</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502</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6</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690</w:t>
            </w:r>
          </w:p>
        </w:tc>
      </w:tr>
      <w:tr w:rsidR="0049577B" w:rsidRPr="00B40DC1" w:rsidTr="00AA03F8">
        <w:tc>
          <w:tcPr>
            <w:tcW w:w="1559" w:type="dxa"/>
            <w:vMerge/>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40.40%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54.30%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14.60%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48.70%</w:t>
            </w:r>
          </w:p>
        </w:tc>
      </w:tr>
      <w:tr w:rsidR="0049577B" w:rsidRPr="00B40DC1" w:rsidTr="00AA03F8">
        <w:tc>
          <w:tcPr>
            <w:tcW w:w="1559" w:type="dxa"/>
            <w:vMerge w:val="restart"/>
            <w:vAlign w:val="center"/>
          </w:tcPr>
          <w:p w:rsidR="0049577B" w:rsidRPr="00602938" w:rsidRDefault="0049577B" w:rsidP="00AA03F8">
            <w:pPr>
              <w:spacing w:line="240" w:lineRule="auto"/>
              <w:ind w:leftChars="0" w:left="0" w:rightChars="0" w:right="0"/>
              <w:rPr>
                <w:sz w:val="24"/>
              </w:rPr>
            </w:pPr>
            <w:r w:rsidRPr="00602938">
              <w:rPr>
                <w:sz w:val="24"/>
              </w:rPr>
              <w:t>母國親友介紹</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40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107</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2</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149</w:t>
            </w:r>
          </w:p>
        </w:tc>
      </w:tr>
      <w:tr w:rsidR="0049577B" w:rsidRPr="00B40DC1" w:rsidTr="00AA03F8">
        <w:tc>
          <w:tcPr>
            <w:tcW w:w="1559" w:type="dxa"/>
            <w:vMerge/>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8.90%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11.60%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4.90%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10.50%</w:t>
            </w:r>
          </w:p>
        </w:tc>
      </w:tr>
      <w:tr w:rsidR="0049577B" w:rsidRPr="00B40DC1" w:rsidTr="00AA03F8">
        <w:tc>
          <w:tcPr>
            <w:tcW w:w="1559" w:type="dxa"/>
            <w:vMerge w:val="restart"/>
            <w:vAlign w:val="center"/>
          </w:tcPr>
          <w:p w:rsidR="0049577B" w:rsidRPr="00602938" w:rsidRDefault="0049577B" w:rsidP="00AA03F8">
            <w:pPr>
              <w:spacing w:line="240" w:lineRule="auto"/>
              <w:ind w:leftChars="0" w:left="0" w:rightChars="0" w:right="0"/>
              <w:rPr>
                <w:sz w:val="24"/>
              </w:rPr>
            </w:pPr>
            <w:r w:rsidRPr="00602938">
              <w:rPr>
                <w:sz w:val="24"/>
              </w:rPr>
              <w:t>臺籍同事/朋友介紹</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20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22</w:t>
            </w:r>
          </w:p>
        </w:tc>
      </w:tr>
      <w:tr w:rsidR="0049577B" w:rsidRPr="00B40DC1" w:rsidTr="00AA03F8">
        <w:tc>
          <w:tcPr>
            <w:tcW w:w="1559" w:type="dxa"/>
            <w:vMerge/>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0.20%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2.20%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2.40%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1.60%</w:t>
            </w:r>
          </w:p>
        </w:tc>
      </w:tr>
      <w:tr w:rsidR="0049577B" w:rsidRPr="00B40DC1" w:rsidTr="00AA03F8">
        <w:tc>
          <w:tcPr>
            <w:tcW w:w="1559" w:type="dxa"/>
            <w:vMerge w:val="restart"/>
            <w:vAlign w:val="center"/>
          </w:tcPr>
          <w:p w:rsidR="0049577B" w:rsidRPr="00602938" w:rsidRDefault="0049577B" w:rsidP="00AA03F8">
            <w:pPr>
              <w:spacing w:line="240" w:lineRule="auto"/>
              <w:ind w:leftChars="0" w:left="0" w:rightChars="0" w:right="0"/>
              <w:rPr>
                <w:sz w:val="24"/>
              </w:rPr>
            </w:pPr>
            <w:r w:rsidRPr="00602938">
              <w:rPr>
                <w:sz w:val="24"/>
              </w:rPr>
              <w:t>其他</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5</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9</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3</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17</w:t>
            </w:r>
          </w:p>
        </w:tc>
      </w:tr>
      <w:tr w:rsidR="0049577B" w:rsidRPr="00B40DC1" w:rsidTr="00AA03F8">
        <w:tc>
          <w:tcPr>
            <w:tcW w:w="1559" w:type="dxa"/>
            <w:vMerge/>
            <w:vAlign w:val="center"/>
          </w:tcPr>
          <w:p w:rsidR="0049577B" w:rsidRPr="00602938" w:rsidRDefault="0049577B" w:rsidP="00AA03F8">
            <w:pPr>
              <w:spacing w:line="240" w:lineRule="auto"/>
              <w:ind w:leftChars="0" w:left="0" w:rightChars="0" w:right="0"/>
              <w:rPr>
                <w:sz w:val="24"/>
              </w:rPr>
            </w:pP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1.10%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1.00%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7.30%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1.20%</w:t>
            </w:r>
          </w:p>
        </w:tc>
      </w:tr>
      <w:tr w:rsidR="0049577B" w:rsidRPr="00B40DC1" w:rsidTr="00AA03F8">
        <w:tc>
          <w:tcPr>
            <w:tcW w:w="1559" w:type="dxa"/>
            <w:vMerge w:val="restart"/>
            <w:vAlign w:val="center"/>
          </w:tcPr>
          <w:p w:rsidR="0049577B" w:rsidRPr="00602938" w:rsidRDefault="0049577B" w:rsidP="00AA03F8">
            <w:pPr>
              <w:spacing w:line="240" w:lineRule="auto"/>
              <w:ind w:leftChars="0" w:left="0" w:rightChars="0" w:right="0"/>
              <w:rPr>
                <w:sz w:val="24"/>
              </w:rPr>
            </w:pPr>
            <w:r w:rsidRPr="00602938">
              <w:rPr>
                <w:sz w:val="24"/>
              </w:rPr>
              <w:t>總和</w:t>
            </w:r>
          </w:p>
        </w:tc>
        <w:tc>
          <w:tcPr>
            <w:tcW w:w="1134" w:type="dxa"/>
            <w:vAlign w:val="center"/>
          </w:tcPr>
          <w:p w:rsidR="0049577B" w:rsidRPr="00602938" w:rsidRDefault="0049577B" w:rsidP="00AA03F8">
            <w:pPr>
              <w:spacing w:line="240" w:lineRule="auto"/>
              <w:ind w:leftChars="0" w:left="0" w:rightChars="0" w:right="0"/>
              <w:rPr>
                <w:sz w:val="24"/>
              </w:rPr>
            </w:pPr>
            <w:r w:rsidRPr="00602938">
              <w:rPr>
                <w:sz w:val="24"/>
              </w:rPr>
              <w:t>次數</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450</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925</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41</w:t>
            </w:r>
          </w:p>
        </w:tc>
        <w:tc>
          <w:tcPr>
            <w:tcW w:w="1772" w:type="dxa"/>
            <w:vAlign w:val="center"/>
          </w:tcPr>
          <w:p w:rsidR="0049577B" w:rsidRPr="00602938" w:rsidRDefault="0049577B" w:rsidP="00AA03F8">
            <w:pPr>
              <w:spacing w:line="240" w:lineRule="auto"/>
              <w:ind w:leftChars="0" w:left="0" w:rightChars="0" w:right="0"/>
              <w:jc w:val="center"/>
              <w:rPr>
                <w:sz w:val="24"/>
              </w:rPr>
            </w:pPr>
            <w:r w:rsidRPr="00602938">
              <w:rPr>
                <w:sz w:val="24"/>
              </w:rPr>
              <w:t>1416</w:t>
            </w:r>
          </w:p>
        </w:tc>
      </w:tr>
      <w:tr w:rsidR="0049577B" w:rsidRPr="00B40DC1" w:rsidTr="00AA03F8">
        <w:tc>
          <w:tcPr>
            <w:tcW w:w="1559" w:type="dxa"/>
            <w:vMerge/>
            <w:tcBorders>
              <w:bottom w:val="single" w:sz="8" w:space="0" w:color="auto"/>
            </w:tcBorders>
          </w:tcPr>
          <w:p w:rsidR="0049577B" w:rsidRPr="00602938" w:rsidRDefault="0049577B" w:rsidP="00AA03F8">
            <w:pPr>
              <w:spacing w:line="240" w:lineRule="auto"/>
              <w:ind w:leftChars="0" w:left="0" w:rightChars="0" w:right="0"/>
              <w:rPr>
                <w:sz w:val="24"/>
              </w:rPr>
            </w:pPr>
          </w:p>
        </w:tc>
        <w:tc>
          <w:tcPr>
            <w:tcW w:w="1134" w:type="dxa"/>
            <w:tcBorders>
              <w:bottom w:val="single" w:sz="8" w:space="0" w:color="auto"/>
            </w:tcBorders>
            <w:vAlign w:val="center"/>
          </w:tcPr>
          <w:p w:rsidR="0049577B" w:rsidRPr="00602938" w:rsidRDefault="0049577B" w:rsidP="00AA03F8">
            <w:pPr>
              <w:spacing w:line="240" w:lineRule="auto"/>
              <w:ind w:leftChars="0" w:left="0" w:rightChars="0" w:right="0"/>
              <w:rPr>
                <w:sz w:val="24"/>
              </w:rPr>
            </w:pPr>
            <w:r w:rsidRPr="00602938">
              <w:rPr>
                <w:sz w:val="24"/>
              </w:rPr>
              <w:t>百分比</w:t>
            </w:r>
          </w:p>
        </w:tc>
        <w:tc>
          <w:tcPr>
            <w:tcW w:w="1772" w:type="dxa"/>
            <w:tcBorders>
              <w:bottom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100.00%</w:t>
            </w:r>
          </w:p>
        </w:tc>
        <w:tc>
          <w:tcPr>
            <w:tcW w:w="1772" w:type="dxa"/>
            <w:tcBorders>
              <w:bottom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100.00%</w:t>
            </w:r>
          </w:p>
        </w:tc>
        <w:tc>
          <w:tcPr>
            <w:tcW w:w="1772" w:type="dxa"/>
            <w:tcBorders>
              <w:bottom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100.00%</w:t>
            </w:r>
          </w:p>
        </w:tc>
        <w:tc>
          <w:tcPr>
            <w:tcW w:w="1772" w:type="dxa"/>
            <w:tcBorders>
              <w:bottom w:val="single" w:sz="8" w:space="0" w:color="auto"/>
            </w:tcBorders>
            <w:vAlign w:val="center"/>
          </w:tcPr>
          <w:p w:rsidR="0049577B" w:rsidRPr="00602938" w:rsidRDefault="0049577B" w:rsidP="00AA03F8">
            <w:pPr>
              <w:spacing w:line="240" w:lineRule="auto"/>
              <w:ind w:leftChars="0" w:left="0" w:rightChars="0" w:right="0"/>
              <w:jc w:val="center"/>
              <w:rPr>
                <w:sz w:val="24"/>
              </w:rPr>
            </w:pPr>
            <w:r w:rsidRPr="00602938">
              <w:rPr>
                <w:sz w:val="24"/>
              </w:rPr>
              <w:t>100.00%</w:t>
            </w:r>
          </w:p>
        </w:tc>
      </w:tr>
      <w:tr w:rsidR="0049577B" w:rsidRPr="00B40DC1" w:rsidTr="00AA03F8">
        <w:tc>
          <w:tcPr>
            <w:tcW w:w="1559" w:type="dxa"/>
            <w:tcBorders>
              <w:top w:val="single" w:sz="8" w:space="0" w:color="auto"/>
              <w:bottom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卡方值</w:t>
            </w:r>
          </w:p>
        </w:tc>
        <w:tc>
          <w:tcPr>
            <w:tcW w:w="8222" w:type="dxa"/>
            <w:gridSpan w:val="5"/>
            <w:tcBorders>
              <w:top w:val="single" w:sz="8" w:space="0" w:color="auto"/>
              <w:bottom w:val="single" w:sz="12" w:space="0" w:color="auto"/>
            </w:tcBorders>
            <w:vAlign w:val="center"/>
          </w:tcPr>
          <w:p w:rsidR="0049577B" w:rsidRPr="00602938" w:rsidRDefault="0049577B" w:rsidP="00AA03F8">
            <w:pPr>
              <w:spacing w:line="240" w:lineRule="auto"/>
              <w:ind w:leftChars="0" w:left="0" w:rightChars="0" w:right="0"/>
              <w:rPr>
                <w:sz w:val="24"/>
              </w:rPr>
            </w:pPr>
            <w:r w:rsidRPr="00602938">
              <w:rPr>
                <w:sz w:val="24"/>
              </w:rPr>
              <w:t>χ</w:t>
            </w:r>
            <w:r w:rsidRPr="00602938">
              <w:rPr>
                <w:sz w:val="24"/>
                <w:vertAlign w:val="superscript"/>
              </w:rPr>
              <w:t>2</w:t>
            </w:r>
            <w:r w:rsidRPr="00602938">
              <w:rPr>
                <w:sz w:val="24"/>
              </w:rPr>
              <w:t>=141.28；df=10；p&lt;0.001</w:t>
            </w:r>
          </w:p>
        </w:tc>
      </w:tr>
    </w:tbl>
    <w:p w:rsidR="0049577B" w:rsidRPr="00B40DC1" w:rsidRDefault="00817A92" w:rsidP="000D26BB">
      <w:r>
        <w:t>【資料來源】</w:t>
      </w:r>
      <w:r w:rsidR="0049577B" w:rsidRPr="00B40DC1">
        <w:t>作者自行製作。</w:t>
      </w:r>
    </w:p>
    <w:p w:rsidR="0049577B" w:rsidRPr="00B40DC1" w:rsidRDefault="0049577B" w:rsidP="000D26BB"/>
    <w:p w:rsidR="0049577B" w:rsidRPr="00B40DC1" w:rsidRDefault="00AA03F8" w:rsidP="000D5F5F">
      <w:pPr>
        <w:spacing w:line="240" w:lineRule="auto"/>
        <w:ind w:leftChars="0" w:left="0" w:rightChars="0" w:right="0"/>
      </w:pPr>
      <w:r>
        <w:t xml:space="preserve">　　</w:t>
      </w:r>
      <w:r w:rsidR="0049577B" w:rsidRPr="00B40DC1">
        <w:t>表5顯示國籍別與受訪者配偶教育程度之關聯性分析。本表顯示：國籍別與受訪者配偶教育程度的關連程度達到統計上的顯著水準（χ</w:t>
      </w:r>
      <w:r w:rsidR="0049577B" w:rsidRPr="00B40DC1">
        <w:rPr>
          <w:vertAlign w:val="superscript"/>
        </w:rPr>
        <w:t>2</w:t>
      </w:r>
      <w:r w:rsidR="0049577B" w:rsidRPr="00B40DC1">
        <w:t>=88.64；df=16；p&lt;0.001），顯示：會因為受訪者國籍別之不同，而在其配偶教育程度上有所差異。當進一步觀察百分比分布情形可以發現，原籍為東南亞國家的新移民配偶教育程度以高中（高職）所占百分比最高，占50.40％，其次國中（初中），占27.30%。而原籍為大陸及港澳地區新移民配偶教育程度以高中（高職）所占百分比最高，占46.10％，其次國中（初中），占16.20%。而原籍為其他國家的新移民配偶教育程度以高中（高職）所占百分比最高，占48.80％，其次為大學，占24.40%。可以發現，相較於其他國籍別新移民，以其他國家的新移民配偶教育程度相對較高，而大陸及港澳地區新移民配偶教育程度分布較廣。</w:t>
      </w:r>
    </w:p>
    <w:p w:rsidR="0049577B" w:rsidRPr="00B40DC1" w:rsidRDefault="00AA03F8" w:rsidP="000D5F5F">
      <w:pPr>
        <w:spacing w:line="240" w:lineRule="auto"/>
        <w:ind w:leftChars="0" w:left="0" w:rightChars="0" w:right="0"/>
      </w:pPr>
      <w:r>
        <w:t xml:space="preserve">　　</w:t>
      </w:r>
      <w:r w:rsidR="0049577B" w:rsidRPr="00B40DC1">
        <w:t>由於有相當高比率的新移民是經由婚姻介紹所認識配偶的，夫妻間在婚前較缺乏感情基礎，導致婚後家庭出現一些生活適應問題。因此，本研究針對桃園市新移民服務據點和專業團體的訪談資料也顯示：新移民與配偶、配偶家人所存在的常見問題之一是彼此間的信任問題。</w:t>
      </w:r>
    </w:p>
    <w:p w:rsidR="0049577B" w:rsidRPr="00B40DC1" w:rsidRDefault="00AA03F8" w:rsidP="000D5F5F">
      <w:pPr>
        <w:spacing w:line="240" w:lineRule="auto"/>
        <w:ind w:leftChars="0" w:left="0" w:rightChars="0" w:right="0"/>
      </w:pPr>
      <w:r>
        <w:t xml:space="preserve">　　</w:t>
      </w:r>
      <w:r w:rsidR="0049577B" w:rsidRPr="00B40DC1">
        <w:t>家庭觀念的傳統保守封閉，認為新移民外出參與活動與他人接觸可能會學壞或者被拐跑，使得不願讓新移民外出與他人交往，因為他們不走出來，相對的我們也走不進去。-----因為他們的婚姻是建立在某種對價的關係上，感情基礎並不穩固，</w:t>
      </w:r>
      <w:r w:rsidR="0049577B" w:rsidRPr="00B40DC1">
        <w:rPr>
          <w:u w:val="single"/>
        </w:rPr>
        <w:t>無法互相信任</w:t>
      </w:r>
      <w:r w:rsidR="0049577B" w:rsidRPr="00B40DC1">
        <w:t>。(1-4-1)</w:t>
      </w:r>
    </w:p>
    <w:p w:rsidR="0049577B" w:rsidRPr="00B40DC1" w:rsidRDefault="00AA03F8" w:rsidP="000D5F5F">
      <w:pPr>
        <w:spacing w:line="240" w:lineRule="auto"/>
        <w:ind w:leftChars="0" w:left="0" w:rightChars="0" w:right="0"/>
      </w:pPr>
      <w:r>
        <w:t xml:space="preserve">　　</w:t>
      </w:r>
      <w:r w:rsidR="0049577B" w:rsidRPr="00B40DC1">
        <w:t>親子問題上國人會比較強勢地認為新移民沒有能力教養小孩，</w:t>
      </w:r>
      <w:r w:rsidR="0049577B" w:rsidRPr="00B40DC1">
        <w:rPr>
          <w:u w:val="single"/>
        </w:rPr>
        <w:t>不信任的結果</w:t>
      </w:r>
      <w:r w:rsidR="0049577B" w:rsidRPr="00B40DC1">
        <w:t>導致新移民會覺得不舒服，雙方的不協調也會讓子女產生困惑，所以經濟、婆媳等都是基於信任問題產生的，尤其經濟問題常會惡性循環。(4-4-1)</w:t>
      </w:r>
    </w:p>
    <w:p w:rsidR="0049577B" w:rsidRPr="00B40DC1" w:rsidRDefault="0049577B" w:rsidP="000D5F5F">
      <w:pPr>
        <w:spacing w:line="240" w:lineRule="auto"/>
        <w:ind w:leftChars="0" w:left="0" w:rightChars="0" w:right="0"/>
      </w:pPr>
      <w:r w:rsidRPr="00B40DC1">
        <w:t>外籍配偶嫁來臺灣，主要的目的就是傳宗接代，且大部分都生兩個以上，家中長輩又怕新移民會嫌棄丈夫而跑掉，所以都管得很嚴，甚至會禁止他們外出與人交往，</w:t>
      </w:r>
      <w:r w:rsidRPr="00B40DC1">
        <w:rPr>
          <w:u w:val="single"/>
        </w:rPr>
        <w:t>怕他們被教壞</w:t>
      </w:r>
      <w:r w:rsidRPr="00B40DC1">
        <w:t>。(6-4-1)</w:t>
      </w:r>
    </w:p>
    <w:p w:rsidR="0049577B" w:rsidRPr="00B40DC1" w:rsidRDefault="00AA03F8" w:rsidP="000D5F5F">
      <w:pPr>
        <w:spacing w:line="240" w:lineRule="auto"/>
        <w:ind w:leftChars="0" w:left="0" w:rightChars="0" w:right="0"/>
        <w:rPr>
          <w:spacing w:val="2"/>
          <w:kern w:val="0"/>
        </w:rPr>
      </w:pPr>
      <w:r>
        <w:t xml:space="preserve">　　</w:t>
      </w:r>
      <w:r w:rsidR="0049577B" w:rsidRPr="00B40DC1">
        <w:t>我認為新移民家庭生活上</w:t>
      </w:r>
      <w:r w:rsidR="0049577B" w:rsidRPr="00B40DC1">
        <w:rPr>
          <w:u w:val="single"/>
        </w:rPr>
        <w:t>常見的困境是新移民走不出來的問題</w:t>
      </w:r>
      <w:r w:rsidR="0049577B" w:rsidRPr="00B40DC1">
        <w:t>，像是來我們這邊參加訓練的，多半是家庭功能較完整的新移民家庭，而那些走不出來的家庭才是我們真正需要關心的，因為這些走不出來的家庭，生活上其實都會有遇到很多問題。(14-4-1)</w:t>
      </w:r>
    </w:p>
    <w:p w:rsidR="0049577B" w:rsidRDefault="00AA03F8" w:rsidP="000D5F5F">
      <w:pPr>
        <w:spacing w:line="240" w:lineRule="auto"/>
        <w:ind w:leftChars="0" w:left="0" w:rightChars="0" w:right="0"/>
      </w:pPr>
      <w:r>
        <w:t xml:space="preserve">　　</w:t>
      </w:r>
      <w:r w:rsidR="0049577B" w:rsidRPr="00B40DC1">
        <w:t>常見的困境就是新移民走不出來，是最大的問題。因為他們走不出來，相對的我們也無法幫助他們，問題主要的原因是在於先生和家中長輩阻止他們與外界交往，</w:t>
      </w:r>
      <w:r w:rsidR="0049577B" w:rsidRPr="00B40DC1">
        <w:rPr>
          <w:u w:val="single"/>
        </w:rPr>
        <w:t>認為他們如果與外界的人交流的話可能會變壞</w:t>
      </w:r>
      <w:r w:rsidR="0049577B" w:rsidRPr="00B40DC1">
        <w:t>，使他們逃離這個家。(20-4-1)</w:t>
      </w:r>
    </w:p>
    <w:p w:rsidR="00AA03F8" w:rsidRPr="00B40DC1" w:rsidRDefault="00A028E4" w:rsidP="00A028E4">
      <w:pPr>
        <w:jc w:val="right"/>
      </w:pPr>
      <w:r w:rsidRPr="00D45AD2">
        <w:rPr>
          <w:rFonts w:hint="eastAsia"/>
          <w:sz w:val="22"/>
        </w:rPr>
        <w:t>。。。。。。。。。。。。。。</w:t>
      </w:r>
      <w:hyperlink w:anchor="a4" w:history="1">
        <w:r>
          <w:rPr>
            <w:rStyle w:val="a7"/>
            <w:sz w:val="24"/>
            <w:lang w:eastAsia="zh-TW"/>
          </w:rPr>
          <w:t>回本章</w:t>
        </w:r>
      </w:hyperlink>
      <w:r w:rsidRPr="0008714D">
        <w:rPr>
          <w:color w:val="808000"/>
          <w:sz w:val="20"/>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表5</w:t>
      </w:r>
      <w:r w:rsidR="00602938">
        <w:rPr>
          <w:rFonts w:ascii="新細明體" w:eastAsia="新細明體" w:hAnsi="新細明體" w:hint="eastAsia"/>
          <w:lang w:eastAsia="zh-TW"/>
        </w:rPr>
        <w:t>、</w:t>
      </w:r>
      <w:r w:rsidRPr="00B40DC1">
        <w:rPr>
          <w:lang w:eastAsia="zh-TW"/>
        </w:rPr>
        <w:t>受訪者國籍與配偶教育程度之關聯分析</w:t>
      </w:r>
    </w:p>
    <w:tbl>
      <w:tblPr>
        <w:tblStyle w:val="43"/>
        <w:tblW w:w="0" w:type="auto"/>
        <w:tblInd w:w="127" w:type="dxa"/>
        <w:tblLook w:val="04A0" w:firstRow="1" w:lastRow="0" w:firstColumn="1" w:lastColumn="0" w:noHBand="0" w:noVBand="1"/>
      </w:tblPr>
      <w:tblGrid>
        <w:gridCol w:w="1282"/>
        <w:gridCol w:w="1409"/>
        <w:gridCol w:w="1549"/>
        <w:gridCol w:w="1549"/>
        <w:gridCol w:w="1549"/>
        <w:gridCol w:w="2159"/>
      </w:tblGrid>
      <w:tr w:rsidR="0049577B" w:rsidRPr="00B40DC1" w:rsidTr="008B0F5E">
        <w:tc>
          <w:tcPr>
            <w:tcW w:w="1282" w:type="dxa"/>
            <w:tcBorders>
              <w:top w:val="single" w:sz="12" w:space="0" w:color="auto"/>
              <w:left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配偶教育程度</w:t>
            </w:r>
          </w:p>
        </w:tc>
        <w:tc>
          <w:tcPr>
            <w:tcW w:w="1409" w:type="dxa"/>
            <w:tcBorders>
              <w:top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次數</w:t>
            </w:r>
          </w:p>
          <w:p w:rsidR="0049577B" w:rsidRPr="00602938" w:rsidRDefault="0049577B" w:rsidP="00A028E4">
            <w:pPr>
              <w:spacing w:line="240" w:lineRule="auto"/>
              <w:ind w:leftChars="0" w:left="0" w:rightChars="0" w:right="0"/>
              <w:jc w:val="center"/>
              <w:rPr>
                <w:sz w:val="24"/>
              </w:rPr>
            </w:pPr>
            <w:r w:rsidRPr="00602938">
              <w:rPr>
                <w:sz w:val="24"/>
              </w:rPr>
              <w:t>百分比</w:t>
            </w:r>
          </w:p>
        </w:tc>
        <w:tc>
          <w:tcPr>
            <w:tcW w:w="1549" w:type="dxa"/>
            <w:tcBorders>
              <w:top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東南亞國家</w:t>
            </w:r>
          </w:p>
        </w:tc>
        <w:tc>
          <w:tcPr>
            <w:tcW w:w="1549" w:type="dxa"/>
            <w:tcBorders>
              <w:top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大陸及港澳地區</w:t>
            </w:r>
          </w:p>
        </w:tc>
        <w:tc>
          <w:tcPr>
            <w:tcW w:w="1549" w:type="dxa"/>
            <w:tcBorders>
              <w:top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其他國家</w:t>
            </w:r>
          </w:p>
        </w:tc>
        <w:tc>
          <w:tcPr>
            <w:tcW w:w="2159" w:type="dxa"/>
            <w:tcBorders>
              <w:top w:val="single" w:sz="12" w:space="0" w:color="auto"/>
              <w:bottom w:val="single" w:sz="8" w:space="0" w:color="auto"/>
              <w:right w:val="single" w:sz="12"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總和</w:t>
            </w:r>
          </w:p>
        </w:tc>
      </w:tr>
      <w:tr w:rsidR="0049577B" w:rsidRPr="00B40DC1" w:rsidTr="00A028E4">
        <w:tc>
          <w:tcPr>
            <w:tcW w:w="1282" w:type="dxa"/>
            <w:vMerge w:val="restart"/>
            <w:tcBorders>
              <w:top w:val="single" w:sz="8" w:space="0" w:color="auto"/>
              <w:left w:val="single" w:sz="12" w:space="0" w:color="auto"/>
            </w:tcBorders>
            <w:vAlign w:val="center"/>
          </w:tcPr>
          <w:p w:rsidR="0049577B" w:rsidRPr="00602938" w:rsidRDefault="0049577B" w:rsidP="000D5F5F">
            <w:pPr>
              <w:spacing w:line="240" w:lineRule="auto"/>
              <w:ind w:leftChars="0" w:left="0" w:rightChars="0" w:right="0"/>
              <w:rPr>
                <w:sz w:val="24"/>
              </w:rPr>
            </w:pPr>
            <w:r w:rsidRPr="00602938">
              <w:rPr>
                <w:sz w:val="24"/>
              </w:rPr>
              <w:t>不識字</w:t>
            </w:r>
          </w:p>
        </w:tc>
        <w:tc>
          <w:tcPr>
            <w:tcW w:w="1409" w:type="dxa"/>
            <w:tcBorders>
              <w:top w:val="single" w:sz="8" w:space="0" w:color="auto"/>
            </w:tcBorders>
            <w:vAlign w:val="center"/>
          </w:tcPr>
          <w:p w:rsidR="0049577B" w:rsidRPr="00602938" w:rsidRDefault="0049577B" w:rsidP="000D5F5F">
            <w:pPr>
              <w:spacing w:line="240" w:lineRule="auto"/>
              <w:ind w:leftChars="0" w:left="0" w:rightChars="0" w:right="0"/>
              <w:rPr>
                <w:sz w:val="24"/>
              </w:rPr>
            </w:pPr>
            <w:r w:rsidRPr="00602938">
              <w:rPr>
                <w:sz w:val="24"/>
              </w:rPr>
              <w:t>次數</w:t>
            </w:r>
          </w:p>
        </w:tc>
        <w:tc>
          <w:tcPr>
            <w:tcW w:w="1549" w:type="dxa"/>
            <w:tcBorders>
              <w:top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2</w:t>
            </w:r>
          </w:p>
        </w:tc>
        <w:tc>
          <w:tcPr>
            <w:tcW w:w="1549" w:type="dxa"/>
            <w:tcBorders>
              <w:top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49</w:t>
            </w:r>
          </w:p>
        </w:tc>
        <w:tc>
          <w:tcPr>
            <w:tcW w:w="1549" w:type="dxa"/>
            <w:tcBorders>
              <w:top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0</w:t>
            </w:r>
          </w:p>
        </w:tc>
        <w:tc>
          <w:tcPr>
            <w:tcW w:w="2159" w:type="dxa"/>
            <w:tcBorders>
              <w:top w:val="single" w:sz="8" w:space="0" w:color="auto"/>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51</w:t>
            </w:r>
          </w:p>
        </w:tc>
      </w:tr>
      <w:tr w:rsidR="0049577B" w:rsidRPr="00B40DC1" w:rsidTr="00A028E4">
        <w:tc>
          <w:tcPr>
            <w:tcW w:w="1282" w:type="dxa"/>
            <w:vMerge/>
            <w:tcBorders>
              <w:left w:val="single" w:sz="12" w:space="0" w:color="auto"/>
            </w:tcBorders>
            <w:vAlign w:val="center"/>
          </w:tcPr>
          <w:p w:rsidR="0049577B" w:rsidRPr="00602938" w:rsidRDefault="0049577B" w:rsidP="000D5F5F">
            <w:pPr>
              <w:spacing w:line="240" w:lineRule="auto"/>
              <w:ind w:leftChars="0" w:left="0" w:rightChars="0" w:right="0"/>
              <w:rPr>
                <w:sz w:val="24"/>
              </w:rPr>
            </w:pP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百分比</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0.40%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5.30%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0.00%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3.60%</w:t>
            </w:r>
          </w:p>
        </w:tc>
      </w:tr>
      <w:tr w:rsidR="0049577B" w:rsidRPr="00B40DC1" w:rsidTr="00A028E4">
        <w:tc>
          <w:tcPr>
            <w:tcW w:w="1282" w:type="dxa"/>
            <w:vMerge w:val="restart"/>
            <w:tcBorders>
              <w:left w:val="single" w:sz="12" w:space="0" w:color="auto"/>
            </w:tcBorders>
            <w:vAlign w:val="center"/>
          </w:tcPr>
          <w:p w:rsidR="0049577B" w:rsidRPr="00602938" w:rsidRDefault="0049577B" w:rsidP="000D5F5F">
            <w:pPr>
              <w:spacing w:line="240" w:lineRule="auto"/>
              <w:ind w:leftChars="0" w:left="0" w:rightChars="0" w:right="0"/>
              <w:rPr>
                <w:sz w:val="24"/>
              </w:rPr>
            </w:pPr>
            <w:r w:rsidRPr="00602938">
              <w:rPr>
                <w:sz w:val="24"/>
              </w:rPr>
              <w:t>自修（含小學在學或肄業）</w:t>
            </w: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次數</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18</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19</w:t>
            </w:r>
          </w:p>
        </w:tc>
      </w:tr>
      <w:tr w:rsidR="0049577B" w:rsidRPr="00B40DC1" w:rsidTr="00A028E4">
        <w:tc>
          <w:tcPr>
            <w:tcW w:w="1282" w:type="dxa"/>
            <w:vMerge/>
            <w:tcBorders>
              <w:left w:val="single" w:sz="12" w:space="0" w:color="auto"/>
            </w:tcBorders>
            <w:vAlign w:val="center"/>
          </w:tcPr>
          <w:p w:rsidR="0049577B" w:rsidRPr="00602938" w:rsidRDefault="0049577B" w:rsidP="000D5F5F">
            <w:pPr>
              <w:spacing w:line="240" w:lineRule="auto"/>
              <w:ind w:leftChars="0" w:left="0" w:rightChars="0" w:right="0"/>
              <w:rPr>
                <w:sz w:val="24"/>
              </w:rPr>
            </w:pP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百分比</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0.20%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1.90%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0.00%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1.30%</w:t>
            </w:r>
          </w:p>
        </w:tc>
      </w:tr>
      <w:tr w:rsidR="0049577B" w:rsidRPr="00B40DC1" w:rsidTr="00A028E4">
        <w:tc>
          <w:tcPr>
            <w:tcW w:w="1282" w:type="dxa"/>
            <w:vMerge w:val="restart"/>
            <w:tcBorders>
              <w:left w:val="single" w:sz="12" w:space="0" w:color="auto"/>
            </w:tcBorders>
            <w:vAlign w:val="center"/>
          </w:tcPr>
          <w:p w:rsidR="0049577B" w:rsidRPr="00602938" w:rsidRDefault="0049577B" w:rsidP="000D5F5F">
            <w:pPr>
              <w:spacing w:line="240" w:lineRule="auto"/>
              <w:ind w:leftChars="0" w:left="0" w:rightChars="0" w:right="0"/>
              <w:rPr>
                <w:sz w:val="24"/>
              </w:rPr>
            </w:pPr>
            <w:r w:rsidRPr="00602938">
              <w:rPr>
                <w:sz w:val="24"/>
              </w:rPr>
              <w:t>小學畢業</w:t>
            </w: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次數</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24</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69</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93</w:t>
            </w:r>
          </w:p>
        </w:tc>
      </w:tr>
      <w:tr w:rsidR="0049577B" w:rsidRPr="00B40DC1" w:rsidTr="00A028E4">
        <w:tc>
          <w:tcPr>
            <w:tcW w:w="1282" w:type="dxa"/>
            <w:vMerge/>
            <w:tcBorders>
              <w:left w:val="single" w:sz="12" w:space="0" w:color="auto"/>
            </w:tcBorders>
            <w:vAlign w:val="center"/>
          </w:tcPr>
          <w:p w:rsidR="0049577B" w:rsidRPr="00602938" w:rsidRDefault="0049577B" w:rsidP="000D5F5F">
            <w:pPr>
              <w:spacing w:line="240" w:lineRule="auto"/>
              <w:ind w:leftChars="0" w:left="0" w:rightChars="0" w:right="0"/>
              <w:rPr>
                <w:sz w:val="24"/>
              </w:rPr>
            </w:pP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百分比</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5.30%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7.50%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0.00%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6.60%</w:t>
            </w:r>
          </w:p>
        </w:tc>
      </w:tr>
      <w:tr w:rsidR="0049577B" w:rsidRPr="00B40DC1" w:rsidTr="00A028E4">
        <w:tc>
          <w:tcPr>
            <w:tcW w:w="1282" w:type="dxa"/>
            <w:vMerge w:val="restart"/>
            <w:tcBorders>
              <w:left w:val="single" w:sz="12" w:space="0" w:color="auto"/>
            </w:tcBorders>
            <w:vAlign w:val="center"/>
          </w:tcPr>
          <w:p w:rsidR="0049577B" w:rsidRPr="00602938" w:rsidRDefault="0049577B" w:rsidP="000D5F5F">
            <w:pPr>
              <w:spacing w:line="240" w:lineRule="auto"/>
              <w:ind w:leftChars="0" w:left="0" w:rightChars="0" w:right="0"/>
              <w:rPr>
                <w:sz w:val="24"/>
              </w:rPr>
            </w:pPr>
            <w:r w:rsidRPr="00602938">
              <w:rPr>
                <w:sz w:val="24"/>
              </w:rPr>
              <w:t>國中（初中）</w:t>
            </w: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次數</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123</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150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274</w:t>
            </w:r>
          </w:p>
        </w:tc>
      </w:tr>
      <w:tr w:rsidR="0049577B" w:rsidRPr="00B40DC1" w:rsidTr="00A028E4">
        <w:tc>
          <w:tcPr>
            <w:tcW w:w="1282" w:type="dxa"/>
            <w:vMerge/>
            <w:tcBorders>
              <w:left w:val="single" w:sz="12" w:space="0" w:color="auto"/>
            </w:tcBorders>
            <w:vAlign w:val="center"/>
          </w:tcPr>
          <w:p w:rsidR="0049577B" w:rsidRPr="00602938" w:rsidRDefault="0049577B" w:rsidP="000D5F5F">
            <w:pPr>
              <w:spacing w:line="240" w:lineRule="auto"/>
              <w:ind w:leftChars="0" w:left="0" w:rightChars="0" w:right="0"/>
              <w:rPr>
                <w:sz w:val="24"/>
              </w:rPr>
            </w:pP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百分比</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27.30%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16.20%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2.40%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19.40%</w:t>
            </w:r>
          </w:p>
        </w:tc>
      </w:tr>
      <w:tr w:rsidR="0049577B" w:rsidRPr="00B40DC1" w:rsidTr="00A028E4">
        <w:tc>
          <w:tcPr>
            <w:tcW w:w="1282" w:type="dxa"/>
            <w:vMerge w:val="restart"/>
            <w:tcBorders>
              <w:left w:val="single" w:sz="12" w:space="0" w:color="auto"/>
            </w:tcBorders>
            <w:vAlign w:val="center"/>
          </w:tcPr>
          <w:p w:rsidR="0049577B" w:rsidRPr="00602938" w:rsidRDefault="0049577B" w:rsidP="000D5F5F">
            <w:pPr>
              <w:spacing w:line="240" w:lineRule="auto"/>
              <w:ind w:leftChars="0" w:left="0" w:rightChars="0" w:right="0"/>
              <w:rPr>
                <w:sz w:val="24"/>
              </w:rPr>
            </w:pPr>
            <w:r w:rsidRPr="00602938">
              <w:rPr>
                <w:sz w:val="24"/>
              </w:rPr>
              <w:t>高中（高職）</w:t>
            </w: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次數</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227</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426</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20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673</w:t>
            </w:r>
          </w:p>
        </w:tc>
      </w:tr>
      <w:tr w:rsidR="0049577B" w:rsidRPr="00B40DC1" w:rsidTr="00A028E4">
        <w:tc>
          <w:tcPr>
            <w:tcW w:w="1282" w:type="dxa"/>
            <w:vMerge/>
            <w:tcBorders>
              <w:left w:val="single" w:sz="12" w:space="0" w:color="auto"/>
            </w:tcBorders>
            <w:vAlign w:val="center"/>
          </w:tcPr>
          <w:p w:rsidR="0049577B" w:rsidRPr="00602938" w:rsidRDefault="0049577B" w:rsidP="000D5F5F">
            <w:pPr>
              <w:spacing w:line="240" w:lineRule="auto"/>
              <w:ind w:leftChars="0" w:left="0" w:rightChars="0" w:right="0"/>
              <w:rPr>
                <w:sz w:val="24"/>
              </w:rPr>
            </w:pP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百分比</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50.40%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46.10%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48.80%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47.50%</w:t>
            </w:r>
          </w:p>
        </w:tc>
      </w:tr>
      <w:tr w:rsidR="0049577B" w:rsidRPr="00B40DC1" w:rsidTr="00A028E4">
        <w:tc>
          <w:tcPr>
            <w:tcW w:w="1282" w:type="dxa"/>
            <w:vMerge w:val="restart"/>
            <w:tcBorders>
              <w:left w:val="single" w:sz="12" w:space="0" w:color="auto"/>
            </w:tcBorders>
            <w:vAlign w:val="center"/>
          </w:tcPr>
          <w:p w:rsidR="0049577B" w:rsidRPr="00602938" w:rsidRDefault="0049577B" w:rsidP="000D5F5F">
            <w:pPr>
              <w:spacing w:line="240" w:lineRule="auto"/>
              <w:ind w:leftChars="0" w:left="0" w:rightChars="0" w:right="0"/>
              <w:rPr>
                <w:sz w:val="24"/>
              </w:rPr>
            </w:pPr>
            <w:r w:rsidRPr="00602938">
              <w:rPr>
                <w:sz w:val="24"/>
              </w:rPr>
              <w:t>專科</w:t>
            </w: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次數</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25</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97</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9</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131</w:t>
            </w:r>
          </w:p>
        </w:tc>
      </w:tr>
      <w:tr w:rsidR="0049577B" w:rsidRPr="00B40DC1" w:rsidTr="00A028E4">
        <w:tc>
          <w:tcPr>
            <w:tcW w:w="1282" w:type="dxa"/>
            <w:vMerge/>
            <w:tcBorders>
              <w:left w:val="single" w:sz="12" w:space="0" w:color="auto"/>
            </w:tcBorders>
            <w:vAlign w:val="center"/>
          </w:tcPr>
          <w:p w:rsidR="0049577B" w:rsidRPr="00602938" w:rsidRDefault="0049577B" w:rsidP="000D5F5F">
            <w:pPr>
              <w:spacing w:line="240" w:lineRule="auto"/>
              <w:ind w:leftChars="0" w:left="0" w:rightChars="0" w:right="0"/>
              <w:rPr>
                <w:sz w:val="24"/>
              </w:rPr>
            </w:pP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百分比</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5.60%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10.50%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22.00%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9.30%</w:t>
            </w:r>
          </w:p>
        </w:tc>
      </w:tr>
      <w:tr w:rsidR="0049577B" w:rsidRPr="00B40DC1" w:rsidTr="00A028E4">
        <w:tc>
          <w:tcPr>
            <w:tcW w:w="1282" w:type="dxa"/>
            <w:vMerge w:val="restart"/>
            <w:tcBorders>
              <w:left w:val="single" w:sz="12" w:space="0" w:color="auto"/>
            </w:tcBorders>
            <w:vAlign w:val="center"/>
          </w:tcPr>
          <w:p w:rsidR="0049577B" w:rsidRPr="00602938" w:rsidRDefault="0049577B" w:rsidP="000D5F5F">
            <w:pPr>
              <w:spacing w:line="240" w:lineRule="auto"/>
              <w:ind w:leftChars="0" w:left="0" w:rightChars="0" w:right="0"/>
              <w:rPr>
                <w:sz w:val="24"/>
              </w:rPr>
            </w:pPr>
            <w:r w:rsidRPr="00602938">
              <w:rPr>
                <w:sz w:val="24"/>
              </w:rPr>
              <w:t>大學</w:t>
            </w: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次數</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36</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94</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140</w:t>
            </w:r>
          </w:p>
        </w:tc>
      </w:tr>
      <w:tr w:rsidR="0049577B" w:rsidRPr="00B40DC1" w:rsidTr="00A028E4">
        <w:tc>
          <w:tcPr>
            <w:tcW w:w="1282" w:type="dxa"/>
            <w:vMerge/>
            <w:tcBorders>
              <w:left w:val="single" w:sz="12" w:space="0" w:color="auto"/>
            </w:tcBorders>
            <w:vAlign w:val="center"/>
          </w:tcPr>
          <w:p w:rsidR="0049577B" w:rsidRPr="00602938" w:rsidRDefault="0049577B" w:rsidP="000D5F5F">
            <w:pPr>
              <w:spacing w:line="240" w:lineRule="auto"/>
              <w:ind w:leftChars="0" w:left="0" w:rightChars="0" w:right="0"/>
              <w:rPr>
                <w:sz w:val="24"/>
              </w:rPr>
            </w:pP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百分比</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8.00%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10.20%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24.40%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9.90%</w:t>
            </w:r>
          </w:p>
        </w:tc>
      </w:tr>
      <w:tr w:rsidR="0049577B" w:rsidRPr="00B40DC1" w:rsidTr="00A028E4">
        <w:tc>
          <w:tcPr>
            <w:tcW w:w="1282" w:type="dxa"/>
            <w:vMerge w:val="restart"/>
            <w:tcBorders>
              <w:left w:val="single" w:sz="12" w:space="0" w:color="auto"/>
            </w:tcBorders>
            <w:vAlign w:val="center"/>
          </w:tcPr>
          <w:p w:rsidR="0049577B" w:rsidRPr="00602938" w:rsidRDefault="0049577B" w:rsidP="000D5F5F">
            <w:pPr>
              <w:spacing w:line="240" w:lineRule="auto"/>
              <w:ind w:leftChars="0" w:left="0" w:rightChars="0" w:right="0"/>
              <w:rPr>
                <w:sz w:val="24"/>
              </w:rPr>
            </w:pPr>
            <w:r w:rsidRPr="00602938">
              <w:rPr>
                <w:sz w:val="24"/>
              </w:rPr>
              <w:t>研究所以上</w:t>
            </w: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次數</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4</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12</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17</w:t>
            </w:r>
          </w:p>
        </w:tc>
      </w:tr>
      <w:tr w:rsidR="0049577B" w:rsidRPr="00B40DC1" w:rsidTr="00A028E4">
        <w:tc>
          <w:tcPr>
            <w:tcW w:w="1282" w:type="dxa"/>
            <w:vMerge/>
            <w:tcBorders>
              <w:left w:val="single" w:sz="12" w:space="0" w:color="auto"/>
            </w:tcBorders>
            <w:vAlign w:val="center"/>
          </w:tcPr>
          <w:p w:rsidR="0049577B" w:rsidRPr="00602938" w:rsidRDefault="0049577B" w:rsidP="000D5F5F">
            <w:pPr>
              <w:spacing w:line="240" w:lineRule="auto"/>
              <w:ind w:leftChars="0" w:left="0" w:rightChars="0" w:right="0"/>
              <w:rPr>
                <w:sz w:val="24"/>
              </w:rPr>
            </w:pP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百分比</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0.90%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1.30%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2.40%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1.20%</w:t>
            </w:r>
          </w:p>
        </w:tc>
      </w:tr>
      <w:tr w:rsidR="0049577B" w:rsidRPr="00B40DC1" w:rsidTr="00A028E4">
        <w:tc>
          <w:tcPr>
            <w:tcW w:w="1282" w:type="dxa"/>
            <w:vMerge w:val="restart"/>
            <w:tcBorders>
              <w:left w:val="single" w:sz="12" w:space="0" w:color="auto"/>
            </w:tcBorders>
            <w:vAlign w:val="center"/>
          </w:tcPr>
          <w:p w:rsidR="0049577B" w:rsidRPr="00602938" w:rsidRDefault="0049577B" w:rsidP="000D5F5F">
            <w:pPr>
              <w:spacing w:line="240" w:lineRule="auto"/>
              <w:ind w:leftChars="0" w:left="0" w:rightChars="0" w:right="0"/>
              <w:rPr>
                <w:sz w:val="24"/>
              </w:rPr>
            </w:pPr>
            <w:r w:rsidRPr="00602938">
              <w:rPr>
                <w:sz w:val="24"/>
              </w:rPr>
              <w:t>不知道</w:t>
            </w: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次數</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8</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18</w:t>
            </w:r>
          </w:p>
        </w:tc>
      </w:tr>
      <w:tr w:rsidR="0049577B" w:rsidRPr="00B40DC1" w:rsidTr="00A028E4">
        <w:tc>
          <w:tcPr>
            <w:tcW w:w="1282" w:type="dxa"/>
            <w:vMerge/>
            <w:tcBorders>
              <w:left w:val="single" w:sz="12" w:space="0" w:color="auto"/>
            </w:tcBorders>
            <w:vAlign w:val="center"/>
          </w:tcPr>
          <w:p w:rsidR="0049577B" w:rsidRPr="00602938" w:rsidRDefault="0049577B" w:rsidP="000D5F5F">
            <w:pPr>
              <w:spacing w:line="240" w:lineRule="auto"/>
              <w:ind w:leftChars="0" w:left="0" w:rightChars="0" w:right="0"/>
              <w:rPr>
                <w:sz w:val="24"/>
              </w:rPr>
            </w:pP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百分比</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1.80%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1.10%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0.00%</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1.30%</w:t>
            </w:r>
          </w:p>
        </w:tc>
      </w:tr>
      <w:tr w:rsidR="0049577B" w:rsidRPr="00B40DC1" w:rsidTr="00A028E4">
        <w:tc>
          <w:tcPr>
            <w:tcW w:w="1282" w:type="dxa"/>
            <w:vMerge w:val="restart"/>
            <w:tcBorders>
              <w:left w:val="single" w:sz="12" w:space="0" w:color="auto"/>
            </w:tcBorders>
            <w:vAlign w:val="center"/>
          </w:tcPr>
          <w:p w:rsidR="0049577B" w:rsidRPr="00602938" w:rsidRDefault="0049577B" w:rsidP="000D5F5F">
            <w:pPr>
              <w:spacing w:line="240" w:lineRule="auto"/>
              <w:ind w:leftChars="0" w:left="0" w:rightChars="0" w:right="0"/>
              <w:rPr>
                <w:sz w:val="24"/>
              </w:rPr>
            </w:pPr>
            <w:r w:rsidRPr="00602938">
              <w:rPr>
                <w:sz w:val="24"/>
              </w:rPr>
              <w:t>總和</w:t>
            </w:r>
          </w:p>
        </w:tc>
        <w:tc>
          <w:tcPr>
            <w:tcW w:w="1409" w:type="dxa"/>
            <w:vAlign w:val="center"/>
          </w:tcPr>
          <w:p w:rsidR="0049577B" w:rsidRPr="00602938" w:rsidRDefault="0049577B" w:rsidP="000D5F5F">
            <w:pPr>
              <w:spacing w:line="240" w:lineRule="auto"/>
              <w:ind w:leftChars="0" w:left="0" w:rightChars="0" w:right="0"/>
              <w:rPr>
                <w:sz w:val="24"/>
              </w:rPr>
            </w:pPr>
            <w:r w:rsidRPr="00602938">
              <w:rPr>
                <w:sz w:val="24"/>
              </w:rPr>
              <w:t>次數</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450</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925</w:t>
            </w:r>
          </w:p>
        </w:tc>
        <w:tc>
          <w:tcPr>
            <w:tcW w:w="1549" w:type="dxa"/>
            <w:vAlign w:val="center"/>
          </w:tcPr>
          <w:p w:rsidR="0049577B" w:rsidRPr="00602938" w:rsidRDefault="0049577B" w:rsidP="00A028E4">
            <w:pPr>
              <w:spacing w:line="240" w:lineRule="auto"/>
              <w:ind w:leftChars="0" w:left="0" w:rightChars="0" w:right="0"/>
              <w:jc w:val="center"/>
              <w:rPr>
                <w:sz w:val="24"/>
              </w:rPr>
            </w:pPr>
            <w:r w:rsidRPr="00602938">
              <w:rPr>
                <w:sz w:val="24"/>
              </w:rPr>
              <w:t>41</w:t>
            </w:r>
          </w:p>
        </w:tc>
        <w:tc>
          <w:tcPr>
            <w:tcW w:w="2159" w:type="dxa"/>
            <w:tcBorders>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1416</w:t>
            </w:r>
          </w:p>
        </w:tc>
      </w:tr>
      <w:tr w:rsidR="0049577B" w:rsidRPr="00B40DC1" w:rsidTr="00A028E4">
        <w:tc>
          <w:tcPr>
            <w:tcW w:w="1282" w:type="dxa"/>
            <w:vMerge/>
            <w:tcBorders>
              <w:left w:val="single" w:sz="12" w:space="0" w:color="auto"/>
              <w:bottom w:val="single" w:sz="8" w:space="0" w:color="auto"/>
            </w:tcBorders>
          </w:tcPr>
          <w:p w:rsidR="0049577B" w:rsidRPr="00602938" w:rsidRDefault="0049577B" w:rsidP="000D5F5F">
            <w:pPr>
              <w:spacing w:line="240" w:lineRule="auto"/>
              <w:ind w:leftChars="0" w:left="0" w:rightChars="0" w:right="0"/>
              <w:rPr>
                <w:sz w:val="24"/>
              </w:rPr>
            </w:pPr>
          </w:p>
        </w:tc>
        <w:tc>
          <w:tcPr>
            <w:tcW w:w="1409" w:type="dxa"/>
            <w:tcBorders>
              <w:bottom w:val="single" w:sz="8" w:space="0" w:color="auto"/>
            </w:tcBorders>
            <w:vAlign w:val="center"/>
          </w:tcPr>
          <w:p w:rsidR="0049577B" w:rsidRPr="00602938" w:rsidRDefault="0049577B" w:rsidP="000D5F5F">
            <w:pPr>
              <w:spacing w:line="240" w:lineRule="auto"/>
              <w:ind w:leftChars="0" w:left="0" w:rightChars="0" w:right="0"/>
              <w:rPr>
                <w:sz w:val="24"/>
              </w:rPr>
            </w:pPr>
            <w:r w:rsidRPr="00602938">
              <w:rPr>
                <w:sz w:val="24"/>
              </w:rPr>
              <w:t>百分比</w:t>
            </w:r>
          </w:p>
        </w:tc>
        <w:tc>
          <w:tcPr>
            <w:tcW w:w="1549" w:type="dxa"/>
            <w:tcBorders>
              <w:bottom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100.00%</w:t>
            </w:r>
          </w:p>
        </w:tc>
        <w:tc>
          <w:tcPr>
            <w:tcW w:w="1549" w:type="dxa"/>
            <w:tcBorders>
              <w:bottom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100.00%</w:t>
            </w:r>
          </w:p>
        </w:tc>
        <w:tc>
          <w:tcPr>
            <w:tcW w:w="1549" w:type="dxa"/>
            <w:tcBorders>
              <w:bottom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100.00%</w:t>
            </w:r>
          </w:p>
        </w:tc>
        <w:tc>
          <w:tcPr>
            <w:tcW w:w="2159" w:type="dxa"/>
            <w:tcBorders>
              <w:bottom w:val="single" w:sz="8" w:space="0" w:color="auto"/>
              <w:right w:val="single" w:sz="12"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100.00%</w:t>
            </w:r>
          </w:p>
        </w:tc>
      </w:tr>
      <w:tr w:rsidR="0049577B" w:rsidRPr="00B40DC1" w:rsidTr="000D5F5F">
        <w:tc>
          <w:tcPr>
            <w:tcW w:w="1282" w:type="dxa"/>
            <w:tcBorders>
              <w:top w:val="single" w:sz="8" w:space="0" w:color="auto"/>
              <w:left w:val="single" w:sz="12" w:space="0" w:color="auto"/>
              <w:bottom w:val="single" w:sz="12" w:space="0" w:color="auto"/>
            </w:tcBorders>
          </w:tcPr>
          <w:p w:rsidR="0049577B" w:rsidRPr="00B40DC1" w:rsidRDefault="0049577B" w:rsidP="000D5F5F">
            <w:pPr>
              <w:spacing w:line="240" w:lineRule="auto"/>
              <w:ind w:leftChars="0" w:left="0" w:rightChars="0" w:right="0"/>
            </w:pPr>
            <w:r w:rsidRPr="00B40DC1">
              <w:t>卡方值</w:t>
            </w:r>
          </w:p>
        </w:tc>
        <w:tc>
          <w:tcPr>
            <w:tcW w:w="8215" w:type="dxa"/>
            <w:gridSpan w:val="5"/>
            <w:tcBorders>
              <w:top w:val="single" w:sz="8" w:space="0" w:color="auto"/>
              <w:bottom w:val="single" w:sz="12" w:space="0" w:color="auto"/>
              <w:right w:val="single" w:sz="12" w:space="0" w:color="auto"/>
            </w:tcBorders>
          </w:tcPr>
          <w:p w:rsidR="0049577B" w:rsidRPr="00B40DC1" w:rsidRDefault="0049577B" w:rsidP="000D5F5F">
            <w:pPr>
              <w:spacing w:line="240" w:lineRule="auto"/>
              <w:ind w:leftChars="0" w:left="0" w:rightChars="0" w:right="0"/>
            </w:pPr>
            <w:r w:rsidRPr="00B40DC1">
              <w:t>χ</w:t>
            </w:r>
            <w:r w:rsidRPr="00B40DC1">
              <w:rPr>
                <w:vertAlign w:val="superscript"/>
              </w:rPr>
              <w:t>2</w:t>
            </w:r>
            <w:r w:rsidRPr="00B40DC1">
              <w:t>=88.64；df=16；p&lt;0.001</w:t>
            </w:r>
          </w:p>
        </w:tc>
      </w:tr>
    </w:tbl>
    <w:p w:rsidR="0049577B" w:rsidRPr="00B40DC1" w:rsidRDefault="00817A92" w:rsidP="00A66DFC">
      <w:pPr>
        <w:spacing w:line="240" w:lineRule="auto"/>
        <w:ind w:leftChars="0" w:left="0" w:rightChars="0" w:right="0"/>
      </w:pPr>
      <w:r>
        <w:t>【資料來源】</w:t>
      </w:r>
      <w:r w:rsidR="0049577B" w:rsidRPr="00B40DC1">
        <w:t>作者自行製作。</w:t>
      </w:r>
    </w:p>
    <w:p w:rsidR="0049577B" w:rsidRPr="00B40DC1" w:rsidRDefault="0049577B" w:rsidP="000D26BB"/>
    <w:p w:rsidR="0049577B" w:rsidRDefault="00A028E4" w:rsidP="00A028E4">
      <w:pPr>
        <w:spacing w:line="240" w:lineRule="auto"/>
        <w:ind w:leftChars="0" w:left="0" w:rightChars="0" w:right="0"/>
      </w:pPr>
      <w:r>
        <w:t xml:space="preserve">　　</w:t>
      </w:r>
      <w:r w:rsidR="0049577B" w:rsidRPr="00B40DC1">
        <w:t>表6顯示國籍別與受訪者配偶健康狀況之關聯性分析。本表顯示：國籍別與受訪者配偶健康狀況的關連程度達到統計上的顯著水準（χ</w:t>
      </w:r>
      <w:r w:rsidR="0049577B" w:rsidRPr="00B40DC1">
        <w:rPr>
          <w:vertAlign w:val="superscript"/>
        </w:rPr>
        <w:t>2</w:t>
      </w:r>
      <w:r w:rsidR="0049577B" w:rsidRPr="00B40DC1">
        <w:t>=21.69；df=8；p&lt;0.01），顯示：會因為受訪者國籍別之不同，而在其配偶健康狀況上有所差異。當進一步觀察百分比分布情形可以發現，雖然各種國籍別的新移民配偶健康狀況均以健康狀況良好所占百分比最高，但其中又以其他國家的新移民配偶健康狀況良好所占百分比最高，占95.10％；而以大陸及港澳地區新移民配偶健康狀況良好所占百分比最低，占85.20％。</w:t>
      </w:r>
    </w:p>
    <w:p w:rsidR="00A028E4" w:rsidRPr="00B40DC1" w:rsidRDefault="00A028E4" w:rsidP="00A028E4">
      <w:pPr>
        <w:spacing w:line="240" w:lineRule="auto"/>
        <w:ind w:leftChars="0" w:left="0" w:rightChars="0" w:right="0"/>
        <w:jc w:val="right"/>
      </w:pPr>
      <w:r w:rsidRPr="00D45AD2">
        <w:rPr>
          <w:rFonts w:hint="eastAsia"/>
          <w:sz w:val="22"/>
        </w:rPr>
        <w:t>。。。。。。。。。。。。。。</w:t>
      </w:r>
      <w:hyperlink w:anchor="a4" w:history="1">
        <w:r>
          <w:rPr>
            <w:rStyle w:val="a7"/>
            <w:sz w:val="24"/>
            <w:lang w:eastAsia="zh-TW"/>
          </w:rPr>
          <w:t>回本章</w:t>
        </w:r>
      </w:hyperlink>
      <w:r w:rsidRPr="0008714D">
        <w:rPr>
          <w:color w:val="808000"/>
          <w:sz w:val="20"/>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A028E4">
      <w:pPr>
        <w:pStyle w:val="4"/>
        <w:keepNext w:val="0"/>
        <w:adjustRightInd/>
        <w:snapToGrid/>
        <w:spacing w:beforeLines="0" w:afterLines="0"/>
        <w:jc w:val="both"/>
        <w:rPr>
          <w:lang w:eastAsia="zh-TW"/>
        </w:rPr>
      </w:pPr>
      <w:r w:rsidRPr="00B40DC1">
        <w:rPr>
          <w:lang w:eastAsia="zh-TW"/>
        </w:rPr>
        <w:t>表6</w:t>
      </w:r>
      <w:r w:rsidR="000D5F5F">
        <w:rPr>
          <w:rFonts w:ascii="新細明體" w:eastAsia="新細明體" w:hAnsi="新細明體" w:hint="eastAsia"/>
          <w:lang w:eastAsia="zh-TW"/>
        </w:rPr>
        <w:t>、</w:t>
      </w:r>
      <w:r w:rsidRPr="00B40DC1">
        <w:rPr>
          <w:lang w:eastAsia="zh-TW"/>
        </w:rPr>
        <w:t>受訪者國籍與配偶健康狀況之關聯分析</w:t>
      </w:r>
    </w:p>
    <w:tbl>
      <w:tblPr>
        <w:tblStyle w:val="43"/>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43"/>
        <w:gridCol w:w="1267"/>
        <w:gridCol w:w="1549"/>
        <w:gridCol w:w="1549"/>
        <w:gridCol w:w="1549"/>
        <w:gridCol w:w="2317"/>
      </w:tblGrid>
      <w:tr w:rsidR="0049577B" w:rsidRPr="00B40DC1" w:rsidTr="00A66DFC">
        <w:tc>
          <w:tcPr>
            <w:tcW w:w="1143" w:type="dxa"/>
            <w:tcBorders>
              <w:top w:val="single" w:sz="12" w:space="0" w:color="auto"/>
              <w:bottom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配偶健</w:t>
            </w:r>
          </w:p>
          <w:p w:rsidR="0049577B" w:rsidRPr="00602938" w:rsidRDefault="0049577B" w:rsidP="00A66DFC">
            <w:pPr>
              <w:spacing w:line="240" w:lineRule="auto"/>
              <w:ind w:leftChars="0" w:left="0" w:rightChars="0" w:right="0"/>
              <w:jc w:val="center"/>
              <w:rPr>
                <w:sz w:val="24"/>
                <w:szCs w:val="24"/>
              </w:rPr>
            </w:pPr>
            <w:r w:rsidRPr="00602938">
              <w:rPr>
                <w:sz w:val="24"/>
                <w:szCs w:val="24"/>
              </w:rPr>
              <w:t>康狀況</w:t>
            </w:r>
          </w:p>
        </w:tc>
        <w:tc>
          <w:tcPr>
            <w:tcW w:w="1267" w:type="dxa"/>
            <w:tcBorders>
              <w:top w:val="single" w:sz="12" w:space="0" w:color="auto"/>
              <w:bottom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次數</w:t>
            </w:r>
          </w:p>
          <w:p w:rsidR="0049577B" w:rsidRPr="00602938" w:rsidRDefault="0049577B" w:rsidP="00A66DFC">
            <w:pPr>
              <w:spacing w:line="240" w:lineRule="auto"/>
              <w:ind w:leftChars="0" w:left="0" w:rightChars="0" w:right="0"/>
              <w:jc w:val="center"/>
              <w:rPr>
                <w:sz w:val="24"/>
                <w:szCs w:val="24"/>
              </w:rPr>
            </w:pPr>
            <w:r w:rsidRPr="00602938">
              <w:rPr>
                <w:sz w:val="24"/>
                <w:szCs w:val="24"/>
              </w:rPr>
              <w:t>百分比</w:t>
            </w:r>
          </w:p>
        </w:tc>
        <w:tc>
          <w:tcPr>
            <w:tcW w:w="1549" w:type="dxa"/>
            <w:tcBorders>
              <w:top w:val="single" w:sz="12" w:space="0" w:color="auto"/>
              <w:bottom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東南亞國家</w:t>
            </w:r>
          </w:p>
        </w:tc>
        <w:tc>
          <w:tcPr>
            <w:tcW w:w="1549" w:type="dxa"/>
            <w:tcBorders>
              <w:top w:val="single" w:sz="12" w:space="0" w:color="auto"/>
              <w:bottom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大陸及港澳地區</w:t>
            </w:r>
          </w:p>
        </w:tc>
        <w:tc>
          <w:tcPr>
            <w:tcW w:w="1549" w:type="dxa"/>
            <w:tcBorders>
              <w:top w:val="single" w:sz="12" w:space="0" w:color="auto"/>
              <w:bottom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其他國家</w:t>
            </w:r>
          </w:p>
        </w:tc>
        <w:tc>
          <w:tcPr>
            <w:tcW w:w="2317" w:type="dxa"/>
            <w:tcBorders>
              <w:top w:val="single" w:sz="12" w:space="0" w:color="auto"/>
              <w:bottom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總和</w:t>
            </w:r>
          </w:p>
        </w:tc>
      </w:tr>
      <w:tr w:rsidR="0049577B" w:rsidRPr="00B40DC1" w:rsidTr="00A66DFC">
        <w:tc>
          <w:tcPr>
            <w:tcW w:w="1143" w:type="dxa"/>
            <w:vMerge w:val="restart"/>
            <w:tcBorders>
              <w:top w:val="single" w:sz="8" w:space="0" w:color="auto"/>
            </w:tcBorders>
            <w:vAlign w:val="center"/>
          </w:tcPr>
          <w:p w:rsidR="0049577B" w:rsidRPr="00602938" w:rsidRDefault="0049577B" w:rsidP="00A028E4">
            <w:pPr>
              <w:spacing w:line="240" w:lineRule="auto"/>
              <w:ind w:leftChars="0" w:left="0" w:rightChars="0" w:right="0"/>
              <w:rPr>
                <w:sz w:val="24"/>
                <w:szCs w:val="24"/>
              </w:rPr>
            </w:pPr>
            <w:r w:rsidRPr="00602938">
              <w:rPr>
                <w:sz w:val="24"/>
                <w:szCs w:val="24"/>
              </w:rPr>
              <w:t>健康狀況良好</w:t>
            </w:r>
          </w:p>
        </w:tc>
        <w:tc>
          <w:tcPr>
            <w:tcW w:w="1267" w:type="dxa"/>
            <w:tcBorders>
              <w:top w:val="single" w:sz="8" w:space="0" w:color="auto"/>
            </w:tcBorders>
            <w:vAlign w:val="center"/>
          </w:tcPr>
          <w:p w:rsidR="0049577B" w:rsidRPr="00602938" w:rsidRDefault="0049577B" w:rsidP="00A028E4">
            <w:pPr>
              <w:spacing w:line="240" w:lineRule="auto"/>
              <w:ind w:leftChars="0" w:left="0" w:rightChars="0" w:right="0"/>
              <w:rPr>
                <w:sz w:val="24"/>
                <w:szCs w:val="24"/>
              </w:rPr>
            </w:pPr>
            <w:r w:rsidRPr="00602938">
              <w:rPr>
                <w:sz w:val="24"/>
                <w:szCs w:val="24"/>
              </w:rPr>
              <w:t>次數</w:t>
            </w:r>
          </w:p>
        </w:tc>
        <w:tc>
          <w:tcPr>
            <w:tcW w:w="1549" w:type="dxa"/>
            <w:tcBorders>
              <w:top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415</w:t>
            </w:r>
          </w:p>
        </w:tc>
        <w:tc>
          <w:tcPr>
            <w:tcW w:w="1549" w:type="dxa"/>
            <w:tcBorders>
              <w:top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788</w:t>
            </w:r>
          </w:p>
        </w:tc>
        <w:tc>
          <w:tcPr>
            <w:tcW w:w="1549" w:type="dxa"/>
            <w:tcBorders>
              <w:top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39</w:t>
            </w:r>
          </w:p>
        </w:tc>
        <w:tc>
          <w:tcPr>
            <w:tcW w:w="2317" w:type="dxa"/>
            <w:tcBorders>
              <w:top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1242</w:t>
            </w:r>
          </w:p>
        </w:tc>
      </w:tr>
      <w:tr w:rsidR="0049577B" w:rsidRPr="00B40DC1" w:rsidTr="00A66DFC">
        <w:tc>
          <w:tcPr>
            <w:tcW w:w="1143" w:type="dxa"/>
            <w:vMerge/>
            <w:vAlign w:val="center"/>
          </w:tcPr>
          <w:p w:rsidR="0049577B" w:rsidRPr="00602938" w:rsidRDefault="0049577B" w:rsidP="00A028E4">
            <w:pPr>
              <w:spacing w:line="240" w:lineRule="auto"/>
              <w:ind w:leftChars="0" w:left="0" w:rightChars="0" w:right="0"/>
              <w:rPr>
                <w:sz w:val="24"/>
                <w:szCs w:val="24"/>
              </w:rPr>
            </w:pPr>
          </w:p>
        </w:tc>
        <w:tc>
          <w:tcPr>
            <w:tcW w:w="1267" w:type="dxa"/>
            <w:vAlign w:val="center"/>
          </w:tcPr>
          <w:p w:rsidR="0049577B" w:rsidRPr="00602938" w:rsidRDefault="0049577B" w:rsidP="00A028E4">
            <w:pPr>
              <w:spacing w:line="240" w:lineRule="auto"/>
              <w:ind w:leftChars="0" w:left="0" w:rightChars="0" w:right="0"/>
              <w:rPr>
                <w:sz w:val="24"/>
                <w:szCs w:val="24"/>
              </w:rPr>
            </w:pPr>
            <w:r w:rsidRPr="00602938">
              <w:rPr>
                <w:sz w:val="24"/>
                <w:szCs w:val="24"/>
              </w:rPr>
              <w:t>百分比</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92.20%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85.20%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95.10%</w:t>
            </w:r>
          </w:p>
        </w:tc>
        <w:tc>
          <w:tcPr>
            <w:tcW w:w="2317"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87.70%</w:t>
            </w:r>
          </w:p>
        </w:tc>
      </w:tr>
      <w:tr w:rsidR="0049577B" w:rsidRPr="00B40DC1" w:rsidTr="00A66DFC">
        <w:tc>
          <w:tcPr>
            <w:tcW w:w="1143" w:type="dxa"/>
            <w:vMerge w:val="restart"/>
            <w:vAlign w:val="center"/>
          </w:tcPr>
          <w:p w:rsidR="0049577B" w:rsidRPr="00602938" w:rsidRDefault="0049577B" w:rsidP="00A028E4">
            <w:pPr>
              <w:spacing w:line="240" w:lineRule="auto"/>
              <w:ind w:leftChars="0" w:left="0" w:rightChars="0" w:right="0"/>
              <w:rPr>
                <w:sz w:val="24"/>
                <w:szCs w:val="24"/>
              </w:rPr>
            </w:pPr>
            <w:r w:rsidRPr="00602938">
              <w:rPr>
                <w:sz w:val="24"/>
                <w:szCs w:val="24"/>
              </w:rPr>
              <w:t>患病或傷殘但不致影響家居生活</w:t>
            </w:r>
          </w:p>
        </w:tc>
        <w:tc>
          <w:tcPr>
            <w:tcW w:w="1267" w:type="dxa"/>
            <w:vAlign w:val="center"/>
          </w:tcPr>
          <w:p w:rsidR="0049577B" w:rsidRPr="00602938" w:rsidRDefault="0049577B" w:rsidP="00A028E4">
            <w:pPr>
              <w:spacing w:line="240" w:lineRule="auto"/>
              <w:ind w:leftChars="0" w:left="0" w:rightChars="0" w:right="0"/>
              <w:rPr>
                <w:sz w:val="24"/>
                <w:szCs w:val="24"/>
              </w:rPr>
            </w:pPr>
            <w:r w:rsidRPr="00602938">
              <w:rPr>
                <w:sz w:val="24"/>
                <w:szCs w:val="24"/>
              </w:rPr>
              <w:t>次數</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24</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65</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1</w:t>
            </w:r>
          </w:p>
        </w:tc>
        <w:tc>
          <w:tcPr>
            <w:tcW w:w="2317"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90</w:t>
            </w:r>
          </w:p>
        </w:tc>
      </w:tr>
      <w:tr w:rsidR="0049577B" w:rsidRPr="00B40DC1" w:rsidTr="00A66DFC">
        <w:tc>
          <w:tcPr>
            <w:tcW w:w="1143" w:type="dxa"/>
            <w:vMerge/>
            <w:vAlign w:val="center"/>
          </w:tcPr>
          <w:p w:rsidR="0049577B" w:rsidRPr="00602938" w:rsidRDefault="0049577B" w:rsidP="00A028E4">
            <w:pPr>
              <w:spacing w:line="240" w:lineRule="auto"/>
              <w:ind w:leftChars="0" w:left="0" w:rightChars="0" w:right="0"/>
              <w:rPr>
                <w:sz w:val="24"/>
                <w:szCs w:val="24"/>
              </w:rPr>
            </w:pPr>
          </w:p>
        </w:tc>
        <w:tc>
          <w:tcPr>
            <w:tcW w:w="1267" w:type="dxa"/>
            <w:vAlign w:val="center"/>
          </w:tcPr>
          <w:p w:rsidR="0049577B" w:rsidRPr="00602938" w:rsidRDefault="0049577B" w:rsidP="00A028E4">
            <w:pPr>
              <w:spacing w:line="240" w:lineRule="auto"/>
              <w:ind w:leftChars="0" w:left="0" w:rightChars="0" w:right="0"/>
              <w:rPr>
                <w:sz w:val="24"/>
                <w:szCs w:val="24"/>
              </w:rPr>
            </w:pPr>
            <w:r w:rsidRPr="00602938">
              <w:rPr>
                <w:sz w:val="24"/>
                <w:szCs w:val="24"/>
              </w:rPr>
              <w:t>百分比</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5.30%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7.00%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2.40%</w:t>
            </w:r>
          </w:p>
        </w:tc>
        <w:tc>
          <w:tcPr>
            <w:tcW w:w="2317"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6.40%</w:t>
            </w:r>
          </w:p>
        </w:tc>
      </w:tr>
      <w:tr w:rsidR="0049577B" w:rsidRPr="00B40DC1" w:rsidTr="00A66DFC">
        <w:tc>
          <w:tcPr>
            <w:tcW w:w="1143" w:type="dxa"/>
            <w:vMerge w:val="restart"/>
            <w:vAlign w:val="center"/>
          </w:tcPr>
          <w:p w:rsidR="0049577B" w:rsidRPr="00602938" w:rsidRDefault="0049577B" w:rsidP="00A028E4">
            <w:pPr>
              <w:spacing w:line="240" w:lineRule="auto"/>
              <w:ind w:leftChars="0" w:left="0" w:rightChars="0" w:right="0"/>
              <w:rPr>
                <w:sz w:val="24"/>
                <w:szCs w:val="24"/>
              </w:rPr>
            </w:pPr>
            <w:r w:rsidRPr="00602938">
              <w:rPr>
                <w:sz w:val="24"/>
                <w:szCs w:val="24"/>
              </w:rPr>
              <w:t>生活起居活動困難需人照顧</w:t>
            </w:r>
          </w:p>
        </w:tc>
        <w:tc>
          <w:tcPr>
            <w:tcW w:w="1267" w:type="dxa"/>
            <w:vAlign w:val="center"/>
          </w:tcPr>
          <w:p w:rsidR="0049577B" w:rsidRPr="00602938" w:rsidRDefault="0049577B" w:rsidP="00A028E4">
            <w:pPr>
              <w:spacing w:line="240" w:lineRule="auto"/>
              <w:ind w:leftChars="0" w:left="0" w:rightChars="0" w:right="0"/>
              <w:rPr>
                <w:sz w:val="24"/>
                <w:szCs w:val="24"/>
              </w:rPr>
            </w:pPr>
            <w:r w:rsidRPr="00602938">
              <w:rPr>
                <w:sz w:val="24"/>
                <w:szCs w:val="24"/>
              </w:rPr>
              <w:t>次數</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9</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67</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1</w:t>
            </w:r>
          </w:p>
        </w:tc>
        <w:tc>
          <w:tcPr>
            <w:tcW w:w="2317"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77</w:t>
            </w:r>
          </w:p>
        </w:tc>
      </w:tr>
      <w:tr w:rsidR="0049577B" w:rsidRPr="00B40DC1" w:rsidTr="00A66DFC">
        <w:tc>
          <w:tcPr>
            <w:tcW w:w="1143" w:type="dxa"/>
            <w:vMerge/>
            <w:vAlign w:val="center"/>
          </w:tcPr>
          <w:p w:rsidR="0049577B" w:rsidRPr="00602938" w:rsidRDefault="0049577B" w:rsidP="00A028E4">
            <w:pPr>
              <w:spacing w:line="240" w:lineRule="auto"/>
              <w:ind w:leftChars="0" w:left="0" w:rightChars="0" w:right="0"/>
              <w:rPr>
                <w:sz w:val="24"/>
                <w:szCs w:val="24"/>
              </w:rPr>
            </w:pPr>
          </w:p>
        </w:tc>
        <w:tc>
          <w:tcPr>
            <w:tcW w:w="1267" w:type="dxa"/>
            <w:vAlign w:val="center"/>
          </w:tcPr>
          <w:p w:rsidR="0049577B" w:rsidRPr="00602938" w:rsidRDefault="0049577B" w:rsidP="00A028E4">
            <w:pPr>
              <w:spacing w:line="240" w:lineRule="auto"/>
              <w:ind w:leftChars="0" w:left="0" w:rightChars="0" w:right="0"/>
              <w:rPr>
                <w:sz w:val="24"/>
                <w:szCs w:val="24"/>
              </w:rPr>
            </w:pPr>
            <w:r w:rsidRPr="00602938">
              <w:rPr>
                <w:sz w:val="24"/>
                <w:szCs w:val="24"/>
              </w:rPr>
              <w:t>百分比</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2.00%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7.20%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2.40%</w:t>
            </w:r>
          </w:p>
        </w:tc>
        <w:tc>
          <w:tcPr>
            <w:tcW w:w="2317"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5.40%</w:t>
            </w:r>
          </w:p>
        </w:tc>
      </w:tr>
      <w:tr w:rsidR="0049577B" w:rsidRPr="00B40DC1" w:rsidTr="00A66DFC">
        <w:tc>
          <w:tcPr>
            <w:tcW w:w="1143" w:type="dxa"/>
            <w:vMerge w:val="restart"/>
            <w:vAlign w:val="center"/>
          </w:tcPr>
          <w:p w:rsidR="0049577B" w:rsidRPr="00602938" w:rsidRDefault="0049577B" w:rsidP="00A028E4">
            <w:pPr>
              <w:spacing w:line="240" w:lineRule="auto"/>
              <w:ind w:leftChars="0" w:left="0" w:rightChars="0" w:right="0"/>
              <w:rPr>
                <w:sz w:val="24"/>
                <w:szCs w:val="24"/>
              </w:rPr>
            </w:pPr>
            <w:r w:rsidRPr="00602938">
              <w:rPr>
                <w:sz w:val="24"/>
                <w:szCs w:val="24"/>
              </w:rPr>
              <w:t>長年臥病在床</w:t>
            </w:r>
          </w:p>
        </w:tc>
        <w:tc>
          <w:tcPr>
            <w:tcW w:w="1267" w:type="dxa"/>
            <w:vAlign w:val="center"/>
          </w:tcPr>
          <w:p w:rsidR="0049577B" w:rsidRPr="00602938" w:rsidRDefault="0049577B" w:rsidP="00A028E4">
            <w:pPr>
              <w:spacing w:line="240" w:lineRule="auto"/>
              <w:ind w:leftChars="0" w:left="0" w:rightChars="0" w:right="0"/>
              <w:rPr>
                <w:sz w:val="24"/>
                <w:szCs w:val="24"/>
              </w:rPr>
            </w:pPr>
            <w:r w:rsidRPr="00602938">
              <w:rPr>
                <w:sz w:val="24"/>
                <w:szCs w:val="24"/>
              </w:rPr>
              <w:t>次數</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2</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3</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w:t>
            </w:r>
          </w:p>
        </w:tc>
        <w:tc>
          <w:tcPr>
            <w:tcW w:w="2317"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5</w:t>
            </w:r>
          </w:p>
        </w:tc>
      </w:tr>
      <w:tr w:rsidR="0049577B" w:rsidRPr="00B40DC1" w:rsidTr="00A66DFC">
        <w:tc>
          <w:tcPr>
            <w:tcW w:w="1143" w:type="dxa"/>
            <w:vMerge/>
            <w:vAlign w:val="center"/>
          </w:tcPr>
          <w:p w:rsidR="0049577B" w:rsidRPr="00602938" w:rsidRDefault="0049577B" w:rsidP="00A028E4">
            <w:pPr>
              <w:spacing w:line="240" w:lineRule="auto"/>
              <w:ind w:leftChars="0" w:left="0" w:rightChars="0" w:right="0"/>
              <w:rPr>
                <w:sz w:val="24"/>
                <w:szCs w:val="24"/>
              </w:rPr>
            </w:pPr>
          </w:p>
        </w:tc>
        <w:tc>
          <w:tcPr>
            <w:tcW w:w="1267" w:type="dxa"/>
            <w:vAlign w:val="center"/>
          </w:tcPr>
          <w:p w:rsidR="0049577B" w:rsidRPr="00602938" w:rsidRDefault="0049577B" w:rsidP="00A028E4">
            <w:pPr>
              <w:spacing w:line="240" w:lineRule="auto"/>
              <w:ind w:leftChars="0" w:left="0" w:rightChars="0" w:right="0"/>
              <w:rPr>
                <w:sz w:val="24"/>
                <w:szCs w:val="24"/>
              </w:rPr>
            </w:pPr>
            <w:r w:rsidRPr="00602938">
              <w:rPr>
                <w:sz w:val="24"/>
                <w:szCs w:val="24"/>
              </w:rPr>
              <w:t>百分比</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0.40%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0.30%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0.00%</w:t>
            </w:r>
          </w:p>
        </w:tc>
        <w:tc>
          <w:tcPr>
            <w:tcW w:w="2317"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0.40%</w:t>
            </w:r>
          </w:p>
        </w:tc>
      </w:tr>
      <w:tr w:rsidR="0049577B" w:rsidRPr="00B40DC1" w:rsidTr="00A66DFC">
        <w:tc>
          <w:tcPr>
            <w:tcW w:w="1143" w:type="dxa"/>
            <w:vMerge w:val="restart"/>
            <w:vAlign w:val="center"/>
          </w:tcPr>
          <w:p w:rsidR="0049577B" w:rsidRPr="00602938" w:rsidRDefault="0049577B" w:rsidP="00A028E4">
            <w:pPr>
              <w:spacing w:line="240" w:lineRule="auto"/>
              <w:ind w:leftChars="0" w:left="0" w:rightChars="0" w:right="0"/>
              <w:rPr>
                <w:sz w:val="24"/>
                <w:szCs w:val="24"/>
              </w:rPr>
            </w:pPr>
            <w:r w:rsidRPr="00602938">
              <w:rPr>
                <w:sz w:val="24"/>
                <w:szCs w:val="24"/>
              </w:rPr>
              <w:t>已死亡</w:t>
            </w:r>
          </w:p>
        </w:tc>
        <w:tc>
          <w:tcPr>
            <w:tcW w:w="1267" w:type="dxa"/>
            <w:vAlign w:val="center"/>
          </w:tcPr>
          <w:p w:rsidR="0049577B" w:rsidRPr="00602938" w:rsidRDefault="0049577B" w:rsidP="00A028E4">
            <w:pPr>
              <w:spacing w:line="240" w:lineRule="auto"/>
              <w:ind w:leftChars="0" w:left="0" w:rightChars="0" w:right="0"/>
              <w:rPr>
                <w:sz w:val="24"/>
                <w:szCs w:val="24"/>
              </w:rPr>
            </w:pPr>
            <w:r w:rsidRPr="00602938">
              <w:rPr>
                <w:sz w:val="24"/>
                <w:szCs w:val="24"/>
              </w:rPr>
              <w:t>次數</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2</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w:t>
            </w:r>
          </w:p>
        </w:tc>
        <w:tc>
          <w:tcPr>
            <w:tcW w:w="2317"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2</w:t>
            </w:r>
          </w:p>
        </w:tc>
      </w:tr>
      <w:tr w:rsidR="0049577B" w:rsidRPr="00B40DC1" w:rsidTr="00A66DFC">
        <w:tc>
          <w:tcPr>
            <w:tcW w:w="1143" w:type="dxa"/>
            <w:vMerge/>
            <w:vAlign w:val="center"/>
          </w:tcPr>
          <w:p w:rsidR="0049577B" w:rsidRPr="00602938" w:rsidRDefault="0049577B" w:rsidP="00A028E4">
            <w:pPr>
              <w:spacing w:line="240" w:lineRule="auto"/>
              <w:ind w:leftChars="0" w:left="0" w:rightChars="0" w:right="0"/>
              <w:rPr>
                <w:sz w:val="24"/>
                <w:szCs w:val="24"/>
              </w:rPr>
            </w:pPr>
          </w:p>
        </w:tc>
        <w:tc>
          <w:tcPr>
            <w:tcW w:w="1267" w:type="dxa"/>
            <w:vAlign w:val="center"/>
          </w:tcPr>
          <w:p w:rsidR="0049577B" w:rsidRPr="00602938" w:rsidRDefault="0049577B" w:rsidP="00A028E4">
            <w:pPr>
              <w:spacing w:line="240" w:lineRule="auto"/>
              <w:ind w:leftChars="0" w:left="0" w:rightChars="0" w:right="0"/>
              <w:rPr>
                <w:sz w:val="24"/>
                <w:szCs w:val="24"/>
              </w:rPr>
            </w:pPr>
            <w:r w:rsidRPr="00602938">
              <w:rPr>
                <w:sz w:val="24"/>
                <w:szCs w:val="24"/>
              </w:rPr>
              <w:t>百分比</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0.00%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0.20%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0.00%</w:t>
            </w:r>
          </w:p>
        </w:tc>
        <w:tc>
          <w:tcPr>
            <w:tcW w:w="2317"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0.10%</w:t>
            </w:r>
          </w:p>
        </w:tc>
      </w:tr>
      <w:tr w:rsidR="0049577B" w:rsidRPr="00B40DC1" w:rsidTr="00A66DFC">
        <w:tc>
          <w:tcPr>
            <w:tcW w:w="1143" w:type="dxa"/>
            <w:vMerge w:val="restart"/>
            <w:vAlign w:val="center"/>
          </w:tcPr>
          <w:p w:rsidR="0049577B" w:rsidRPr="00602938" w:rsidRDefault="0049577B" w:rsidP="00A028E4">
            <w:pPr>
              <w:spacing w:line="240" w:lineRule="auto"/>
              <w:ind w:leftChars="0" w:left="0" w:rightChars="0" w:right="0"/>
              <w:rPr>
                <w:sz w:val="24"/>
                <w:szCs w:val="24"/>
              </w:rPr>
            </w:pPr>
            <w:r w:rsidRPr="00602938">
              <w:rPr>
                <w:sz w:val="24"/>
                <w:szCs w:val="24"/>
              </w:rPr>
              <w:t>總和</w:t>
            </w:r>
          </w:p>
        </w:tc>
        <w:tc>
          <w:tcPr>
            <w:tcW w:w="1267" w:type="dxa"/>
            <w:vAlign w:val="center"/>
          </w:tcPr>
          <w:p w:rsidR="0049577B" w:rsidRPr="00602938" w:rsidRDefault="0049577B" w:rsidP="00A028E4">
            <w:pPr>
              <w:spacing w:line="240" w:lineRule="auto"/>
              <w:ind w:leftChars="0" w:left="0" w:rightChars="0" w:right="0"/>
              <w:rPr>
                <w:sz w:val="24"/>
                <w:szCs w:val="24"/>
              </w:rPr>
            </w:pPr>
            <w:r w:rsidRPr="00602938">
              <w:rPr>
                <w:sz w:val="24"/>
                <w:szCs w:val="24"/>
              </w:rPr>
              <w:t>次數</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450</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925</w:t>
            </w:r>
          </w:p>
        </w:tc>
        <w:tc>
          <w:tcPr>
            <w:tcW w:w="1549"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41</w:t>
            </w:r>
          </w:p>
        </w:tc>
        <w:tc>
          <w:tcPr>
            <w:tcW w:w="2317" w:type="dxa"/>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1416</w:t>
            </w:r>
          </w:p>
        </w:tc>
      </w:tr>
      <w:tr w:rsidR="0049577B" w:rsidRPr="00B40DC1" w:rsidTr="00A66DFC">
        <w:tc>
          <w:tcPr>
            <w:tcW w:w="1143" w:type="dxa"/>
            <w:vMerge/>
            <w:tcBorders>
              <w:bottom w:val="single" w:sz="8" w:space="0" w:color="auto"/>
            </w:tcBorders>
          </w:tcPr>
          <w:p w:rsidR="0049577B" w:rsidRPr="00602938" w:rsidRDefault="0049577B" w:rsidP="00A028E4">
            <w:pPr>
              <w:spacing w:line="240" w:lineRule="auto"/>
              <w:ind w:leftChars="0" w:left="0" w:rightChars="0" w:right="0"/>
              <w:rPr>
                <w:sz w:val="24"/>
                <w:szCs w:val="24"/>
              </w:rPr>
            </w:pPr>
          </w:p>
        </w:tc>
        <w:tc>
          <w:tcPr>
            <w:tcW w:w="1267" w:type="dxa"/>
            <w:tcBorders>
              <w:bottom w:val="single" w:sz="8" w:space="0" w:color="auto"/>
            </w:tcBorders>
            <w:vAlign w:val="center"/>
          </w:tcPr>
          <w:p w:rsidR="0049577B" w:rsidRPr="00602938" w:rsidRDefault="0049577B" w:rsidP="00A028E4">
            <w:pPr>
              <w:spacing w:line="240" w:lineRule="auto"/>
              <w:ind w:leftChars="0" w:left="0" w:rightChars="0" w:right="0"/>
              <w:rPr>
                <w:sz w:val="24"/>
                <w:szCs w:val="24"/>
              </w:rPr>
            </w:pPr>
            <w:r w:rsidRPr="00602938">
              <w:rPr>
                <w:sz w:val="24"/>
                <w:szCs w:val="24"/>
              </w:rPr>
              <w:t>百分比</w:t>
            </w:r>
          </w:p>
        </w:tc>
        <w:tc>
          <w:tcPr>
            <w:tcW w:w="1549" w:type="dxa"/>
            <w:tcBorders>
              <w:bottom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100.00%</w:t>
            </w:r>
          </w:p>
        </w:tc>
        <w:tc>
          <w:tcPr>
            <w:tcW w:w="1549" w:type="dxa"/>
            <w:tcBorders>
              <w:bottom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100.00%</w:t>
            </w:r>
          </w:p>
        </w:tc>
        <w:tc>
          <w:tcPr>
            <w:tcW w:w="1549" w:type="dxa"/>
            <w:tcBorders>
              <w:bottom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100.00%</w:t>
            </w:r>
          </w:p>
        </w:tc>
        <w:tc>
          <w:tcPr>
            <w:tcW w:w="2317" w:type="dxa"/>
            <w:tcBorders>
              <w:bottom w:val="single" w:sz="8" w:space="0" w:color="auto"/>
            </w:tcBorders>
            <w:vAlign w:val="center"/>
          </w:tcPr>
          <w:p w:rsidR="0049577B" w:rsidRPr="00602938" w:rsidRDefault="0049577B" w:rsidP="00A66DFC">
            <w:pPr>
              <w:spacing w:line="240" w:lineRule="auto"/>
              <w:ind w:leftChars="0" w:left="0" w:rightChars="0" w:right="0"/>
              <w:jc w:val="center"/>
              <w:rPr>
                <w:sz w:val="24"/>
                <w:szCs w:val="24"/>
              </w:rPr>
            </w:pPr>
            <w:r w:rsidRPr="00602938">
              <w:rPr>
                <w:sz w:val="24"/>
                <w:szCs w:val="24"/>
              </w:rPr>
              <w:t>100.00%</w:t>
            </w:r>
          </w:p>
        </w:tc>
      </w:tr>
      <w:tr w:rsidR="0049577B" w:rsidRPr="00B40DC1" w:rsidTr="00A028E4">
        <w:tc>
          <w:tcPr>
            <w:tcW w:w="1143" w:type="dxa"/>
            <w:tcBorders>
              <w:top w:val="single" w:sz="8" w:space="0" w:color="auto"/>
              <w:bottom w:val="single" w:sz="12" w:space="0" w:color="auto"/>
            </w:tcBorders>
          </w:tcPr>
          <w:p w:rsidR="0049577B" w:rsidRPr="00602938" w:rsidRDefault="0049577B" w:rsidP="00A028E4">
            <w:pPr>
              <w:spacing w:line="240" w:lineRule="auto"/>
              <w:ind w:leftChars="0" w:left="0" w:rightChars="0" w:right="0"/>
              <w:rPr>
                <w:sz w:val="24"/>
                <w:szCs w:val="24"/>
              </w:rPr>
            </w:pPr>
            <w:r w:rsidRPr="00602938">
              <w:rPr>
                <w:sz w:val="24"/>
                <w:szCs w:val="24"/>
              </w:rPr>
              <w:t>卡方值</w:t>
            </w:r>
          </w:p>
        </w:tc>
        <w:tc>
          <w:tcPr>
            <w:tcW w:w="8231" w:type="dxa"/>
            <w:gridSpan w:val="5"/>
            <w:tcBorders>
              <w:top w:val="single" w:sz="8" w:space="0" w:color="auto"/>
              <w:bottom w:val="single" w:sz="12" w:space="0" w:color="auto"/>
            </w:tcBorders>
          </w:tcPr>
          <w:p w:rsidR="0049577B" w:rsidRPr="00602938" w:rsidRDefault="0049577B" w:rsidP="00A028E4">
            <w:pPr>
              <w:spacing w:line="240" w:lineRule="auto"/>
              <w:ind w:leftChars="0" w:left="0" w:rightChars="0" w:right="0"/>
              <w:rPr>
                <w:sz w:val="24"/>
                <w:szCs w:val="24"/>
              </w:rPr>
            </w:pPr>
            <w:r w:rsidRPr="00602938">
              <w:rPr>
                <w:sz w:val="24"/>
                <w:szCs w:val="24"/>
              </w:rPr>
              <w:t>χ</w:t>
            </w:r>
            <w:r w:rsidRPr="00602938">
              <w:rPr>
                <w:sz w:val="24"/>
                <w:szCs w:val="24"/>
                <w:vertAlign w:val="superscript"/>
              </w:rPr>
              <w:t>2</w:t>
            </w:r>
            <w:r w:rsidRPr="00602938">
              <w:rPr>
                <w:sz w:val="24"/>
                <w:szCs w:val="24"/>
              </w:rPr>
              <w:t>=21.69；df=8；p&lt;0.01</w:t>
            </w:r>
          </w:p>
        </w:tc>
      </w:tr>
    </w:tbl>
    <w:p w:rsidR="0049577B" w:rsidRDefault="00817A92" w:rsidP="000D26BB">
      <w:r>
        <w:t>【資料來源】</w:t>
      </w:r>
      <w:r w:rsidR="0049577B" w:rsidRPr="00B40DC1">
        <w:t>作者自行製作。</w:t>
      </w:r>
    </w:p>
    <w:p w:rsidR="00A66DFC" w:rsidRPr="00B40DC1" w:rsidRDefault="00A66DFC" w:rsidP="000D26BB"/>
    <w:p w:rsidR="0049577B" w:rsidRPr="00B40DC1" w:rsidRDefault="00A66DFC" w:rsidP="00A66DFC">
      <w:pPr>
        <w:spacing w:line="240" w:lineRule="auto"/>
        <w:ind w:leftChars="0" w:left="0" w:rightChars="0" w:right="0"/>
      </w:pPr>
      <w:r>
        <w:t xml:space="preserve">　　</w:t>
      </w:r>
      <w:r w:rsidR="0049577B" w:rsidRPr="00B40DC1">
        <w:t>表7顯示國籍別與受訪者認為子女最基本應該接受到何種教育程度之關聯性分析。本表顯示：國籍別與受訪者認為子女最基本應該接受到何種教育程度的關連程度達到統計上的顯著水準（χ</w:t>
      </w:r>
      <w:r w:rsidR="0049577B" w:rsidRPr="00B40DC1">
        <w:rPr>
          <w:vertAlign w:val="superscript"/>
        </w:rPr>
        <w:t>2</w:t>
      </w:r>
      <w:r w:rsidR="0049577B" w:rsidRPr="00B40DC1">
        <w:t>=15.55；df=8；p&lt;0.05），顯示：會因為受訪者國籍別之不同，而對子女最基本應該接受到何種教育程度之認知上有所差異。當進一步觀察百分比分布情形可以發現，雖然各種國籍別的新移民均以認為子女最基本應該接受到大學或技術學院畢業此一教育程度所占百分比最高，但其中又以其他國家的新移民認為子女最基本應該接受到大學或技術學院畢業此一教育程度所占百分比最高，占94.10％；而以原籍為東南亞國家新移民所占百分比最低，占72.80％，但其認為子女應該接受到研究所以上教育程度者所占百分比亦最高，占10.40％。</w:t>
      </w:r>
    </w:p>
    <w:p w:rsidR="0049577B" w:rsidRPr="00B40DC1" w:rsidRDefault="00A66DFC" w:rsidP="00A66DFC">
      <w:pPr>
        <w:jc w:val="right"/>
      </w:pPr>
      <w:r w:rsidRPr="00D45AD2">
        <w:rPr>
          <w:rFonts w:hint="eastAsia"/>
          <w:sz w:val="22"/>
        </w:rPr>
        <w:t>。。。。。。。。。。。。。。</w:t>
      </w:r>
      <w:hyperlink w:anchor="a4" w:history="1">
        <w:r>
          <w:rPr>
            <w:rStyle w:val="a7"/>
            <w:sz w:val="24"/>
            <w:lang w:eastAsia="zh-TW"/>
          </w:rPr>
          <w:t>回本章</w:t>
        </w:r>
      </w:hyperlink>
      <w:r w:rsidRPr="0008714D">
        <w:rPr>
          <w:color w:val="808000"/>
          <w:sz w:val="20"/>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A028E4">
      <w:pPr>
        <w:pStyle w:val="4"/>
        <w:rPr>
          <w:lang w:eastAsia="zh-TW"/>
        </w:rPr>
      </w:pPr>
      <w:r w:rsidRPr="00B40DC1">
        <w:rPr>
          <w:lang w:eastAsia="zh-TW"/>
        </w:rPr>
        <w:t>表7</w:t>
      </w:r>
      <w:r w:rsidR="00A028E4">
        <w:rPr>
          <w:rFonts w:ascii="新細明體" w:eastAsia="新細明體" w:hAnsi="新細明體" w:hint="eastAsia"/>
          <w:lang w:eastAsia="zh-TW"/>
        </w:rPr>
        <w:t>、</w:t>
      </w:r>
      <w:r w:rsidRPr="00B40DC1">
        <w:rPr>
          <w:lang w:eastAsia="zh-TW"/>
        </w:rPr>
        <w:t>受訪者國籍與其認為子女應接受何種教育程度之關聯分析</w:t>
      </w:r>
    </w:p>
    <w:tbl>
      <w:tblPr>
        <w:tblStyle w:val="43"/>
        <w:tblW w:w="0" w:type="auto"/>
        <w:tblInd w:w="1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57"/>
        <w:gridCol w:w="1318"/>
        <w:gridCol w:w="1378"/>
        <w:gridCol w:w="1617"/>
        <w:gridCol w:w="1559"/>
        <w:gridCol w:w="2268"/>
      </w:tblGrid>
      <w:tr w:rsidR="0049577B" w:rsidRPr="00B40DC1" w:rsidTr="00A028E4">
        <w:tc>
          <w:tcPr>
            <w:tcW w:w="1357" w:type="dxa"/>
            <w:tcBorders>
              <w:top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期望子女教育程度</w:t>
            </w:r>
          </w:p>
        </w:tc>
        <w:tc>
          <w:tcPr>
            <w:tcW w:w="1318" w:type="dxa"/>
            <w:tcBorders>
              <w:top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次數</w:t>
            </w:r>
          </w:p>
          <w:p w:rsidR="0049577B" w:rsidRPr="00602938" w:rsidRDefault="0049577B" w:rsidP="00A028E4">
            <w:pPr>
              <w:spacing w:line="240" w:lineRule="auto"/>
              <w:ind w:leftChars="0" w:left="0" w:rightChars="0" w:right="0"/>
              <w:jc w:val="center"/>
              <w:rPr>
                <w:sz w:val="24"/>
              </w:rPr>
            </w:pPr>
            <w:r w:rsidRPr="00602938">
              <w:rPr>
                <w:sz w:val="24"/>
              </w:rPr>
              <w:t>百分比</w:t>
            </w:r>
          </w:p>
        </w:tc>
        <w:tc>
          <w:tcPr>
            <w:tcW w:w="1378" w:type="dxa"/>
            <w:tcBorders>
              <w:top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東南亞國家</w:t>
            </w:r>
          </w:p>
        </w:tc>
        <w:tc>
          <w:tcPr>
            <w:tcW w:w="1617" w:type="dxa"/>
            <w:tcBorders>
              <w:top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大陸及港澳地區</w:t>
            </w:r>
          </w:p>
        </w:tc>
        <w:tc>
          <w:tcPr>
            <w:tcW w:w="1559" w:type="dxa"/>
            <w:tcBorders>
              <w:top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其他國家</w:t>
            </w:r>
          </w:p>
        </w:tc>
        <w:tc>
          <w:tcPr>
            <w:tcW w:w="2268" w:type="dxa"/>
            <w:tcBorders>
              <w:top w:val="single" w:sz="12" w:space="0" w:color="auto"/>
              <w:bottom w:val="single" w:sz="8" w:space="0" w:color="auto"/>
            </w:tcBorders>
            <w:shd w:val="clear" w:color="auto" w:fill="EFFDFF"/>
            <w:vAlign w:val="center"/>
          </w:tcPr>
          <w:p w:rsidR="0049577B" w:rsidRPr="00602938" w:rsidRDefault="0049577B" w:rsidP="00A028E4">
            <w:pPr>
              <w:spacing w:line="240" w:lineRule="auto"/>
              <w:ind w:leftChars="0" w:left="0" w:rightChars="0" w:right="0"/>
              <w:jc w:val="center"/>
              <w:rPr>
                <w:sz w:val="24"/>
              </w:rPr>
            </w:pPr>
            <w:r w:rsidRPr="00602938">
              <w:rPr>
                <w:sz w:val="24"/>
              </w:rPr>
              <w:t>總和</w:t>
            </w:r>
          </w:p>
        </w:tc>
      </w:tr>
      <w:tr w:rsidR="0049577B" w:rsidRPr="00B40DC1" w:rsidTr="00A028E4">
        <w:tc>
          <w:tcPr>
            <w:tcW w:w="1357" w:type="dxa"/>
            <w:vMerge w:val="restart"/>
            <w:tcBorders>
              <w:top w:val="single" w:sz="8" w:space="0" w:color="auto"/>
            </w:tcBorders>
            <w:vAlign w:val="center"/>
          </w:tcPr>
          <w:p w:rsidR="0049577B" w:rsidRPr="00602938" w:rsidRDefault="0049577B" w:rsidP="00A028E4">
            <w:pPr>
              <w:spacing w:line="240" w:lineRule="auto"/>
              <w:ind w:leftChars="0" w:left="0" w:rightChars="0" w:right="0"/>
              <w:rPr>
                <w:sz w:val="24"/>
              </w:rPr>
            </w:pPr>
            <w:r w:rsidRPr="00602938">
              <w:rPr>
                <w:sz w:val="24"/>
              </w:rPr>
              <w:t>高中職畢業</w:t>
            </w:r>
          </w:p>
        </w:tc>
        <w:tc>
          <w:tcPr>
            <w:tcW w:w="1318" w:type="dxa"/>
            <w:tcBorders>
              <w:top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次數</w:t>
            </w:r>
          </w:p>
        </w:tc>
        <w:tc>
          <w:tcPr>
            <w:tcW w:w="1378" w:type="dxa"/>
            <w:tcBorders>
              <w:top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34</w:t>
            </w:r>
          </w:p>
        </w:tc>
        <w:tc>
          <w:tcPr>
            <w:tcW w:w="1617" w:type="dxa"/>
            <w:tcBorders>
              <w:top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82</w:t>
            </w:r>
          </w:p>
        </w:tc>
        <w:tc>
          <w:tcPr>
            <w:tcW w:w="1559" w:type="dxa"/>
            <w:tcBorders>
              <w:top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2</w:t>
            </w:r>
          </w:p>
        </w:tc>
        <w:tc>
          <w:tcPr>
            <w:tcW w:w="2268" w:type="dxa"/>
            <w:tcBorders>
              <w:top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118</w:t>
            </w:r>
          </w:p>
        </w:tc>
      </w:tr>
      <w:tr w:rsidR="0049577B" w:rsidRPr="00B40DC1" w:rsidTr="00A028E4">
        <w:tc>
          <w:tcPr>
            <w:tcW w:w="1357" w:type="dxa"/>
            <w:vMerge/>
            <w:vAlign w:val="center"/>
          </w:tcPr>
          <w:p w:rsidR="0049577B" w:rsidRPr="00602938" w:rsidRDefault="0049577B" w:rsidP="00A028E4">
            <w:pPr>
              <w:spacing w:line="240" w:lineRule="auto"/>
              <w:ind w:leftChars="0" w:left="0" w:rightChars="0" w:right="0"/>
              <w:rPr>
                <w:sz w:val="24"/>
              </w:rPr>
            </w:pPr>
          </w:p>
        </w:tc>
        <w:tc>
          <w:tcPr>
            <w:tcW w:w="1318" w:type="dxa"/>
            <w:vAlign w:val="center"/>
          </w:tcPr>
          <w:p w:rsidR="0049577B" w:rsidRPr="00602938" w:rsidRDefault="0049577B" w:rsidP="00A028E4">
            <w:pPr>
              <w:spacing w:line="240" w:lineRule="auto"/>
              <w:ind w:leftChars="0" w:left="0" w:rightChars="0" w:right="0"/>
              <w:jc w:val="center"/>
              <w:rPr>
                <w:sz w:val="24"/>
              </w:rPr>
            </w:pPr>
            <w:r w:rsidRPr="00602938">
              <w:rPr>
                <w:sz w:val="24"/>
              </w:rPr>
              <w:t>百分比</w:t>
            </w:r>
          </w:p>
        </w:tc>
        <w:tc>
          <w:tcPr>
            <w:tcW w:w="1378" w:type="dxa"/>
            <w:vAlign w:val="center"/>
          </w:tcPr>
          <w:p w:rsidR="0049577B" w:rsidRPr="00602938" w:rsidRDefault="0049577B" w:rsidP="00A028E4">
            <w:pPr>
              <w:spacing w:line="240" w:lineRule="auto"/>
              <w:ind w:leftChars="0" w:left="0" w:rightChars="0" w:right="0"/>
              <w:jc w:val="center"/>
              <w:rPr>
                <w:sz w:val="24"/>
              </w:rPr>
            </w:pPr>
            <w:r w:rsidRPr="00602938">
              <w:rPr>
                <w:sz w:val="24"/>
              </w:rPr>
              <w:t>9.30%</w:t>
            </w:r>
          </w:p>
        </w:tc>
        <w:tc>
          <w:tcPr>
            <w:tcW w:w="1617" w:type="dxa"/>
            <w:vAlign w:val="center"/>
          </w:tcPr>
          <w:p w:rsidR="0049577B" w:rsidRPr="00602938" w:rsidRDefault="0049577B" w:rsidP="00A028E4">
            <w:pPr>
              <w:spacing w:line="240" w:lineRule="auto"/>
              <w:ind w:leftChars="0" w:left="0" w:rightChars="0" w:right="0"/>
              <w:jc w:val="center"/>
              <w:rPr>
                <w:sz w:val="24"/>
              </w:rPr>
            </w:pPr>
            <w:r w:rsidRPr="00602938">
              <w:rPr>
                <w:sz w:val="24"/>
              </w:rPr>
              <w:t>13.20%</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5.90%</w:t>
            </w:r>
          </w:p>
        </w:tc>
        <w:tc>
          <w:tcPr>
            <w:tcW w:w="2268" w:type="dxa"/>
            <w:vAlign w:val="center"/>
          </w:tcPr>
          <w:p w:rsidR="0049577B" w:rsidRPr="00602938" w:rsidRDefault="0049577B" w:rsidP="00A028E4">
            <w:pPr>
              <w:spacing w:line="240" w:lineRule="auto"/>
              <w:ind w:leftChars="0" w:left="0" w:rightChars="0" w:right="0"/>
              <w:jc w:val="center"/>
              <w:rPr>
                <w:sz w:val="24"/>
              </w:rPr>
            </w:pPr>
            <w:r w:rsidRPr="00602938">
              <w:rPr>
                <w:sz w:val="24"/>
              </w:rPr>
              <w:t>11.50%</w:t>
            </w:r>
          </w:p>
        </w:tc>
      </w:tr>
      <w:tr w:rsidR="0049577B" w:rsidRPr="00B40DC1" w:rsidTr="00A028E4">
        <w:tc>
          <w:tcPr>
            <w:tcW w:w="1357" w:type="dxa"/>
            <w:vMerge w:val="restart"/>
            <w:vAlign w:val="center"/>
          </w:tcPr>
          <w:p w:rsidR="0049577B" w:rsidRPr="00602938" w:rsidRDefault="0049577B" w:rsidP="00A028E4">
            <w:pPr>
              <w:spacing w:line="240" w:lineRule="auto"/>
              <w:ind w:leftChars="0" w:left="0" w:rightChars="0" w:right="0"/>
              <w:rPr>
                <w:sz w:val="24"/>
              </w:rPr>
            </w:pPr>
            <w:r w:rsidRPr="00602938">
              <w:rPr>
                <w:sz w:val="24"/>
              </w:rPr>
              <w:t>專科畢業</w:t>
            </w:r>
          </w:p>
        </w:tc>
        <w:tc>
          <w:tcPr>
            <w:tcW w:w="1318" w:type="dxa"/>
            <w:vAlign w:val="center"/>
          </w:tcPr>
          <w:p w:rsidR="0049577B" w:rsidRPr="00602938" w:rsidRDefault="0049577B" w:rsidP="00A028E4">
            <w:pPr>
              <w:spacing w:line="240" w:lineRule="auto"/>
              <w:ind w:leftChars="0" w:left="0" w:rightChars="0" w:right="0"/>
              <w:jc w:val="center"/>
              <w:rPr>
                <w:sz w:val="24"/>
              </w:rPr>
            </w:pPr>
            <w:r w:rsidRPr="00602938">
              <w:rPr>
                <w:sz w:val="24"/>
              </w:rPr>
              <w:t>次數</w:t>
            </w:r>
          </w:p>
        </w:tc>
        <w:tc>
          <w:tcPr>
            <w:tcW w:w="1378" w:type="dxa"/>
            <w:vAlign w:val="center"/>
          </w:tcPr>
          <w:p w:rsidR="0049577B" w:rsidRPr="00602938" w:rsidRDefault="0049577B" w:rsidP="00A028E4">
            <w:pPr>
              <w:spacing w:line="240" w:lineRule="auto"/>
              <w:ind w:leftChars="0" w:left="0" w:rightChars="0" w:right="0"/>
              <w:jc w:val="center"/>
              <w:rPr>
                <w:sz w:val="24"/>
              </w:rPr>
            </w:pPr>
            <w:r w:rsidRPr="00602938">
              <w:rPr>
                <w:sz w:val="24"/>
              </w:rPr>
              <w:t>28</w:t>
            </w:r>
          </w:p>
        </w:tc>
        <w:tc>
          <w:tcPr>
            <w:tcW w:w="1617" w:type="dxa"/>
            <w:vAlign w:val="center"/>
          </w:tcPr>
          <w:p w:rsidR="0049577B" w:rsidRPr="00602938" w:rsidRDefault="0049577B" w:rsidP="00A028E4">
            <w:pPr>
              <w:spacing w:line="240" w:lineRule="auto"/>
              <w:ind w:leftChars="0" w:left="0" w:rightChars="0" w:right="0"/>
              <w:jc w:val="center"/>
              <w:rPr>
                <w:sz w:val="24"/>
              </w:rPr>
            </w:pPr>
            <w:r w:rsidRPr="00602938">
              <w:rPr>
                <w:sz w:val="24"/>
              </w:rPr>
              <w:t>32</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0</w:t>
            </w:r>
          </w:p>
        </w:tc>
        <w:tc>
          <w:tcPr>
            <w:tcW w:w="2268" w:type="dxa"/>
            <w:vAlign w:val="center"/>
          </w:tcPr>
          <w:p w:rsidR="0049577B" w:rsidRPr="00602938" w:rsidRDefault="0049577B" w:rsidP="00A028E4">
            <w:pPr>
              <w:spacing w:line="240" w:lineRule="auto"/>
              <w:ind w:leftChars="0" w:left="0" w:rightChars="0" w:right="0"/>
              <w:jc w:val="center"/>
              <w:rPr>
                <w:sz w:val="24"/>
              </w:rPr>
            </w:pPr>
            <w:r w:rsidRPr="00602938">
              <w:rPr>
                <w:sz w:val="24"/>
              </w:rPr>
              <w:t>60</w:t>
            </w:r>
          </w:p>
        </w:tc>
      </w:tr>
      <w:tr w:rsidR="0049577B" w:rsidRPr="00B40DC1" w:rsidTr="00A028E4">
        <w:tc>
          <w:tcPr>
            <w:tcW w:w="1357" w:type="dxa"/>
            <w:vMerge/>
            <w:vAlign w:val="center"/>
          </w:tcPr>
          <w:p w:rsidR="0049577B" w:rsidRPr="00602938" w:rsidRDefault="0049577B" w:rsidP="00A028E4">
            <w:pPr>
              <w:spacing w:line="240" w:lineRule="auto"/>
              <w:ind w:leftChars="0" w:left="0" w:rightChars="0" w:right="0"/>
              <w:rPr>
                <w:sz w:val="24"/>
              </w:rPr>
            </w:pPr>
          </w:p>
        </w:tc>
        <w:tc>
          <w:tcPr>
            <w:tcW w:w="1318" w:type="dxa"/>
            <w:vAlign w:val="center"/>
          </w:tcPr>
          <w:p w:rsidR="0049577B" w:rsidRPr="00602938" w:rsidRDefault="0049577B" w:rsidP="00A028E4">
            <w:pPr>
              <w:spacing w:line="240" w:lineRule="auto"/>
              <w:ind w:leftChars="0" w:left="0" w:rightChars="0" w:right="0"/>
              <w:jc w:val="center"/>
              <w:rPr>
                <w:sz w:val="24"/>
              </w:rPr>
            </w:pPr>
            <w:r w:rsidRPr="00602938">
              <w:rPr>
                <w:sz w:val="24"/>
              </w:rPr>
              <w:t>百分比</w:t>
            </w:r>
          </w:p>
        </w:tc>
        <w:tc>
          <w:tcPr>
            <w:tcW w:w="1378" w:type="dxa"/>
            <w:vAlign w:val="center"/>
          </w:tcPr>
          <w:p w:rsidR="0049577B" w:rsidRPr="00602938" w:rsidRDefault="0049577B" w:rsidP="00A028E4">
            <w:pPr>
              <w:spacing w:line="240" w:lineRule="auto"/>
              <w:ind w:leftChars="0" w:left="0" w:rightChars="0" w:right="0"/>
              <w:jc w:val="center"/>
              <w:rPr>
                <w:sz w:val="24"/>
              </w:rPr>
            </w:pPr>
            <w:r w:rsidRPr="00602938">
              <w:rPr>
                <w:sz w:val="24"/>
              </w:rPr>
              <w:t>7.60%</w:t>
            </w:r>
          </w:p>
        </w:tc>
        <w:tc>
          <w:tcPr>
            <w:tcW w:w="1617" w:type="dxa"/>
            <w:vAlign w:val="center"/>
          </w:tcPr>
          <w:p w:rsidR="0049577B" w:rsidRPr="00602938" w:rsidRDefault="0049577B" w:rsidP="00A028E4">
            <w:pPr>
              <w:spacing w:line="240" w:lineRule="auto"/>
              <w:ind w:leftChars="0" w:left="0" w:rightChars="0" w:right="0"/>
              <w:jc w:val="center"/>
              <w:rPr>
                <w:sz w:val="24"/>
              </w:rPr>
            </w:pPr>
            <w:r w:rsidRPr="00602938">
              <w:rPr>
                <w:sz w:val="24"/>
              </w:rPr>
              <w:t>5.10%</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0.00%</w:t>
            </w:r>
          </w:p>
        </w:tc>
        <w:tc>
          <w:tcPr>
            <w:tcW w:w="2268" w:type="dxa"/>
            <w:vAlign w:val="center"/>
          </w:tcPr>
          <w:p w:rsidR="0049577B" w:rsidRPr="00602938" w:rsidRDefault="0049577B" w:rsidP="00A028E4">
            <w:pPr>
              <w:spacing w:line="240" w:lineRule="auto"/>
              <w:ind w:leftChars="0" w:left="0" w:rightChars="0" w:right="0"/>
              <w:jc w:val="center"/>
              <w:rPr>
                <w:sz w:val="24"/>
              </w:rPr>
            </w:pPr>
            <w:r w:rsidRPr="00602938">
              <w:rPr>
                <w:sz w:val="24"/>
              </w:rPr>
              <w:t>5.90%</w:t>
            </w:r>
          </w:p>
        </w:tc>
      </w:tr>
      <w:tr w:rsidR="0049577B" w:rsidRPr="00B40DC1" w:rsidTr="00A028E4">
        <w:tc>
          <w:tcPr>
            <w:tcW w:w="1357" w:type="dxa"/>
            <w:vMerge w:val="restart"/>
            <w:vAlign w:val="center"/>
          </w:tcPr>
          <w:p w:rsidR="0049577B" w:rsidRPr="00602938" w:rsidRDefault="0049577B" w:rsidP="00A028E4">
            <w:pPr>
              <w:spacing w:line="240" w:lineRule="auto"/>
              <w:ind w:leftChars="0" w:left="0" w:rightChars="0" w:right="0"/>
              <w:rPr>
                <w:sz w:val="24"/>
              </w:rPr>
            </w:pPr>
            <w:r w:rsidRPr="00602938">
              <w:rPr>
                <w:sz w:val="24"/>
              </w:rPr>
              <w:t>大學或技術學院畢業</w:t>
            </w:r>
          </w:p>
        </w:tc>
        <w:tc>
          <w:tcPr>
            <w:tcW w:w="1318" w:type="dxa"/>
            <w:vAlign w:val="center"/>
          </w:tcPr>
          <w:p w:rsidR="0049577B" w:rsidRPr="00602938" w:rsidRDefault="0049577B" w:rsidP="00A028E4">
            <w:pPr>
              <w:spacing w:line="240" w:lineRule="auto"/>
              <w:ind w:leftChars="0" w:left="0" w:rightChars="0" w:right="0"/>
              <w:jc w:val="center"/>
              <w:rPr>
                <w:sz w:val="24"/>
              </w:rPr>
            </w:pPr>
            <w:r w:rsidRPr="00602938">
              <w:rPr>
                <w:sz w:val="24"/>
              </w:rPr>
              <w:t>次數</w:t>
            </w:r>
          </w:p>
        </w:tc>
        <w:tc>
          <w:tcPr>
            <w:tcW w:w="1378" w:type="dxa"/>
            <w:vAlign w:val="center"/>
          </w:tcPr>
          <w:p w:rsidR="0049577B" w:rsidRPr="00602938" w:rsidRDefault="0049577B" w:rsidP="00A028E4">
            <w:pPr>
              <w:spacing w:line="240" w:lineRule="auto"/>
              <w:ind w:leftChars="0" w:left="0" w:rightChars="0" w:right="0"/>
              <w:jc w:val="center"/>
              <w:rPr>
                <w:sz w:val="24"/>
              </w:rPr>
            </w:pPr>
            <w:r w:rsidRPr="00602938">
              <w:rPr>
                <w:sz w:val="24"/>
              </w:rPr>
              <w:t>267</w:t>
            </w:r>
          </w:p>
        </w:tc>
        <w:tc>
          <w:tcPr>
            <w:tcW w:w="1617" w:type="dxa"/>
            <w:vAlign w:val="center"/>
          </w:tcPr>
          <w:p w:rsidR="0049577B" w:rsidRPr="00602938" w:rsidRDefault="0049577B" w:rsidP="00A028E4">
            <w:pPr>
              <w:spacing w:line="240" w:lineRule="auto"/>
              <w:ind w:leftChars="0" w:left="0" w:rightChars="0" w:right="0"/>
              <w:jc w:val="center"/>
              <w:rPr>
                <w:sz w:val="24"/>
              </w:rPr>
            </w:pPr>
            <w:r w:rsidRPr="00602938">
              <w:rPr>
                <w:sz w:val="24"/>
              </w:rPr>
              <w:t>458</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32</w:t>
            </w:r>
          </w:p>
        </w:tc>
        <w:tc>
          <w:tcPr>
            <w:tcW w:w="2268" w:type="dxa"/>
            <w:vAlign w:val="center"/>
          </w:tcPr>
          <w:p w:rsidR="0049577B" w:rsidRPr="00602938" w:rsidRDefault="0049577B" w:rsidP="00A028E4">
            <w:pPr>
              <w:spacing w:line="240" w:lineRule="auto"/>
              <w:ind w:leftChars="0" w:left="0" w:rightChars="0" w:right="0"/>
              <w:jc w:val="center"/>
              <w:rPr>
                <w:sz w:val="24"/>
              </w:rPr>
            </w:pPr>
            <w:r w:rsidRPr="00602938">
              <w:rPr>
                <w:sz w:val="24"/>
              </w:rPr>
              <w:t>757</w:t>
            </w:r>
          </w:p>
        </w:tc>
      </w:tr>
      <w:tr w:rsidR="0049577B" w:rsidRPr="00B40DC1" w:rsidTr="00A028E4">
        <w:tc>
          <w:tcPr>
            <w:tcW w:w="1357" w:type="dxa"/>
            <w:vMerge/>
            <w:vAlign w:val="center"/>
          </w:tcPr>
          <w:p w:rsidR="0049577B" w:rsidRPr="00602938" w:rsidRDefault="0049577B" w:rsidP="00A028E4">
            <w:pPr>
              <w:spacing w:line="240" w:lineRule="auto"/>
              <w:ind w:leftChars="0" w:left="0" w:rightChars="0" w:right="0"/>
              <w:rPr>
                <w:sz w:val="24"/>
              </w:rPr>
            </w:pPr>
          </w:p>
        </w:tc>
        <w:tc>
          <w:tcPr>
            <w:tcW w:w="1318" w:type="dxa"/>
            <w:vAlign w:val="center"/>
          </w:tcPr>
          <w:p w:rsidR="0049577B" w:rsidRPr="00602938" w:rsidRDefault="0049577B" w:rsidP="00A028E4">
            <w:pPr>
              <w:spacing w:line="240" w:lineRule="auto"/>
              <w:ind w:leftChars="0" w:left="0" w:rightChars="0" w:right="0"/>
              <w:jc w:val="center"/>
              <w:rPr>
                <w:sz w:val="24"/>
              </w:rPr>
            </w:pPr>
            <w:r w:rsidRPr="00602938">
              <w:rPr>
                <w:sz w:val="24"/>
              </w:rPr>
              <w:t>百分比</w:t>
            </w:r>
          </w:p>
        </w:tc>
        <w:tc>
          <w:tcPr>
            <w:tcW w:w="1378" w:type="dxa"/>
            <w:vAlign w:val="center"/>
          </w:tcPr>
          <w:p w:rsidR="0049577B" w:rsidRPr="00602938" w:rsidRDefault="0049577B" w:rsidP="00A028E4">
            <w:pPr>
              <w:spacing w:line="240" w:lineRule="auto"/>
              <w:ind w:leftChars="0" w:left="0" w:rightChars="0" w:right="0"/>
              <w:jc w:val="center"/>
              <w:rPr>
                <w:sz w:val="24"/>
              </w:rPr>
            </w:pPr>
            <w:r w:rsidRPr="00602938">
              <w:rPr>
                <w:sz w:val="24"/>
              </w:rPr>
              <w:t>72.80%</w:t>
            </w:r>
          </w:p>
        </w:tc>
        <w:tc>
          <w:tcPr>
            <w:tcW w:w="1617" w:type="dxa"/>
            <w:vAlign w:val="center"/>
          </w:tcPr>
          <w:p w:rsidR="0049577B" w:rsidRPr="00602938" w:rsidRDefault="0049577B" w:rsidP="00A028E4">
            <w:pPr>
              <w:spacing w:line="240" w:lineRule="auto"/>
              <w:ind w:leftChars="0" w:left="0" w:rightChars="0" w:right="0"/>
              <w:jc w:val="center"/>
              <w:rPr>
                <w:sz w:val="24"/>
              </w:rPr>
            </w:pPr>
            <w:r w:rsidRPr="00602938">
              <w:rPr>
                <w:sz w:val="24"/>
              </w:rPr>
              <w:t>73.60%</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94.10%</w:t>
            </w:r>
          </w:p>
        </w:tc>
        <w:tc>
          <w:tcPr>
            <w:tcW w:w="2268" w:type="dxa"/>
            <w:vAlign w:val="center"/>
          </w:tcPr>
          <w:p w:rsidR="0049577B" w:rsidRPr="00602938" w:rsidRDefault="0049577B" w:rsidP="00A028E4">
            <w:pPr>
              <w:spacing w:line="240" w:lineRule="auto"/>
              <w:ind w:leftChars="0" w:left="0" w:rightChars="0" w:right="0"/>
              <w:jc w:val="center"/>
              <w:rPr>
                <w:sz w:val="24"/>
              </w:rPr>
            </w:pPr>
            <w:r w:rsidRPr="00602938">
              <w:rPr>
                <w:sz w:val="24"/>
              </w:rPr>
              <w:t>74.00%</w:t>
            </w:r>
          </w:p>
        </w:tc>
      </w:tr>
      <w:tr w:rsidR="0049577B" w:rsidRPr="00B40DC1" w:rsidTr="00A028E4">
        <w:tc>
          <w:tcPr>
            <w:tcW w:w="1357" w:type="dxa"/>
            <w:vMerge w:val="restart"/>
            <w:vAlign w:val="center"/>
          </w:tcPr>
          <w:p w:rsidR="0049577B" w:rsidRPr="00602938" w:rsidRDefault="0049577B" w:rsidP="00A028E4">
            <w:pPr>
              <w:spacing w:line="240" w:lineRule="auto"/>
              <w:ind w:leftChars="0" w:left="0" w:rightChars="0" w:right="0"/>
              <w:rPr>
                <w:sz w:val="24"/>
              </w:rPr>
            </w:pPr>
            <w:r w:rsidRPr="00602938">
              <w:rPr>
                <w:sz w:val="24"/>
              </w:rPr>
              <w:t>碩士畢業</w:t>
            </w:r>
          </w:p>
        </w:tc>
        <w:tc>
          <w:tcPr>
            <w:tcW w:w="1318" w:type="dxa"/>
            <w:vAlign w:val="center"/>
          </w:tcPr>
          <w:p w:rsidR="0049577B" w:rsidRPr="00602938" w:rsidRDefault="0049577B" w:rsidP="00A028E4">
            <w:pPr>
              <w:spacing w:line="240" w:lineRule="auto"/>
              <w:ind w:leftChars="0" w:left="0" w:rightChars="0" w:right="0"/>
              <w:jc w:val="center"/>
              <w:rPr>
                <w:sz w:val="24"/>
              </w:rPr>
            </w:pPr>
            <w:r w:rsidRPr="00602938">
              <w:rPr>
                <w:sz w:val="24"/>
              </w:rPr>
              <w:t>次數</w:t>
            </w:r>
          </w:p>
        </w:tc>
        <w:tc>
          <w:tcPr>
            <w:tcW w:w="1378" w:type="dxa"/>
            <w:vAlign w:val="center"/>
          </w:tcPr>
          <w:p w:rsidR="0049577B" w:rsidRPr="00602938" w:rsidRDefault="0049577B" w:rsidP="00A028E4">
            <w:pPr>
              <w:spacing w:line="240" w:lineRule="auto"/>
              <w:ind w:leftChars="0" w:left="0" w:rightChars="0" w:right="0"/>
              <w:jc w:val="center"/>
              <w:rPr>
                <w:sz w:val="24"/>
              </w:rPr>
            </w:pPr>
            <w:r w:rsidRPr="00602938">
              <w:rPr>
                <w:sz w:val="24"/>
              </w:rPr>
              <w:t>4</w:t>
            </w:r>
          </w:p>
        </w:tc>
        <w:tc>
          <w:tcPr>
            <w:tcW w:w="1617" w:type="dxa"/>
            <w:vAlign w:val="center"/>
          </w:tcPr>
          <w:p w:rsidR="0049577B" w:rsidRPr="00602938" w:rsidRDefault="0049577B" w:rsidP="00A028E4">
            <w:pPr>
              <w:spacing w:line="240" w:lineRule="auto"/>
              <w:ind w:leftChars="0" w:left="0" w:rightChars="0" w:right="0"/>
              <w:jc w:val="center"/>
              <w:rPr>
                <w:sz w:val="24"/>
              </w:rPr>
            </w:pPr>
            <w:r w:rsidRPr="00602938">
              <w:rPr>
                <w:sz w:val="24"/>
              </w:rPr>
              <w:t>8</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0</w:t>
            </w:r>
          </w:p>
        </w:tc>
        <w:tc>
          <w:tcPr>
            <w:tcW w:w="2268" w:type="dxa"/>
            <w:vAlign w:val="center"/>
          </w:tcPr>
          <w:p w:rsidR="0049577B" w:rsidRPr="00602938" w:rsidRDefault="0049577B" w:rsidP="00A028E4">
            <w:pPr>
              <w:spacing w:line="240" w:lineRule="auto"/>
              <w:ind w:leftChars="0" w:left="0" w:rightChars="0" w:right="0"/>
              <w:jc w:val="center"/>
              <w:rPr>
                <w:sz w:val="24"/>
              </w:rPr>
            </w:pPr>
            <w:r w:rsidRPr="00602938">
              <w:rPr>
                <w:sz w:val="24"/>
              </w:rPr>
              <w:t>12</w:t>
            </w:r>
          </w:p>
        </w:tc>
      </w:tr>
      <w:tr w:rsidR="0049577B" w:rsidRPr="00B40DC1" w:rsidTr="00A028E4">
        <w:tc>
          <w:tcPr>
            <w:tcW w:w="1357" w:type="dxa"/>
            <w:vMerge/>
            <w:vAlign w:val="center"/>
          </w:tcPr>
          <w:p w:rsidR="0049577B" w:rsidRPr="00602938" w:rsidRDefault="0049577B" w:rsidP="00A028E4">
            <w:pPr>
              <w:spacing w:line="240" w:lineRule="auto"/>
              <w:ind w:leftChars="0" w:left="0" w:rightChars="0" w:right="0"/>
              <w:rPr>
                <w:sz w:val="24"/>
              </w:rPr>
            </w:pPr>
          </w:p>
        </w:tc>
        <w:tc>
          <w:tcPr>
            <w:tcW w:w="1318" w:type="dxa"/>
            <w:vAlign w:val="center"/>
          </w:tcPr>
          <w:p w:rsidR="0049577B" w:rsidRPr="00602938" w:rsidRDefault="0049577B" w:rsidP="00A028E4">
            <w:pPr>
              <w:spacing w:line="240" w:lineRule="auto"/>
              <w:ind w:leftChars="0" w:left="0" w:rightChars="0" w:right="0"/>
              <w:jc w:val="center"/>
              <w:rPr>
                <w:sz w:val="24"/>
              </w:rPr>
            </w:pPr>
            <w:r w:rsidRPr="00602938">
              <w:rPr>
                <w:sz w:val="24"/>
              </w:rPr>
              <w:t>百分比</w:t>
            </w:r>
          </w:p>
        </w:tc>
        <w:tc>
          <w:tcPr>
            <w:tcW w:w="1378" w:type="dxa"/>
            <w:vAlign w:val="center"/>
          </w:tcPr>
          <w:p w:rsidR="0049577B" w:rsidRPr="00602938" w:rsidRDefault="0049577B" w:rsidP="00A028E4">
            <w:pPr>
              <w:spacing w:line="240" w:lineRule="auto"/>
              <w:ind w:leftChars="0" w:left="0" w:rightChars="0" w:right="0"/>
              <w:jc w:val="center"/>
              <w:rPr>
                <w:sz w:val="24"/>
              </w:rPr>
            </w:pPr>
            <w:r w:rsidRPr="00602938">
              <w:rPr>
                <w:sz w:val="24"/>
              </w:rPr>
              <w:t>1.10%</w:t>
            </w:r>
          </w:p>
        </w:tc>
        <w:tc>
          <w:tcPr>
            <w:tcW w:w="1617" w:type="dxa"/>
            <w:vAlign w:val="center"/>
          </w:tcPr>
          <w:p w:rsidR="0049577B" w:rsidRPr="00602938" w:rsidRDefault="0049577B" w:rsidP="00A028E4">
            <w:pPr>
              <w:spacing w:line="240" w:lineRule="auto"/>
              <w:ind w:leftChars="0" w:left="0" w:rightChars="0" w:right="0"/>
              <w:jc w:val="center"/>
              <w:rPr>
                <w:sz w:val="24"/>
              </w:rPr>
            </w:pPr>
            <w:r w:rsidRPr="00602938">
              <w:rPr>
                <w:sz w:val="24"/>
              </w:rPr>
              <w:t>1.30%</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0.00%</w:t>
            </w:r>
          </w:p>
        </w:tc>
        <w:tc>
          <w:tcPr>
            <w:tcW w:w="2268" w:type="dxa"/>
            <w:vAlign w:val="center"/>
          </w:tcPr>
          <w:p w:rsidR="0049577B" w:rsidRPr="00602938" w:rsidRDefault="0049577B" w:rsidP="00A028E4">
            <w:pPr>
              <w:spacing w:line="240" w:lineRule="auto"/>
              <w:ind w:leftChars="0" w:left="0" w:rightChars="0" w:right="0"/>
              <w:jc w:val="center"/>
              <w:rPr>
                <w:sz w:val="24"/>
              </w:rPr>
            </w:pPr>
            <w:r w:rsidRPr="00602938">
              <w:rPr>
                <w:sz w:val="24"/>
              </w:rPr>
              <w:t>1.20%</w:t>
            </w:r>
          </w:p>
        </w:tc>
      </w:tr>
      <w:tr w:rsidR="0049577B" w:rsidRPr="00B40DC1" w:rsidTr="00A028E4">
        <w:tc>
          <w:tcPr>
            <w:tcW w:w="1357" w:type="dxa"/>
            <w:vMerge w:val="restart"/>
            <w:vAlign w:val="center"/>
          </w:tcPr>
          <w:p w:rsidR="0049577B" w:rsidRPr="00602938" w:rsidRDefault="0049577B" w:rsidP="00A028E4">
            <w:pPr>
              <w:spacing w:line="240" w:lineRule="auto"/>
              <w:ind w:leftChars="0" w:left="0" w:rightChars="0" w:right="0"/>
              <w:rPr>
                <w:sz w:val="24"/>
              </w:rPr>
            </w:pPr>
            <w:r w:rsidRPr="00602938">
              <w:rPr>
                <w:sz w:val="24"/>
              </w:rPr>
              <w:t>博士畢業</w:t>
            </w:r>
          </w:p>
        </w:tc>
        <w:tc>
          <w:tcPr>
            <w:tcW w:w="1318" w:type="dxa"/>
            <w:vAlign w:val="center"/>
          </w:tcPr>
          <w:p w:rsidR="0049577B" w:rsidRPr="00602938" w:rsidRDefault="0049577B" w:rsidP="00A028E4">
            <w:pPr>
              <w:spacing w:line="240" w:lineRule="auto"/>
              <w:ind w:leftChars="0" w:left="0" w:rightChars="0" w:right="0"/>
              <w:jc w:val="center"/>
              <w:rPr>
                <w:sz w:val="24"/>
              </w:rPr>
            </w:pPr>
            <w:r w:rsidRPr="00602938">
              <w:rPr>
                <w:sz w:val="24"/>
              </w:rPr>
              <w:t>次數</w:t>
            </w:r>
          </w:p>
        </w:tc>
        <w:tc>
          <w:tcPr>
            <w:tcW w:w="1378" w:type="dxa"/>
            <w:vAlign w:val="center"/>
          </w:tcPr>
          <w:p w:rsidR="0049577B" w:rsidRPr="00602938" w:rsidRDefault="0049577B" w:rsidP="00A028E4">
            <w:pPr>
              <w:spacing w:line="240" w:lineRule="auto"/>
              <w:ind w:leftChars="0" w:left="0" w:rightChars="0" w:right="0"/>
              <w:jc w:val="center"/>
              <w:rPr>
                <w:sz w:val="24"/>
              </w:rPr>
            </w:pPr>
            <w:r w:rsidRPr="00602938">
              <w:rPr>
                <w:sz w:val="24"/>
              </w:rPr>
              <w:t>34</w:t>
            </w:r>
          </w:p>
        </w:tc>
        <w:tc>
          <w:tcPr>
            <w:tcW w:w="1617" w:type="dxa"/>
            <w:vAlign w:val="center"/>
          </w:tcPr>
          <w:p w:rsidR="0049577B" w:rsidRPr="00602938" w:rsidRDefault="0049577B" w:rsidP="00A028E4">
            <w:pPr>
              <w:spacing w:line="240" w:lineRule="auto"/>
              <w:ind w:leftChars="0" w:left="0" w:rightChars="0" w:right="0"/>
              <w:jc w:val="center"/>
              <w:rPr>
                <w:sz w:val="24"/>
              </w:rPr>
            </w:pPr>
            <w:r w:rsidRPr="00602938">
              <w:rPr>
                <w:sz w:val="24"/>
              </w:rPr>
              <w:t>42</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0</w:t>
            </w:r>
          </w:p>
        </w:tc>
        <w:tc>
          <w:tcPr>
            <w:tcW w:w="2268" w:type="dxa"/>
            <w:vAlign w:val="center"/>
          </w:tcPr>
          <w:p w:rsidR="0049577B" w:rsidRPr="00602938" w:rsidRDefault="0049577B" w:rsidP="00A028E4">
            <w:pPr>
              <w:spacing w:line="240" w:lineRule="auto"/>
              <w:ind w:leftChars="0" w:left="0" w:rightChars="0" w:right="0"/>
              <w:jc w:val="center"/>
              <w:rPr>
                <w:sz w:val="24"/>
              </w:rPr>
            </w:pPr>
            <w:r w:rsidRPr="00602938">
              <w:rPr>
                <w:sz w:val="24"/>
              </w:rPr>
              <w:t>76</w:t>
            </w:r>
          </w:p>
        </w:tc>
      </w:tr>
      <w:tr w:rsidR="0049577B" w:rsidRPr="00B40DC1" w:rsidTr="00A028E4">
        <w:tc>
          <w:tcPr>
            <w:tcW w:w="1357" w:type="dxa"/>
            <w:vMerge/>
            <w:vAlign w:val="center"/>
          </w:tcPr>
          <w:p w:rsidR="0049577B" w:rsidRPr="00602938" w:rsidRDefault="0049577B" w:rsidP="00A028E4">
            <w:pPr>
              <w:spacing w:line="240" w:lineRule="auto"/>
              <w:ind w:leftChars="0" w:left="0" w:rightChars="0" w:right="0"/>
              <w:rPr>
                <w:sz w:val="24"/>
              </w:rPr>
            </w:pPr>
          </w:p>
        </w:tc>
        <w:tc>
          <w:tcPr>
            <w:tcW w:w="1318" w:type="dxa"/>
            <w:vAlign w:val="center"/>
          </w:tcPr>
          <w:p w:rsidR="0049577B" w:rsidRPr="00602938" w:rsidRDefault="0049577B" w:rsidP="00A028E4">
            <w:pPr>
              <w:spacing w:line="240" w:lineRule="auto"/>
              <w:ind w:leftChars="0" w:left="0" w:rightChars="0" w:right="0"/>
              <w:jc w:val="center"/>
              <w:rPr>
                <w:sz w:val="24"/>
              </w:rPr>
            </w:pPr>
            <w:r w:rsidRPr="00602938">
              <w:rPr>
                <w:sz w:val="24"/>
              </w:rPr>
              <w:t>百分比</w:t>
            </w:r>
          </w:p>
        </w:tc>
        <w:tc>
          <w:tcPr>
            <w:tcW w:w="1378" w:type="dxa"/>
            <w:vAlign w:val="center"/>
          </w:tcPr>
          <w:p w:rsidR="0049577B" w:rsidRPr="00602938" w:rsidRDefault="0049577B" w:rsidP="00A028E4">
            <w:pPr>
              <w:spacing w:line="240" w:lineRule="auto"/>
              <w:ind w:leftChars="0" w:left="0" w:rightChars="0" w:right="0"/>
              <w:jc w:val="center"/>
              <w:rPr>
                <w:sz w:val="24"/>
              </w:rPr>
            </w:pPr>
            <w:r w:rsidRPr="00602938">
              <w:rPr>
                <w:sz w:val="24"/>
              </w:rPr>
              <w:t>9.30%</w:t>
            </w:r>
          </w:p>
        </w:tc>
        <w:tc>
          <w:tcPr>
            <w:tcW w:w="1617" w:type="dxa"/>
            <w:vAlign w:val="center"/>
          </w:tcPr>
          <w:p w:rsidR="0049577B" w:rsidRPr="00602938" w:rsidRDefault="0049577B" w:rsidP="00A028E4">
            <w:pPr>
              <w:spacing w:line="240" w:lineRule="auto"/>
              <w:ind w:leftChars="0" w:left="0" w:rightChars="0" w:right="0"/>
              <w:jc w:val="center"/>
              <w:rPr>
                <w:sz w:val="24"/>
              </w:rPr>
            </w:pPr>
            <w:r w:rsidRPr="00602938">
              <w:rPr>
                <w:sz w:val="24"/>
              </w:rPr>
              <w:t>6.80%</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0.00%</w:t>
            </w:r>
          </w:p>
        </w:tc>
        <w:tc>
          <w:tcPr>
            <w:tcW w:w="2268" w:type="dxa"/>
            <w:vAlign w:val="center"/>
          </w:tcPr>
          <w:p w:rsidR="0049577B" w:rsidRPr="00602938" w:rsidRDefault="0049577B" w:rsidP="00A028E4">
            <w:pPr>
              <w:spacing w:line="240" w:lineRule="auto"/>
              <w:ind w:leftChars="0" w:left="0" w:rightChars="0" w:right="0"/>
              <w:jc w:val="center"/>
              <w:rPr>
                <w:sz w:val="24"/>
              </w:rPr>
            </w:pPr>
            <w:r w:rsidRPr="00602938">
              <w:rPr>
                <w:sz w:val="24"/>
              </w:rPr>
              <w:t>7.40%</w:t>
            </w:r>
          </w:p>
        </w:tc>
      </w:tr>
      <w:tr w:rsidR="0049577B" w:rsidRPr="00B40DC1" w:rsidTr="00A028E4">
        <w:tc>
          <w:tcPr>
            <w:tcW w:w="1357" w:type="dxa"/>
            <w:vMerge w:val="restart"/>
            <w:vAlign w:val="center"/>
          </w:tcPr>
          <w:p w:rsidR="0049577B" w:rsidRPr="00602938" w:rsidRDefault="0049577B" w:rsidP="00A028E4">
            <w:pPr>
              <w:spacing w:line="240" w:lineRule="auto"/>
              <w:ind w:leftChars="0" w:left="0" w:rightChars="0" w:right="0"/>
              <w:rPr>
                <w:sz w:val="24"/>
              </w:rPr>
            </w:pPr>
            <w:r w:rsidRPr="00602938">
              <w:rPr>
                <w:sz w:val="24"/>
              </w:rPr>
              <w:t>總和</w:t>
            </w:r>
          </w:p>
        </w:tc>
        <w:tc>
          <w:tcPr>
            <w:tcW w:w="1318" w:type="dxa"/>
            <w:vAlign w:val="center"/>
          </w:tcPr>
          <w:p w:rsidR="0049577B" w:rsidRPr="00602938" w:rsidRDefault="0049577B" w:rsidP="00A028E4">
            <w:pPr>
              <w:spacing w:line="240" w:lineRule="auto"/>
              <w:ind w:leftChars="0" w:left="0" w:rightChars="0" w:right="0"/>
              <w:jc w:val="center"/>
              <w:rPr>
                <w:sz w:val="24"/>
              </w:rPr>
            </w:pPr>
            <w:r w:rsidRPr="00602938">
              <w:rPr>
                <w:sz w:val="24"/>
              </w:rPr>
              <w:t>次數</w:t>
            </w:r>
          </w:p>
        </w:tc>
        <w:tc>
          <w:tcPr>
            <w:tcW w:w="1378" w:type="dxa"/>
            <w:vAlign w:val="center"/>
          </w:tcPr>
          <w:p w:rsidR="0049577B" w:rsidRPr="00602938" w:rsidRDefault="0049577B" w:rsidP="00A028E4">
            <w:pPr>
              <w:spacing w:line="240" w:lineRule="auto"/>
              <w:ind w:leftChars="0" w:left="0" w:rightChars="0" w:right="0"/>
              <w:jc w:val="center"/>
              <w:rPr>
                <w:sz w:val="24"/>
              </w:rPr>
            </w:pPr>
            <w:r w:rsidRPr="00602938">
              <w:rPr>
                <w:sz w:val="24"/>
              </w:rPr>
              <w:t>367</w:t>
            </w:r>
          </w:p>
        </w:tc>
        <w:tc>
          <w:tcPr>
            <w:tcW w:w="1617" w:type="dxa"/>
            <w:vAlign w:val="center"/>
          </w:tcPr>
          <w:p w:rsidR="0049577B" w:rsidRPr="00602938" w:rsidRDefault="0049577B" w:rsidP="00A028E4">
            <w:pPr>
              <w:spacing w:line="240" w:lineRule="auto"/>
              <w:ind w:leftChars="0" w:left="0" w:rightChars="0" w:right="0"/>
              <w:jc w:val="center"/>
              <w:rPr>
                <w:sz w:val="24"/>
              </w:rPr>
            </w:pPr>
            <w:r w:rsidRPr="00602938">
              <w:rPr>
                <w:sz w:val="24"/>
              </w:rPr>
              <w:t>622</w:t>
            </w:r>
          </w:p>
        </w:tc>
        <w:tc>
          <w:tcPr>
            <w:tcW w:w="1559" w:type="dxa"/>
            <w:vAlign w:val="center"/>
          </w:tcPr>
          <w:p w:rsidR="0049577B" w:rsidRPr="00602938" w:rsidRDefault="0049577B" w:rsidP="00A028E4">
            <w:pPr>
              <w:spacing w:line="240" w:lineRule="auto"/>
              <w:ind w:leftChars="0" w:left="0" w:rightChars="0" w:right="0"/>
              <w:jc w:val="center"/>
              <w:rPr>
                <w:sz w:val="24"/>
              </w:rPr>
            </w:pPr>
            <w:r w:rsidRPr="00602938">
              <w:rPr>
                <w:sz w:val="24"/>
              </w:rPr>
              <w:t>34</w:t>
            </w:r>
          </w:p>
        </w:tc>
        <w:tc>
          <w:tcPr>
            <w:tcW w:w="2268" w:type="dxa"/>
            <w:vAlign w:val="center"/>
          </w:tcPr>
          <w:p w:rsidR="0049577B" w:rsidRPr="00602938" w:rsidRDefault="0049577B" w:rsidP="00A028E4">
            <w:pPr>
              <w:spacing w:line="240" w:lineRule="auto"/>
              <w:ind w:leftChars="0" w:left="0" w:rightChars="0" w:right="0"/>
              <w:jc w:val="center"/>
              <w:rPr>
                <w:sz w:val="24"/>
              </w:rPr>
            </w:pPr>
            <w:r w:rsidRPr="00602938">
              <w:rPr>
                <w:sz w:val="24"/>
              </w:rPr>
              <w:t>1023</w:t>
            </w:r>
          </w:p>
        </w:tc>
      </w:tr>
      <w:tr w:rsidR="0049577B" w:rsidRPr="00B40DC1" w:rsidTr="00A028E4">
        <w:tc>
          <w:tcPr>
            <w:tcW w:w="1357" w:type="dxa"/>
            <w:vMerge/>
            <w:tcBorders>
              <w:bottom w:val="single" w:sz="8" w:space="0" w:color="auto"/>
            </w:tcBorders>
          </w:tcPr>
          <w:p w:rsidR="0049577B" w:rsidRPr="00602938" w:rsidRDefault="0049577B" w:rsidP="00A028E4">
            <w:pPr>
              <w:spacing w:line="240" w:lineRule="auto"/>
              <w:ind w:leftChars="0" w:left="0" w:rightChars="0" w:right="0"/>
              <w:rPr>
                <w:sz w:val="24"/>
              </w:rPr>
            </w:pPr>
          </w:p>
        </w:tc>
        <w:tc>
          <w:tcPr>
            <w:tcW w:w="1318" w:type="dxa"/>
            <w:tcBorders>
              <w:bottom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百分比</w:t>
            </w:r>
          </w:p>
        </w:tc>
        <w:tc>
          <w:tcPr>
            <w:tcW w:w="1378" w:type="dxa"/>
            <w:tcBorders>
              <w:bottom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100.00%</w:t>
            </w:r>
          </w:p>
        </w:tc>
        <w:tc>
          <w:tcPr>
            <w:tcW w:w="1617" w:type="dxa"/>
            <w:tcBorders>
              <w:bottom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100.00%</w:t>
            </w:r>
          </w:p>
        </w:tc>
        <w:tc>
          <w:tcPr>
            <w:tcW w:w="1559" w:type="dxa"/>
            <w:tcBorders>
              <w:bottom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100.00%</w:t>
            </w:r>
          </w:p>
        </w:tc>
        <w:tc>
          <w:tcPr>
            <w:tcW w:w="2268" w:type="dxa"/>
            <w:tcBorders>
              <w:bottom w:val="single" w:sz="8" w:space="0" w:color="auto"/>
            </w:tcBorders>
            <w:vAlign w:val="center"/>
          </w:tcPr>
          <w:p w:rsidR="0049577B" w:rsidRPr="00602938" w:rsidRDefault="0049577B" w:rsidP="00A028E4">
            <w:pPr>
              <w:spacing w:line="240" w:lineRule="auto"/>
              <w:ind w:leftChars="0" w:left="0" w:rightChars="0" w:right="0"/>
              <w:jc w:val="center"/>
              <w:rPr>
                <w:sz w:val="24"/>
              </w:rPr>
            </w:pPr>
            <w:r w:rsidRPr="00602938">
              <w:rPr>
                <w:sz w:val="24"/>
              </w:rPr>
              <w:t>100.00%</w:t>
            </w:r>
          </w:p>
        </w:tc>
      </w:tr>
      <w:tr w:rsidR="0049577B" w:rsidRPr="00B40DC1" w:rsidTr="00A028E4">
        <w:tc>
          <w:tcPr>
            <w:tcW w:w="1357" w:type="dxa"/>
            <w:tcBorders>
              <w:top w:val="single" w:sz="8" w:space="0" w:color="auto"/>
              <w:bottom w:val="single" w:sz="12" w:space="0" w:color="auto"/>
            </w:tcBorders>
          </w:tcPr>
          <w:p w:rsidR="0049577B" w:rsidRPr="00602938" w:rsidRDefault="0049577B" w:rsidP="00A028E4">
            <w:pPr>
              <w:spacing w:line="240" w:lineRule="auto"/>
              <w:ind w:leftChars="0" w:left="0" w:rightChars="0" w:right="0"/>
              <w:rPr>
                <w:sz w:val="24"/>
              </w:rPr>
            </w:pPr>
            <w:r w:rsidRPr="00602938">
              <w:rPr>
                <w:sz w:val="24"/>
              </w:rPr>
              <w:t>卡方值</w:t>
            </w:r>
          </w:p>
        </w:tc>
        <w:tc>
          <w:tcPr>
            <w:tcW w:w="8140" w:type="dxa"/>
            <w:gridSpan w:val="5"/>
            <w:tcBorders>
              <w:top w:val="single" w:sz="8" w:space="0" w:color="auto"/>
              <w:bottom w:val="single" w:sz="12" w:space="0" w:color="auto"/>
            </w:tcBorders>
          </w:tcPr>
          <w:p w:rsidR="0049577B" w:rsidRPr="00602938" w:rsidRDefault="0049577B" w:rsidP="00A028E4">
            <w:pPr>
              <w:spacing w:line="240" w:lineRule="auto"/>
              <w:ind w:leftChars="0" w:left="0" w:rightChars="0" w:right="0"/>
              <w:rPr>
                <w:sz w:val="24"/>
              </w:rPr>
            </w:pPr>
            <w:r w:rsidRPr="00602938">
              <w:rPr>
                <w:sz w:val="24"/>
              </w:rPr>
              <w:t>χ</w:t>
            </w:r>
            <w:r w:rsidRPr="00602938">
              <w:rPr>
                <w:sz w:val="24"/>
                <w:vertAlign w:val="superscript"/>
              </w:rPr>
              <w:t>2</w:t>
            </w:r>
            <w:r w:rsidRPr="00602938">
              <w:rPr>
                <w:sz w:val="24"/>
              </w:rPr>
              <w:t>=15.55；df=8；p&lt;0.05</w:t>
            </w:r>
          </w:p>
        </w:tc>
      </w:tr>
    </w:tbl>
    <w:p w:rsidR="0049577B" w:rsidRPr="00B40DC1" w:rsidRDefault="00817A92" w:rsidP="00A028E4">
      <w:pPr>
        <w:spacing w:line="240" w:lineRule="auto"/>
        <w:ind w:leftChars="0" w:left="0" w:rightChars="0" w:right="0"/>
      </w:pPr>
      <w:r>
        <w:t>【資料來源】</w:t>
      </w:r>
      <w:r w:rsidR="0049577B" w:rsidRPr="00B40DC1">
        <w:t>作者自行製作。</w:t>
      </w:r>
    </w:p>
    <w:p w:rsidR="0049577B" w:rsidRPr="00B40DC1" w:rsidRDefault="0049577B" w:rsidP="000D26BB"/>
    <w:p w:rsidR="0049577B" w:rsidRDefault="002F101F" w:rsidP="00A66DFC">
      <w:pPr>
        <w:spacing w:line="240" w:lineRule="auto"/>
        <w:ind w:leftChars="0" w:left="0" w:rightChars="0" w:right="0"/>
      </w:pPr>
      <w:r>
        <w:t xml:space="preserve">　　</w:t>
      </w:r>
      <w:r w:rsidR="0049577B" w:rsidRPr="00B40DC1">
        <w:t>過去研究普遍顯示：新移民家庭有較低的家戶收入、新移民與配偶認識方式大多係透過婚姻媒合、有較低的教育程度。而本研究針對設籍在桃園市的新移民家庭生活情形雖有類似發現，但本研究更進一步發現，新移民家庭並不一定均為弱勢家庭，亦不乏社經地位較高的家庭。另外，根據行政院主計總處於2014年所進行的「臺灣地區收支調查」，桃園市平均家戶年收入為1,327,962元。因此，整體而言，相較於本國籍家庭，桃園市新移民的家庭社經地位得確有偏低的現象。最後，本研究進一步針對不同國籍別新移民進行比較分析，則有以下重要研究發現：（一）國籍別和受訪者家庭月收入的關連程度達到統計上的顯著水準（χ2=69.96；df=16；p&lt;0.001）。同時，以原籍為其他國家的新移民家庭月收入較高，以東南亞國家的新移民家庭月收入較低，而大陸及港澳地區的新移民家庭月收入分布較廣。（二）國籍別與受訪者和配偶認識方式的關連程度達到統計上的顯著水準（χ2=141.28；df=10；p&lt;0.001）。同時，以原籍為東南亞國家和大陸及港澳地區新移民的新移民二者與和配偶認識方式均依序為：經由婚姻介紹所認識、透過網路認識。但原國籍為東南亞國家新移民和配偶認識方式經由婚姻介紹所認識的百分比低於大陸及港澳地區新移民，而透過網路認識的百分比則高於大陸及港澳地區新移民。此現象可能是因為早期的新移民透過婚姻介紹所認識的百分比相當高，而晚進的新移民則是有相當大的百分比係透過網路認識所致。而原籍為其他國家的新移民和配偶認識方式依序為：工作關係認識、經由婚姻介紹所認識。（三）國籍別與配偶教育程度的關連程度達到統計上的顯著水準（χ2=88.64；df=16；p&lt;0.001）。同時，相較於其他國籍別新移民，原國籍為其他國家的新移民配偶教育程度相對較高，而大陸及港澳地區新移民配偶教育程度分布較廣。（四）國籍別與配偶健康狀況的關連程度達到統計上的顯著水準（χ2=21.69；df=8；p&lt;0.01）。同時，雖然各種國籍別的新移民配偶健康狀況均以健康狀況良好所占百分比最高，但其中又以其他國家的新移民配偶健康狀況良好所占百分比最高，而以大陸及港澳地區新移民配偶健康狀況良好所占百分比最低。（五）國籍別與受訪者認為子女最基本應該接受到何種教育程度的關連程度達到統計上的顯著水準（χ2=15.55；df=8；p&lt;0.05）。同時，雖然各種國籍別的新移民均以認為子女最基本應該接受到大學或技術學院畢業此一教育程度所占百分比最高，但其中又以原國籍為其他國家的新移民認為子女最基本應該接受到大學或技術學院畢業此一教育程度所占百分比最高，占94.10％；而以東南亞國家新移民所占百分比最低，占72.80％，但其認為子女應該接受到研究所以上教育程度者所占百分比亦最高，占10.40％，顯示東南亞國家新移民對子女教育程度認知存在較大歧異。</w:t>
      </w:r>
    </w:p>
    <w:p w:rsidR="00A028E4" w:rsidRPr="00B40DC1" w:rsidRDefault="00DD52C8" w:rsidP="00A66DFC">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A028E4">
      <w:pPr>
        <w:pStyle w:val="3"/>
        <w:rPr>
          <w:lang w:eastAsia="zh-TW"/>
        </w:rPr>
      </w:pPr>
      <w:bookmarkStart w:id="118" w:name="_三、不同國籍新移民就業情形分析"/>
      <w:bookmarkEnd w:id="118"/>
      <w:r w:rsidRPr="00B40DC1">
        <w:rPr>
          <w:lang w:eastAsia="zh-TW"/>
        </w:rPr>
        <w:t>三、不同國籍新移民就業情形分析</w:t>
      </w:r>
    </w:p>
    <w:p w:rsidR="0049577B" w:rsidRDefault="002F101F" w:rsidP="00A028E4">
      <w:pPr>
        <w:spacing w:line="240" w:lineRule="auto"/>
        <w:ind w:leftChars="0" w:left="0" w:rightChars="0" w:right="0"/>
      </w:pPr>
      <w:r>
        <w:t xml:space="preserve">　　</w:t>
      </w:r>
      <w:r w:rsidR="0049577B" w:rsidRPr="00B40DC1">
        <w:t>表8顯示國籍別與受訪者目前是否就業之關聯性分析。本表顯示：國籍別與受訪者目前是否就業的關連程度達到統計上的顯著水準（χ</w:t>
      </w:r>
      <w:r w:rsidR="0049577B" w:rsidRPr="00B40DC1">
        <w:rPr>
          <w:vertAlign w:val="superscript"/>
        </w:rPr>
        <w:t>2</w:t>
      </w:r>
      <w:r w:rsidR="0049577B" w:rsidRPr="00B40DC1">
        <w:t>=41.48；df=20；p&lt;0.01），顯示：會因為受訪者國籍別之不同，而在目前是否就業上有所差異。當進一步觀察百分比分布情形可以發現，原籍為東南亞國家的新移民就業狀況以從事有報酬工作者所占百分比最高，占58.20％，其次為無工作料理家事，占37.30%。而原籍為大陸及港澳地區新移民就業狀況以從事有報酬工作者所占百分比最高，占44.40％，其次為無工作料理家事，占47.70%。而原籍為其他國家的新移民就業狀況以從事有報酬工作者所占百分比最高，占56.10％，其次為無工作料理家事，占36.60%。可以發現，相較於其他國籍別新移民，以原籍為東南亞國家的新移民目前從事有報酬工作百分比相對較高，而以大陸及港澳地區新移民目前從事有報酬工作百分比相對較低。</w:t>
      </w:r>
    </w:p>
    <w:p w:rsidR="002F101F" w:rsidRPr="00B40DC1" w:rsidRDefault="00DD52C8" w:rsidP="00A66DFC">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表8</w:t>
      </w:r>
      <w:r w:rsidR="00A66DFC">
        <w:rPr>
          <w:rFonts w:ascii="新細明體" w:eastAsia="新細明體" w:hAnsi="新細明體" w:hint="eastAsia"/>
          <w:lang w:eastAsia="zh-TW"/>
        </w:rPr>
        <w:t>、</w:t>
      </w:r>
      <w:r w:rsidRPr="00B40DC1">
        <w:rPr>
          <w:lang w:eastAsia="zh-TW"/>
        </w:rPr>
        <w:t>受訪者國籍與是否就業之關聯分析</w:t>
      </w:r>
    </w:p>
    <w:tbl>
      <w:tblPr>
        <w:tblStyle w:val="43"/>
        <w:tblW w:w="0" w:type="auto"/>
        <w:tblInd w:w="12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1"/>
        <w:gridCol w:w="1436"/>
        <w:gridCol w:w="1665"/>
        <w:gridCol w:w="1666"/>
        <w:gridCol w:w="1665"/>
        <w:gridCol w:w="1666"/>
      </w:tblGrid>
      <w:tr w:rsidR="0049577B" w:rsidRPr="00B40DC1" w:rsidTr="00A66DFC">
        <w:tc>
          <w:tcPr>
            <w:tcW w:w="1541" w:type="dxa"/>
            <w:tcBorders>
              <w:top w:val="single" w:sz="12" w:space="0" w:color="auto"/>
              <w:bottom w:val="single" w:sz="8" w:space="0" w:color="auto"/>
            </w:tcBorders>
            <w:shd w:val="clear" w:color="auto" w:fill="FAF0FA"/>
            <w:vAlign w:val="center"/>
          </w:tcPr>
          <w:p w:rsidR="0049577B" w:rsidRPr="00B40DC1" w:rsidRDefault="0049577B" w:rsidP="00A028E4">
            <w:pPr>
              <w:spacing w:line="240" w:lineRule="auto"/>
              <w:ind w:leftChars="0" w:left="0" w:rightChars="0" w:right="0"/>
              <w:jc w:val="center"/>
            </w:pPr>
            <w:r w:rsidRPr="00B40DC1">
              <w:t>是否就業</w:t>
            </w:r>
          </w:p>
        </w:tc>
        <w:tc>
          <w:tcPr>
            <w:tcW w:w="1436" w:type="dxa"/>
            <w:tcBorders>
              <w:top w:val="single" w:sz="12" w:space="0" w:color="auto"/>
              <w:bottom w:val="single" w:sz="8" w:space="0" w:color="auto"/>
            </w:tcBorders>
            <w:shd w:val="clear" w:color="auto" w:fill="FAF0FA"/>
            <w:vAlign w:val="center"/>
          </w:tcPr>
          <w:p w:rsidR="0049577B" w:rsidRPr="00B40DC1" w:rsidRDefault="0049577B" w:rsidP="00A028E4">
            <w:pPr>
              <w:spacing w:line="240" w:lineRule="auto"/>
              <w:ind w:leftChars="0" w:left="0" w:rightChars="0" w:right="0"/>
              <w:jc w:val="center"/>
            </w:pPr>
            <w:r w:rsidRPr="00B40DC1">
              <w:t>次數</w:t>
            </w:r>
          </w:p>
          <w:p w:rsidR="0049577B" w:rsidRPr="00B40DC1" w:rsidRDefault="0049577B" w:rsidP="00A028E4">
            <w:pPr>
              <w:spacing w:line="240" w:lineRule="auto"/>
              <w:ind w:leftChars="0" w:left="0" w:rightChars="0" w:right="0"/>
              <w:jc w:val="center"/>
            </w:pPr>
            <w:r w:rsidRPr="00B40DC1">
              <w:t>百分比</w:t>
            </w:r>
          </w:p>
        </w:tc>
        <w:tc>
          <w:tcPr>
            <w:tcW w:w="1665" w:type="dxa"/>
            <w:tcBorders>
              <w:top w:val="single" w:sz="12" w:space="0" w:color="auto"/>
              <w:bottom w:val="single" w:sz="8" w:space="0" w:color="auto"/>
            </w:tcBorders>
            <w:shd w:val="clear" w:color="auto" w:fill="FAF0FA"/>
            <w:vAlign w:val="center"/>
          </w:tcPr>
          <w:p w:rsidR="0049577B" w:rsidRPr="00B40DC1" w:rsidRDefault="0049577B" w:rsidP="00A028E4">
            <w:pPr>
              <w:spacing w:line="240" w:lineRule="auto"/>
              <w:ind w:leftChars="0" w:left="0" w:rightChars="0" w:right="0"/>
              <w:jc w:val="center"/>
            </w:pPr>
            <w:r w:rsidRPr="00B40DC1">
              <w:t>東南亞國家</w:t>
            </w:r>
          </w:p>
        </w:tc>
        <w:tc>
          <w:tcPr>
            <w:tcW w:w="1666" w:type="dxa"/>
            <w:tcBorders>
              <w:top w:val="single" w:sz="12" w:space="0" w:color="auto"/>
              <w:bottom w:val="single" w:sz="8" w:space="0" w:color="auto"/>
            </w:tcBorders>
            <w:shd w:val="clear" w:color="auto" w:fill="FAF0FA"/>
            <w:vAlign w:val="center"/>
          </w:tcPr>
          <w:p w:rsidR="0049577B" w:rsidRPr="00B40DC1" w:rsidRDefault="0049577B" w:rsidP="00A028E4">
            <w:pPr>
              <w:spacing w:line="240" w:lineRule="auto"/>
              <w:ind w:leftChars="0" w:left="0" w:rightChars="0" w:right="0"/>
              <w:jc w:val="center"/>
            </w:pPr>
            <w:r w:rsidRPr="00B40DC1">
              <w:t>大陸及港澳地區</w:t>
            </w:r>
          </w:p>
        </w:tc>
        <w:tc>
          <w:tcPr>
            <w:tcW w:w="1665" w:type="dxa"/>
            <w:tcBorders>
              <w:top w:val="single" w:sz="12" w:space="0" w:color="auto"/>
              <w:bottom w:val="single" w:sz="8" w:space="0" w:color="auto"/>
            </w:tcBorders>
            <w:shd w:val="clear" w:color="auto" w:fill="FAF0FA"/>
            <w:vAlign w:val="center"/>
          </w:tcPr>
          <w:p w:rsidR="0049577B" w:rsidRPr="00B40DC1" w:rsidRDefault="0049577B" w:rsidP="00A028E4">
            <w:pPr>
              <w:spacing w:line="240" w:lineRule="auto"/>
              <w:ind w:leftChars="0" w:left="0" w:rightChars="0" w:right="0"/>
              <w:jc w:val="center"/>
            </w:pPr>
            <w:r w:rsidRPr="00B40DC1">
              <w:t>其他國家</w:t>
            </w:r>
          </w:p>
        </w:tc>
        <w:tc>
          <w:tcPr>
            <w:tcW w:w="1666" w:type="dxa"/>
            <w:tcBorders>
              <w:top w:val="single" w:sz="12" w:space="0" w:color="auto"/>
              <w:bottom w:val="single" w:sz="8" w:space="0" w:color="auto"/>
            </w:tcBorders>
            <w:shd w:val="clear" w:color="auto" w:fill="FAF0FA"/>
            <w:vAlign w:val="center"/>
          </w:tcPr>
          <w:p w:rsidR="0049577B" w:rsidRPr="00B40DC1" w:rsidRDefault="0049577B" w:rsidP="00A028E4">
            <w:pPr>
              <w:spacing w:line="240" w:lineRule="auto"/>
              <w:ind w:leftChars="0" w:left="0" w:rightChars="0" w:right="0"/>
              <w:jc w:val="center"/>
            </w:pPr>
            <w:r w:rsidRPr="00B40DC1">
              <w:t>總和</w:t>
            </w:r>
          </w:p>
        </w:tc>
      </w:tr>
      <w:tr w:rsidR="0049577B" w:rsidRPr="00B40DC1" w:rsidTr="00A66DFC">
        <w:tc>
          <w:tcPr>
            <w:tcW w:w="1541" w:type="dxa"/>
            <w:vMerge w:val="restart"/>
            <w:tcBorders>
              <w:top w:val="single" w:sz="8" w:space="0" w:color="auto"/>
            </w:tcBorders>
            <w:vAlign w:val="center"/>
          </w:tcPr>
          <w:p w:rsidR="0049577B" w:rsidRPr="00B40DC1" w:rsidRDefault="0049577B" w:rsidP="005D5F2F">
            <w:pPr>
              <w:spacing w:line="240" w:lineRule="auto"/>
              <w:ind w:leftChars="0" w:left="0" w:rightChars="0" w:right="0"/>
            </w:pPr>
            <w:r w:rsidRPr="00B40DC1">
              <w:t>從事有報酬工作</w:t>
            </w:r>
          </w:p>
        </w:tc>
        <w:tc>
          <w:tcPr>
            <w:tcW w:w="1436" w:type="dxa"/>
            <w:tcBorders>
              <w:top w:val="single" w:sz="8" w:space="0" w:color="auto"/>
            </w:tcBorders>
            <w:vAlign w:val="center"/>
          </w:tcPr>
          <w:p w:rsidR="0049577B" w:rsidRPr="00B40DC1" w:rsidRDefault="0049577B" w:rsidP="00A028E4">
            <w:pPr>
              <w:spacing w:line="240" w:lineRule="auto"/>
              <w:ind w:leftChars="0" w:left="0" w:rightChars="0" w:right="0"/>
              <w:jc w:val="center"/>
            </w:pPr>
            <w:r w:rsidRPr="00B40DC1">
              <w:t>次數</w:t>
            </w:r>
          </w:p>
        </w:tc>
        <w:tc>
          <w:tcPr>
            <w:tcW w:w="1665" w:type="dxa"/>
            <w:tcBorders>
              <w:top w:val="single" w:sz="8" w:space="0" w:color="auto"/>
            </w:tcBorders>
            <w:vAlign w:val="center"/>
          </w:tcPr>
          <w:p w:rsidR="0049577B" w:rsidRPr="00B40DC1" w:rsidRDefault="0049577B" w:rsidP="00A028E4">
            <w:pPr>
              <w:spacing w:line="240" w:lineRule="auto"/>
              <w:ind w:leftChars="0" w:left="0" w:rightChars="0" w:right="0"/>
              <w:jc w:val="center"/>
            </w:pPr>
            <w:r w:rsidRPr="00B40DC1">
              <w:t>262</w:t>
            </w:r>
          </w:p>
        </w:tc>
        <w:tc>
          <w:tcPr>
            <w:tcW w:w="1666" w:type="dxa"/>
            <w:tcBorders>
              <w:top w:val="single" w:sz="8" w:space="0" w:color="auto"/>
            </w:tcBorders>
            <w:vAlign w:val="center"/>
          </w:tcPr>
          <w:p w:rsidR="0049577B" w:rsidRPr="00B40DC1" w:rsidRDefault="0049577B" w:rsidP="00A028E4">
            <w:pPr>
              <w:spacing w:line="240" w:lineRule="auto"/>
              <w:ind w:leftChars="0" w:left="0" w:rightChars="0" w:right="0"/>
              <w:jc w:val="center"/>
            </w:pPr>
            <w:r w:rsidRPr="00B40DC1">
              <w:t>411</w:t>
            </w:r>
          </w:p>
        </w:tc>
        <w:tc>
          <w:tcPr>
            <w:tcW w:w="1665" w:type="dxa"/>
            <w:tcBorders>
              <w:top w:val="single" w:sz="8" w:space="0" w:color="auto"/>
            </w:tcBorders>
            <w:vAlign w:val="center"/>
          </w:tcPr>
          <w:p w:rsidR="0049577B" w:rsidRPr="00B40DC1" w:rsidRDefault="0049577B" w:rsidP="00A028E4">
            <w:pPr>
              <w:spacing w:line="240" w:lineRule="auto"/>
              <w:ind w:leftChars="0" w:left="0" w:rightChars="0" w:right="0"/>
              <w:jc w:val="center"/>
            </w:pPr>
            <w:r w:rsidRPr="00B40DC1">
              <w:t>23</w:t>
            </w:r>
          </w:p>
        </w:tc>
        <w:tc>
          <w:tcPr>
            <w:tcW w:w="1666" w:type="dxa"/>
            <w:tcBorders>
              <w:top w:val="single" w:sz="8" w:space="0" w:color="auto"/>
            </w:tcBorders>
            <w:vAlign w:val="center"/>
          </w:tcPr>
          <w:p w:rsidR="0049577B" w:rsidRPr="00B40DC1" w:rsidRDefault="0049577B" w:rsidP="00A028E4">
            <w:pPr>
              <w:spacing w:line="240" w:lineRule="auto"/>
              <w:ind w:leftChars="0" w:left="0" w:rightChars="0" w:right="0"/>
              <w:jc w:val="center"/>
            </w:pPr>
            <w:r w:rsidRPr="00B40DC1">
              <w:t>696</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58.20%</w:t>
            </w:r>
          </w:p>
        </w:tc>
        <w:tc>
          <w:tcPr>
            <w:tcW w:w="1666" w:type="dxa"/>
            <w:vAlign w:val="center"/>
          </w:tcPr>
          <w:p w:rsidR="0049577B" w:rsidRPr="00B40DC1" w:rsidRDefault="0049577B" w:rsidP="00A028E4">
            <w:pPr>
              <w:spacing w:line="240" w:lineRule="auto"/>
              <w:ind w:leftChars="0" w:left="0" w:rightChars="0" w:right="0"/>
              <w:jc w:val="center"/>
            </w:pPr>
            <w:r w:rsidRPr="00B40DC1">
              <w:t>44.40%</w:t>
            </w:r>
          </w:p>
        </w:tc>
        <w:tc>
          <w:tcPr>
            <w:tcW w:w="1665" w:type="dxa"/>
            <w:vAlign w:val="center"/>
          </w:tcPr>
          <w:p w:rsidR="0049577B" w:rsidRPr="00B40DC1" w:rsidRDefault="0049577B" w:rsidP="00A028E4">
            <w:pPr>
              <w:spacing w:line="240" w:lineRule="auto"/>
              <w:ind w:leftChars="0" w:left="0" w:rightChars="0" w:right="0"/>
              <w:jc w:val="center"/>
            </w:pPr>
            <w:r w:rsidRPr="00B40DC1">
              <w:t>56.10%</w:t>
            </w:r>
          </w:p>
        </w:tc>
        <w:tc>
          <w:tcPr>
            <w:tcW w:w="1666" w:type="dxa"/>
            <w:vAlign w:val="center"/>
          </w:tcPr>
          <w:p w:rsidR="0049577B" w:rsidRPr="00B40DC1" w:rsidRDefault="0049577B" w:rsidP="00A028E4">
            <w:pPr>
              <w:spacing w:line="240" w:lineRule="auto"/>
              <w:ind w:leftChars="0" w:left="0" w:rightChars="0" w:right="0"/>
              <w:jc w:val="center"/>
            </w:pPr>
            <w:r w:rsidRPr="00B40DC1">
              <w:t>49.20%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從事無酬家屬工作</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9</w:t>
            </w:r>
          </w:p>
        </w:tc>
        <w:tc>
          <w:tcPr>
            <w:tcW w:w="1666" w:type="dxa"/>
            <w:vAlign w:val="center"/>
          </w:tcPr>
          <w:p w:rsidR="0049577B" w:rsidRPr="00B40DC1" w:rsidRDefault="0049577B" w:rsidP="00A028E4">
            <w:pPr>
              <w:spacing w:line="240" w:lineRule="auto"/>
              <w:ind w:leftChars="0" w:left="0" w:rightChars="0" w:right="0"/>
              <w:jc w:val="center"/>
            </w:pPr>
            <w:r w:rsidRPr="00B40DC1">
              <w:t>24</w:t>
            </w:r>
          </w:p>
        </w:tc>
        <w:tc>
          <w:tcPr>
            <w:tcW w:w="1665" w:type="dxa"/>
            <w:vAlign w:val="center"/>
          </w:tcPr>
          <w:p w:rsidR="0049577B" w:rsidRPr="00B40DC1" w:rsidRDefault="0049577B" w:rsidP="00A028E4">
            <w:pPr>
              <w:spacing w:line="240" w:lineRule="auto"/>
              <w:ind w:leftChars="0" w:left="0" w:rightChars="0" w:right="0"/>
              <w:jc w:val="center"/>
            </w:pPr>
            <w:r w:rsidRPr="00B40DC1">
              <w:t>2</w:t>
            </w:r>
          </w:p>
        </w:tc>
        <w:tc>
          <w:tcPr>
            <w:tcW w:w="1666" w:type="dxa"/>
            <w:vAlign w:val="center"/>
          </w:tcPr>
          <w:p w:rsidR="0049577B" w:rsidRPr="00B40DC1" w:rsidRDefault="0049577B" w:rsidP="00A028E4">
            <w:pPr>
              <w:spacing w:line="240" w:lineRule="auto"/>
              <w:ind w:leftChars="0" w:left="0" w:rightChars="0" w:right="0"/>
              <w:jc w:val="center"/>
            </w:pPr>
            <w:r w:rsidRPr="00B40DC1">
              <w:t>35</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2.00%</w:t>
            </w:r>
          </w:p>
        </w:tc>
        <w:tc>
          <w:tcPr>
            <w:tcW w:w="1666" w:type="dxa"/>
            <w:vAlign w:val="center"/>
          </w:tcPr>
          <w:p w:rsidR="0049577B" w:rsidRPr="00B40DC1" w:rsidRDefault="0049577B" w:rsidP="00A028E4">
            <w:pPr>
              <w:spacing w:line="240" w:lineRule="auto"/>
              <w:ind w:leftChars="0" w:left="0" w:rightChars="0" w:right="0"/>
              <w:jc w:val="center"/>
            </w:pPr>
            <w:r w:rsidRPr="00B40DC1">
              <w:t>2.60%</w:t>
            </w:r>
          </w:p>
        </w:tc>
        <w:tc>
          <w:tcPr>
            <w:tcW w:w="1665" w:type="dxa"/>
            <w:vAlign w:val="center"/>
          </w:tcPr>
          <w:p w:rsidR="0049577B" w:rsidRPr="00B40DC1" w:rsidRDefault="0049577B" w:rsidP="00A028E4">
            <w:pPr>
              <w:spacing w:line="240" w:lineRule="auto"/>
              <w:ind w:leftChars="0" w:left="0" w:rightChars="0" w:right="0"/>
              <w:jc w:val="center"/>
            </w:pPr>
            <w:r w:rsidRPr="00B40DC1">
              <w:t>4.90%</w:t>
            </w:r>
          </w:p>
        </w:tc>
        <w:tc>
          <w:tcPr>
            <w:tcW w:w="1666" w:type="dxa"/>
            <w:vAlign w:val="center"/>
          </w:tcPr>
          <w:p w:rsidR="0049577B" w:rsidRPr="00B40DC1" w:rsidRDefault="0049577B" w:rsidP="00A028E4">
            <w:pPr>
              <w:spacing w:line="240" w:lineRule="auto"/>
              <w:ind w:leftChars="0" w:left="0" w:rightChars="0" w:right="0"/>
              <w:jc w:val="center"/>
            </w:pPr>
            <w:r w:rsidRPr="00B40DC1">
              <w:t>2.50%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有工作未做但領有報酬</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0</w:t>
            </w:r>
          </w:p>
        </w:tc>
        <w:tc>
          <w:tcPr>
            <w:tcW w:w="1666" w:type="dxa"/>
            <w:vAlign w:val="center"/>
          </w:tcPr>
          <w:p w:rsidR="0049577B" w:rsidRPr="00B40DC1" w:rsidRDefault="0049577B" w:rsidP="00A028E4">
            <w:pPr>
              <w:spacing w:line="240" w:lineRule="auto"/>
              <w:ind w:leftChars="0" w:left="0" w:rightChars="0" w:right="0"/>
              <w:jc w:val="center"/>
            </w:pPr>
            <w:r w:rsidRPr="00B40DC1">
              <w:t>1</w:t>
            </w:r>
          </w:p>
        </w:tc>
        <w:tc>
          <w:tcPr>
            <w:tcW w:w="1665" w:type="dxa"/>
            <w:vAlign w:val="center"/>
          </w:tcPr>
          <w:p w:rsidR="0049577B" w:rsidRPr="00B40DC1" w:rsidRDefault="0049577B" w:rsidP="00A028E4">
            <w:pPr>
              <w:spacing w:line="240" w:lineRule="auto"/>
              <w:ind w:leftChars="0" w:left="0" w:rightChars="0" w:right="0"/>
              <w:jc w:val="center"/>
            </w:pPr>
            <w:r w:rsidRPr="00B40DC1">
              <w:t>0</w:t>
            </w:r>
          </w:p>
        </w:tc>
        <w:tc>
          <w:tcPr>
            <w:tcW w:w="1666" w:type="dxa"/>
            <w:vAlign w:val="center"/>
          </w:tcPr>
          <w:p w:rsidR="0049577B" w:rsidRPr="00B40DC1" w:rsidRDefault="0049577B" w:rsidP="00A028E4">
            <w:pPr>
              <w:spacing w:line="240" w:lineRule="auto"/>
              <w:ind w:leftChars="0" w:left="0" w:rightChars="0" w:right="0"/>
              <w:jc w:val="center"/>
            </w:pPr>
            <w:r w:rsidRPr="00B40DC1">
              <w:t>1</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0.00%</w:t>
            </w:r>
          </w:p>
        </w:tc>
        <w:tc>
          <w:tcPr>
            <w:tcW w:w="1666" w:type="dxa"/>
            <w:vAlign w:val="center"/>
          </w:tcPr>
          <w:p w:rsidR="0049577B" w:rsidRPr="00B40DC1" w:rsidRDefault="0049577B" w:rsidP="00A028E4">
            <w:pPr>
              <w:spacing w:line="240" w:lineRule="auto"/>
              <w:ind w:leftChars="0" w:left="0" w:rightChars="0" w:right="0"/>
              <w:jc w:val="center"/>
            </w:pPr>
            <w:r w:rsidRPr="00B40DC1">
              <w:t>0.10%</w:t>
            </w:r>
          </w:p>
        </w:tc>
        <w:tc>
          <w:tcPr>
            <w:tcW w:w="1665" w:type="dxa"/>
            <w:vAlign w:val="center"/>
          </w:tcPr>
          <w:p w:rsidR="0049577B" w:rsidRPr="00B40DC1" w:rsidRDefault="0049577B" w:rsidP="00A028E4">
            <w:pPr>
              <w:spacing w:line="240" w:lineRule="auto"/>
              <w:ind w:leftChars="0" w:left="0" w:rightChars="0" w:right="0"/>
              <w:jc w:val="center"/>
            </w:pPr>
            <w:r w:rsidRPr="00B40DC1">
              <w:t>0.00%</w:t>
            </w:r>
          </w:p>
        </w:tc>
        <w:tc>
          <w:tcPr>
            <w:tcW w:w="1666" w:type="dxa"/>
            <w:vAlign w:val="center"/>
          </w:tcPr>
          <w:p w:rsidR="0049577B" w:rsidRPr="00B40DC1" w:rsidRDefault="0049577B" w:rsidP="00A028E4">
            <w:pPr>
              <w:spacing w:line="240" w:lineRule="auto"/>
              <w:ind w:leftChars="0" w:left="0" w:rightChars="0" w:right="0"/>
              <w:jc w:val="center"/>
            </w:pPr>
            <w:r w:rsidRPr="00B40DC1">
              <w:t>0.10%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有工作未做沒有領報酬</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1</w:t>
            </w:r>
          </w:p>
        </w:tc>
        <w:tc>
          <w:tcPr>
            <w:tcW w:w="1666" w:type="dxa"/>
            <w:vAlign w:val="center"/>
          </w:tcPr>
          <w:p w:rsidR="0049577B" w:rsidRPr="00B40DC1" w:rsidRDefault="0049577B" w:rsidP="00A028E4">
            <w:pPr>
              <w:spacing w:line="240" w:lineRule="auto"/>
              <w:ind w:leftChars="0" w:left="0" w:rightChars="0" w:right="0"/>
              <w:jc w:val="center"/>
            </w:pPr>
            <w:r w:rsidRPr="00B40DC1">
              <w:t>2</w:t>
            </w:r>
          </w:p>
        </w:tc>
        <w:tc>
          <w:tcPr>
            <w:tcW w:w="1665" w:type="dxa"/>
            <w:vAlign w:val="center"/>
          </w:tcPr>
          <w:p w:rsidR="0049577B" w:rsidRPr="00B40DC1" w:rsidRDefault="0049577B" w:rsidP="00A028E4">
            <w:pPr>
              <w:spacing w:line="240" w:lineRule="auto"/>
              <w:ind w:leftChars="0" w:left="0" w:rightChars="0" w:right="0"/>
              <w:jc w:val="center"/>
            </w:pPr>
            <w:r w:rsidRPr="00B40DC1">
              <w:t>0</w:t>
            </w:r>
          </w:p>
        </w:tc>
        <w:tc>
          <w:tcPr>
            <w:tcW w:w="1666" w:type="dxa"/>
            <w:vAlign w:val="center"/>
          </w:tcPr>
          <w:p w:rsidR="0049577B" w:rsidRPr="00B40DC1" w:rsidRDefault="0049577B" w:rsidP="00A028E4">
            <w:pPr>
              <w:spacing w:line="240" w:lineRule="auto"/>
              <w:ind w:leftChars="0" w:left="0" w:rightChars="0" w:right="0"/>
              <w:jc w:val="center"/>
            </w:pPr>
            <w:r w:rsidRPr="00B40DC1">
              <w:t>3</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0.20%</w:t>
            </w:r>
          </w:p>
        </w:tc>
        <w:tc>
          <w:tcPr>
            <w:tcW w:w="1666" w:type="dxa"/>
            <w:vAlign w:val="center"/>
          </w:tcPr>
          <w:p w:rsidR="0049577B" w:rsidRPr="00B40DC1" w:rsidRDefault="0049577B" w:rsidP="00A028E4">
            <w:pPr>
              <w:spacing w:line="240" w:lineRule="auto"/>
              <w:ind w:leftChars="0" w:left="0" w:rightChars="0" w:right="0"/>
              <w:jc w:val="center"/>
            </w:pPr>
            <w:r w:rsidRPr="00B40DC1">
              <w:t>0.20%</w:t>
            </w:r>
          </w:p>
        </w:tc>
        <w:tc>
          <w:tcPr>
            <w:tcW w:w="1665" w:type="dxa"/>
            <w:vAlign w:val="center"/>
          </w:tcPr>
          <w:p w:rsidR="0049577B" w:rsidRPr="00B40DC1" w:rsidRDefault="0049577B" w:rsidP="00A028E4">
            <w:pPr>
              <w:spacing w:line="240" w:lineRule="auto"/>
              <w:ind w:leftChars="0" w:left="0" w:rightChars="0" w:right="0"/>
              <w:jc w:val="center"/>
            </w:pPr>
            <w:r w:rsidRPr="00B40DC1">
              <w:t>0.00%</w:t>
            </w:r>
          </w:p>
        </w:tc>
        <w:tc>
          <w:tcPr>
            <w:tcW w:w="1666" w:type="dxa"/>
            <w:vAlign w:val="center"/>
          </w:tcPr>
          <w:p w:rsidR="0049577B" w:rsidRPr="00B40DC1" w:rsidRDefault="0049577B" w:rsidP="00A028E4">
            <w:pPr>
              <w:spacing w:line="240" w:lineRule="auto"/>
              <w:ind w:leftChars="0" w:left="0" w:rightChars="0" w:right="0"/>
              <w:jc w:val="center"/>
            </w:pPr>
            <w:r w:rsidRPr="00B40DC1">
              <w:t>0.20%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沒有工作正在找工作</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1</w:t>
            </w:r>
          </w:p>
        </w:tc>
        <w:tc>
          <w:tcPr>
            <w:tcW w:w="1666" w:type="dxa"/>
            <w:vAlign w:val="center"/>
          </w:tcPr>
          <w:p w:rsidR="0049577B" w:rsidRPr="00B40DC1" w:rsidRDefault="0049577B" w:rsidP="00A028E4">
            <w:pPr>
              <w:spacing w:line="240" w:lineRule="auto"/>
              <w:ind w:leftChars="0" w:left="0" w:rightChars="0" w:right="0"/>
              <w:jc w:val="center"/>
            </w:pPr>
            <w:r w:rsidRPr="00B40DC1">
              <w:t>1</w:t>
            </w:r>
          </w:p>
        </w:tc>
        <w:tc>
          <w:tcPr>
            <w:tcW w:w="1665" w:type="dxa"/>
            <w:vAlign w:val="center"/>
          </w:tcPr>
          <w:p w:rsidR="0049577B" w:rsidRPr="00B40DC1" w:rsidRDefault="0049577B" w:rsidP="00A028E4">
            <w:pPr>
              <w:spacing w:line="240" w:lineRule="auto"/>
              <w:ind w:leftChars="0" w:left="0" w:rightChars="0" w:right="0"/>
              <w:jc w:val="center"/>
            </w:pPr>
            <w:r w:rsidRPr="00B40DC1">
              <w:t>0</w:t>
            </w:r>
          </w:p>
        </w:tc>
        <w:tc>
          <w:tcPr>
            <w:tcW w:w="1666" w:type="dxa"/>
            <w:vAlign w:val="center"/>
          </w:tcPr>
          <w:p w:rsidR="0049577B" w:rsidRPr="00B40DC1" w:rsidRDefault="0049577B" w:rsidP="00A028E4">
            <w:pPr>
              <w:spacing w:line="240" w:lineRule="auto"/>
              <w:ind w:leftChars="0" w:left="0" w:rightChars="0" w:right="0"/>
              <w:jc w:val="center"/>
            </w:pPr>
            <w:r w:rsidRPr="00B40DC1">
              <w:t>2</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0.20%</w:t>
            </w:r>
          </w:p>
        </w:tc>
        <w:tc>
          <w:tcPr>
            <w:tcW w:w="1666" w:type="dxa"/>
            <w:vAlign w:val="center"/>
          </w:tcPr>
          <w:p w:rsidR="0049577B" w:rsidRPr="00B40DC1" w:rsidRDefault="0049577B" w:rsidP="00A028E4">
            <w:pPr>
              <w:spacing w:line="240" w:lineRule="auto"/>
              <w:ind w:leftChars="0" w:left="0" w:rightChars="0" w:right="0"/>
              <w:jc w:val="center"/>
            </w:pPr>
            <w:r w:rsidRPr="00B40DC1">
              <w:t>0.10%</w:t>
            </w:r>
          </w:p>
        </w:tc>
        <w:tc>
          <w:tcPr>
            <w:tcW w:w="1665" w:type="dxa"/>
            <w:vAlign w:val="center"/>
          </w:tcPr>
          <w:p w:rsidR="0049577B" w:rsidRPr="00B40DC1" w:rsidRDefault="0049577B" w:rsidP="00A028E4">
            <w:pPr>
              <w:spacing w:line="240" w:lineRule="auto"/>
              <w:ind w:leftChars="0" w:left="0" w:rightChars="0" w:right="0"/>
              <w:jc w:val="center"/>
            </w:pPr>
            <w:r w:rsidRPr="00B40DC1">
              <w:t>0.00%</w:t>
            </w:r>
          </w:p>
        </w:tc>
        <w:tc>
          <w:tcPr>
            <w:tcW w:w="1666" w:type="dxa"/>
            <w:vAlign w:val="center"/>
          </w:tcPr>
          <w:p w:rsidR="0049577B" w:rsidRPr="00B40DC1" w:rsidRDefault="0049577B" w:rsidP="00A028E4">
            <w:pPr>
              <w:spacing w:line="240" w:lineRule="auto"/>
              <w:ind w:leftChars="0" w:left="0" w:rightChars="0" w:right="0"/>
              <w:jc w:val="center"/>
            </w:pPr>
            <w:r w:rsidRPr="00B40DC1">
              <w:t>0.10%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想工作但還沒找工作</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1</w:t>
            </w:r>
          </w:p>
        </w:tc>
        <w:tc>
          <w:tcPr>
            <w:tcW w:w="1666" w:type="dxa"/>
            <w:vAlign w:val="center"/>
          </w:tcPr>
          <w:p w:rsidR="0049577B" w:rsidRPr="00B40DC1" w:rsidRDefault="0049577B" w:rsidP="00A028E4">
            <w:pPr>
              <w:spacing w:line="240" w:lineRule="auto"/>
              <w:ind w:leftChars="0" w:left="0" w:rightChars="0" w:right="0"/>
              <w:jc w:val="center"/>
            </w:pPr>
            <w:r w:rsidRPr="00B40DC1">
              <w:t>13</w:t>
            </w:r>
          </w:p>
        </w:tc>
        <w:tc>
          <w:tcPr>
            <w:tcW w:w="1665" w:type="dxa"/>
            <w:vAlign w:val="center"/>
          </w:tcPr>
          <w:p w:rsidR="0049577B" w:rsidRPr="00B40DC1" w:rsidRDefault="0049577B" w:rsidP="00A028E4">
            <w:pPr>
              <w:spacing w:line="240" w:lineRule="auto"/>
              <w:ind w:leftChars="0" w:left="0" w:rightChars="0" w:right="0"/>
              <w:jc w:val="center"/>
            </w:pPr>
            <w:r w:rsidRPr="00B40DC1">
              <w:t>0</w:t>
            </w:r>
          </w:p>
        </w:tc>
        <w:tc>
          <w:tcPr>
            <w:tcW w:w="1666" w:type="dxa"/>
            <w:vAlign w:val="center"/>
          </w:tcPr>
          <w:p w:rsidR="0049577B" w:rsidRPr="00B40DC1" w:rsidRDefault="0049577B" w:rsidP="00A028E4">
            <w:pPr>
              <w:spacing w:line="240" w:lineRule="auto"/>
              <w:ind w:leftChars="0" w:left="0" w:rightChars="0" w:right="0"/>
              <w:jc w:val="center"/>
            </w:pPr>
            <w:r w:rsidRPr="00B40DC1">
              <w:t>14</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0.20%</w:t>
            </w:r>
          </w:p>
        </w:tc>
        <w:tc>
          <w:tcPr>
            <w:tcW w:w="1666" w:type="dxa"/>
            <w:vAlign w:val="center"/>
          </w:tcPr>
          <w:p w:rsidR="0049577B" w:rsidRPr="00B40DC1" w:rsidRDefault="0049577B" w:rsidP="00A028E4">
            <w:pPr>
              <w:spacing w:line="240" w:lineRule="auto"/>
              <w:ind w:leftChars="0" w:left="0" w:rightChars="0" w:right="0"/>
              <w:jc w:val="center"/>
            </w:pPr>
            <w:r w:rsidRPr="00B40DC1">
              <w:t>1.40%</w:t>
            </w:r>
          </w:p>
        </w:tc>
        <w:tc>
          <w:tcPr>
            <w:tcW w:w="1665" w:type="dxa"/>
            <w:vAlign w:val="center"/>
          </w:tcPr>
          <w:p w:rsidR="0049577B" w:rsidRPr="00B40DC1" w:rsidRDefault="0049577B" w:rsidP="00A028E4">
            <w:pPr>
              <w:spacing w:line="240" w:lineRule="auto"/>
              <w:ind w:leftChars="0" w:left="0" w:rightChars="0" w:right="0"/>
              <w:jc w:val="center"/>
            </w:pPr>
            <w:r w:rsidRPr="00B40DC1">
              <w:t>0.00%</w:t>
            </w:r>
          </w:p>
        </w:tc>
        <w:tc>
          <w:tcPr>
            <w:tcW w:w="1666" w:type="dxa"/>
            <w:vAlign w:val="center"/>
          </w:tcPr>
          <w:p w:rsidR="0049577B" w:rsidRPr="00B40DC1" w:rsidRDefault="0049577B" w:rsidP="00A028E4">
            <w:pPr>
              <w:spacing w:line="240" w:lineRule="auto"/>
              <w:ind w:leftChars="0" w:left="0" w:rightChars="0" w:right="0"/>
              <w:jc w:val="center"/>
            </w:pPr>
            <w:r w:rsidRPr="00B40DC1">
              <w:t>1.00%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無工作升學</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2</w:t>
            </w:r>
          </w:p>
        </w:tc>
        <w:tc>
          <w:tcPr>
            <w:tcW w:w="1666" w:type="dxa"/>
            <w:vAlign w:val="center"/>
          </w:tcPr>
          <w:p w:rsidR="0049577B" w:rsidRPr="00B40DC1" w:rsidRDefault="0049577B" w:rsidP="00A028E4">
            <w:pPr>
              <w:spacing w:line="240" w:lineRule="auto"/>
              <w:ind w:leftChars="0" w:left="0" w:rightChars="0" w:right="0"/>
              <w:jc w:val="center"/>
            </w:pPr>
            <w:r w:rsidRPr="00B40DC1">
              <w:t>5</w:t>
            </w:r>
          </w:p>
        </w:tc>
        <w:tc>
          <w:tcPr>
            <w:tcW w:w="1665" w:type="dxa"/>
            <w:vAlign w:val="center"/>
          </w:tcPr>
          <w:p w:rsidR="0049577B" w:rsidRPr="00B40DC1" w:rsidRDefault="0049577B" w:rsidP="00A028E4">
            <w:pPr>
              <w:spacing w:line="240" w:lineRule="auto"/>
              <w:ind w:leftChars="0" w:left="0" w:rightChars="0" w:right="0"/>
              <w:jc w:val="center"/>
            </w:pPr>
            <w:r w:rsidRPr="00B40DC1">
              <w:t>0</w:t>
            </w:r>
          </w:p>
        </w:tc>
        <w:tc>
          <w:tcPr>
            <w:tcW w:w="1666" w:type="dxa"/>
            <w:vAlign w:val="center"/>
          </w:tcPr>
          <w:p w:rsidR="0049577B" w:rsidRPr="00B40DC1" w:rsidRDefault="0049577B" w:rsidP="00A028E4">
            <w:pPr>
              <w:spacing w:line="240" w:lineRule="auto"/>
              <w:ind w:leftChars="0" w:left="0" w:rightChars="0" w:right="0"/>
              <w:jc w:val="center"/>
            </w:pPr>
            <w:r w:rsidRPr="00B40DC1">
              <w:t>7</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0.40%</w:t>
            </w:r>
          </w:p>
        </w:tc>
        <w:tc>
          <w:tcPr>
            <w:tcW w:w="1666" w:type="dxa"/>
            <w:vAlign w:val="center"/>
          </w:tcPr>
          <w:p w:rsidR="0049577B" w:rsidRPr="00B40DC1" w:rsidRDefault="0049577B" w:rsidP="00A028E4">
            <w:pPr>
              <w:spacing w:line="240" w:lineRule="auto"/>
              <w:ind w:leftChars="0" w:left="0" w:rightChars="0" w:right="0"/>
              <w:jc w:val="center"/>
            </w:pPr>
            <w:r w:rsidRPr="00B40DC1">
              <w:t>0.50%</w:t>
            </w:r>
          </w:p>
        </w:tc>
        <w:tc>
          <w:tcPr>
            <w:tcW w:w="1665" w:type="dxa"/>
            <w:vAlign w:val="center"/>
          </w:tcPr>
          <w:p w:rsidR="0049577B" w:rsidRPr="00B40DC1" w:rsidRDefault="0049577B" w:rsidP="00A028E4">
            <w:pPr>
              <w:spacing w:line="240" w:lineRule="auto"/>
              <w:ind w:leftChars="0" w:left="0" w:rightChars="0" w:right="0"/>
              <w:jc w:val="center"/>
            </w:pPr>
            <w:r w:rsidRPr="00B40DC1">
              <w:t>0.00%</w:t>
            </w:r>
          </w:p>
        </w:tc>
        <w:tc>
          <w:tcPr>
            <w:tcW w:w="1666" w:type="dxa"/>
            <w:vAlign w:val="center"/>
          </w:tcPr>
          <w:p w:rsidR="0049577B" w:rsidRPr="00B40DC1" w:rsidRDefault="0049577B" w:rsidP="00A028E4">
            <w:pPr>
              <w:spacing w:line="240" w:lineRule="auto"/>
              <w:ind w:leftChars="0" w:left="0" w:rightChars="0" w:right="0"/>
              <w:jc w:val="center"/>
            </w:pPr>
            <w:r w:rsidRPr="00B40DC1">
              <w:t>0.50%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無工作料理家事</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168</w:t>
            </w:r>
          </w:p>
        </w:tc>
        <w:tc>
          <w:tcPr>
            <w:tcW w:w="1666" w:type="dxa"/>
            <w:vAlign w:val="center"/>
          </w:tcPr>
          <w:p w:rsidR="0049577B" w:rsidRPr="00B40DC1" w:rsidRDefault="0049577B" w:rsidP="00A028E4">
            <w:pPr>
              <w:spacing w:line="240" w:lineRule="auto"/>
              <w:ind w:leftChars="0" w:left="0" w:rightChars="0" w:right="0"/>
              <w:jc w:val="center"/>
            </w:pPr>
            <w:r w:rsidRPr="00B40DC1">
              <w:t>441</w:t>
            </w:r>
          </w:p>
        </w:tc>
        <w:tc>
          <w:tcPr>
            <w:tcW w:w="1665" w:type="dxa"/>
            <w:vAlign w:val="center"/>
          </w:tcPr>
          <w:p w:rsidR="0049577B" w:rsidRPr="00B40DC1" w:rsidRDefault="0049577B" w:rsidP="00A028E4">
            <w:pPr>
              <w:spacing w:line="240" w:lineRule="auto"/>
              <w:ind w:leftChars="0" w:left="0" w:rightChars="0" w:right="0"/>
              <w:jc w:val="center"/>
            </w:pPr>
            <w:r w:rsidRPr="00B40DC1">
              <w:t>15</w:t>
            </w:r>
          </w:p>
        </w:tc>
        <w:tc>
          <w:tcPr>
            <w:tcW w:w="1666" w:type="dxa"/>
            <w:vAlign w:val="center"/>
          </w:tcPr>
          <w:p w:rsidR="0049577B" w:rsidRPr="00B40DC1" w:rsidRDefault="0049577B" w:rsidP="00A028E4">
            <w:pPr>
              <w:spacing w:line="240" w:lineRule="auto"/>
              <w:ind w:leftChars="0" w:left="0" w:rightChars="0" w:right="0"/>
              <w:jc w:val="center"/>
            </w:pPr>
            <w:r w:rsidRPr="00B40DC1">
              <w:t>624</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37.30%</w:t>
            </w:r>
          </w:p>
        </w:tc>
        <w:tc>
          <w:tcPr>
            <w:tcW w:w="1666" w:type="dxa"/>
            <w:vAlign w:val="center"/>
          </w:tcPr>
          <w:p w:rsidR="0049577B" w:rsidRPr="00B40DC1" w:rsidRDefault="0049577B" w:rsidP="00A028E4">
            <w:pPr>
              <w:spacing w:line="240" w:lineRule="auto"/>
              <w:ind w:leftChars="0" w:left="0" w:rightChars="0" w:right="0"/>
              <w:jc w:val="center"/>
            </w:pPr>
            <w:r w:rsidRPr="00B40DC1">
              <w:t>47.70%</w:t>
            </w:r>
          </w:p>
        </w:tc>
        <w:tc>
          <w:tcPr>
            <w:tcW w:w="1665" w:type="dxa"/>
            <w:vAlign w:val="center"/>
          </w:tcPr>
          <w:p w:rsidR="0049577B" w:rsidRPr="00B40DC1" w:rsidRDefault="0049577B" w:rsidP="00A028E4">
            <w:pPr>
              <w:spacing w:line="240" w:lineRule="auto"/>
              <w:ind w:leftChars="0" w:left="0" w:rightChars="0" w:right="0"/>
              <w:jc w:val="center"/>
            </w:pPr>
            <w:r w:rsidRPr="00B40DC1">
              <w:t>36.60%</w:t>
            </w:r>
          </w:p>
        </w:tc>
        <w:tc>
          <w:tcPr>
            <w:tcW w:w="1666" w:type="dxa"/>
            <w:vAlign w:val="center"/>
          </w:tcPr>
          <w:p w:rsidR="0049577B" w:rsidRPr="00B40DC1" w:rsidRDefault="0049577B" w:rsidP="00A028E4">
            <w:pPr>
              <w:spacing w:line="240" w:lineRule="auto"/>
              <w:ind w:leftChars="0" w:left="0" w:rightChars="0" w:right="0"/>
              <w:jc w:val="center"/>
            </w:pPr>
            <w:r w:rsidRPr="00B40DC1">
              <w:t>44.10%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高齡或身心障礙</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2</w:t>
            </w:r>
          </w:p>
        </w:tc>
        <w:tc>
          <w:tcPr>
            <w:tcW w:w="1666" w:type="dxa"/>
            <w:vAlign w:val="center"/>
          </w:tcPr>
          <w:p w:rsidR="0049577B" w:rsidRPr="00B40DC1" w:rsidRDefault="0049577B" w:rsidP="00A028E4">
            <w:pPr>
              <w:spacing w:line="240" w:lineRule="auto"/>
              <w:ind w:leftChars="0" w:left="0" w:rightChars="0" w:right="0"/>
              <w:jc w:val="center"/>
            </w:pPr>
            <w:r w:rsidRPr="00B40DC1">
              <w:t>21</w:t>
            </w:r>
          </w:p>
        </w:tc>
        <w:tc>
          <w:tcPr>
            <w:tcW w:w="1665" w:type="dxa"/>
            <w:vAlign w:val="center"/>
          </w:tcPr>
          <w:p w:rsidR="0049577B" w:rsidRPr="00B40DC1" w:rsidRDefault="0049577B" w:rsidP="00A028E4">
            <w:pPr>
              <w:spacing w:line="240" w:lineRule="auto"/>
              <w:ind w:leftChars="0" w:left="0" w:rightChars="0" w:right="0"/>
              <w:jc w:val="center"/>
            </w:pPr>
            <w:r w:rsidRPr="00B40DC1">
              <w:t>1</w:t>
            </w:r>
          </w:p>
        </w:tc>
        <w:tc>
          <w:tcPr>
            <w:tcW w:w="1666" w:type="dxa"/>
            <w:vAlign w:val="center"/>
          </w:tcPr>
          <w:p w:rsidR="0049577B" w:rsidRPr="00B40DC1" w:rsidRDefault="0049577B" w:rsidP="00A028E4">
            <w:pPr>
              <w:spacing w:line="240" w:lineRule="auto"/>
              <w:ind w:leftChars="0" w:left="0" w:rightChars="0" w:right="0"/>
              <w:jc w:val="center"/>
            </w:pPr>
            <w:r w:rsidRPr="00B40DC1">
              <w:t>24</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0.40%</w:t>
            </w:r>
          </w:p>
        </w:tc>
        <w:tc>
          <w:tcPr>
            <w:tcW w:w="1666" w:type="dxa"/>
            <w:vAlign w:val="center"/>
          </w:tcPr>
          <w:p w:rsidR="0049577B" w:rsidRPr="00B40DC1" w:rsidRDefault="0049577B" w:rsidP="00A028E4">
            <w:pPr>
              <w:spacing w:line="240" w:lineRule="auto"/>
              <w:ind w:leftChars="0" w:left="0" w:rightChars="0" w:right="0"/>
              <w:jc w:val="center"/>
            </w:pPr>
            <w:r w:rsidRPr="00B40DC1">
              <w:t>2.30%</w:t>
            </w:r>
          </w:p>
        </w:tc>
        <w:tc>
          <w:tcPr>
            <w:tcW w:w="1665" w:type="dxa"/>
            <w:vAlign w:val="center"/>
          </w:tcPr>
          <w:p w:rsidR="0049577B" w:rsidRPr="00B40DC1" w:rsidRDefault="0049577B" w:rsidP="00A028E4">
            <w:pPr>
              <w:spacing w:line="240" w:lineRule="auto"/>
              <w:ind w:leftChars="0" w:left="0" w:rightChars="0" w:right="0"/>
              <w:jc w:val="center"/>
            </w:pPr>
            <w:r w:rsidRPr="00B40DC1">
              <w:t>2.40%</w:t>
            </w:r>
          </w:p>
        </w:tc>
        <w:tc>
          <w:tcPr>
            <w:tcW w:w="1666" w:type="dxa"/>
            <w:vAlign w:val="center"/>
          </w:tcPr>
          <w:p w:rsidR="0049577B" w:rsidRPr="00B40DC1" w:rsidRDefault="0049577B" w:rsidP="00A028E4">
            <w:pPr>
              <w:spacing w:line="240" w:lineRule="auto"/>
              <w:ind w:leftChars="0" w:left="0" w:rightChars="0" w:right="0"/>
              <w:jc w:val="center"/>
            </w:pPr>
            <w:r w:rsidRPr="00B40DC1">
              <w:t>1.70%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不想工作</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4</w:t>
            </w:r>
          </w:p>
        </w:tc>
        <w:tc>
          <w:tcPr>
            <w:tcW w:w="1666" w:type="dxa"/>
            <w:vAlign w:val="center"/>
          </w:tcPr>
          <w:p w:rsidR="0049577B" w:rsidRPr="00B40DC1" w:rsidRDefault="0049577B" w:rsidP="00A028E4">
            <w:pPr>
              <w:spacing w:line="240" w:lineRule="auto"/>
              <w:ind w:leftChars="0" w:left="0" w:rightChars="0" w:right="0"/>
              <w:jc w:val="center"/>
            </w:pPr>
            <w:r w:rsidRPr="00B40DC1">
              <w:t>1</w:t>
            </w:r>
          </w:p>
        </w:tc>
        <w:tc>
          <w:tcPr>
            <w:tcW w:w="1665" w:type="dxa"/>
            <w:vAlign w:val="center"/>
          </w:tcPr>
          <w:p w:rsidR="0049577B" w:rsidRPr="00B40DC1" w:rsidRDefault="0049577B" w:rsidP="00A028E4">
            <w:pPr>
              <w:spacing w:line="240" w:lineRule="auto"/>
              <w:ind w:leftChars="0" w:left="0" w:rightChars="0" w:right="0"/>
              <w:jc w:val="center"/>
            </w:pPr>
            <w:r w:rsidRPr="00B40DC1">
              <w:t>0</w:t>
            </w:r>
          </w:p>
        </w:tc>
        <w:tc>
          <w:tcPr>
            <w:tcW w:w="1666" w:type="dxa"/>
            <w:vAlign w:val="center"/>
          </w:tcPr>
          <w:p w:rsidR="0049577B" w:rsidRPr="00B40DC1" w:rsidRDefault="0049577B" w:rsidP="00A028E4">
            <w:pPr>
              <w:spacing w:line="240" w:lineRule="auto"/>
              <w:ind w:leftChars="0" w:left="0" w:rightChars="0" w:right="0"/>
              <w:jc w:val="center"/>
            </w:pPr>
            <w:r w:rsidRPr="00B40DC1">
              <w:t>5</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0.90%</w:t>
            </w:r>
          </w:p>
        </w:tc>
        <w:tc>
          <w:tcPr>
            <w:tcW w:w="1666" w:type="dxa"/>
            <w:vAlign w:val="center"/>
          </w:tcPr>
          <w:p w:rsidR="0049577B" w:rsidRPr="00B40DC1" w:rsidRDefault="0049577B" w:rsidP="00A028E4">
            <w:pPr>
              <w:spacing w:line="240" w:lineRule="auto"/>
              <w:ind w:leftChars="0" w:left="0" w:rightChars="0" w:right="0"/>
              <w:jc w:val="center"/>
            </w:pPr>
            <w:r w:rsidRPr="00B40DC1">
              <w:t>0.10%</w:t>
            </w:r>
          </w:p>
        </w:tc>
        <w:tc>
          <w:tcPr>
            <w:tcW w:w="1665" w:type="dxa"/>
            <w:vAlign w:val="center"/>
          </w:tcPr>
          <w:p w:rsidR="0049577B" w:rsidRPr="00B40DC1" w:rsidRDefault="0049577B" w:rsidP="00A028E4">
            <w:pPr>
              <w:spacing w:line="240" w:lineRule="auto"/>
              <w:ind w:leftChars="0" w:left="0" w:rightChars="0" w:right="0"/>
              <w:jc w:val="center"/>
            </w:pPr>
            <w:r w:rsidRPr="00B40DC1">
              <w:t>0.00%</w:t>
            </w:r>
          </w:p>
        </w:tc>
        <w:tc>
          <w:tcPr>
            <w:tcW w:w="1666" w:type="dxa"/>
            <w:vAlign w:val="center"/>
          </w:tcPr>
          <w:p w:rsidR="0049577B" w:rsidRPr="00B40DC1" w:rsidRDefault="0049577B" w:rsidP="00A028E4">
            <w:pPr>
              <w:spacing w:line="240" w:lineRule="auto"/>
              <w:ind w:leftChars="0" w:left="0" w:rightChars="0" w:right="0"/>
              <w:jc w:val="center"/>
            </w:pPr>
            <w:r w:rsidRPr="00B40DC1">
              <w:t>0.40%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已退休</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0</w:t>
            </w:r>
          </w:p>
        </w:tc>
        <w:tc>
          <w:tcPr>
            <w:tcW w:w="1666" w:type="dxa"/>
            <w:vAlign w:val="center"/>
          </w:tcPr>
          <w:p w:rsidR="0049577B" w:rsidRPr="00B40DC1" w:rsidRDefault="0049577B" w:rsidP="00A028E4">
            <w:pPr>
              <w:spacing w:line="240" w:lineRule="auto"/>
              <w:ind w:leftChars="0" w:left="0" w:rightChars="0" w:right="0"/>
              <w:jc w:val="center"/>
            </w:pPr>
            <w:r w:rsidRPr="00B40DC1">
              <w:t>5</w:t>
            </w:r>
          </w:p>
        </w:tc>
        <w:tc>
          <w:tcPr>
            <w:tcW w:w="1665" w:type="dxa"/>
            <w:vAlign w:val="center"/>
          </w:tcPr>
          <w:p w:rsidR="0049577B" w:rsidRPr="00B40DC1" w:rsidRDefault="0049577B" w:rsidP="00A028E4">
            <w:pPr>
              <w:spacing w:line="240" w:lineRule="auto"/>
              <w:ind w:leftChars="0" w:left="0" w:rightChars="0" w:right="0"/>
              <w:jc w:val="center"/>
            </w:pPr>
            <w:r w:rsidRPr="00B40DC1">
              <w:t>0</w:t>
            </w:r>
          </w:p>
        </w:tc>
        <w:tc>
          <w:tcPr>
            <w:tcW w:w="1666" w:type="dxa"/>
            <w:vAlign w:val="center"/>
          </w:tcPr>
          <w:p w:rsidR="0049577B" w:rsidRPr="00B40DC1" w:rsidRDefault="0049577B" w:rsidP="00A028E4">
            <w:pPr>
              <w:spacing w:line="240" w:lineRule="auto"/>
              <w:ind w:leftChars="0" w:left="0" w:rightChars="0" w:right="0"/>
              <w:jc w:val="center"/>
            </w:pPr>
            <w:r w:rsidRPr="00B40DC1">
              <w:t>5</w:t>
            </w:r>
          </w:p>
        </w:tc>
      </w:tr>
      <w:tr w:rsidR="0049577B" w:rsidRPr="00B40DC1" w:rsidTr="00A66DFC">
        <w:tc>
          <w:tcPr>
            <w:tcW w:w="1541" w:type="dxa"/>
            <w:vMerge/>
            <w:vAlign w:val="center"/>
          </w:tcPr>
          <w:p w:rsidR="0049577B" w:rsidRPr="00B40DC1" w:rsidRDefault="0049577B" w:rsidP="005D5F2F">
            <w:pPr>
              <w:spacing w:line="240" w:lineRule="auto"/>
              <w:ind w:leftChars="0" w:left="0" w:rightChars="0" w:right="0"/>
            </w:pPr>
          </w:p>
        </w:tc>
        <w:tc>
          <w:tcPr>
            <w:tcW w:w="1436" w:type="dxa"/>
            <w:vAlign w:val="center"/>
          </w:tcPr>
          <w:p w:rsidR="0049577B" w:rsidRPr="00B40DC1" w:rsidRDefault="0049577B" w:rsidP="00A028E4">
            <w:pPr>
              <w:spacing w:line="240" w:lineRule="auto"/>
              <w:ind w:leftChars="0" w:left="0" w:rightChars="0" w:right="0"/>
              <w:jc w:val="center"/>
            </w:pPr>
            <w:r w:rsidRPr="00B40DC1">
              <w:t>百分比</w:t>
            </w:r>
          </w:p>
        </w:tc>
        <w:tc>
          <w:tcPr>
            <w:tcW w:w="1665" w:type="dxa"/>
            <w:vAlign w:val="center"/>
          </w:tcPr>
          <w:p w:rsidR="0049577B" w:rsidRPr="00B40DC1" w:rsidRDefault="0049577B" w:rsidP="00A028E4">
            <w:pPr>
              <w:spacing w:line="240" w:lineRule="auto"/>
              <w:ind w:leftChars="0" w:left="0" w:rightChars="0" w:right="0"/>
              <w:jc w:val="center"/>
            </w:pPr>
            <w:r w:rsidRPr="00B40DC1">
              <w:t>0.00%</w:t>
            </w:r>
          </w:p>
        </w:tc>
        <w:tc>
          <w:tcPr>
            <w:tcW w:w="1666" w:type="dxa"/>
            <w:vAlign w:val="center"/>
          </w:tcPr>
          <w:p w:rsidR="0049577B" w:rsidRPr="00B40DC1" w:rsidRDefault="0049577B" w:rsidP="00A028E4">
            <w:pPr>
              <w:spacing w:line="240" w:lineRule="auto"/>
              <w:ind w:leftChars="0" w:left="0" w:rightChars="0" w:right="0"/>
              <w:jc w:val="center"/>
            </w:pPr>
            <w:r w:rsidRPr="00B40DC1">
              <w:t>0.50%</w:t>
            </w:r>
          </w:p>
        </w:tc>
        <w:tc>
          <w:tcPr>
            <w:tcW w:w="1665" w:type="dxa"/>
            <w:vAlign w:val="center"/>
          </w:tcPr>
          <w:p w:rsidR="0049577B" w:rsidRPr="00B40DC1" w:rsidRDefault="0049577B" w:rsidP="00A028E4">
            <w:pPr>
              <w:spacing w:line="240" w:lineRule="auto"/>
              <w:ind w:leftChars="0" w:left="0" w:rightChars="0" w:right="0"/>
              <w:jc w:val="center"/>
            </w:pPr>
            <w:r w:rsidRPr="00B40DC1">
              <w:t>0.00%</w:t>
            </w:r>
          </w:p>
        </w:tc>
        <w:tc>
          <w:tcPr>
            <w:tcW w:w="1666" w:type="dxa"/>
            <w:vAlign w:val="center"/>
          </w:tcPr>
          <w:p w:rsidR="0049577B" w:rsidRPr="00B40DC1" w:rsidRDefault="0049577B" w:rsidP="00A028E4">
            <w:pPr>
              <w:spacing w:line="240" w:lineRule="auto"/>
              <w:ind w:leftChars="0" w:left="0" w:rightChars="0" w:right="0"/>
              <w:jc w:val="center"/>
            </w:pPr>
            <w:r w:rsidRPr="00B40DC1">
              <w:t>0.40%</w:t>
            </w:r>
          </w:p>
        </w:tc>
      </w:tr>
      <w:tr w:rsidR="0049577B" w:rsidRPr="00B40DC1" w:rsidTr="00A66DFC">
        <w:tc>
          <w:tcPr>
            <w:tcW w:w="1541" w:type="dxa"/>
            <w:vMerge w:val="restart"/>
            <w:vAlign w:val="center"/>
          </w:tcPr>
          <w:p w:rsidR="0049577B" w:rsidRPr="00B40DC1" w:rsidRDefault="0049577B" w:rsidP="005D5F2F">
            <w:pPr>
              <w:spacing w:line="240" w:lineRule="auto"/>
              <w:ind w:leftChars="0" w:left="0" w:rightChars="0" w:right="0"/>
            </w:pPr>
            <w:r w:rsidRPr="00B40DC1">
              <w:t>總和</w:t>
            </w:r>
          </w:p>
        </w:tc>
        <w:tc>
          <w:tcPr>
            <w:tcW w:w="1436" w:type="dxa"/>
            <w:vAlign w:val="center"/>
          </w:tcPr>
          <w:p w:rsidR="0049577B" w:rsidRPr="00B40DC1" w:rsidRDefault="0049577B" w:rsidP="00A028E4">
            <w:pPr>
              <w:spacing w:line="240" w:lineRule="auto"/>
              <w:ind w:leftChars="0" w:left="0" w:rightChars="0" w:right="0"/>
              <w:jc w:val="center"/>
            </w:pPr>
            <w:r w:rsidRPr="00B40DC1">
              <w:t>次數</w:t>
            </w:r>
          </w:p>
        </w:tc>
        <w:tc>
          <w:tcPr>
            <w:tcW w:w="1665" w:type="dxa"/>
            <w:vAlign w:val="center"/>
          </w:tcPr>
          <w:p w:rsidR="0049577B" w:rsidRPr="00B40DC1" w:rsidRDefault="0049577B" w:rsidP="00A028E4">
            <w:pPr>
              <w:spacing w:line="240" w:lineRule="auto"/>
              <w:ind w:leftChars="0" w:left="0" w:rightChars="0" w:right="0"/>
              <w:jc w:val="center"/>
            </w:pPr>
            <w:r w:rsidRPr="00B40DC1">
              <w:t>450</w:t>
            </w:r>
          </w:p>
        </w:tc>
        <w:tc>
          <w:tcPr>
            <w:tcW w:w="1666" w:type="dxa"/>
            <w:vAlign w:val="center"/>
          </w:tcPr>
          <w:p w:rsidR="0049577B" w:rsidRPr="00B40DC1" w:rsidRDefault="0049577B" w:rsidP="00A028E4">
            <w:pPr>
              <w:spacing w:line="240" w:lineRule="auto"/>
              <w:ind w:leftChars="0" w:left="0" w:rightChars="0" w:right="0"/>
              <w:jc w:val="center"/>
            </w:pPr>
            <w:r w:rsidRPr="00B40DC1">
              <w:t>925</w:t>
            </w:r>
          </w:p>
        </w:tc>
        <w:tc>
          <w:tcPr>
            <w:tcW w:w="1665" w:type="dxa"/>
            <w:vAlign w:val="center"/>
          </w:tcPr>
          <w:p w:rsidR="0049577B" w:rsidRPr="00B40DC1" w:rsidRDefault="0049577B" w:rsidP="00A028E4">
            <w:pPr>
              <w:spacing w:line="240" w:lineRule="auto"/>
              <w:ind w:leftChars="0" w:left="0" w:rightChars="0" w:right="0"/>
              <w:jc w:val="center"/>
            </w:pPr>
            <w:r w:rsidRPr="00B40DC1">
              <w:t>41</w:t>
            </w:r>
          </w:p>
        </w:tc>
        <w:tc>
          <w:tcPr>
            <w:tcW w:w="1666" w:type="dxa"/>
            <w:vAlign w:val="center"/>
          </w:tcPr>
          <w:p w:rsidR="0049577B" w:rsidRPr="00B40DC1" w:rsidRDefault="0049577B" w:rsidP="00A028E4">
            <w:pPr>
              <w:spacing w:line="240" w:lineRule="auto"/>
              <w:ind w:leftChars="0" w:left="0" w:rightChars="0" w:right="0"/>
              <w:jc w:val="center"/>
            </w:pPr>
            <w:r w:rsidRPr="00B40DC1">
              <w:t>1416</w:t>
            </w:r>
          </w:p>
        </w:tc>
      </w:tr>
      <w:tr w:rsidR="0049577B" w:rsidRPr="00B40DC1" w:rsidTr="00A66DFC">
        <w:tc>
          <w:tcPr>
            <w:tcW w:w="1541" w:type="dxa"/>
            <w:vMerge/>
            <w:tcBorders>
              <w:bottom w:val="single" w:sz="8" w:space="0" w:color="auto"/>
            </w:tcBorders>
          </w:tcPr>
          <w:p w:rsidR="0049577B" w:rsidRPr="00B40DC1" w:rsidRDefault="0049577B" w:rsidP="005D5F2F">
            <w:pPr>
              <w:spacing w:line="240" w:lineRule="auto"/>
              <w:ind w:leftChars="0" w:left="0" w:rightChars="0" w:right="0"/>
            </w:pPr>
          </w:p>
        </w:tc>
        <w:tc>
          <w:tcPr>
            <w:tcW w:w="1436" w:type="dxa"/>
            <w:tcBorders>
              <w:bottom w:val="single" w:sz="8" w:space="0" w:color="auto"/>
            </w:tcBorders>
            <w:vAlign w:val="center"/>
          </w:tcPr>
          <w:p w:rsidR="0049577B" w:rsidRPr="00B40DC1" w:rsidRDefault="0049577B" w:rsidP="00A028E4">
            <w:pPr>
              <w:spacing w:line="240" w:lineRule="auto"/>
              <w:ind w:leftChars="0" w:left="0" w:rightChars="0" w:right="0"/>
              <w:jc w:val="center"/>
            </w:pPr>
            <w:r w:rsidRPr="00B40DC1">
              <w:t>百分比</w:t>
            </w:r>
          </w:p>
        </w:tc>
        <w:tc>
          <w:tcPr>
            <w:tcW w:w="1665" w:type="dxa"/>
            <w:tcBorders>
              <w:bottom w:val="single" w:sz="8" w:space="0" w:color="auto"/>
            </w:tcBorders>
            <w:vAlign w:val="center"/>
          </w:tcPr>
          <w:p w:rsidR="0049577B" w:rsidRPr="00B40DC1" w:rsidRDefault="0049577B" w:rsidP="00A028E4">
            <w:pPr>
              <w:spacing w:line="240" w:lineRule="auto"/>
              <w:ind w:leftChars="0" w:left="0" w:rightChars="0" w:right="0"/>
              <w:jc w:val="center"/>
            </w:pPr>
            <w:r w:rsidRPr="00B40DC1">
              <w:t>100.00%</w:t>
            </w:r>
          </w:p>
        </w:tc>
        <w:tc>
          <w:tcPr>
            <w:tcW w:w="1666" w:type="dxa"/>
            <w:tcBorders>
              <w:bottom w:val="single" w:sz="8" w:space="0" w:color="auto"/>
            </w:tcBorders>
            <w:vAlign w:val="center"/>
          </w:tcPr>
          <w:p w:rsidR="0049577B" w:rsidRPr="00B40DC1" w:rsidRDefault="0049577B" w:rsidP="00A028E4">
            <w:pPr>
              <w:spacing w:line="240" w:lineRule="auto"/>
              <w:ind w:leftChars="0" w:left="0" w:rightChars="0" w:right="0"/>
              <w:jc w:val="center"/>
            </w:pPr>
            <w:r w:rsidRPr="00B40DC1">
              <w:t>100.00%</w:t>
            </w:r>
          </w:p>
        </w:tc>
        <w:tc>
          <w:tcPr>
            <w:tcW w:w="1665" w:type="dxa"/>
            <w:tcBorders>
              <w:bottom w:val="single" w:sz="8" w:space="0" w:color="auto"/>
            </w:tcBorders>
            <w:vAlign w:val="center"/>
          </w:tcPr>
          <w:p w:rsidR="0049577B" w:rsidRPr="00B40DC1" w:rsidRDefault="0049577B" w:rsidP="00A028E4">
            <w:pPr>
              <w:spacing w:line="240" w:lineRule="auto"/>
              <w:ind w:leftChars="0" w:left="0" w:rightChars="0" w:right="0"/>
              <w:jc w:val="center"/>
            </w:pPr>
            <w:r w:rsidRPr="00B40DC1">
              <w:t>100.00%</w:t>
            </w:r>
          </w:p>
        </w:tc>
        <w:tc>
          <w:tcPr>
            <w:tcW w:w="1666" w:type="dxa"/>
            <w:tcBorders>
              <w:bottom w:val="single" w:sz="8" w:space="0" w:color="auto"/>
            </w:tcBorders>
            <w:vAlign w:val="center"/>
          </w:tcPr>
          <w:p w:rsidR="0049577B" w:rsidRPr="00B40DC1" w:rsidRDefault="0049577B" w:rsidP="00A028E4">
            <w:pPr>
              <w:spacing w:line="240" w:lineRule="auto"/>
              <w:ind w:leftChars="0" w:left="0" w:rightChars="0" w:right="0"/>
              <w:jc w:val="center"/>
            </w:pPr>
            <w:r w:rsidRPr="00B40DC1">
              <w:t>100.00%</w:t>
            </w:r>
          </w:p>
        </w:tc>
      </w:tr>
      <w:tr w:rsidR="0049577B" w:rsidRPr="00B40DC1" w:rsidTr="00A028E4">
        <w:tc>
          <w:tcPr>
            <w:tcW w:w="1541" w:type="dxa"/>
            <w:tcBorders>
              <w:top w:val="single" w:sz="8" w:space="0" w:color="auto"/>
              <w:bottom w:val="single" w:sz="12" w:space="0" w:color="auto"/>
            </w:tcBorders>
          </w:tcPr>
          <w:p w:rsidR="0049577B" w:rsidRPr="00B40DC1" w:rsidRDefault="0049577B" w:rsidP="005D5F2F">
            <w:pPr>
              <w:spacing w:line="240" w:lineRule="auto"/>
              <w:ind w:leftChars="0" w:left="0" w:rightChars="0" w:right="0"/>
            </w:pPr>
            <w:r w:rsidRPr="00B40DC1">
              <w:t>卡方值</w:t>
            </w:r>
          </w:p>
        </w:tc>
        <w:tc>
          <w:tcPr>
            <w:tcW w:w="8098" w:type="dxa"/>
            <w:gridSpan w:val="5"/>
            <w:tcBorders>
              <w:top w:val="single" w:sz="8" w:space="0" w:color="auto"/>
              <w:bottom w:val="single" w:sz="12" w:space="0" w:color="auto"/>
            </w:tcBorders>
            <w:vAlign w:val="center"/>
          </w:tcPr>
          <w:p w:rsidR="0049577B" w:rsidRPr="00B40DC1" w:rsidRDefault="0049577B" w:rsidP="005D5F2F">
            <w:pPr>
              <w:spacing w:line="240" w:lineRule="auto"/>
              <w:ind w:leftChars="0" w:left="0" w:rightChars="0" w:right="0"/>
            </w:pPr>
            <w:r w:rsidRPr="00B40DC1">
              <w:t>χ</w:t>
            </w:r>
            <w:r w:rsidRPr="00B40DC1">
              <w:rPr>
                <w:vertAlign w:val="superscript"/>
              </w:rPr>
              <w:t>2</w:t>
            </w:r>
            <w:r w:rsidRPr="00B40DC1">
              <w:t>=41.48；df=20；p&lt;0.01</w:t>
            </w:r>
          </w:p>
        </w:tc>
      </w:tr>
    </w:tbl>
    <w:p w:rsidR="0049577B" w:rsidRPr="00B40DC1" w:rsidRDefault="00817A92" w:rsidP="00A66DFC">
      <w:pPr>
        <w:spacing w:line="240" w:lineRule="auto"/>
        <w:ind w:leftChars="0" w:left="0" w:rightChars="0" w:right="0"/>
      </w:pPr>
      <w:r>
        <w:t>【資料來源】</w:t>
      </w:r>
      <w:r w:rsidR="0049577B" w:rsidRPr="00B40DC1">
        <w:t>作者自行製作。</w:t>
      </w:r>
    </w:p>
    <w:p w:rsidR="00A028E4" w:rsidRDefault="00A028E4" w:rsidP="000D26BB"/>
    <w:p w:rsidR="0049577B" w:rsidRDefault="002F101F" w:rsidP="00A66DFC">
      <w:pPr>
        <w:spacing w:line="240" w:lineRule="auto"/>
        <w:ind w:leftChars="0" w:left="0" w:rightChars="0" w:right="0"/>
      </w:pPr>
      <w:r>
        <w:t xml:space="preserve">　　</w:t>
      </w:r>
      <w:r w:rsidR="0049577B" w:rsidRPr="00B40DC1">
        <w:t>當進一步了解國籍別與受訪者從事工作數之關聯性（參閱表9），發現：國籍別與受訪者所從事的工作數之關連程度未達統計上的顯著水準（χ</w:t>
      </w:r>
      <w:r w:rsidR="0049577B" w:rsidRPr="00B40DC1">
        <w:rPr>
          <w:vertAlign w:val="superscript"/>
        </w:rPr>
        <w:t>2</w:t>
      </w:r>
      <w:r w:rsidR="0049577B" w:rsidRPr="00B40DC1">
        <w:t>=2.71；df=2；p&gt;0.05），顯示：不會因為受訪者國籍別之不同，而在所從事的工作數量上有所差異。</w:t>
      </w:r>
    </w:p>
    <w:p w:rsidR="00A028E4" w:rsidRPr="00A028E4" w:rsidRDefault="00A028E4" w:rsidP="000D26BB"/>
    <w:p w:rsidR="0049577B" w:rsidRPr="00B40DC1" w:rsidRDefault="0049577B" w:rsidP="000D5F5F">
      <w:pPr>
        <w:pStyle w:val="4"/>
        <w:rPr>
          <w:lang w:eastAsia="zh-TW"/>
        </w:rPr>
      </w:pPr>
      <w:r w:rsidRPr="00B40DC1">
        <w:rPr>
          <w:lang w:eastAsia="zh-TW"/>
        </w:rPr>
        <w:t>表9</w:t>
      </w:r>
      <w:r w:rsidR="00A66DFC">
        <w:rPr>
          <w:rFonts w:ascii="新細明體" w:eastAsia="新細明體" w:hAnsi="新細明體" w:hint="eastAsia"/>
          <w:lang w:eastAsia="zh-TW"/>
        </w:rPr>
        <w:t>、</w:t>
      </w:r>
      <w:r w:rsidRPr="00B40DC1">
        <w:rPr>
          <w:lang w:eastAsia="zh-TW"/>
        </w:rPr>
        <w:t>受訪者國籍與從事工作數之關聯分析</w:t>
      </w:r>
    </w:p>
    <w:tbl>
      <w:tblPr>
        <w:tblStyle w:val="43"/>
        <w:tblW w:w="0" w:type="auto"/>
        <w:tblInd w:w="1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6"/>
        <w:gridCol w:w="1267"/>
        <w:gridCol w:w="1776"/>
        <w:gridCol w:w="1777"/>
        <w:gridCol w:w="1776"/>
        <w:gridCol w:w="1777"/>
      </w:tblGrid>
      <w:tr w:rsidR="0049577B" w:rsidRPr="00B40DC1" w:rsidTr="00A66DFC">
        <w:tc>
          <w:tcPr>
            <w:tcW w:w="1266"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工作個數</w:t>
            </w:r>
          </w:p>
        </w:tc>
        <w:tc>
          <w:tcPr>
            <w:tcW w:w="1267"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次數</w:t>
            </w:r>
          </w:p>
          <w:p w:rsidR="0049577B" w:rsidRPr="00B40DC1" w:rsidRDefault="0049577B" w:rsidP="00A66DFC">
            <w:pPr>
              <w:spacing w:line="240" w:lineRule="auto"/>
              <w:ind w:leftChars="0" w:left="0" w:rightChars="0" w:right="0"/>
              <w:jc w:val="center"/>
            </w:pPr>
            <w:r w:rsidRPr="00B40DC1">
              <w:t>百分比</w:t>
            </w:r>
          </w:p>
        </w:tc>
        <w:tc>
          <w:tcPr>
            <w:tcW w:w="1776"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東南亞國家</w:t>
            </w:r>
          </w:p>
        </w:tc>
        <w:tc>
          <w:tcPr>
            <w:tcW w:w="1777"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大陸及港澳地區</w:t>
            </w:r>
          </w:p>
        </w:tc>
        <w:tc>
          <w:tcPr>
            <w:tcW w:w="1776"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其他國家</w:t>
            </w:r>
          </w:p>
        </w:tc>
        <w:tc>
          <w:tcPr>
            <w:tcW w:w="1777"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總和</w:t>
            </w:r>
          </w:p>
        </w:tc>
      </w:tr>
      <w:tr w:rsidR="0049577B" w:rsidRPr="00B40DC1" w:rsidTr="00A66DFC">
        <w:tc>
          <w:tcPr>
            <w:tcW w:w="1266" w:type="dxa"/>
            <w:vMerge w:val="restart"/>
            <w:tcBorders>
              <w:top w:val="single" w:sz="8" w:space="0" w:color="auto"/>
            </w:tcBorders>
            <w:vAlign w:val="center"/>
          </w:tcPr>
          <w:p w:rsidR="0049577B" w:rsidRPr="00B40DC1" w:rsidRDefault="0049577B" w:rsidP="002F101F">
            <w:pPr>
              <w:spacing w:line="240" w:lineRule="auto"/>
              <w:ind w:leftChars="0" w:left="0" w:rightChars="0" w:right="0"/>
            </w:pPr>
            <w:r w:rsidRPr="00B40DC1">
              <w:t>1個工作</w:t>
            </w:r>
          </w:p>
        </w:tc>
        <w:tc>
          <w:tcPr>
            <w:tcW w:w="126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次數</w:t>
            </w:r>
          </w:p>
        </w:tc>
        <w:tc>
          <w:tcPr>
            <w:tcW w:w="1776"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271</w:t>
            </w:r>
          </w:p>
        </w:tc>
        <w:tc>
          <w:tcPr>
            <w:tcW w:w="1777"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432</w:t>
            </w:r>
          </w:p>
        </w:tc>
        <w:tc>
          <w:tcPr>
            <w:tcW w:w="1776"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25</w:t>
            </w:r>
          </w:p>
        </w:tc>
        <w:tc>
          <w:tcPr>
            <w:tcW w:w="1777"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728</w:t>
            </w:r>
          </w:p>
        </w:tc>
      </w:tr>
      <w:tr w:rsidR="0049577B" w:rsidRPr="00B40DC1" w:rsidTr="00A66DFC">
        <w:tc>
          <w:tcPr>
            <w:tcW w:w="1266" w:type="dxa"/>
            <w:vMerge/>
            <w:vAlign w:val="center"/>
          </w:tcPr>
          <w:p w:rsidR="0049577B" w:rsidRPr="00B40DC1" w:rsidRDefault="0049577B" w:rsidP="002F101F">
            <w:pPr>
              <w:spacing w:line="240" w:lineRule="auto"/>
              <w:ind w:leftChars="0" w:left="0" w:rightChars="0" w:right="0"/>
            </w:pPr>
          </w:p>
        </w:tc>
        <w:tc>
          <w:tcPr>
            <w:tcW w:w="1267" w:type="dxa"/>
            <w:vAlign w:val="center"/>
          </w:tcPr>
          <w:p w:rsidR="0049577B" w:rsidRPr="00B40DC1" w:rsidRDefault="0049577B" w:rsidP="00A66DFC">
            <w:pPr>
              <w:spacing w:line="240" w:lineRule="auto"/>
              <w:ind w:leftChars="0" w:left="0" w:rightChars="0" w:right="0"/>
              <w:jc w:val="center"/>
            </w:pPr>
            <w:r w:rsidRPr="00B40DC1">
              <w:t>百分比</w:t>
            </w:r>
          </w:p>
        </w:tc>
        <w:tc>
          <w:tcPr>
            <w:tcW w:w="1776" w:type="dxa"/>
            <w:vAlign w:val="center"/>
          </w:tcPr>
          <w:p w:rsidR="0049577B" w:rsidRPr="00B40DC1" w:rsidRDefault="0049577B" w:rsidP="002F101F">
            <w:pPr>
              <w:spacing w:line="240" w:lineRule="auto"/>
              <w:ind w:leftChars="0" w:left="0" w:rightChars="0" w:right="0"/>
              <w:jc w:val="center"/>
            </w:pPr>
            <w:r w:rsidRPr="00B40DC1">
              <w:t>100.00%</w:t>
            </w:r>
          </w:p>
        </w:tc>
        <w:tc>
          <w:tcPr>
            <w:tcW w:w="1777" w:type="dxa"/>
            <w:vAlign w:val="center"/>
          </w:tcPr>
          <w:p w:rsidR="0049577B" w:rsidRPr="00B40DC1" w:rsidRDefault="0049577B" w:rsidP="002F101F">
            <w:pPr>
              <w:spacing w:line="240" w:lineRule="auto"/>
              <w:ind w:leftChars="0" w:left="0" w:rightChars="0" w:right="0"/>
              <w:jc w:val="center"/>
            </w:pPr>
            <w:r w:rsidRPr="00B40DC1">
              <w:t>99.10%</w:t>
            </w:r>
          </w:p>
        </w:tc>
        <w:tc>
          <w:tcPr>
            <w:tcW w:w="1776" w:type="dxa"/>
            <w:vAlign w:val="center"/>
          </w:tcPr>
          <w:p w:rsidR="0049577B" w:rsidRPr="00B40DC1" w:rsidRDefault="0049577B" w:rsidP="002F101F">
            <w:pPr>
              <w:spacing w:line="240" w:lineRule="auto"/>
              <w:ind w:leftChars="0" w:left="0" w:rightChars="0" w:right="0"/>
              <w:jc w:val="center"/>
            </w:pPr>
            <w:r w:rsidRPr="00B40DC1">
              <w:t>100.00%</w:t>
            </w:r>
          </w:p>
        </w:tc>
        <w:tc>
          <w:tcPr>
            <w:tcW w:w="1777" w:type="dxa"/>
            <w:vAlign w:val="center"/>
          </w:tcPr>
          <w:p w:rsidR="0049577B" w:rsidRPr="00B40DC1" w:rsidRDefault="0049577B" w:rsidP="002F101F">
            <w:pPr>
              <w:spacing w:line="240" w:lineRule="auto"/>
              <w:ind w:leftChars="0" w:left="0" w:rightChars="0" w:right="0"/>
              <w:jc w:val="center"/>
            </w:pPr>
            <w:r w:rsidRPr="00B40DC1">
              <w:t>99.50%</w:t>
            </w:r>
          </w:p>
        </w:tc>
      </w:tr>
      <w:tr w:rsidR="0049577B" w:rsidRPr="00B40DC1" w:rsidTr="00A66DFC">
        <w:tc>
          <w:tcPr>
            <w:tcW w:w="1266" w:type="dxa"/>
            <w:vMerge w:val="restart"/>
            <w:vAlign w:val="center"/>
          </w:tcPr>
          <w:p w:rsidR="0049577B" w:rsidRPr="00B40DC1" w:rsidRDefault="0049577B" w:rsidP="002F101F">
            <w:pPr>
              <w:spacing w:line="240" w:lineRule="auto"/>
              <w:ind w:leftChars="0" w:left="0" w:rightChars="0" w:right="0"/>
            </w:pPr>
            <w:r w:rsidRPr="00B40DC1">
              <w:t>2個工作</w:t>
            </w:r>
          </w:p>
        </w:tc>
        <w:tc>
          <w:tcPr>
            <w:tcW w:w="1267" w:type="dxa"/>
            <w:vAlign w:val="center"/>
          </w:tcPr>
          <w:p w:rsidR="0049577B" w:rsidRPr="00B40DC1" w:rsidRDefault="0049577B" w:rsidP="00A66DFC">
            <w:pPr>
              <w:spacing w:line="240" w:lineRule="auto"/>
              <w:ind w:leftChars="0" w:left="0" w:rightChars="0" w:right="0"/>
              <w:jc w:val="center"/>
            </w:pPr>
            <w:r w:rsidRPr="00B40DC1">
              <w:t>次數</w:t>
            </w:r>
          </w:p>
        </w:tc>
        <w:tc>
          <w:tcPr>
            <w:tcW w:w="1776" w:type="dxa"/>
            <w:vAlign w:val="center"/>
          </w:tcPr>
          <w:p w:rsidR="0049577B" w:rsidRPr="00B40DC1" w:rsidRDefault="0049577B" w:rsidP="002F101F">
            <w:pPr>
              <w:spacing w:line="240" w:lineRule="auto"/>
              <w:ind w:leftChars="0" w:left="0" w:rightChars="0" w:right="0"/>
              <w:jc w:val="center"/>
            </w:pPr>
            <w:r w:rsidRPr="00B40DC1">
              <w:t>0</w:t>
            </w:r>
          </w:p>
        </w:tc>
        <w:tc>
          <w:tcPr>
            <w:tcW w:w="1777" w:type="dxa"/>
            <w:vAlign w:val="center"/>
          </w:tcPr>
          <w:p w:rsidR="0049577B" w:rsidRPr="00B40DC1" w:rsidRDefault="0049577B" w:rsidP="002F101F">
            <w:pPr>
              <w:spacing w:line="240" w:lineRule="auto"/>
              <w:ind w:leftChars="0" w:left="0" w:rightChars="0" w:right="0"/>
              <w:jc w:val="center"/>
            </w:pPr>
            <w:r w:rsidRPr="00B40DC1">
              <w:t>4</w:t>
            </w:r>
          </w:p>
        </w:tc>
        <w:tc>
          <w:tcPr>
            <w:tcW w:w="1776" w:type="dxa"/>
            <w:vAlign w:val="center"/>
          </w:tcPr>
          <w:p w:rsidR="0049577B" w:rsidRPr="00B40DC1" w:rsidRDefault="0049577B" w:rsidP="002F101F">
            <w:pPr>
              <w:spacing w:line="240" w:lineRule="auto"/>
              <w:ind w:leftChars="0" w:left="0" w:rightChars="0" w:right="0"/>
              <w:jc w:val="center"/>
            </w:pPr>
            <w:r w:rsidRPr="00B40DC1">
              <w:t>0</w:t>
            </w:r>
          </w:p>
        </w:tc>
        <w:tc>
          <w:tcPr>
            <w:tcW w:w="1777" w:type="dxa"/>
            <w:vAlign w:val="center"/>
          </w:tcPr>
          <w:p w:rsidR="0049577B" w:rsidRPr="00B40DC1" w:rsidRDefault="0049577B" w:rsidP="002F101F">
            <w:pPr>
              <w:spacing w:line="240" w:lineRule="auto"/>
              <w:ind w:leftChars="0" w:left="0" w:rightChars="0" w:right="0"/>
              <w:jc w:val="center"/>
            </w:pPr>
            <w:r w:rsidRPr="00B40DC1">
              <w:t>4</w:t>
            </w:r>
          </w:p>
        </w:tc>
      </w:tr>
      <w:tr w:rsidR="0049577B" w:rsidRPr="00B40DC1" w:rsidTr="00A66DFC">
        <w:tc>
          <w:tcPr>
            <w:tcW w:w="1266" w:type="dxa"/>
            <w:vMerge/>
            <w:vAlign w:val="center"/>
          </w:tcPr>
          <w:p w:rsidR="0049577B" w:rsidRPr="00B40DC1" w:rsidRDefault="0049577B" w:rsidP="002F101F">
            <w:pPr>
              <w:spacing w:line="240" w:lineRule="auto"/>
              <w:ind w:leftChars="0" w:left="0" w:rightChars="0" w:right="0"/>
            </w:pPr>
          </w:p>
        </w:tc>
        <w:tc>
          <w:tcPr>
            <w:tcW w:w="1267" w:type="dxa"/>
            <w:vAlign w:val="center"/>
          </w:tcPr>
          <w:p w:rsidR="0049577B" w:rsidRPr="00B40DC1" w:rsidRDefault="0049577B" w:rsidP="00A66DFC">
            <w:pPr>
              <w:spacing w:line="240" w:lineRule="auto"/>
              <w:ind w:leftChars="0" w:left="0" w:rightChars="0" w:right="0"/>
              <w:jc w:val="center"/>
            </w:pPr>
            <w:r w:rsidRPr="00B40DC1">
              <w:t>百分比</w:t>
            </w:r>
          </w:p>
        </w:tc>
        <w:tc>
          <w:tcPr>
            <w:tcW w:w="1776" w:type="dxa"/>
            <w:vAlign w:val="center"/>
          </w:tcPr>
          <w:p w:rsidR="0049577B" w:rsidRPr="00B40DC1" w:rsidRDefault="0049577B" w:rsidP="002F101F">
            <w:pPr>
              <w:spacing w:line="240" w:lineRule="auto"/>
              <w:ind w:leftChars="0" w:left="0" w:rightChars="0" w:right="0"/>
              <w:jc w:val="center"/>
            </w:pPr>
            <w:r w:rsidRPr="00B40DC1">
              <w:t>0.00%</w:t>
            </w:r>
          </w:p>
        </w:tc>
        <w:tc>
          <w:tcPr>
            <w:tcW w:w="1777" w:type="dxa"/>
            <w:vAlign w:val="center"/>
          </w:tcPr>
          <w:p w:rsidR="0049577B" w:rsidRPr="00B40DC1" w:rsidRDefault="0049577B" w:rsidP="002F101F">
            <w:pPr>
              <w:spacing w:line="240" w:lineRule="auto"/>
              <w:ind w:leftChars="0" w:left="0" w:rightChars="0" w:right="0"/>
              <w:jc w:val="center"/>
            </w:pPr>
            <w:r w:rsidRPr="00B40DC1">
              <w:t>0.90%</w:t>
            </w:r>
          </w:p>
        </w:tc>
        <w:tc>
          <w:tcPr>
            <w:tcW w:w="1776" w:type="dxa"/>
            <w:vAlign w:val="center"/>
          </w:tcPr>
          <w:p w:rsidR="0049577B" w:rsidRPr="00B40DC1" w:rsidRDefault="0049577B" w:rsidP="002F101F">
            <w:pPr>
              <w:spacing w:line="240" w:lineRule="auto"/>
              <w:ind w:leftChars="0" w:left="0" w:rightChars="0" w:right="0"/>
              <w:jc w:val="center"/>
            </w:pPr>
            <w:r w:rsidRPr="00B40DC1">
              <w:t>0.00%</w:t>
            </w:r>
          </w:p>
        </w:tc>
        <w:tc>
          <w:tcPr>
            <w:tcW w:w="1777" w:type="dxa"/>
            <w:vAlign w:val="center"/>
          </w:tcPr>
          <w:p w:rsidR="0049577B" w:rsidRPr="00B40DC1" w:rsidRDefault="0049577B" w:rsidP="002F101F">
            <w:pPr>
              <w:spacing w:line="240" w:lineRule="auto"/>
              <w:ind w:leftChars="0" w:left="0" w:rightChars="0" w:right="0"/>
              <w:jc w:val="center"/>
            </w:pPr>
            <w:r w:rsidRPr="00B40DC1">
              <w:t>0.50%</w:t>
            </w:r>
          </w:p>
        </w:tc>
      </w:tr>
      <w:tr w:rsidR="0049577B" w:rsidRPr="00B40DC1" w:rsidTr="00A66DFC">
        <w:tc>
          <w:tcPr>
            <w:tcW w:w="1266" w:type="dxa"/>
            <w:vMerge w:val="restart"/>
            <w:vAlign w:val="center"/>
          </w:tcPr>
          <w:p w:rsidR="0049577B" w:rsidRPr="00B40DC1" w:rsidRDefault="0049577B" w:rsidP="002F101F">
            <w:pPr>
              <w:spacing w:line="240" w:lineRule="auto"/>
              <w:ind w:leftChars="0" w:left="0" w:rightChars="0" w:right="0"/>
            </w:pPr>
            <w:r w:rsidRPr="00B40DC1">
              <w:t>總和</w:t>
            </w:r>
          </w:p>
        </w:tc>
        <w:tc>
          <w:tcPr>
            <w:tcW w:w="1267" w:type="dxa"/>
            <w:vAlign w:val="center"/>
          </w:tcPr>
          <w:p w:rsidR="0049577B" w:rsidRPr="00B40DC1" w:rsidRDefault="0049577B" w:rsidP="00A66DFC">
            <w:pPr>
              <w:spacing w:line="240" w:lineRule="auto"/>
              <w:ind w:leftChars="0" w:left="0" w:rightChars="0" w:right="0"/>
              <w:jc w:val="center"/>
            </w:pPr>
            <w:r w:rsidRPr="00B40DC1">
              <w:t>次數</w:t>
            </w:r>
          </w:p>
        </w:tc>
        <w:tc>
          <w:tcPr>
            <w:tcW w:w="1776" w:type="dxa"/>
            <w:vAlign w:val="center"/>
          </w:tcPr>
          <w:p w:rsidR="0049577B" w:rsidRPr="00B40DC1" w:rsidRDefault="0049577B" w:rsidP="002F101F">
            <w:pPr>
              <w:spacing w:line="240" w:lineRule="auto"/>
              <w:ind w:leftChars="0" w:left="0" w:rightChars="0" w:right="0"/>
              <w:jc w:val="center"/>
            </w:pPr>
            <w:r w:rsidRPr="00B40DC1">
              <w:t>271</w:t>
            </w:r>
          </w:p>
        </w:tc>
        <w:tc>
          <w:tcPr>
            <w:tcW w:w="1777" w:type="dxa"/>
            <w:vAlign w:val="center"/>
          </w:tcPr>
          <w:p w:rsidR="0049577B" w:rsidRPr="00B40DC1" w:rsidRDefault="0049577B" w:rsidP="002F101F">
            <w:pPr>
              <w:spacing w:line="240" w:lineRule="auto"/>
              <w:ind w:leftChars="0" w:left="0" w:rightChars="0" w:right="0"/>
              <w:jc w:val="center"/>
            </w:pPr>
            <w:r w:rsidRPr="00B40DC1">
              <w:t>436</w:t>
            </w:r>
          </w:p>
        </w:tc>
        <w:tc>
          <w:tcPr>
            <w:tcW w:w="1776" w:type="dxa"/>
            <w:vAlign w:val="center"/>
          </w:tcPr>
          <w:p w:rsidR="0049577B" w:rsidRPr="00B40DC1" w:rsidRDefault="0049577B" w:rsidP="002F101F">
            <w:pPr>
              <w:spacing w:line="240" w:lineRule="auto"/>
              <w:ind w:leftChars="0" w:left="0" w:rightChars="0" w:right="0"/>
              <w:jc w:val="center"/>
            </w:pPr>
            <w:r w:rsidRPr="00B40DC1">
              <w:t>25</w:t>
            </w:r>
          </w:p>
        </w:tc>
        <w:tc>
          <w:tcPr>
            <w:tcW w:w="1777" w:type="dxa"/>
            <w:vAlign w:val="center"/>
          </w:tcPr>
          <w:p w:rsidR="0049577B" w:rsidRPr="00B40DC1" w:rsidRDefault="0049577B" w:rsidP="002F101F">
            <w:pPr>
              <w:spacing w:line="240" w:lineRule="auto"/>
              <w:ind w:leftChars="0" w:left="0" w:rightChars="0" w:right="0"/>
              <w:jc w:val="center"/>
            </w:pPr>
            <w:r w:rsidRPr="00B40DC1">
              <w:t>732</w:t>
            </w:r>
          </w:p>
        </w:tc>
      </w:tr>
      <w:tr w:rsidR="0049577B" w:rsidRPr="00B40DC1" w:rsidTr="00A66DFC">
        <w:tc>
          <w:tcPr>
            <w:tcW w:w="1266" w:type="dxa"/>
            <w:vMerge/>
            <w:tcBorders>
              <w:bottom w:val="single" w:sz="8" w:space="0" w:color="auto"/>
            </w:tcBorders>
          </w:tcPr>
          <w:p w:rsidR="0049577B" w:rsidRPr="00B40DC1" w:rsidRDefault="0049577B" w:rsidP="002F101F">
            <w:pPr>
              <w:spacing w:line="240" w:lineRule="auto"/>
              <w:ind w:leftChars="0" w:left="0" w:rightChars="0" w:right="0"/>
            </w:pPr>
          </w:p>
        </w:tc>
        <w:tc>
          <w:tcPr>
            <w:tcW w:w="1267" w:type="dxa"/>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百分比</w:t>
            </w:r>
          </w:p>
        </w:tc>
        <w:tc>
          <w:tcPr>
            <w:tcW w:w="1776"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c>
          <w:tcPr>
            <w:tcW w:w="1777"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c>
          <w:tcPr>
            <w:tcW w:w="1776"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c>
          <w:tcPr>
            <w:tcW w:w="1777"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r>
      <w:tr w:rsidR="0049577B" w:rsidRPr="00B40DC1" w:rsidTr="00A66DFC">
        <w:trPr>
          <w:trHeight w:val="44"/>
        </w:trPr>
        <w:tc>
          <w:tcPr>
            <w:tcW w:w="1266" w:type="dxa"/>
            <w:tcBorders>
              <w:top w:val="single" w:sz="8" w:space="0" w:color="auto"/>
              <w:bottom w:val="single" w:sz="12" w:space="0" w:color="auto"/>
            </w:tcBorders>
          </w:tcPr>
          <w:p w:rsidR="0049577B" w:rsidRPr="00B40DC1" w:rsidRDefault="0049577B" w:rsidP="002F101F">
            <w:pPr>
              <w:spacing w:line="240" w:lineRule="auto"/>
              <w:ind w:leftChars="0" w:left="0" w:rightChars="0" w:right="0"/>
            </w:pPr>
            <w:r w:rsidRPr="00B40DC1">
              <w:t>卡方值</w:t>
            </w:r>
          </w:p>
        </w:tc>
        <w:tc>
          <w:tcPr>
            <w:tcW w:w="8373" w:type="dxa"/>
            <w:gridSpan w:val="5"/>
            <w:tcBorders>
              <w:top w:val="single" w:sz="8" w:space="0" w:color="auto"/>
              <w:bottom w:val="single" w:sz="12" w:space="0" w:color="auto"/>
            </w:tcBorders>
            <w:vAlign w:val="center"/>
          </w:tcPr>
          <w:p w:rsidR="0049577B" w:rsidRPr="00B40DC1" w:rsidRDefault="0049577B" w:rsidP="002F101F">
            <w:pPr>
              <w:spacing w:line="240" w:lineRule="auto"/>
              <w:ind w:leftChars="0" w:left="0" w:rightChars="0" w:right="0"/>
            </w:pPr>
            <w:r w:rsidRPr="00B40DC1">
              <w:t>χ</w:t>
            </w:r>
            <w:r w:rsidRPr="00B40DC1">
              <w:rPr>
                <w:vertAlign w:val="superscript"/>
              </w:rPr>
              <w:t>2</w:t>
            </w:r>
            <w:r w:rsidRPr="00B40DC1">
              <w:t>=2.71；df=2；p&gt;0.05</w:t>
            </w:r>
          </w:p>
        </w:tc>
      </w:tr>
    </w:tbl>
    <w:p w:rsidR="0049577B" w:rsidRDefault="00817A92" w:rsidP="000D26BB">
      <w:r>
        <w:t>【資料來源】</w:t>
      </w:r>
      <w:r w:rsidR="0049577B" w:rsidRPr="00B40DC1">
        <w:t>作者自行製作。</w:t>
      </w:r>
    </w:p>
    <w:p w:rsidR="002F101F" w:rsidRPr="002F101F" w:rsidRDefault="002F101F" w:rsidP="000D26BB"/>
    <w:p w:rsidR="0049577B" w:rsidRDefault="002F101F" w:rsidP="00A66DFC">
      <w:pPr>
        <w:spacing w:line="240" w:lineRule="auto"/>
        <w:ind w:leftChars="0" w:left="0" w:rightChars="0" w:right="0"/>
      </w:pPr>
      <w:r>
        <w:t xml:space="preserve">　　</w:t>
      </w:r>
      <w:r w:rsidR="0049577B" w:rsidRPr="00B40DC1">
        <w:t>表10顯示國籍別與受訪者從事主要工作平均月薪之關聯性分析。本表顯示：國籍別與受訪者從事主要工作平均月薪的關連程度達到統計上的顯著水準（χ</w:t>
      </w:r>
      <w:r w:rsidR="0049577B" w:rsidRPr="00B40DC1">
        <w:rPr>
          <w:vertAlign w:val="superscript"/>
        </w:rPr>
        <w:t>2</w:t>
      </w:r>
      <w:r w:rsidR="0049577B" w:rsidRPr="00B40DC1">
        <w:t>=50.46；df=14；p&lt;0.001），顯示：會因為受訪者國籍別之不同，而在其從事主要工作平均月薪上有所差異。當進一步觀察百分比分布情形可以發現，原籍為東南亞國家的新移民從事主要工作平均月薪以1萬元至未滿2萬元所占百分比最高，占43.60％，其次2萬元至未滿3萬元，占41.00%。而原籍為大陸及港澳地區新移民從事主要工作平均月薪以2萬元至未滿3萬元所占百分比最高，占56.20％，其次為1萬元至未滿2萬元，占22.40%。而原籍為其他國家的新移民從事主要工作平均月薪以2萬元至未滿3萬元所占百分比最高，占57.10％，其次為1萬元至未滿2萬元，占23.80%。可以發現，相較於其他國籍別新移民，以原籍為東南亞國家的新移民所從事主要工作平均月薪相對較低，而大陸及港澳地區新移民所從事主要工作平均月薪則分布較為分散。</w:t>
      </w:r>
    </w:p>
    <w:p w:rsidR="00A66DFC" w:rsidRPr="00B40DC1" w:rsidRDefault="00DD52C8" w:rsidP="00A66DFC">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表10</w:t>
      </w:r>
      <w:r w:rsidR="00A66DFC">
        <w:rPr>
          <w:rFonts w:ascii="新細明體" w:eastAsia="新細明體" w:hAnsi="新細明體" w:hint="eastAsia"/>
          <w:lang w:eastAsia="zh-TW"/>
        </w:rPr>
        <w:t>、</w:t>
      </w:r>
      <w:r w:rsidRPr="00B40DC1">
        <w:rPr>
          <w:lang w:eastAsia="zh-TW"/>
        </w:rPr>
        <w:t>受訪者國籍與從事主要工作平均月薪之關聯分析</w:t>
      </w:r>
    </w:p>
    <w:tbl>
      <w:tblPr>
        <w:tblStyle w:val="43"/>
        <w:tblW w:w="0" w:type="auto"/>
        <w:tblInd w:w="12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59"/>
        <w:gridCol w:w="1134"/>
        <w:gridCol w:w="1616"/>
        <w:gridCol w:w="2070"/>
        <w:gridCol w:w="1483"/>
        <w:gridCol w:w="1777"/>
      </w:tblGrid>
      <w:tr w:rsidR="0049577B" w:rsidRPr="00B40DC1" w:rsidTr="00AA03F8">
        <w:tc>
          <w:tcPr>
            <w:tcW w:w="1559" w:type="dxa"/>
            <w:tcBorders>
              <w:top w:val="single" w:sz="12" w:space="0" w:color="auto"/>
              <w:bottom w:val="single" w:sz="8" w:space="0" w:color="auto"/>
            </w:tcBorders>
            <w:shd w:val="clear" w:color="auto" w:fill="FAF0FA"/>
            <w:vAlign w:val="center"/>
          </w:tcPr>
          <w:p w:rsidR="0049577B" w:rsidRPr="00B40DC1" w:rsidRDefault="0049577B" w:rsidP="002F101F">
            <w:pPr>
              <w:spacing w:line="240" w:lineRule="auto"/>
              <w:ind w:leftChars="0" w:left="0" w:rightChars="0" w:right="0"/>
            </w:pPr>
            <w:r w:rsidRPr="00B40DC1">
              <w:t>平均月薪</w:t>
            </w:r>
          </w:p>
        </w:tc>
        <w:tc>
          <w:tcPr>
            <w:tcW w:w="1134" w:type="dxa"/>
            <w:tcBorders>
              <w:top w:val="single" w:sz="12" w:space="0" w:color="auto"/>
              <w:bottom w:val="single" w:sz="8" w:space="0" w:color="auto"/>
            </w:tcBorders>
            <w:shd w:val="clear" w:color="auto" w:fill="FAF0FA"/>
            <w:vAlign w:val="center"/>
          </w:tcPr>
          <w:p w:rsidR="0049577B" w:rsidRPr="00B40DC1" w:rsidRDefault="0049577B" w:rsidP="002F101F">
            <w:pPr>
              <w:spacing w:line="240" w:lineRule="auto"/>
              <w:ind w:leftChars="0" w:left="0" w:rightChars="0" w:right="0"/>
              <w:jc w:val="center"/>
            </w:pPr>
            <w:r w:rsidRPr="00B40DC1">
              <w:t>次數</w:t>
            </w:r>
          </w:p>
          <w:p w:rsidR="0049577B" w:rsidRPr="00B40DC1" w:rsidRDefault="0049577B" w:rsidP="002F101F">
            <w:pPr>
              <w:spacing w:line="240" w:lineRule="auto"/>
              <w:ind w:leftChars="0" w:left="0" w:rightChars="0" w:right="0"/>
              <w:jc w:val="center"/>
            </w:pPr>
            <w:r w:rsidRPr="00B40DC1">
              <w:t>百分比</w:t>
            </w:r>
          </w:p>
        </w:tc>
        <w:tc>
          <w:tcPr>
            <w:tcW w:w="1616" w:type="dxa"/>
            <w:tcBorders>
              <w:top w:val="single" w:sz="12" w:space="0" w:color="auto"/>
              <w:bottom w:val="single" w:sz="8" w:space="0" w:color="auto"/>
            </w:tcBorders>
            <w:shd w:val="clear" w:color="auto" w:fill="FAF0FA"/>
            <w:vAlign w:val="center"/>
          </w:tcPr>
          <w:p w:rsidR="0049577B" w:rsidRPr="00B40DC1" w:rsidRDefault="0049577B" w:rsidP="002F101F">
            <w:pPr>
              <w:spacing w:line="240" w:lineRule="auto"/>
              <w:ind w:leftChars="0" w:left="0" w:rightChars="0" w:right="0"/>
              <w:jc w:val="center"/>
            </w:pPr>
            <w:r w:rsidRPr="00B40DC1">
              <w:t>東南亞國家</w:t>
            </w:r>
          </w:p>
        </w:tc>
        <w:tc>
          <w:tcPr>
            <w:tcW w:w="2070" w:type="dxa"/>
            <w:tcBorders>
              <w:top w:val="single" w:sz="12" w:space="0" w:color="auto"/>
              <w:bottom w:val="single" w:sz="8" w:space="0" w:color="auto"/>
            </w:tcBorders>
            <w:shd w:val="clear" w:color="auto" w:fill="FAF0FA"/>
            <w:vAlign w:val="center"/>
          </w:tcPr>
          <w:p w:rsidR="0049577B" w:rsidRPr="00B40DC1" w:rsidRDefault="0049577B" w:rsidP="002F101F">
            <w:pPr>
              <w:spacing w:line="240" w:lineRule="auto"/>
              <w:ind w:leftChars="0" w:left="0" w:rightChars="0" w:right="0"/>
              <w:jc w:val="center"/>
            </w:pPr>
            <w:r w:rsidRPr="00B40DC1">
              <w:t>大陸及港澳地區</w:t>
            </w:r>
          </w:p>
        </w:tc>
        <w:tc>
          <w:tcPr>
            <w:tcW w:w="1483" w:type="dxa"/>
            <w:tcBorders>
              <w:top w:val="single" w:sz="12" w:space="0" w:color="auto"/>
              <w:bottom w:val="single" w:sz="8" w:space="0" w:color="auto"/>
            </w:tcBorders>
            <w:shd w:val="clear" w:color="auto" w:fill="FAF0FA"/>
            <w:vAlign w:val="center"/>
          </w:tcPr>
          <w:p w:rsidR="0049577B" w:rsidRPr="00B40DC1" w:rsidRDefault="0049577B" w:rsidP="002F101F">
            <w:pPr>
              <w:spacing w:line="240" w:lineRule="auto"/>
              <w:ind w:leftChars="0" w:left="0" w:rightChars="0" w:right="0"/>
              <w:jc w:val="center"/>
            </w:pPr>
            <w:r w:rsidRPr="00B40DC1">
              <w:t>其他國家</w:t>
            </w:r>
          </w:p>
        </w:tc>
        <w:tc>
          <w:tcPr>
            <w:tcW w:w="1777" w:type="dxa"/>
            <w:tcBorders>
              <w:top w:val="single" w:sz="12" w:space="0" w:color="auto"/>
              <w:bottom w:val="single" w:sz="8" w:space="0" w:color="auto"/>
            </w:tcBorders>
            <w:shd w:val="clear" w:color="auto" w:fill="FAF0FA"/>
            <w:vAlign w:val="center"/>
          </w:tcPr>
          <w:p w:rsidR="0049577B" w:rsidRPr="00B40DC1" w:rsidRDefault="0049577B" w:rsidP="002F101F">
            <w:pPr>
              <w:spacing w:line="240" w:lineRule="auto"/>
              <w:ind w:leftChars="0" w:left="0" w:rightChars="0" w:right="0"/>
              <w:jc w:val="center"/>
            </w:pPr>
            <w:r w:rsidRPr="00B40DC1">
              <w:t>總和</w:t>
            </w:r>
          </w:p>
        </w:tc>
      </w:tr>
      <w:tr w:rsidR="0049577B" w:rsidRPr="00B40DC1" w:rsidTr="00AA03F8">
        <w:tc>
          <w:tcPr>
            <w:tcW w:w="1559" w:type="dxa"/>
            <w:vMerge w:val="restart"/>
            <w:tcBorders>
              <w:top w:val="single" w:sz="8" w:space="0" w:color="auto"/>
            </w:tcBorders>
            <w:vAlign w:val="center"/>
          </w:tcPr>
          <w:p w:rsidR="0049577B" w:rsidRPr="00B40DC1" w:rsidRDefault="0049577B" w:rsidP="002F101F">
            <w:pPr>
              <w:spacing w:line="240" w:lineRule="auto"/>
              <w:ind w:leftChars="0" w:left="0" w:rightChars="0" w:right="0"/>
            </w:pPr>
            <w:r w:rsidRPr="00B40DC1">
              <w:t>無報酬</w:t>
            </w:r>
          </w:p>
        </w:tc>
        <w:tc>
          <w:tcPr>
            <w:tcW w:w="1134"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次數</w:t>
            </w:r>
          </w:p>
        </w:tc>
        <w:tc>
          <w:tcPr>
            <w:tcW w:w="1616"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9</w:t>
            </w:r>
          </w:p>
        </w:tc>
        <w:tc>
          <w:tcPr>
            <w:tcW w:w="2070"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24</w:t>
            </w:r>
          </w:p>
        </w:tc>
        <w:tc>
          <w:tcPr>
            <w:tcW w:w="1483"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2</w:t>
            </w:r>
          </w:p>
        </w:tc>
        <w:tc>
          <w:tcPr>
            <w:tcW w:w="1777"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35</w:t>
            </w:r>
          </w:p>
        </w:tc>
      </w:tr>
      <w:tr w:rsidR="0049577B" w:rsidRPr="00B40DC1" w:rsidTr="00AA03F8">
        <w:tc>
          <w:tcPr>
            <w:tcW w:w="1559" w:type="dxa"/>
            <w:vMerge/>
            <w:vAlign w:val="center"/>
          </w:tcPr>
          <w:p w:rsidR="0049577B" w:rsidRPr="00B40DC1" w:rsidRDefault="0049577B" w:rsidP="002F101F">
            <w:pPr>
              <w:spacing w:line="240" w:lineRule="auto"/>
              <w:ind w:leftChars="0" w:left="0" w:rightChars="0" w:right="0"/>
            </w:pPr>
          </w:p>
        </w:tc>
        <w:tc>
          <w:tcPr>
            <w:tcW w:w="1134" w:type="dxa"/>
            <w:vAlign w:val="center"/>
          </w:tcPr>
          <w:p w:rsidR="0049577B" w:rsidRPr="00B40DC1" w:rsidRDefault="0049577B" w:rsidP="002F101F">
            <w:pPr>
              <w:spacing w:line="240" w:lineRule="auto"/>
              <w:ind w:leftChars="0" w:left="0" w:rightChars="0" w:right="0"/>
              <w:jc w:val="center"/>
            </w:pPr>
            <w:r w:rsidRPr="00B40DC1">
              <w:t>百分比</w:t>
            </w:r>
          </w:p>
        </w:tc>
        <w:tc>
          <w:tcPr>
            <w:tcW w:w="1616" w:type="dxa"/>
            <w:vAlign w:val="center"/>
          </w:tcPr>
          <w:p w:rsidR="0049577B" w:rsidRPr="00B40DC1" w:rsidRDefault="0049577B" w:rsidP="002F101F">
            <w:pPr>
              <w:spacing w:line="240" w:lineRule="auto"/>
              <w:ind w:leftChars="0" w:left="0" w:rightChars="0" w:right="0"/>
              <w:jc w:val="center"/>
            </w:pPr>
            <w:r w:rsidRPr="00B40DC1">
              <w:t>3.40%</w:t>
            </w:r>
          </w:p>
        </w:tc>
        <w:tc>
          <w:tcPr>
            <w:tcW w:w="2070" w:type="dxa"/>
            <w:vAlign w:val="center"/>
          </w:tcPr>
          <w:p w:rsidR="0049577B" w:rsidRPr="00B40DC1" w:rsidRDefault="0049577B" w:rsidP="002F101F">
            <w:pPr>
              <w:spacing w:line="240" w:lineRule="auto"/>
              <w:ind w:leftChars="0" w:left="0" w:rightChars="0" w:right="0"/>
              <w:jc w:val="center"/>
            </w:pPr>
            <w:r w:rsidRPr="00B40DC1">
              <w:t>5.60%</w:t>
            </w:r>
          </w:p>
        </w:tc>
        <w:tc>
          <w:tcPr>
            <w:tcW w:w="1483" w:type="dxa"/>
            <w:vAlign w:val="center"/>
          </w:tcPr>
          <w:p w:rsidR="0049577B" w:rsidRPr="00B40DC1" w:rsidRDefault="0049577B" w:rsidP="002F101F">
            <w:pPr>
              <w:spacing w:line="240" w:lineRule="auto"/>
              <w:ind w:leftChars="0" w:left="0" w:rightChars="0" w:right="0"/>
              <w:jc w:val="center"/>
            </w:pPr>
            <w:r w:rsidRPr="00B40DC1">
              <w:t>9.50%</w:t>
            </w:r>
          </w:p>
        </w:tc>
        <w:tc>
          <w:tcPr>
            <w:tcW w:w="1777" w:type="dxa"/>
            <w:vAlign w:val="center"/>
          </w:tcPr>
          <w:p w:rsidR="0049577B" w:rsidRPr="00B40DC1" w:rsidRDefault="0049577B" w:rsidP="002F101F">
            <w:pPr>
              <w:spacing w:line="240" w:lineRule="auto"/>
              <w:ind w:leftChars="0" w:left="0" w:rightChars="0" w:right="0"/>
              <w:jc w:val="center"/>
            </w:pPr>
            <w:r w:rsidRPr="00B40DC1">
              <w:t>4.90%</w:t>
            </w:r>
          </w:p>
        </w:tc>
      </w:tr>
      <w:tr w:rsidR="0049577B" w:rsidRPr="00B40DC1" w:rsidTr="00AA03F8">
        <w:tc>
          <w:tcPr>
            <w:tcW w:w="1559" w:type="dxa"/>
            <w:vMerge w:val="restart"/>
            <w:vAlign w:val="center"/>
          </w:tcPr>
          <w:p w:rsidR="0049577B" w:rsidRPr="00B40DC1" w:rsidRDefault="0049577B" w:rsidP="002F101F">
            <w:pPr>
              <w:spacing w:line="240" w:lineRule="auto"/>
              <w:ind w:leftChars="0" w:left="0" w:rightChars="0" w:right="0"/>
            </w:pPr>
            <w:r w:rsidRPr="00B40DC1">
              <w:t>未滿1萬</w:t>
            </w:r>
          </w:p>
        </w:tc>
        <w:tc>
          <w:tcPr>
            <w:tcW w:w="1134" w:type="dxa"/>
            <w:vAlign w:val="center"/>
          </w:tcPr>
          <w:p w:rsidR="0049577B" w:rsidRPr="00B40DC1" w:rsidRDefault="0049577B" w:rsidP="002F101F">
            <w:pPr>
              <w:spacing w:line="240" w:lineRule="auto"/>
              <w:ind w:leftChars="0" w:left="0" w:rightChars="0" w:right="0"/>
              <w:jc w:val="center"/>
            </w:pPr>
            <w:r w:rsidRPr="00B40DC1">
              <w:t>次數</w:t>
            </w:r>
          </w:p>
        </w:tc>
        <w:tc>
          <w:tcPr>
            <w:tcW w:w="1616" w:type="dxa"/>
            <w:vAlign w:val="center"/>
          </w:tcPr>
          <w:p w:rsidR="0049577B" w:rsidRPr="00B40DC1" w:rsidRDefault="0049577B" w:rsidP="002F101F">
            <w:pPr>
              <w:spacing w:line="240" w:lineRule="auto"/>
              <w:ind w:leftChars="0" w:left="0" w:rightChars="0" w:right="0"/>
              <w:jc w:val="center"/>
            </w:pPr>
            <w:r w:rsidRPr="00B40DC1">
              <w:t>11</w:t>
            </w:r>
          </w:p>
        </w:tc>
        <w:tc>
          <w:tcPr>
            <w:tcW w:w="2070" w:type="dxa"/>
            <w:vAlign w:val="center"/>
          </w:tcPr>
          <w:p w:rsidR="0049577B" w:rsidRPr="00B40DC1" w:rsidRDefault="0049577B" w:rsidP="002F101F">
            <w:pPr>
              <w:spacing w:line="240" w:lineRule="auto"/>
              <w:ind w:leftChars="0" w:left="0" w:rightChars="0" w:right="0"/>
              <w:jc w:val="center"/>
            </w:pPr>
            <w:r w:rsidRPr="00B40DC1">
              <w:t>17</w:t>
            </w:r>
          </w:p>
        </w:tc>
        <w:tc>
          <w:tcPr>
            <w:tcW w:w="1483" w:type="dxa"/>
            <w:vAlign w:val="center"/>
          </w:tcPr>
          <w:p w:rsidR="0049577B" w:rsidRPr="00B40DC1" w:rsidRDefault="0049577B" w:rsidP="002F101F">
            <w:pPr>
              <w:spacing w:line="240" w:lineRule="auto"/>
              <w:ind w:leftChars="0" w:left="0" w:rightChars="0" w:right="0"/>
              <w:jc w:val="center"/>
            </w:pPr>
            <w:r w:rsidRPr="00B40DC1">
              <w:t>0</w:t>
            </w:r>
          </w:p>
        </w:tc>
        <w:tc>
          <w:tcPr>
            <w:tcW w:w="1777" w:type="dxa"/>
            <w:vAlign w:val="center"/>
          </w:tcPr>
          <w:p w:rsidR="0049577B" w:rsidRPr="00B40DC1" w:rsidRDefault="0049577B" w:rsidP="002F101F">
            <w:pPr>
              <w:spacing w:line="240" w:lineRule="auto"/>
              <w:ind w:leftChars="0" w:left="0" w:rightChars="0" w:right="0"/>
              <w:jc w:val="center"/>
            </w:pPr>
            <w:r w:rsidRPr="00B40DC1">
              <w:t>28</w:t>
            </w:r>
          </w:p>
        </w:tc>
      </w:tr>
      <w:tr w:rsidR="0049577B" w:rsidRPr="00B40DC1" w:rsidTr="00AA03F8">
        <w:tc>
          <w:tcPr>
            <w:tcW w:w="1559" w:type="dxa"/>
            <w:vMerge/>
            <w:vAlign w:val="center"/>
          </w:tcPr>
          <w:p w:rsidR="0049577B" w:rsidRPr="00B40DC1" w:rsidRDefault="0049577B" w:rsidP="002F101F">
            <w:pPr>
              <w:spacing w:line="240" w:lineRule="auto"/>
              <w:ind w:leftChars="0" w:left="0" w:rightChars="0" w:right="0"/>
            </w:pPr>
          </w:p>
        </w:tc>
        <w:tc>
          <w:tcPr>
            <w:tcW w:w="1134" w:type="dxa"/>
            <w:vAlign w:val="center"/>
          </w:tcPr>
          <w:p w:rsidR="0049577B" w:rsidRPr="00B40DC1" w:rsidRDefault="0049577B" w:rsidP="002F101F">
            <w:pPr>
              <w:spacing w:line="240" w:lineRule="auto"/>
              <w:ind w:leftChars="0" w:left="0" w:rightChars="0" w:right="0"/>
              <w:jc w:val="center"/>
            </w:pPr>
            <w:r w:rsidRPr="00B40DC1">
              <w:t>百分比</w:t>
            </w:r>
          </w:p>
        </w:tc>
        <w:tc>
          <w:tcPr>
            <w:tcW w:w="1616" w:type="dxa"/>
            <w:vAlign w:val="center"/>
          </w:tcPr>
          <w:p w:rsidR="0049577B" w:rsidRPr="00B40DC1" w:rsidRDefault="0049577B" w:rsidP="002F101F">
            <w:pPr>
              <w:spacing w:line="240" w:lineRule="auto"/>
              <w:ind w:leftChars="0" w:left="0" w:rightChars="0" w:right="0"/>
              <w:jc w:val="center"/>
            </w:pPr>
            <w:r w:rsidRPr="00B40DC1">
              <w:t>4.10%</w:t>
            </w:r>
          </w:p>
        </w:tc>
        <w:tc>
          <w:tcPr>
            <w:tcW w:w="2070" w:type="dxa"/>
            <w:vAlign w:val="center"/>
          </w:tcPr>
          <w:p w:rsidR="0049577B" w:rsidRPr="00B40DC1" w:rsidRDefault="0049577B" w:rsidP="002F101F">
            <w:pPr>
              <w:spacing w:line="240" w:lineRule="auto"/>
              <w:ind w:leftChars="0" w:left="0" w:rightChars="0" w:right="0"/>
              <w:jc w:val="center"/>
            </w:pPr>
            <w:r w:rsidRPr="00B40DC1">
              <w:t>4.00%</w:t>
            </w:r>
          </w:p>
        </w:tc>
        <w:tc>
          <w:tcPr>
            <w:tcW w:w="1483" w:type="dxa"/>
            <w:vAlign w:val="center"/>
          </w:tcPr>
          <w:p w:rsidR="0049577B" w:rsidRPr="00B40DC1" w:rsidRDefault="0049577B" w:rsidP="002F101F">
            <w:pPr>
              <w:spacing w:line="240" w:lineRule="auto"/>
              <w:ind w:leftChars="0" w:left="0" w:rightChars="0" w:right="0"/>
              <w:jc w:val="center"/>
            </w:pPr>
            <w:r w:rsidRPr="00B40DC1">
              <w:t>0.00%</w:t>
            </w:r>
          </w:p>
        </w:tc>
        <w:tc>
          <w:tcPr>
            <w:tcW w:w="1777" w:type="dxa"/>
            <w:vAlign w:val="center"/>
          </w:tcPr>
          <w:p w:rsidR="0049577B" w:rsidRPr="00B40DC1" w:rsidRDefault="0049577B" w:rsidP="002F101F">
            <w:pPr>
              <w:spacing w:line="240" w:lineRule="auto"/>
              <w:ind w:leftChars="0" w:left="0" w:rightChars="0" w:right="0"/>
              <w:jc w:val="center"/>
            </w:pPr>
            <w:r w:rsidRPr="00B40DC1">
              <w:t>3.90%</w:t>
            </w:r>
          </w:p>
        </w:tc>
      </w:tr>
      <w:tr w:rsidR="0049577B" w:rsidRPr="00B40DC1" w:rsidTr="00AA03F8">
        <w:tc>
          <w:tcPr>
            <w:tcW w:w="1559" w:type="dxa"/>
            <w:vMerge w:val="restart"/>
            <w:vAlign w:val="center"/>
          </w:tcPr>
          <w:p w:rsidR="0049577B" w:rsidRPr="00B40DC1" w:rsidRDefault="0049577B" w:rsidP="002F101F">
            <w:pPr>
              <w:spacing w:line="240" w:lineRule="auto"/>
              <w:ind w:leftChars="0" w:left="0" w:rightChars="0" w:right="0"/>
            </w:pPr>
            <w:r w:rsidRPr="00B40DC1">
              <w:t>1萬元至未滿2萬元</w:t>
            </w:r>
          </w:p>
        </w:tc>
        <w:tc>
          <w:tcPr>
            <w:tcW w:w="1134" w:type="dxa"/>
            <w:vAlign w:val="center"/>
          </w:tcPr>
          <w:p w:rsidR="0049577B" w:rsidRPr="00B40DC1" w:rsidRDefault="0049577B" w:rsidP="002F101F">
            <w:pPr>
              <w:spacing w:line="240" w:lineRule="auto"/>
              <w:ind w:leftChars="0" w:left="0" w:rightChars="0" w:right="0"/>
              <w:jc w:val="center"/>
            </w:pPr>
            <w:r w:rsidRPr="00B40DC1">
              <w:t>次數</w:t>
            </w:r>
          </w:p>
        </w:tc>
        <w:tc>
          <w:tcPr>
            <w:tcW w:w="1616" w:type="dxa"/>
            <w:vAlign w:val="center"/>
          </w:tcPr>
          <w:p w:rsidR="0049577B" w:rsidRPr="00B40DC1" w:rsidRDefault="0049577B" w:rsidP="002F101F">
            <w:pPr>
              <w:spacing w:line="240" w:lineRule="auto"/>
              <w:ind w:leftChars="0" w:left="0" w:rightChars="0" w:right="0"/>
              <w:jc w:val="center"/>
            </w:pPr>
            <w:r w:rsidRPr="00B40DC1">
              <w:t>116</w:t>
            </w:r>
          </w:p>
        </w:tc>
        <w:tc>
          <w:tcPr>
            <w:tcW w:w="2070" w:type="dxa"/>
            <w:vAlign w:val="center"/>
          </w:tcPr>
          <w:p w:rsidR="0049577B" w:rsidRPr="00B40DC1" w:rsidRDefault="0049577B" w:rsidP="002F101F">
            <w:pPr>
              <w:spacing w:line="240" w:lineRule="auto"/>
              <w:ind w:leftChars="0" w:left="0" w:rightChars="0" w:right="0"/>
              <w:jc w:val="center"/>
            </w:pPr>
            <w:r w:rsidRPr="00B40DC1">
              <w:t>96</w:t>
            </w:r>
          </w:p>
        </w:tc>
        <w:tc>
          <w:tcPr>
            <w:tcW w:w="1483" w:type="dxa"/>
            <w:vAlign w:val="center"/>
          </w:tcPr>
          <w:p w:rsidR="0049577B" w:rsidRPr="00B40DC1" w:rsidRDefault="0049577B" w:rsidP="002F101F">
            <w:pPr>
              <w:spacing w:line="240" w:lineRule="auto"/>
              <w:ind w:leftChars="0" w:left="0" w:rightChars="0" w:right="0"/>
              <w:jc w:val="center"/>
            </w:pPr>
            <w:r w:rsidRPr="00B40DC1">
              <w:t>5</w:t>
            </w:r>
          </w:p>
        </w:tc>
        <w:tc>
          <w:tcPr>
            <w:tcW w:w="1777" w:type="dxa"/>
            <w:vAlign w:val="center"/>
          </w:tcPr>
          <w:p w:rsidR="0049577B" w:rsidRPr="00B40DC1" w:rsidRDefault="0049577B" w:rsidP="002F101F">
            <w:pPr>
              <w:spacing w:line="240" w:lineRule="auto"/>
              <w:ind w:leftChars="0" w:left="0" w:rightChars="0" w:right="0"/>
              <w:jc w:val="center"/>
            </w:pPr>
            <w:r w:rsidRPr="00B40DC1">
              <w:t>217</w:t>
            </w:r>
          </w:p>
        </w:tc>
      </w:tr>
      <w:tr w:rsidR="0049577B" w:rsidRPr="00B40DC1" w:rsidTr="00AA03F8">
        <w:tc>
          <w:tcPr>
            <w:tcW w:w="1559" w:type="dxa"/>
            <w:vMerge/>
            <w:vAlign w:val="center"/>
          </w:tcPr>
          <w:p w:rsidR="0049577B" w:rsidRPr="00B40DC1" w:rsidRDefault="0049577B" w:rsidP="002F101F">
            <w:pPr>
              <w:spacing w:line="240" w:lineRule="auto"/>
              <w:ind w:leftChars="0" w:left="0" w:rightChars="0" w:right="0"/>
            </w:pPr>
          </w:p>
        </w:tc>
        <w:tc>
          <w:tcPr>
            <w:tcW w:w="1134" w:type="dxa"/>
            <w:vAlign w:val="center"/>
          </w:tcPr>
          <w:p w:rsidR="0049577B" w:rsidRPr="00B40DC1" w:rsidRDefault="0049577B" w:rsidP="002F101F">
            <w:pPr>
              <w:spacing w:line="240" w:lineRule="auto"/>
              <w:ind w:leftChars="0" w:left="0" w:rightChars="0" w:right="0"/>
              <w:jc w:val="center"/>
            </w:pPr>
            <w:r w:rsidRPr="00B40DC1">
              <w:t>百分比</w:t>
            </w:r>
          </w:p>
        </w:tc>
        <w:tc>
          <w:tcPr>
            <w:tcW w:w="1616" w:type="dxa"/>
            <w:vAlign w:val="center"/>
          </w:tcPr>
          <w:p w:rsidR="0049577B" w:rsidRPr="00B40DC1" w:rsidRDefault="0049577B" w:rsidP="002F101F">
            <w:pPr>
              <w:spacing w:line="240" w:lineRule="auto"/>
              <w:ind w:leftChars="0" w:left="0" w:rightChars="0" w:right="0"/>
              <w:jc w:val="center"/>
            </w:pPr>
            <w:r w:rsidRPr="00B40DC1">
              <w:t>43.60%</w:t>
            </w:r>
          </w:p>
        </w:tc>
        <w:tc>
          <w:tcPr>
            <w:tcW w:w="2070" w:type="dxa"/>
            <w:vAlign w:val="center"/>
          </w:tcPr>
          <w:p w:rsidR="0049577B" w:rsidRPr="00B40DC1" w:rsidRDefault="0049577B" w:rsidP="002F101F">
            <w:pPr>
              <w:spacing w:line="240" w:lineRule="auto"/>
              <w:ind w:leftChars="0" w:left="0" w:rightChars="0" w:right="0"/>
              <w:jc w:val="center"/>
            </w:pPr>
            <w:r w:rsidRPr="00B40DC1">
              <w:t>22.40%</w:t>
            </w:r>
          </w:p>
        </w:tc>
        <w:tc>
          <w:tcPr>
            <w:tcW w:w="1483" w:type="dxa"/>
            <w:vAlign w:val="center"/>
          </w:tcPr>
          <w:p w:rsidR="0049577B" w:rsidRPr="00B40DC1" w:rsidRDefault="0049577B" w:rsidP="002F101F">
            <w:pPr>
              <w:spacing w:line="240" w:lineRule="auto"/>
              <w:ind w:leftChars="0" w:left="0" w:rightChars="0" w:right="0"/>
              <w:jc w:val="center"/>
            </w:pPr>
            <w:r w:rsidRPr="00B40DC1">
              <w:t>23.80%</w:t>
            </w:r>
          </w:p>
        </w:tc>
        <w:tc>
          <w:tcPr>
            <w:tcW w:w="1777" w:type="dxa"/>
            <w:vAlign w:val="center"/>
          </w:tcPr>
          <w:p w:rsidR="0049577B" w:rsidRPr="00B40DC1" w:rsidRDefault="0049577B" w:rsidP="002F101F">
            <w:pPr>
              <w:spacing w:line="240" w:lineRule="auto"/>
              <w:ind w:leftChars="0" w:left="0" w:rightChars="0" w:right="0"/>
              <w:jc w:val="center"/>
            </w:pPr>
            <w:r w:rsidRPr="00B40DC1">
              <w:t>30.30%</w:t>
            </w:r>
          </w:p>
        </w:tc>
      </w:tr>
      <w:tr w:rsidR="0049577B" w:rsidRPr="00B40DC1" w:rsidTr="00AA03F8">
        <w:tc>
          <w:tcPr>
            <w:tcW w:w="1559" w:type="dxa"/>
            <w:vMerge w:val="restart"/>
            <w:vAlign w:val="center"/>
          </w:tcPr>
          <w:p w:rsidR="0049577B" w:rsidRPr="00B40DC1" w:rsidRDefault="0049577B" w:rsidP="002F101F">
            <w:pPr>
              <w:spacing w:line="240" w:lineRule="auto"/>
              <w:ind w:leftChars="0" w:left="0" w:rightChars="0" w:right="0"/>
            </w:pPr>
            <w:r w:rsidRPr="00B40DC1">
              <w:t>2萬元至未滿3萬元</w:t>
            </w:r>
          </w:p>
        </w:tc>
        <w:tc>
          <w:tcPr>
            <w:tcW w:w="1134" w:type="dxa"/>
            <w:vAlign w:val="center"/>
          </w:tcPr>
          <w:p w:rsidR="0049577B" w:rsidRPr="00B40DC1" w:rsidRDefault="0049577B" w:rsidP="002F101F">
            <w:pPr>
              <w:spacing w:line="240" w:lineRule="auto"/>
              <w:ind w:leftChars="0" w:left="0" w:rightChars="0" w:right="0"/>
              <w:jc w:val="center"/>
            </w:pPr>
            <w:r w:rsidRPr="00B40DC1">
              <w:t>次數</w:t>
            </w:r>
          </w:p>
        </w:tc>
        <w:tc>
          <w:tcPr>
            <w:tcW w:w="1616" w:type="dxa"/>
            <w:vAlign w:val="center"/>
          </w:tcPr>
          <w:p w:rsidR="0049577B" w:rsidRPr="00B40DC1" w:rsidRDefault="0049577B" w:rsidP="002F101F">
            <w:pPr>
              <w:spacing w:line="240" w:lineRule="auto"/>
              <w:ind w:leftChars="0" w:left="0" w:rightChars="0" w:right="0"/>
              <w:jc w:val="center"/>
            </w:pPr>
            <w:r w:rsidRPr="00B40DC1">
              <w:t>109</w:t>
            </w:r>
          </w:p>
        </w:tc>
        <w:tc>
          <w:tcPr>
            <w:tcW w:w="2070" w:type="dxa"/>
            <w:vAlign w:val="center"/>
          </w:tcPr>
          <w:p w:rsidR="0049577B" w:rsidRPr="00B40DC1" w:rsidRDefault="0049577B" w:rsidP="002F101F">
            <w:pPr>
              <w:spacing w:line="240" w:lineRule="auto"/>
              <w:ind w:leftChars="0" w:left="0" w:rightChars="0" w:right="0"/>
              <w:jc w:val="center"/>
            </w:pPr>
            <w:r w:rsidRPr="00B40DC1">
              <w:t>241</w:t>
            </w:r>
          </w:p>
        </w:tc>
        <w:tc>
          <w:tcPr>
            <w:tcW w:w="1483" w:type="dxa"/>
            <w:vAlign w:val="center"/>
          </w:tcPr>
          <w:p w:rsidR="0049577B" w:rsidRPr="00B40DC1" w:rsidRDefault="0049577B" w:rsidP="002F101F">
            <w:pPr>
              <w:spacing w:line="240" w:lineRule="auto"/>
              <w:ind w:leftChars="0" w:left="0" w:rightChars="0" w:right="0"/>
              <w:jc w:val="center"/>
            </w:pPr>
            <w:r w:rsidRPr="00B40DC1">
              <w:t>12</w:t>
            </w:r>
          </w:p>
        </w:tc>
        <w:tc>
          <w:tcPr>
            <w:tcW w:w="1777" w:type="dxa"/>
            <w:vAlign w:val="center"/>
          </w:tcPr>
          <w:p w:rsidR="0049577B" w:rsidRPr="00B40DC1" w:rsidRDefault="0049577B" w:rsidP="002F101F">
            <w:pPr>
              <w:spacing w:line="240" w:lineRule="auto"/>
              <w:ind w:leftChars="0" w:left="0" w:rightChars="0" w:right="0"/>
              <w:jc w:val="center"/>
            </w:pPr>
            <w:r w:rsidRPr="00B40DC1">
              <w:t>362</w:t>
            </w:r>
          </w:p>
        </w:tc>
      </w:tr>
      <w:tr w:rsidR="0049577B" w:rsidRPr="00B40DC1" w:rsidTr="00AA03F8">
        <w:tc>
          <w:tcPr>
            <w:tcW w:w="1559" w:type="dxa"/>
            <w:vMerge/>
            <w:vAlign w:val="center"/>
          </w:tcPr>
          <w:p w:rsidR="0049577B" w:rsidRPr="00B40DC1" w:rsidRDefault="0049577B" w:rsidP="002F101F">
            <w:pPr>
              <w:spacing w:line="240" w:lineRule="auto"/>
              <w:ind w:leftChars="0" w:left="0" w:rightChars="0" w:right="0"/>
            </w:pPr>
          </w:p>
        </w:tc>
        <w:tc>
          <w:tcPr>
            <w:tcW w:w="1134" w:type="dxa"/>
            <w:vAlign w:val="center"/>
          </w:tcPr>
          <w:p w:rsidR="0049577B" w:rsidRPr="00B40DC1" w:rsidRDefault="0049577B" w:rsidP="002F101F">
            <w:pPr>
              <w:spacing w:line="240" w:lineRule="auto"/>
              <w:ind w:leftChars="0" w:left="0" w:rightChars="0" w:right="0"/>
              <w:jc w:val="center"/>
            </w:pPr>
            <w:r w:rsidRPr="00B40DC1">
              <w:t>百分比</w:t>
            </w:r>
          </w:p>
        </w:tc>
        <w:tc>
          <w:tcPr>
            <w:tcW w:w="1616" w:type="dxa"/>
            <w:vAlign w:val="center"/>
          </w:tcPr>
          <w:p w:rsidR="0049577B" w:rsidRPr="00B40DC1" w:rsidRDefault="0049577B" w:rsidP="002F101F">
            <w:pPr>
              <w:spacing w:line="240" w:lineRule="auto"/>
              <w:ind w:leftChars="0" w:left="0" w:rightChars="0" w:right="0"/>
              <w:jc w:val="center"/>
            </w:pPr>
            <w:r w:rsidRPr="00B40DC1">
              <w:t>41.00%</w:t>
            </w:r>
          </w:p>
        </w:tc>
        <w:tc>
          <w:tcPr>
            <w:tcW w:w="2070" w:type="dxa"/>
            <w:vAlign w:val="center"/>
          </w:tcPr>
          <w:p w:rsidR="0049577B" w:rsidRPr="00B40DC1" w:rsidRDefault="0049577B" w:rsidP="002F101F">
            <w:pPr>
              <w:spacing w:line="240" w:lineRule="auto"/>
              <w:ind w:leftChars="0" w:left="0" w:rightChars="0" w:right="0"/>
              <w:jc w:val="center"/>
            </w:pPr>
            <w:r w:rsidRPr="00B40DC1">
              <w:t>56.20%</w:t>
            </w:r>
          </w:p>
        </w:tc>
        <w:tc>
          <w:tcPr>
            <w:tcW w:w="1483" w:type="dxa"/>
            <w:vAlign w:val="center"/>
          </w:tcPr>
          <w:p w:rsidR="0049577B" w:rsidRPr="00B40DC1" w:rsidRDefault="0049577B" w:rsidP="002F101F">
            <w:pPr>
              <w:spacing w:line="240" w:lineRule="auto"/>
              <w:ind w:leftChars="0" w:left="0" w:rightChars="0" w:right="0"/>
              <w:jc w:val="center"/>
            </w:pPr>
            <w:r w:rsidRPr="00B40DC1">
              <w:t>57.10%</w:t>
            </w:r>
          </w:p>
        </w:tc>
        <w:tc>
          <w:tcPr>
            <w:tcW w:w="1777" w:type="dxa"/>
            <w:vAlign w:val="center"/>
          </w:tcPr>
          <w:p w:rsidR="0049577B" w:rsidRPr="00B40DC1" w:rsidRDefault="0049577B" w:rsidP="002F101F">
            <w:pPr>
              <w:spacing w:line="240" w:lineRule="auto"/>
              <w:ind w:leftChars="0" w:left="0" w:rightChars="0" w:right="0"/>
              <w:jc w:val="center"/>
            </w:pPr>
            <w:r w:rsidRPr="00B40DC1">
              <w:t>50.60%</w:t>
            </w:r>
          </w:p>
        </w:tc>
      </w:tr>
      <w:tr w:rsidR="0049577B" w:rsidRPr="00B40DC1" w:rsidTr="00AA03F8">
        <w:tc>
          <w:tcPr>
            <w:tcW w:w="1559" w:type="dxa"/>
            <w:vMerge w:val="restart"/>
            <w:vAlign w:val="center"/>
          </w:tcPr>
          <w:p w:rsidR="0049577B" w:rsidRPr="00B40DC1" w:rsidRDefault="0049577B" w:rsidP="002F101F">
            <w:pPr>
              <w:spacing w:line="240" w:lineRule="auto"/>
              <w:ind w:leftChars="0" w:left="0" w:rightChars="0" w:right="0"/>
            </w:pPr>
            <w:r w:rsidRPr="00B40DC1">
              <w:t>3萬元至未滿4萬元</w:t>
            </w:r>
          </w:p>
        </w:tc>
        <w:tc>
          <w:tcPr>
            <w:tcW w:w="1134" w:type="dxa"/>
            <w:vAlign w:val="center"/>
          </w:tcPr>
          <w:p w:rsidR="0049577B" w:rsidRPr="00B40DC1" w:rsidRDefault="0049577B" w:rsidP="002F101F">
            <w:pPr>
              <w:spacing w:line="240" w:lineRule="auto"/>
              <w:ind w:leftChars="0" w:left="0" w:rightChars="0" w:right="0"/>
              <w:jc w:val="center"/>
            </w:pPr>
            <w:r w:rsidRPr="00B40DC1">
              <w:t>次數</w:t>
            </w:r>
          </w:p>
        </w:tc>
        <w:tc>
          <w:tcPr>
            <w:tcW w:w="1616" w:type="dxa"/>
            <w:vAlign w:val="center"/>
          </w:tcPr>
          <w:p w:rsidR="0049577B" w:rsidRPr="00B40DC1" w:rsidRDefault="0049577B" w:rsidP="002F101F">
            <w:pPr>
              <w:spacing w:line="240" w:lineRule="auto"/>
              <w:ind w:leftChars="0" w:left="0" w:rightChars="0" w:right="0"/>
              <w:jc w:val="center"/>
            </w:pPr>
            <w:r w:rsidRPr="00B40DC1">
              <w:t>15</w:t>
            </w:r>
          </w:p>
        </w:tc>
        <w:tc>
          <w:tcPr>
            <w:tcW w:w="2070" w:type="dxa"/>
            <w:vAlign w:val="center"/>
          </w:tcPr>
          <w:p w:rsidR="0049577B" w:rsidRPr="00B40DC1" w:rsidRDefault="0049577B" w:rsidP="002F101F">
            <w:pPr>
              <w:spacing w:line="240" w:lineRule="auto"/>
              <w:ind w:leftChars="0" w:left="0" w:rightChars="0" w:right="0"/>
              <w:jc w:val="center"/>
            </w:pPr>
            <w:r w:rsidRPr="00B40DC1">
              <w:t>35</w:t>
            </w:r>
          </w:p>
        </w:tc>
        <w:tc>
          <w:tcPr>
            <w:tcW w:w="1483" w:type="dxa"/>
            <w:vAlign w:val="center"/>
          </w:tcPr>
          <w:p w:rsidR="0049577B" w:rsidRPr="00B40DC1" w:rsidRDefault="0049577B" w:rsidP="002F101F">
            <w:pPr>
              <w:spacing w:line="240" w:lineRule="auto"/>
              <w:ind w:leftChars="0" w:left="0" w:rightChars="0" w:right="0"/>
              <w:jc w:val="center"/>
            </w:pPr>
            <w:r w:rsidRPr="00B40DC1">
              <w:t>1</w:t>
            </w:r>
          </w:p>
        </w:tc>
        <w:tc>
          <w:tcPr>
            <w:tcW w:w="1777" w:type="dxa"/>
            <w:vAlign w:val="center"/>
          </w:tcPr>
          <w:p w:rsidR="0049577B" w:rsidRPr="00B40DC1" w:rsidRDefault="0049577B" w:rsidP="002F101F">
            <w:pPr>
              <w:spacing w:line="240" w:lineRule="auto"/>
              <w:ind w:leftChars="0" w:left="0" w:rightChars="0" w:right="0"/>
              <w:jc w:val="center"/>
            </w:pPr>
            <w:r w:rsidRPr="00B40DC1">
              <w:t>51</w:t>
            </w:r>
          </w:p>
        </w:tc>
      </w:tr>
      <w:tr w:rsidR="0049577B" w:rsidRPr="00B40DC1" w:rsidTr="00AA03F8">
        <w:tc>
          <w:tcPr>
            <w:tcW w:w="1559" w:type="dxa"/>
            <w:vMerge/>
            <w:vAlign w:val="center"/>
          </w:tcPr>
          <w:p w:rsidR="0049577B" w:rsidRPr="00B40DC1" w:rsidRDefault="0049577B" w:rsidP="002F101F">
            <w:pPr>
              <w:spacing w:line="240" w:lineRule="auto"/>
              <w:ind w:leftChars="0" w:left="0" w:rightChars="0" w:right="0"/>
            </w:pPr>
          </w:p>
        </w:tc>
        <w:tc>
          <w:tcPr>
            <w:tcW w:w="1134" w:type="dxa"/>
            <w:vAlign w:val="center"/>
          </w:tcPr>
          <w:p w:rsidR="0049577B" w:rsidRPr="00B40DC1" w:rsidRDefault="0049577B" w:rsidP="002F101F">
            <w:pPr>
              <w:spacing w:line="240" w:lineRule="auto"/>
              <w:ind w:leftChars="0" w:left="0" w:rightChars="0" w:right="0"/>
              <w:jc w:val="center"/>
            </w:pPr>
            <w:r w:rsidRPr="00B40DC1">
              <w:t>百分比</w:t>
            </w:r>
          </w:p>
        </w:tc>
        <w:tc>
          <w:tcPr>
            <w:tcW w:w="1616" w:type="dxa"/>
            <w:vAlign w:val="center"/>
          </w:tcPr>
          <w:p w:rsidR="0049577B" w:rsidRPr="00B40DC1" w:rsidRDefault="0049577B" w:rsidP="002F101F">
            <w:pPr>
              <w:spacing w:line="240" w:lineRule="auto"/>
              <w:ind w:leftChars="0" w:left="0" w:rightChars="0" w:right="0"/>
              <w:jc w:val="center"/>
            </w:pPr>
            <w:r w:rsidRPr="00B40DC1">
              <w:t>5.60%</w:t>
            </w:r>
          </w:p>
        </w:tc>
        <w:tc>
          <w:tcPr>
            <w:tcW w:w="2070" w:type="dxa"/>
            <w:vAlign w:val="center"/>
          </w:tcPr>
          <w:p w:rsidR="0049577B" w:rsidRPr="00B40DC1" w:rsidRDefault="0049577B" w:rsidP="002F101F">
            <w:pPr>
              <w:spacing w:line="240" w:lineRule="auto"/>
              <w:ind w:leftChars="0" w:left="0" w:rightChars="0" w:right="0"/>
              <w:jc w:val="center"/>
            </w:pPr>
            <w:r w:rsidRPr="00B40DC1">
              <w:t>8.20%</w:t>
            </w:r>
          </w:p>
        </w:tc>
        <w:tc>
          <w:tcPr>
            <w:tcW w:w="1483" w:type="dxa"/>
            <w:vAlign w:val="center"/>
          </w:tcPr>
          <w:p w:rsidR="0049577B" w:rsidRPr="00B40DC1" w:rsidRDefault="0049577B" w:rsidP="002F101F">
            <w:pPr>
              <w:spacing w:line="240" w:lineRule="auto"/>
              <w:ind w:leftChars="0" w:left="0" w:rightChars="0" w:right="0"/>
              <w:jc w:val="center"/>
            </w:pPr>
            <w:r w:rsidRPr="00B40DC1">
              <w:t>4.80%</w:t>
            </w:r>
          </w:p>
        </w:tc>
        <w:tc>
          <w:tcPr>
            <w:tcW w:w="1777" w:type="dxa"/>
            <w:vAlign w:val="center"/>
          </w:tcPr>
          <w:p w:rsidR="0049577B" w:rsidRPr="00B40DC1" w:rsidRDefault="0049577B" w:rsidP="002F101F">
            <w:pPr>
              <w:spacing w:line="240" w:lineRule="auto"/>
              <w:ind w:leftChars="0" w:left="0" w:rightChars="0" w:right="0"/>
              <w:jc w:val="center"/>
            </w:pPr>
            <w:r w:rsidRPr="00B40DC1">
              <w:t>7.10%</w:t>
            </w:r>
          </w:p>
        </w:tc>
      </w:tr>
      <w:tr w:rsidR="0049577B" w:rsidRPr="00B40DC1" w:rsidTr="00AA03F8">
        <w:tc>
          <w:tcPr>
            <w:tcW w:w="1559" w:type="dxa"/>
            <w:vMerge w:val="restart"/>
            <w:vAlign w:val="center"/>
          </w:tcPr>
          <w:p w:rsidR="0049577B" w:rsidRPr="00B40DC1" w:rsidRDefault="0049577B" w:rsidP="002F101F">
            <w:pPr>
              <w:spacing w:line="240" w:lineRule="auto"/>
              <w:ind w:leftChars="0" w:left="0" w:rightChars="0" w:right="0"/>
            </w:pPr>
            <w:r w:rsidRPr="00B40DC1">
              <w:t>4萬元至未滿5萬元</w:t>
            </w:r>
          </w:p>
        </w:tc>
        <w:tc>
          <w:tcPr>
            <w:tcW w:w="1134" w:type="dxa"/>
            <w:vAlign w:val="center"/>
          </w:tcPr>
          <w:p w:rsidR="0049577B" w:rsidRPr="00B40DC1" w:rsidRDefault="0049577B" w:rsidP="002F101F">
            <w:pPr>
              <w:spacing w:line="240" w:lineRule="auto"/>
              <w:ind w:leftChars="0" w:left="0" w:rightChars="0" w:right="0"/>
              <w:jc w:val="center"/>
            </w:pPr>
            <w:r w:rsidRPr="00B40DC1">
              <w:t>次數</w:t>
            </w:r>
          </w:p>
        </w:tc>
        <w:tc>
          <w:tcPr>
            <w:tcW w:w="1616" w:type="dxa"/>
            <w:vAlign w:val="center"/>
          </w:tcPr>
          <w:p w:rsidR="0049577B" w:rsidRPr="00B40DC1" w:rsidRDefault="0049577B" w:rsidP="002F101F">
            <w:pPr>
              <w:spacing w:line="240" w:lineRule="auto"/>
              <w:ind w:leftChars="0" w:left="0" w:rightChars="0" w:right="0"/>
              <w:jc w:val="center"/>
            </w:pPr>
            <w:r w:rsidRPr="00B40DC1">
              <w:t>0</w:t>
            </w:r>
          </w:p>
        </w:tc>
        <w:tc>
          <w:tcPr>
            <w:tcW w:w="2070" w:type="dxa"/>
            <w:vAlign w:val="center"/>
          </w:tcPr>
          <w:p w:rsidR="0049577B" w:rsidRPr="00B40DC1" w:rsidRDefault="0049577B" w:rsidP="002F101F">
            <w:pPr>
              <w:spacing w:line="240" w:lineRule="auto"/>
              <w:ind w:leftChars="0" w:left="0" w:rightChars="0" w:right="0"/>
              <w:jc w:val="center"/>
            </w:pPr>
            <w:r w:rsidRPr="00B40DC1">
              <w:t>5</w:t>
            </w:r>
          </w:p>
        </w:tc>
        <w:tc>
          <w:tcPr>
            <w:tcW w:w="1483" w:type="dxa"/>
            <w:vAlign w:val="center"/>
          </w:tcPr>
          <w:p w:rsidR="0049577B" w:rsidRPr="00B40DC1" w:rsidRDefault="0049577B" w:rsidP="002F101F">
            <w:pPr>
              <w:spacing w:line="240" w:lineRule="auto"/>
              <w:ind w:leftChars="0" w:left="0" w:rightChars="0" w:right="0"/>
              <w:jc w:val="center"/>
            </w:pPr>
            <w:r w:rsidRPr="00B40DC1">
              <w:t>0</w:t>
            </w:r>
          </w:p>
        </w:tc>
        <w:tc>
          <w:tcPr>
            <w:tcW w:w="1777" w:type="dxa"/>
            <w:vAlign w:val="center"/>
          </w:tcPr>
          <w:p w:rsidR="0049577B" w:rsidRPr="00B40DC1" w:rsidRDefault="0049577B" w:rsidP="002F101F">
            <w:pPr>
              <w:spacing w:line="240" w:lineRule="auto"/>
              <w:ind w:leftChars="0" w:left="0" w:rightChars="0" w:right="0"/>
              <w:jc w:val="center"/>
            </w:pPr>
            <w:r w:rsidRPr="00B40DC1">
              <w:t>5</w:t>
            </w:r>
          </w:p>
        </w:tc>
      </w:tr>
      <w:tr w:rsidR="0049577B" w:rsidRPr="00B40DC1" w:rsidTr="00AA03F8">
        <w:tc>
          <w:tcPr>
            <w:tcW w:w="1559" w:type="dxa"/>
            <w:vMerge/>
            <w:vAlign w:val="center"/>
          </w:tcPr>
          <w:p w:rsidR="0049577B" w:rsidRPr="00B40DC1" w:rsidRDefault="0049577B" w:rsidP="002F101F">
            <w:pPr>
              <w:spacing w:line="240" w:lineRule="auto"/>
              <w:ind w:leftChars="0" w:left="0" w:rightChars="0" w:right="0"/>
            </w:pPr>
          </w:p>
        </w:tc>
        <w:tc>
          <w:tcPr>
            <w:tcW w:w="1134" w:type="dxa"/>
            <w:vAlign w:val="center"/>
          </w:tcPr>
          <w:p w:rsidR="0049577B" w:rsidRPr="00B40DC1" w:rsidRDefault="0049577B" w:rsidP="002F101F">
            <w:pPr>
              <w:spacing w:line="240" w:lineRule="auto"/>
              <w:ind w:leftChars="0" w:left="0" w:rightChars="0" w:right="0"/>
              <w:jc w:val="center"/>
            </w:pPr>
            <w:r w:rsidRPr="00B40DC1">
              <w:t>百分比</w:t>
            </w:r>
          </w:p>
        </w:tc>
        <w:tc>
          <w:tcPr>
            <w:tcW w:w="1616" w:type="dxa"/>
            <w:vAlign w:val="center"/>
          </w:tcPr>
          <w:p w:rsidR="0049577B" w:rsidRPr="00B40DC1" w:rsidRDefault="0049577B" w:rsidP="002F101F">
            <w:pPr>
              <w:spacing w:line="240" w:lineRule="auto"/>
              <w:ind w:leftChars="0" w:left="0" w:rightChars="0" w:right="0"/>
              <w:jc w:val="center"/>
            </w:pPr>
            <w:r w:rsidRPr="00B40DC1">
              <w:t>0.00%</w:t>
            </w:r>
          </w:p>
        </w:tc>
        <w:tc>
          <w:tcPr>
            <w:tcW w:w="2070" w:type="dxa"/>
            <w:vAlign w:val="center"/>
          </w:tcPr>
          <w:p w:rsidR="0049577B" w:rsidRPr="00B40DC1" w:rsidRDefault="0049577B" w:rsidP="002F101F">
            <w:pPr>
              <w:spacing w:line="240" w:lineRule="auto"/>
              <w:ind w:leftChars="0" w:left="0" w:rightChars="0" w:right="0"/>
              <w:jc w:val="center"/>
            </w:pPr>
            <w:r w:rsidRPr="00B40DC1">
              <w:t>1.20%</w:t>
            </w:r>
          </w:p>
        </w:tc>
        <w:tc>
          <w:tcPr>
            <w:tcW w:w="1483" w:type="dxa"/>
            <w:vAlign w:val="center"/>
          </w:tcPr>
          <w:p w:rsidR="0049577B" w:rsidRPr="00B40DC1" w:rsidRDefault="0049577B" w:rsidP="002F101F">
            <w:pPr>
              <w:spacing w:line="240" w:lineRule="auto"/>
              <w:ind w:leftChars="0" w:left="0" w:rightChars="0" w:right="0"/>
              <w:jc w:val="center"/>
            </w:pPr>
            <w:r w:rsidRPr="00B40DC1">
              <w:t>0.00%</w:t>
            </w:r>
          </w:p>
        </w:tc>
        <w:tc>
          <w:tcPr>
            <w:tcW w:w="1777" w:type="dxa"/>
            <w:vAlign w:val="center"/>
          </w:tcPr>
          <w:p w:rsidR="0049577B" w:rsidRPr="00B40DC1" w:rsidRDefault="0049577B" w:rsidP="002F101F">
            <w:pPr>
              <w:spacing w:line="240" w:lineRule="auto"/>
              <w:ind w:leftChars="0" w:left="0" w:rightChars="0" w:right="0"/>
              <w:jc w:val="center"/>
            </w:pPr>
            <w:r w:rsidRPr="00B40DC1">
              <w:t>0.70%</w:t>
            </w:r>
          </w:p>
        </w:tc>
      </w:tr>
      <w:tr w:rsidR="0049577B" w:rsidRPr="00B40DC1" w:rsidTr="00AA03F8">
        <w:tc>
          <w:tcPr>
            <w:tcW w:w="1559" w:type="dxa"/>
            <w:vMerge w:val="restart"/>
            <w:vAlign w:val="center"/>
          </w:tcPr>
          <w:p w:rsidR="0049577B" w:rsidRPr="00B40DC1" w:rsidRDefault="0049577B" w:rsidP="002F101F">
            <w:pPr>
              <w:spacing w:line="240" w:lineRule="auto"/>
              <w:ind w:leftChars="0" w:left="0" w:rightChars="0" w:right="0"/>
            </w:pPr>
            <w:r w:rsidRPr="00B40DC1">
              <w:t>5萬元至未滿6萬元</w:t>
            </w:r>
          </w:p>
        </w:tc>
        <w:tc>
          <w:tcPr>
            <w:tcW w:w="1134" w:type="dxa"/>
            <w:vAlign w:val="center"/>
          </w:tcPr>
          <w:p w:rsidR="0049577B" w:rsidRPr="00B40DC1" w:rsidRDefault="0049577B" w:rsidP="002F101F">
            <w:pPr>
              <w:spacing w:line="240" w:lineRule="auto"/>
              <w:ind w:leftChars="0" w:left="0" w:rightChars="0" w:right="0"/>
              <w:jc w:val="center"/>
            </w:pPr>
            <w:r w:rsidRPr="00B40DC1">
              <w:t>次數</w:t>
            </w:r>
          </w:p>
        </w:tc>
        <w:tc>
          <w:tcPr>
            <w:tcW w:w="1616" w:type="dxa"/>
            <w:vAlign w:val="center"/>
          </w:tcPr>
          <w:p w:rsidR="0049577B" w:rsidRPr="00B40DC1" w:rsidRDefault="0049577B" w:rsidP="002F101F">
            <w:pPr>
              <w:spacing w:line="240" w:lineRule="auto"/>
              <w:ind w:leftChars="0" w:left="0" w:rightChars="0" w:right="0"/>
              <w:jc w:val="center"/>
            </w:pPr>
            <w:r w:rsidRPr="00B40DC1">
              <w:t>1</w:t>
            </w:r>
          </w:p>
        </w:tc>
        <w:tc>
          <w:tcPr>
            <w:tcW w:w="2070" w:type="dxa"/>
            <w:vAlign w:val="center"/>
          </w:tcPr>
          <w:p w:rsidR="0049577B" w:rsidRPr="00B40DC1" w:rsidRDefault="0049577B" w:rsidP="002F101F">
            <w:pPr>
              <w:spacing w:line="240" w:lineRule="auto"/>
              <w:ind w:leftChars="0" w:left="0" w:rightChars="0" w:right="0"/>
              <w:jc w:val="center"/>
            </w:pPr>
            <w:r w:rsidRPr="00B40DC1">
              <w:t>4</w:t>
            </w:r>
          </w:p>
        </w:tc>
        <w:tc>
          <w:tcPr>
            <w:tcW w:w="1483" w:type="dxa"/>
            <w:vAlign w:val="center"/>
          </w:tcPr>
          <w:p w:rsidR="0049577B" w:rsidRPr="00B40DC1" w:rsidRDefault="0049577B" w:rsidP="002F101F">
            <w:pPr>
              <w:spacing w:line="240" w:lineRule="auto"/>
              <w:ind w:leftChars="0" w:left="0" w:rightChars="0" w:right="0"/>
              <w:jc w:val="center"/>
            </w:pPr>
            <w:r w:rsidRPr="00B40DC1">
              <w:t>0</w:t>
            </w:r>
          </w:p>
        </w:tc>
        <w:tc>
          <w:tcPr>
            <w:tcW w:w="1777" w:type="dxa"/>
            <w:vAlign w:val="center"/>
          </w:tcPr>
          <w:p w:rsidR="0049577B" w:rsidRPr="00B40DC1" w:rsidRDefault="0049577B" w:rsidP="002F101F">
            <w:pPr>
              <w:spacing w:line="240" w:lineRule="auto"/>
              <w:ind w:leftChars="0" w:left="0" w:rightChars="0" w:right="0"/>
              <w:jc w:val="center"/>
            </w:pPr>
            <w:r w:rsidRPr="00B40DC1">
              <w:t>5</w:t>
            </w:r>
          </w:p>
        </w:tc>
      </w:tr>
      <w:tr w:rsidR="0049577B" w:rsidRPr="00B40DC1" w:rsidTr="00AA03F8">
        <w:tc>
          <w:tcPr>
            <w:tcW w:w="1559" w:type="dxa"/>
            <w:vMerge/>
            <w:vAlign w:val="center"/>
          </w:tcPr>
          <w:p w:rsidR="0049577B" w:rsidRPr="00B40DC1" w:rsidRDefault="0049577B" w:rsidP="002F101F">
            <w:pPr>
              <w:spacing w:line="240" w:lineRule="auto"/>
              <w:ind w:leftChars="0" w:left="0" w:rightChars="0" w:right="0"/>
            </w:pPr>
          </w:p>
        </w:tc>
        <w:tc>
          <w:tcPr>
            <w:tcW w:w="1134" w:type="dxa"/>
            <w:vAlign w:val="center"/>
          </w:tcPr>
          <w:p w:rsidR="0049577B" w:rsidRPr="00B40DC1" w:rsidRDefault="0049577B" w:rsidP="002F101F">
            <w:pPr>
              <w:spacing w:line="240" w:lineRule="auto"/>
              <w:ind w:leftChars="0" w:left="0" w:rightChars="0" w:right="0"/>
              <w:jc w:val="center"/>
            </w:pPr>
            <w:r w:rsidRPr="00B40DC1">
              <w:t>百分比</w:t>
            </w:r>
          </w:p>
        </w:tc>
        <w:tc>
          <w:tcPr>
            <w:tcW w:w="1616" w:type="dxa"/>
            <w:vAlign w:val="center"/>
          </w:tcPr>
          <w:p w:rsidR="0049577B" w:rsidRPr="00B40DC1" w:rsidRDefault="0049577B" w:rsidP="002F101F">
            <w:pPr>
              <w:spacing w:line="240" w:lineRule="auto"/>
              <w:ind w:leftChars="0" w:left="0" w:rightChars="0" w:right="0"/>
              <w:jc w:val="center"/>
            </w:pPr>
            <w:r w:rsidRPr="00B40DC1">
              <w:t>0.40%</w:t>
            </w:r>
          </w:p>
        </w:tc>
        <w:tc>
          <w:tcPr>
            <w:tcW w:w="2070" w:type="dxa"/>
            <w:vAlign w:val="center"/>
          </w:tcPr>
          <w:p w:rsidR="0049577B" w:rsidRPr="00B40DC1" w:rsidRDefault="0049577B" w:rsidP="002F101F">
            <w:pPr>
              <w:spacing w:line="240" w:lineRule="auto"/>
              <w:ind w:leftChars="0" w:left="0" w:rightChars="0" w:right="0"/>
              <w:jc w:val="center"/>
            </w:pPr>
            <w:r w:rsidRPr="00B40DC1">
              <w:t>0.90%</w:t>
            </w:r>
          </w:p>
        </w:tc>
        <w:tc>
          <w:tcPr>
            <w:tcW w:w="1483" w:type="dxa"/>
            <w:vAlign w:val="center"/>
          </w:tcPr>
          <w:p w:rsidR="0049577B" w:rsidRPr="00B40DC1" w:rsidRDefault="0049577B" w:rsidP="002F101F">
            <w:pPr>
              <w:spacing w:line="240" w:lineRule="auto"/>
              <w:ind w:leftChars="0" w:left="0" w:rightChars="0" w:right="0"/>
              <w:jc w:val="center"/>
            </w:pPr>
            <w:r w:rsidRPr="00B40DC1">
              <w:t>0.00%</w:t>
            </w:r>
          </w:p>
        </w:tc>
        <w:tc>
          <w:tcPr>
            <w:tcW w:w="1777" w:type="dxa"/>
            <w:vAlign w:val="center"/>
          </w:tcPr>
          <w:p w:rsidR="0049577B" w:rsidRPr="00B40DC1" w:rsidRDefault="0049577B" w:rsidP="002F101F">
            <w:pPr>
              <w:spacing w:line="240" w:lineRule="auto"/>
              <w:ind w:leftChars="0" w:left="0" w:rightChars="0" w:right="0"/>
              <w:jc w:val="center"/>
            </w:pPr>
            <w:r w:rsidRPr="00B40DC1">
              <w:t>0.70%</w:t>
            </w:r>
          </w:p>
        </w:tc>
      </w:tr>
      <w:tr w:rsidR="0049577B" w:rsidRPr="00B40DC1" w:rsidTr="00AA03F8">
        <w:tc>
          <w:tcPr>
            <w:tcW w:w="1559" w:type="dxa"/>
            <w:vMerge w:val="restart"/>
            <w:vAlign w:val="center"/>
          </w:tcPr>
          <w:p w:rsidR="0049577B" w:rsidRPr="00B40DC1" w:rsidRDefault="0049577B" w:rsidP="002F101F">
            <w:pPr>
              <w:spacing w:line="240" w:lineRule="auto"/>
              <w:ind w:leftChars="0" w:left="0" w:rightChars="0" w:right="0"/>
            </w:pPr>
            <w:r w:rsidRPr="00B40DC1">
              <w:t>6萬元至未滿7萬元</w:t>
            </w:r>
          </w:p>
        </w:tc>
        <w:tc>
          <w:tcPr>
            <w:tcW w:w="1134" w:type="dxa"/>
            <w:vAlign w:val="center"/>
          </w:tcPr>
          <w:p w:rsidR="0049577B" w:rsidRPr="00B40DC1" w:rsidRDefault="0049577B" w:rsidP="002F101F">
            <w:pPr>
              <w:spacing w:line="240" w:lineRule="auto"/>
              <w:ind w:leftChars="0" w:left="0" w:rightChars="0" w:right="0"/>
              <w:jc w:val="center"/>
            </w:pPr>
            <w:r w:rsidRPr="00B40DC1">
              <w:t>次數</w:t>
            </w:r>
          </w:p>
        </w:tc>
        <w:tc>
          <w:tcPr>
            <w:tcW w:w="1616" w:type="dxa"/>
            <w:vAlign w:val="center"/>
          </w:tcPr>
          <w:p w:rsidR="0049577B" w:rsidRPr="00B40DC1" w:rsidRDefault="0049577B" w:rsidP="002F101F">
            <w:pPr>
              <w:spacing w:line="240" w:lineRule="auto"/>
              <w:ind w:leftChars="0" w:left="0" w:rightChars="0" w:right="0"/>
              <w:jc w:val="center"/>
            </w:pPr>
            <w:r w:rsidRPr="00B40DC1">
              <w:t>0</w:t>
            </w:r>
          </w:p>
        </w:tc>
        <w:tc>
          <w:tcPr>
            <w:tcW w:w="2070" w:type="dxa"/>
            <w:vAlign w:val="center"/>
          </w:tcPr>
          <w:p w:rsidR="0049577B" w:rsidRPr="00B40DC1" w:rsidRDefault="0049577B" w:rsidP="002F101F">
            <w:pPr>
              <w:spacing w:line="240" w:lineRule="auto"/>
              <w:ind w:leftChars="0" w:left="0" w:rightChars="0" w:right="0"/>
              <w:jc w:val="center"/>
            </w:pPr>
            <w:r w:rsidRPr="00B40DC1">
              <w:t>2</w:t>
            </w:r>
          </w:p>
        </w:tc>
        <w:tc>
          <w:tcPr>
            <w:tcW w:w="1483" w:type="dxa"/>
            <w:vAlign w:val="center"/>
          </w:tcPr>
          <w:p w:rsidR="0049577B" w:rsidRPr="00B40DC1" w:rsidRDefault="0049577B" w:rsidP="002F101F">
            <w:pPr>
              <w:spacing w:line="240" w:lineRule="auto"/>
              <w:ind w:leftChars="0" w:left="0" w:rightChars="0" w:right="0"/>
              <w:jc w:val="center"/>
            </w:pPr>
            <w:r w:rsidRPr="00B40DC1">
              <w:t>0</w:t>
            </w:r>
          </w:p>
        </w:tc>
        <w:tc>
          <w:tcPr>
            <w:tcW w:w="1777" w:type="dxa"/>
            <w:vAlign w:val="center"/>
          </w:tcPr>
          <w:p w:rsidR="0049577B" w:rsidRPr="00B40DC1" w:rsidRDefault="0049577B" w:rsidP="002F101F">
            <w:pPr>
              <w:spacing w:line="240" w:lineRule="auto"/>
              <w:ind w:leftChars="0" w:left="0" w:rightChars="0" w:right="0"/>
              <w:jc w:val="center"/>
            </w:pPr>
            <w:r w:rsidRPr="00B40DC1">
              <w:t>2</w:t>
            </w:r>
          </w:p>
        </w:tc>
      </w:tr>
      <w:tr w:rsidR="0049577B" w:rsidRPr="00B40DC1" w:rsidTr="00AA03F8">
        <w:tc>
          <w:tcPr>
            <w:tcW w:w="1559" w:type="dxa"/>
            <w:vMerge/>
            <w:vAlign w:val="center"/>
          </w:tcPr>
          <w:p w:rsidR="0049577B" w:rsidRPr="00B40DC1" w:rsidRDefault="0049577B" w:rsidP="002F101F">
            <w:pPr>
              <w:spacing w:line="240" w:lineRule="auto"/>
              <w:ind w:leftChars="0" w:left="0" w:rightChars="0" w:right="0"/>
            </w:pPr>
          </w:p>
        </w:tc>
        <w:tc>
          <w:tcPr>
            <w:tcW w:w="1134" w:type="dxa"/>
            <w:vAlign w:val="center"/>
          </w:tcPr>
          <w:p w:rsidR="0049577B" w:rsidRPr="00B40DC1" w:rsidRDefault="0049577B" w:rsidP="002F101F">
            <w:pPr>
              <w:spacing w:line="240" w:lineRule="auto"/>
              <w:ind w:leftChars="0" w:left="0" w:rightChars="0" w:right="0"/>
              <w:jc w:val="center"/>
            </w:pPr>
            <w:r w:rsidRPr="00B40DC1">
              <w:t>百分比</w:t>
            </w:r>
          </w:p>
        </w:tc>
        <w:tc>
          <w:tcPr>
            <w:tcW w:w="1616" w:type="dxa"/>
            <w:vAlign w:val="center"/>
          </w:tcPr>
          <w:p w:rsidR="0049577B" w:rsidRPr="00B40DC1" w:rsidRDefault="0049577B" w:rsidP="002F101F">
            <w:pPr>
              <w:spacing w:line="240" w:lineRule="auto"/>
              <w:ind w:leftChars="0" w:left="0" w:rightChars="0" w:right="0"/>
              <w:jc w:val="center"/>
            </w:pPr>
            <w:r w:rsidRPr="00B40DC1">
              <w:t>0.00%</w:t>
            </w:r>
          </w:p>
        </w:tc>
        <w:tc>
          <w:tcPr>
            <w:tcW w:w="2070" w:type="dxa"/>
            <w:vAlign w:val="center"/>
          </w:tcPr>
          <w:p w:rsidR="0049577B" w:rsidRPr="00B40DC1" w:rsidRDefault="0049577B" w:rsidP="002F101F">
            <w:pPr>
              <w:spacing w:line="240" w:lineRule="auto"/>
              <w:ind w:leftChars="0" w:left="0" w:rightChars="0" w:right="0"/>
              <w:jc w:val="center"/>
            </w:pPr>
            <w:r w:rsidRPr="00B40DC1">
              <w:t>0.50%</w:t>
            </w:r>
          </w:p>
        </w:tc>
        <w:tc>
          <w:tcPr>
            <w:tcW w:w="1483" w:type="dxa"/>
            <w:vAlign w:val="center"/>
          </w:tcPr>
          <w:p w:rsidR="0049577B" w:rsidRPr="00B40DC1" w:rsidRDefault="0049577B" w:rsidP="002F101F">
            <w:pPr>
              <w:spacing w:line="240" w:lineRule="auto"/>
              <w:ind w:leftChars="0" w:left="0" w:rightChars="0" w:right="0"/>
              <w:jc w:val="center"/>
            </w:pPr>
            <w:r w:rsidRPr="00B40DC1">
              <w:t>0.00%</w:t>
            </w:r>
          </w:p>
        </w:tc>
        <w:tc>
          <w:tcPr>
            <w:tcW w:w="1777" w:type="dxa"/>
            <w:vAlign w:val="center"/>
          </w:tcPr>
          <w:p w:rsidR="0049577B" w:rsidRPr="00B40DC1" w:rsidRDefault="0049577B" w:rsidP="002F101F">
            <w:pPr>
              <w:spacing w:line="240" w:lineRule="auto"/>
              <w:ind w:leftChars="0" w:left="0" w:rightChars="0" w:right="0"/>
              <w:jc w:val="center"/>
            </w:pPr>
            <w:r w:rsidRPr="00B40DC1">
              <w:t>0.30%</w:t>
            </w:r>
          </w:p>
        </w:tc>
      </w:tr>
      <w:tr w:rsidR="0049577B" w:rsidRPr="00B40DC1" w:rsidTr="00AA03F8">
        <w:tc>
          <w:tcPr>
            <w:tcW w:w="1559" w:type="dxa"/>
            <w:vMerge w:val="restart"/>
            <w:vAlign w:val="center"/>
          </w:tcPr>
          <w:p w:rsidR="0049577B" w:rsidRPr="00B40DC1" w:rsidRDefault="0049577B" w:rsidP="002F101F">
            <w:pPr>
              <w:spacing w:line="240" w:lineRule="auto"/>
              <w:ind w:leftChars="0" w:left="0" w:rightChars="0" w:right="0"/>
            </w:pPr>
            <w:r w:rsidRPr="00B40DC1">
              <w:t>7萬元以上</w:t>
            </w:r>
          </w:p>
        </w:tc>
        <w:tc>
          <w:tcPr>
            <w:tcW w:w="1134" w:type="dxa"/>
            <w:vAlign w:val="center"/>
          </w:tcPr>
          <w:p w:rsidR="0049577B" w:rsidRPr="00B40DC1" w:rsidRDefault="0049577B" w:rsidP="002F101F">
            <w:pPr>
              <w:spacing w:line="240" w:lineRule="auto"/>
              <w:ind w:leftChars="0" w:left="0" w:rightChars="0" w:right="0"/>
              <w:jc w:val="center"/>
            </w:pPr>
            <w:r w:rsidRPr="00B40DC1">
              <w:t>次數</w:t>
            </w:r>
          </w:p>
        </w:tc>
        <w:tc>
          <w:tcPr>
            <w:tcW w:w="1616" w:type="dxa"/>
            <w:vAlign w:val="center"/>
          </w:tcPr>
          <w:p w:rsidR="0049577B" w:rsidRPr="00B40DC1" w:rsidRDefault="0049577B" w:rsidP="002F101F">
            <w:pPr>
              <w:spacing w:line="240" w:lineRule="auto"/>
              <w:ind w:leftChars="0" w:left="0" w:rightChars="0" w:right="0"/>
              <w:jc w:val="center"/>
            </w:pPr>
            <w:r w:rsidRPr="00B40DC1">
              <w:t>1</w:t>
            </w:r>
          </w:p>
        </w:tc>
        <w:tc>
          <w:tcPr>
            <w:tcW w:w="2070" w:type="dxa"/>
            <w:vAlign w:val="center"/>
          </w:tcPr>
          <w:p w:rsidR="0049577B" w:rsidRPr="00B40DC1" w:rsidRDefault="0049577B" w:rsidP="002F101F">
            <w:pPr>
              <w:spacing w:line="240" w:lineRule="auto"/>
              <w:ind w:leftChars="0" w:left="0" w:rightChars="0" w:right="0"/>
              <w:jc w:val="center"/>
            </w:pPr>
            <w:r w:rsidRPr="00B40DC1">
              <w:t>0</w:t>
            </w:r>
          </w:p>
        </w:tc>
        <w:tc>
          <w:tcPr>
            <w:tcW w:w="1483" w:type="dxa"/>
            <w:vAlign w:val="center"/>
          </w:tcPr>
          <w:p w:rsidR="0049577B" w:rsidRPr="00B40DC1" w:rsidRDefault="0049577B" w:rsidP="002F101F">
            <w:pPr>
              <w:spacing w:line="240" w:lineRule="auto"/>
              <w:ind w:leftChars="0" w:left="0" w:rightChars="0" w:right="0"/>
              <w:jc w:val="center"/>
            </w:pPr>
            <w:r w:rsidRPr="00B40DC1">
              <w:t>1</w:t>
            </w:r>
          </w:p>
        </w:tc>
        <w:tc>
          <w:tcPr>
            <w:tcW w:w="1777" w:type="dxa"/>
            <w:vAlign w:val="center"/>
          </w:tcPr>
          <w:p w:rsidR="0049577B" w:rsidRPr="00B40DC1" w:rsidRDefault="0049577B" w:rsidP="002F101F">
            <w:pPr>
              <w:spacing w:line="240" w:lineRule="auto"/>
              <w:ind w:leftChars="0" w:left="0" w:rightChars="0" w:right="0"/>
              <w:jc w:val="center"/>
            </w:pPr>
            <w:r w:rsidRPr="00B40DC1">
              <w:t>2</w:t>
            </w:r>
          </w:p>
        </w:tc>
      </w:tr>
      <w:tr w:rsidR="0049577B" w:rsidRPr="00B40DC1" w:rsidTr="00AA03F8">
        <w:tc>
          <w:tcPr>
            <w:tcW w:w="1559" w:type="dxa"/>
            <w:vMerge/>
            <w:vAlign w:val="center"/>
          </w:tcPr>
          <w:p w:rsidR="0049577B" w:rsidRPr="00B40DC1" w:rsidRDefault="0049577B" w:rsidP="002F101F">
            <w:pPr>
              <w:spacing w:line="240" w:lineRule="auto"/>
              <w:ind w:leftChars="0" w:left="0" w:rightChars="0" w:right="0"/>
            </w:pPr>
          </w:p>
        </w:tc>
        <w:tc>
          <w:tcPr>
            <w:tcW w:w="1134" w:type="dxa"/>
            <w:vAlign w:val="center"/>
          </w:tcPr>
          <w:p w:rsidR="0049577B" w:rsidRPr="00B40DC1" w:rsidRDefault="0049577B" w:rsidP="002F101F">
            <w:pPr>
              <w:spacing w:line="240" w:lineRule="auto"/>
              <w:ind w:leftChars="0" w:left="0" w:rightChars="0" w:right="0"/>
              <w:jc w:val="center"/>
            </w:pPr>
            <w:r w:rsidRPr="00B40DC1">
              <w:t>百分比</w:t>
            </w:r>
          </w:p>
        </w:tc>
        <w:tc>
          <w:tcPr>
            <w:tcW w:w="1616" w:type="dxa"/>
            <w:vAlign w:val="center"/>
          </w:tcPr>
          <w:p w:rsidR="0049577B" w:rsidRPr="00B40DC1" w:rsidRDefault="0049577B" w:rsidP="002F101F">
            <w:pPr>
              <w:spacing w:line="240" w:lineRule="auto"/>
              <w:ind w:leftChars="0" w:left="0" w:rightChars="0" w:right="0"/>
              <w:jc w:val="center"/>
            </w:pPr>
            <w:r w:rsidRPr="00B40DC1">
              <w:t>0.40%</w:t>
            </w:r>
          </w:p>
        </w:tc>
        <w:tc>
          <w:tcPr>
            <w:tcW w:w="2070" w:type="dxa"/>
            <w:vAlign w:val="center"/>
          </w:tcPr>
          <w:p w:rsidR="0049577B" w:rsidRPr="00B40DC1" w:rsidRDefault="0049577B" w:rsidP="002F101F">
            <w:pPr>
              <w:spacing w:line="240" w:lineRule="auto"/>
              <w:ind w:leftChars="0" w:left="0" w:rightChars="0" w:right="0"/>
              <w:jc w:val="center"/>
            </w:pPr>
            <w:r w:rsidRPr="00B40DC1">
              <w:t>0.00%</w:t>
            </w:r>
          </w:p>
        </w:tc>
        <w:tc>
          <w:tcPr>
            <w:tcW w:w="1483" w:type="dxa"/>
            <w:vAlign w:val="center"/>
          </w:tcPr>
          <w:p w:rsidR="0049577B" w:rsidRPr="00B40DC1" w:rsidRDefault="0049577B" w:rsidP="002F101F">
            <w:pPr>
              <w:spacing w:line="240" w:lineRule="auto"/>
              <w:ind w:leftChars="0" w:left="0" w:rightChars="0" w:right="0"/>
              <w:jc w:val="center"/>
            </w:pPr>
            <w:r w:rsidRPr="00B40DC1">
              <w:t>4.80%</w:t>
            </w:r>
          </w:p>
        </w:tc>
        <w:tc>
          <w:tcPr>
            <w:tcW w:w="1777" w:type="dxa"/>
            <w:vAlign w:val="center"/>
          </w:tcPr>
          <w:p w:rsidR="0049577B" w:rsidRPr="00B40DC1" w:rsidRDefault="0049577B" w:rsidP="002F101F">
            <w:pPr>
              <w:spacing w:line="240" w:lineRule="auto"/>
              <w:ind w:leftChars="0" w:left="0" w:rightChars="0" w:right="0"/>
              <w:jc w:val="center"/>
            </w:pPr>
            <w:r w:rsidRPr="00B40DC1">
              <w:t>0.30%</w:t>
            </w:r>
          </w:p>
        </w:tc>
      </w:tr>
      <w:tr w:rsidR="0049577B" w:rsidRPr="00B40DC1" w:rsidTr="00AA03F8">
        <w:tc>
          <w:tcPr>
            <w:tcW w:w="1559" w:type="dxa"/>
            <w:vMerge w:val="restart"/>
            <w:vAlign w:val="center"/>
          </w:tcPr>
          <w:p w:rsidR="0049577B" w:rsidRPr="00B40DC1" w:rsidRDefault="0049577B" w:rsidP="002F101F">
            <w:pPr>
              <w:spacing w:line="240" w:lineRule="auto"/>
              <w:ind w:leftChars="0" w:left="0" w:rightChars="0" w:right="0"/>
            </w:pPr>
            <w:r w:rsidRPr="00B40DC1">
              <w:t>不知道</w:t>
            </w:r>
          </w:p>
        </w:tc>
        <w:tc>
          <w:tcPr>
            <w:tcW w:w="1134" w:type="dxa"/>
            <w:vAlign w:val="center"/>
          </w:tcPr>
          <w:p w:rsidR="0049577B" w:rsidRPr="00B40DC1" w:rsidRDefault="0049577B" w:rsidP="002F101F">
            <w:pPr>
              <w:spacing w:line="240" w:lineRule="auto"/>
              <w:ind w:leftChars="0" w:left="0" w:rightChars="0" w:right="0"/>
              <w:jc w:val="center"/>
            </w:pPr>
            <w:r w:rsidRPr="00B40DC1">
              <w:t>次數</w:t>
            </w:r>
          </w:p>
        </w:tc>
        <w:tc>
          <w:tcPr>
            <w:tcW w:w="1616" w:type="dxa"/>
            <w:vAlign w:val="center"/>
          </w:tcPr>
          <w:p w:rsidR="0049577B" w:rsidRPr="00B40DC1" w:rsidRDefault="0049577B" w:rsidP="002F101F">
            <w:pPr>
              <w:spacing w:line="240" w:lineRule="auto"/>
              <w:ind w:leftChars="0" w:left="0" w:rightChars="0" w:right="0"/>
              <w:jc w:val="center"/>
            </w:pPr>
            <w:r w:rsidRPr="00B40DC1">
              <w:t>4</w:t>
            </w:r>
          </w:p>
        </w:tc>
        <w:tc>
          <w:tcPr>
            <w:tcW w:w="2070" w:type="dxa"/>
            <w:vAlign w:val="center"/>
          </w:tcPr>
          <w:p w:rsidR="0049577B" w:rsidRPr="00B40DC1" w:rsidRDefault="0049577B" w:rsidP="002F101F">
            <w:pPr>
              <w:spacing w:line="240" w:lineRule="auto"/>
              <w:ind w:leftChars="0" w:left="0" w:rightChars="0" w:right="0"/>
              <w:jc w:val="center"/>
            </w:pPr>
            <w:r w:rsidRPr="00B40DC1">
              <w:t>5</w:t>
            </w:r>
          </w:p>
        </w:tc>
        <w:tc>
          <w:tcPr>
            <w:tcW w:w="1483" w:type="dxa"/>
            <w:vAlign w:val="center"/>
          </w:tcPr>
          <w:p w:rsidR="0049577B" w:rsidRPr="00B40DC1" w:rsidRDefault="0049577B" w:rsidP="002F101F">
            <w:pPr>
              <w:spacing w:line="240" w:lineRule="auto"/>
              <w:ind w:leftChars="0" w:left="0" w:rightChars="0" w:right="0"/>
              <w:jc w:val="center"/>
            </w:pPr>
            <w:r w:rsidRPr="00B40DC1">
              <w:t>0</w:t>
            </w:r>
          </w:p>
        </w:tc>
        <w:tc>
          <w:tcPr>
            <w:tcW w:w="1777" w:type="dxa"/>
            <w:vAlign w:val="center"/>
          </w:tcPr>
          <w:p w:rsidR="0049577B" w:rsidRPr="00B40DC1" w:rsidRDefault="0049577B" w:rsidP="002F101F">
            <w:pPr>
              <w:spacing w:line="240" w:lineRule="auto"/>
              <w:ind w:leftChars="0" w:left="0" w:rightChars="0" w:right="0"/>
              <w:jc w:val="center"/>
            </w:pPr>
            <w:r w:rsidRPr="00B40DC1">
              <w:t>9</w:t>
            </w:r>
          </w:p>
        </w:tc>
      </w:tr>
      <w:tr w:rsidR="0049577B" w:rsidRPr="00B40DC1" w:rsidTr="00AA03F8">
        <w:tc>
          <w:tcPr>
            <w:tcW w:w="1559" w:type="dxa"/>
            <w:vMerge/>
            <w:vAlign w:val="center"/>
          </w:tcPr>
          <w:p w:rsidR="0049577B" w:rsidRPr="00B40DC1" w:rsidRDefault="0049577B" w:rsidP="002F101F">
            <w:pPr>
              <w:spacing w:line="240" w:lineRule="auto"/>
              <w:ind w:leftChars="0" w:left="0" w:rightChars="0" w:right="0"/>
            </w:pPr>
          </w:p>
        </w:tc>
        <w:tc>
          <w:tcPr>
            <w:tcW w:w="1134" w:type="dxa"/>
            <w:vAlign w:val="center"/>
          </w:tcPr>
          <w:p w:rsidR="0049577B" w:rsidRPr="00B40DC1" w:rsidRDefault="0049577B" w:rsidP="002F101F">
            <w:pPr>
              <w:spacing w:line="240" w:lineRule="auto"/>
              <w:ind w:leftChars="0" w:left="0" w:rightChars="0" w:right="0"/>
              <w:jc w:val="center"/>
            </w:pPr>
            <w:r w:rsidRPr="00B40DC1">
              <w:t>百分比</w:t>
            </w:r>
          </w:p>
        </w:tc>
        <w:tc>
          <w:tcPr>
            <w:tcW w:w="1616" w:type="dxa"/>
            <w:vAlign w:val="center"/>
          </w:tcPr>
          <w:p w:rsidR="0049577B" w:rsidRPr="00B40DC1" w:rsidRDefault="0049577B" w:rsidP="002F101F">
            <w:pPr>
              <w:spacing w:line="240" w:lineRule="auto"/>
              <w:ind w:leftChars="0" w:left="0" w:rightChars="0" w:right="0"/>
              <w:jc w:val="center"/>
            </w:pPr>
            <w:r w:rsidRPr="00B40DC1">
              <w:t>1.50%</w:t>
            </w:r>
          </w:p>
        </w:tc>
        <w:tc>
          <w:tcPr>
            <w:tcW w:w="2070" w:type="dxa"/>
            <w:vAlign w:val="center"/>
          </w:tcPr>
          <w:p w:rsidR="0049577B" w:rsidRPr="00B40DC1" w:rsidRDefault="0049577B" w:rsidP="002F101F">
            <w:pPr>
              <w:spacing w:line="240" w:lineRule="auto"/>
              <w:ind w:leftChars="0" w:left="0" w:rightChars="0" w:right="0"/>
              <w:jc w:val="center"/>
            </w:pPr>
            <w:r w:rsidRPr="00B40DC1">
              <w:t>1.20%</w:t>
            </w:r>
          </w:p>
        </w:tc>
        <w:tc>
          <w:tcPr>
            <w:tcW w:w="1483" w:type="dxa"/>
            <w:vAlign w:val="center"/>
          </w:tcPr>
          <w:p w:rsidR="0049577B" w:rsidRPr="00B40DC1" w:rsidRDefault="0049577B" w:rsidP="002F101F">
            <w:pPr>
              <w:spacing w:line="240" w:lineRule="auto"/>
              <w:ind w:leftChars="0" w:left="0" w:rightChars="0" w:right="0"/>
              <w:jc w:val="center"/>
            </w:pPr>
            <w:r w:rsidRPr="00B40DC1">
              <w:t>0.00%</w:t>
            </w:r>
          </w:p>
        </w:tc>
        <w:tc>
          <w:tcPr>
            <w:tcW w:w="1777" w:type="dxa"/>
            <w:vAlign w:val="center"/>
          </w:tcPr>
          <w:p w:rsidR="0049577B" w:rsidRPr="00B40DC1" w:rsidRDefault="0049577B" w:rsidP="002F101F">
            <w:pPr>
              <w:spacing w:line="240" w:lineRule="auto"/>
              <w:ind w:leftChars="0" w:left="0" w:rightChars="0" w:right="0"/>
              <w:jc w:val="center"/>
            </w:pPr>
            <w:r w:rsidRPr="00B40DC1">
              <w:t>1.30%</w:t>
            </w:r>
          </w:p>
        </w:tc>
      </w:tr>
      <w:tr w:rsidR="0049577B" w:rsidRPr="00B40DC1" w:rsidTr="00AA03F8">
        <w:tc>
          <w:tcPr>
            <w:tcW w:w="1559" w:type="dxa"/>
            <w:vMerge w:val="restart"/>
            <w:vAlign w:val="center"/>
          </w:tcPr>
          <w:p w:rsidR="0049577B" w:rsidRPr="00B40DC1" w:rsidRDefault="0049577B" w:rsidP="002F101F">
            <w:pPr>
              <w:spacing w:line="240" w:lineRule="auto"/>
              <w:ind w:leftChars="0" w:left="0" w:rightChars="0" w:right="0"/>
            </w:pPr>
            <w:r w:rsidRPr="00B40DC1">
              <w:t>總和</w:t>
            </w:r>
          </w:p>
        </w:tc>
        <w:tc>
          <w:tcPr>
            <w:tcW w:w="1134" w:type="dxa"/>
            <w:vAlign w:val="center"/>
          </w:tcPr>
          <w:p w:rsidR="0049577B" w:rsidRPr="00B40DC1" w:rsidRDefault="0049577B" w:rsidP="002F101F">
            <w:pPr>
              <w:spacing w:line="240" w:lineRule="auto"/>
              <w:ind w:leftChars="0" w:left="0" w:rightChars="0" w:right="0"/>
              <w:jc w:val="center"/>
            </w:pPr>
            <w:r w:rsidRPr="00B40DC1">
              <w:t>次數</w:t>
            </w:r>
          </w:p>
        </w:tc>
        <w:tc>
          <w:tcPr>
            <w:tcW w:w="1616" w:type="dxa"/>
            <w:vAlign w:val="center"/>
          </w:tcPr>
          <w:p w:rsidR="0049577B" w:rsidRPr="00B40DC1" w:rsidRDefault="0049577B" w:rsidP="002F101F">
            <w:pPr>
              <w:spacing w:line="240" w:lineRule="auto"/>
              <w:ind w:leftChars="0" w:left="0" w:rightChars="0" w:right="0"/>
              <w:jc w:val="center"/>
            </w:pPr>
            <w:r w:rsidRPr="00B40DC1">
              <w:t>266</w:t>
            </w:r>
          </w:p>
        </w:tc>
        <w:tc>
          <w:tcPr>
            <w:tcW w:w="2070" w:type="dxa"/>
            <w:vAlign w:val="center"/>
          </w:tcPr>
          <w:p w:rsidR="0049577B" w:rsidRPr="00B40DC1" w:rsidRDefault="0049577B" w:rsidP="002F101F">
            <w:pPr>
              <w:spacing w:line="240" w:lineRule="auto"/>
              <w:ind w:leftChars="0" w:left="0" w:rightChars="0" w:right="0"/>
              <w:jc w:val="center"/>
            </w:pPr>
            <w:r w:rsidRPr="00B40DC1">
              <w:t>429</w:t>
            </w:r>
          </w:p>
        </w:tc>
        <w:tc>
          <w:tcPr>
            <w:tcW w:w="1483" w:type="dxa"/>
            <w:vAlign w:val="center"/>
          </w:tcPr>
          <w:p w:rsidR="0049577B" w:rsidRPr="00B40DC1" w:rsidRDefault="0049577B" w:rsidP="002F101F">
            <w:pPr>
              <w:spacing w:line="240" w:lineRule="auto"/>
              <w:ind w:leftChars="0" w:left="0" w:rightChars="0" w:right="0"/>
              <w:jc w:val="center"/>
            </w:pPr>
            <w:r w:rsidRPr="00B40DC1">
              <w:t>21</w:t>
            </w:r>
          </w:p>
        </w:tc>
        <w:tc>
          <w:tcPr>
            <w:tcW w:w="1777" w:type="dxa"/>
            <w:vAlign w:val="center"/>
          </w:tcPr>
          <w:p w:rsidR="0049577B" w:rsidRPr="00B40DC1" w:rsidRDefault="0049577B" w:rsidP="002F101F">
            <w:pPr>
              <w:spacing w:line="240" w:lineRule="auto"/>
              <w:ind w:leftChars="0" w:left="0" w:rightChars="0" w:right="0"/>
              <w:jc w:val="center"/>
            </w:pPr>
            <w:r w:rsidRPr="00B40DC1">
              <w:t>716</w:t>
            </w:r>
          </w:p>
        </w:tc>
      </w:tr>
      <w:tr w:rsidR="0049577B" w:rsidRPr="00B40DC1" w:rsidTr="00AA03F8">
        <w:tc>
          <w:tcPr>
            <w:tcW w:w="1559" w:type="dxa"/>
            <w:vMerge/>
            <w:tcBorders>
              <w:bottom w:val="single" w:sz="8" w:space="0" w:color="auto"/>
            </w:tcBorders>
          </w:tcPr>
          <w:p w:rsidR="0049577B" w:rsidRPr="00B40DC1" w:rsidRDefault="0049577B" w:rsidP="002F101F">
            <w:pPr>
              <w:spacing w:line="240" w:lineRule="auto"/>
              <w:ind w:leftChars="0" w:left="0" w:rightChars="0" w:right="0"/>
            </w:pPr>
          </w:p>
        </w:tc>
        <w:tc>
          <w:tcPr>
            <w:tcW w:w="1134"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百分比</w:t>
            </w:r>
          </w:p>
        </w:tc>
        <w:tc>
          <w:tcPr>
            <w:tcW w:w="1616"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c>
          <w:tcPr>
            <w:tcW w:w="2070"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c>
          <w:tcPr>
            <w:tcW w:w="1483"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c>
          <w:tcPr>
            <w:tcW w:w="1777"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r>
      <w:tr w:rsidR="0049577B" w:rsidRPr="00B40DC1" w:rsidTr="00AA03F8">
        <w:tc>
          <w:tcPr>
            <w:tcW w:w="1559" w:type="dxa"/>
            <w:tcBorders>
              <w:top w:val="single" w:sz="8" w:space="0" w:color="auto"/>
              <w:bottom w:val="single" w:sz="12" w:space="0" w:color="auto"/>
            </w:tcBorders>
          </w:tcPr>
          <w:p w:rsidR="0049577B" w:rsidRPr="00B40DC1" w:rsidRDefault="0049577B" w:rsidP="002F101F">
            <w:pPr>
              <w:spacing w:line="240" w:lineRule="auto"/>
              <w:ind w:leftChars="0" w:left="0" w:rightChars="0" w:right="0"/>
            </w:pPr>
            <w:r w:rsidRPr="00B40DC1">
              <w:t>卡方值</w:t>
            </w:r>
          </w:p>
        </w:tc>
        <w:tc>
          <w:tcPr>
            <w:tcW w:w="8080" w:type="dxa"/>
            <w:gridSpan w:val="5"/>
            <w:tcBorders>
              <w:top w:val="single" w:sz="8" w:space="0" w:color="auto"/>
              <w:bottom w:val="single" w:sz="12" w:space="0" w:color="auto"/>
            </w:tcBorders>
          </w:tcPr>
          <w:p w:rsidR="0049577B" w:rsidRPr="00B40DC1" w:rsidRDefault="0049577B" w:rsidP="002F101F">
            <w:pPr>
              <w:spacing w:line="240" w:lineRule="auto"/>
              <w:ind w:leftChars="0" w:left="0" w:rightChars="0" w:right="0"/>
            </w:pPr>
            <w:r w:rsidRPr="00B40DC1">
              <w:t>χ</w:t>
            </w:r>
            <w:r w:rsidRPr="00B40DC1">
              <w:rPr>
                <w:vertAlign w:val="superscript"/>
              </w:rPr>
              <w:t>2</w:t>
            </w:r>
            <w:r w:rsidRPr="00B40DC1">
              <w:t>=58.87；df=18；p&lt;0.001</w:t>
            </w:r>
          </w:p>
        </w:tc>
      </w:tr>
    </w:tbl>
    <w:p w:rsidR="0049577B" w:rsidRPr="00B40DC1" w:rsidRDefault="00817A92" w:rsidP="000D26BB">
      <w:r>
        <w:t>【資料來源】</w:t>
      </w:r>
      <w:r w:rsidR="0049577B" w:rsidRPr="00B40DC1">
        <w:t>作者自行製作。</w:t>
      </w:r>
    </w:p>
    <w:p w:rsidR="0049577B" w:rsidRPr="00B40DC1" w:rsidRDefault="002F101F" w:rsidP="000D26BB">
      <w:r>
        <w:t xml:space="preserve">　　</w:t>
      </w:r>
      <w:r w:rsidR="0049577B" w:rsidRPr="00B40DC1">
        <w:t>當進一步了解國籍別與受訪者對於目前工作的滿意程度之關聯性（參閱表11），發現：國籍別與受訪者對於目前工作的滿意程度之關連程度沒有達到統計上的顯著水準（χ</w:t>
      </w:r>
      <w:r w:rsidR="0049577B" w:rsidRPr="00B40DC1">
        <w:rPr>
          <w:vertAlign w:val="superscript"/>
        </w:rPr>
        <w:t>2</w:t>
      </w:r>
      <w:r w:rsidR="0049577B" w:rsidRPr="00B40DC1">
        <w:t>=12.94；df=8；p&gt;0.05），顯示：不會因為受訪者國籍別之不同，而對於目前工作的滿意程度上有所差異。</w:t>
      </w:r>
    </w:p>
    <w:p w:rsidR="0049577B" w:rsidRPr="00B40DC1" w:rsidRDefault="00DD52C8" w:rsidP="00A66DFC">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表11 受訪者國籍與對目前工作滿意度之關聯分析</w:t>
      </w:r>
    </w:p>
    <w:tbl>
      <w:tblPr>
        <w:tblStyle w:val="43"/>
        <w:tblW w:w="0" w:type="auto"/>
        <w:tblInd w:w="26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76"/>
        <w:gridCol w:w="1115"/>
        <w:gridCol w:w="1549"/>
        <w:gridCol w:w="1549"/>
        <w:gridCol w:w="1549"/>
        <w:gridCol w:w="2459"/>
      </w:tblGrid>
      <w:tr w:rsidR="0049577B" w:rsidRPr="00B40DC1" w:rsidTr="00AA03F8">
        <w:tc>
          <w:tcPr>
            <w:tcW w:w="1276" w:type="dxa"/>
            <w:tcBorders>
              <w:top w:val="single" w:sz="12" w:space="0" w:color="auto"/>
              <w:bottom w:val="single" w:sz="8" w:space="0" w:color="auto"/>
            </w:tcBorders>
            <w:shd w:val="clear" w:color="auto" w:fill="EFFDFF"/>
            <w:vAlign w:val="center"/>
          </w:tcPr>
          <w:p w:rsidR="0049577B" w:rsidRPr="00B40DC1" w:rsidRDefault="0049577B" w:rsidP="002F101F">
            <w:pPr>
              <w:spacing w:line="240" w:lineRule="auto"/>
              <w:ind w:leftChars="0" w:left="0" w:rightChars="0" w:right="0"/>
              <w:jc w:val="center"/>
            </w:pPr>
            <w:r w:rsidRPr="00B40DC1">
              <w:t>工作滿意</w:t>
            </w:r>
          </w:p>
        </w:tc>
        <w:tc>
          <w:tcPr>
            <w:tcW w:w="1115" w:type="dxa"/>
            <w:tcBorders>
              <w:top w:val="single" w:sz="12" w:space="0" w:color="auto"/>
              <w:bottom w:val="single" w:sz="8" w:space="0" w:color="auto"/>
            </w:tcBorders>
            <w:shd w:val="clear" w:color="auto" w:fill="EFFDFF"/>
            <w:vAlign w:val="center"/>
          </w:tcPr>
          <w:p w:rsidR="0049577B" w:rsidRPr="00B40DC1" w:rsidRDefault="0049577B" w:rsidP="002F101F">
            <w:pPr>
              <w:spacing w:line="240" w:lineRule="auto"/>
              <w:ind w:leftChars="0" w:left="0" w:rightChars="0" w:right="0"/>
              <w:jc w:val="center"/>
            </w:pPr>
            <w:r w:rsidRPr="00B40DC1">
              <w:t>次數</w:t>
            </w:r>
          </w:p>
          <w:p w:rsidR="0049577B" w:rsidRPr="00B40DC1" w:rsidRDefault="0049577B" w:rsidP="002F101F">
            <w:pPr>
              <w:spacing w:line="240" w:lineRule="auto"/>
              <w:ind w:leftChars="0" w:left="0" w:rightChars="0" w:right="0"/>
              <w:jc w:val="center"/>
            </w:pPr>
            <w:r w:rsidRPr="00B40DC1">
              <w:t>百分比</w:t>
            </w:r>
          </w:p>
        </w:tc>
        <w:tc>
          <w:tcPr>
            <w:tcW w:w="1549" w:type="dxa"/>
            <w:tcBorders>
              <w:top w:val="single" w:sz="12" w:space="0" w:color="auto"/>
              <w:bottom w:val="single" w:sz="8" w:space="0" w:color="auto"/>
            </w:tcBorders>
            <w:shd w:val="clear" w:color="auto" w:fill="EFFDFF"/>
            <w:vAlign w:val="center"/>
          </w:tcPr>
          <w:p w:rsidR="0049577B" w:rsidRPr="00B40DC1" w:rsidRDefault="0049577B" w:rsidP="002F101F">
            <w:pPr>
              <w:spacing w:line="240" w:lineRule="auto"/>
              <w:ind w:leftChars="0" w:left="0" w:rightChars="0" w:right="0"/>
              <w:jc w:val="center"/>
            </w:pPr>
            <w:r w:rsidRPr="00B40DC1">
              <w:t>東南亞國家</w:t>
            </w:r>
          </w:p>
        </w:tc>
        <w:tc>
          <w:tcPr>
            <w:tcW w:w="1549" w:type="dxa"/>
            <w:tcBorders>
              <w:top w:val="single" w:sz="12" w:space="0" w:color="auto"/>
              <w:bottom w:val="single" w:sz="8" w:space="0" w:color="auto"/>
            </w:tcBorders>
            <w:shd w:val="clear" w:color="auto" w:fill="EFFDFF"/>
            <w:vAlign w:val="center"/>
          </w:tcPr>
          <w:p w:rsidR="0049577B" w:rsidRPr="00B40DC1" w:rsidRDefault="0049577B" w:rsidP="002F101F">
            <w:pPr>
              <w:spacing w:line="240" w:lineRule="auto"/>
              <w:ind w:leftChars="0" w:left="0" w:rightChars="0" w:right="0"/>
              <w:jc w:val="center"/>
            </w:pPr>
            <w:r w:rsidRPr="00B40DC1">
              <w:t>大陸及港澳地區</w:t>
            </w:r>
          </w:p>
        </w:tc>
        <w:tc>
          <w:tcPr>
            <w:tcW w:w="1549" w:type="dxa"/>
            <w:tcBorders>
              <w:top w:val="single" w:sz="12" w:space="0" w:color="auto"/>
              <w:bottom w:val="single" w:sz="8" w:space="0" w:color="auto"/>
            </w:tcBorders>
            <w:shd w:val="clear" w:color="auto" w:fill="EFFDFF"/>
            <w:vAlign w:val="center"/>
          </w:tcPr>
          <w:p w:rsidR="0049577B" w:rsidRPr="00B40DC1" w:rsidRDefault="0049577B" w:rsidP="002F101F">
            <w:pPr>
              <w:spacing w:line="240" w:lineRule="auto"/>
              <w:ind w:leftChars="0" w:left="0" w:rightChars="0" w:right="0"/>
              <w:jc w:val="center"/>
            </w:pPr>
            <w:r w:rsidRPr="00B40DC1">
              <w:t>其他國家</w:t>
            </w:r>
          </w:p>
        </w:tc>
        <w:tc>
          <w:tcPr>
            <w:tcW w:w="2459" w:type="dxa"/>
            <w:tcBorders>
              <w:top w:val="single" w:sz="12" w:space="0" w:color="auto"/>
              <w:bottom w:val="single" w:sz="8" w:space="0" w:color="auto"/>
            </w:tcBorders>
            <w:shd w:val="clear" w:color="auto" w:fill="EFFDFF"/>
            <w:vAlign w:val="center"/>
          </w:tcPr>
          <w:p w:rsidR="0049577B" w:rsidRPr="00B40DC1" w:rsidRDefault="0049577B" w:rsidP="002F101F">
            <w:pPr>
              <w:spacing w:line="240" w:lineRule="auto"/>
              <w:ind w:leftChars="0" w:left="0" w:rightChars="0" w:right="0"/>
              <w:jc w:val="center"/>
            </w:pPr>
            <w:r w:rsidRPr="00B40DC1">
              <w:t>總和</w:t>
            </w:r>
          </w:p>
        </w:tc>
      </w:tr>
      <w:tr w:rsidR="0049577B" w:rsidRPr="00B40DC1" w:rsidTr="00AA03F8">
        <w:tc>
          <w:tcPr>
            <w:tcW w:w="1276" w:type="dxa"/>
            <w:vMerge w:val="restart"/>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非常滿意</w:t>
            </w:r>
          </w:p>
        </w:tc>
        <w:tc>
          <w:tcPr>
            <w:tcW w:w="1115"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次數</w:t>
            </w:r>
          </w:p>
        </w:tc>
        <w:tc>
          <w:tcPr>
            <w:tcW w:w="1549"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13</w:t>
            </w:r>
          </w:p>
        </w:tc>
        <w:tc>
          <w:tcPr>
            <w:tcW w:w="1549"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19</w:t>
            </w:r>
          </w:p>
        </w:tc>
        <w:tc>
          <w:tcPr>
            <w:tcW w:w="1549"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1</w:t>
            </w:r>
          </w:p>
        </w:tc>
        <w:tc>
          <w:tcPr>
            <w:tcW w:w="2459" w:type="dxa"/>
            <w:tcBorders>
              <w:top w:val="single" w:sz="8" w:space="0" w:color="auto"/>
            </w:tcBorders>
            <w:vAlign w:val="center"/>
          </w:tcPr>
          <w:p w:rsidR="0049577B" w:rsidRPr="00B40DC1" w:rsidRDefault="0049577B" w:rsidP="002F101F">
            <w:pPr>
              <w:spacing w:line="240" w:lineRule="auto"/>
              <w:ind w:leftChars="0" w:left="0" w:rightChars="0" w:right="0"/>
              <w:jc w:val="center"/>
            </w:pPr>
            <w:r w:rsidRPr="00B40DC1">
              <w:t>33</w:t>
            </w:r>
          </w:p>
        </w:tc>
      </w:tr>
      <w:tr w:rsidR="0049577B" w:rsidRPr="00B40DC1" w:rsidTr="00AA03F8">
        <w:tc>
          <w:tcPr>
            <w:tcW w:w="1276" w:type="dxa"/>
            <w:vMerge/>
            <w:vAlign w:val="center"/>
          </w:tcPr>
          <w:p w:rsidR="0049577B" w:rsidRPr="00B40DC1" w:rsidRDefault="0049577B" w:rsidP="002F101F">
            <w:pPr>
              <w:spacing w:line="240" w:lineRule="auto"/>
              <w:ind w:leftChars="0" w:left="0" w:rightChars="0" w:right="0"/>
              <w:jc w:val="center"/>
            </w:pPr>
          </w:p>
        </w:tc>
        <w:tc>
          <w:tcPr>
            <w:tcW w:w="1115" w:type="dxa"/>
            <w:vAlign w:val="center"/>
          </w:tcPr>
          <w:p w:rsidR="0049577B" w:rsidRPr="00B40DC1" w:rsidRDefault="0049577B" w:rsidP="002F101F">
            <w:pPr>
              <w:spacing w:line="240" w:lineRule="auto"/>
              <w:ind w:leftChars="0" w:left="0" w:rightChars="0" w:right="0"/>
              <w:jc w:val="center"/>
            </w:pPr>
            <w:r w:rsidRPr="00B40DC1">
              <w:t>百分比</w:t>
            </w:r>
          </w:p>
        </w:tc>
        <w:tc>
          <w:tcPr>
            <w:tcW w:w="1549" w:type="dxa"/>
            <w:vAlign w:val="center"/>
          </w:tcPr>
          <w:p w:rsidR="0049577B" w:rsidRPr="00B40DC1" w:rsidRDefault="0049577B" w:rsidP="002F101F">
            <w:pPr>
              <w:spacing w:line="240" w:lineRule="auto"/>
              <w:ind w:leftChars="0" w:left="0" w:rightChars="0" w:right="0"/>
              <w:jc w:val="center"/>
            </w:pPr>
            <w:r w:rsidRPr="00B40DC1">
              <w:t>4.80%</w:t>
            </w:r>
          </w:p>
        </w:tc>
        <w:tc>
          <w:tcPr>
            <w:tcW w:w="1549" w:type="dxa"/>
            <w:vAlign w:val="center"/>
          </w:tcPr>
          <w:p w:rsidR="0049577B" w:rsidRPr="00B40DC1" w:rsidRDefault="0049577B" w:rsidP="002F101F">
            <w:pPr>
              <w:spacing w:line="240" w:lineRule="auto"/>
              <w:ind w:leftChars="0" w:left="0" w:rightChars="0" w:right="0"/>
              <w:jc w:val="center"/>
            </w:pPr>
            <w:r w:rsidRPr="00B40DC1">
              <w:t>4.40%</w:t>
            </w:r>
          </w:p>
        </w:tc>
        <w:tc>
          <w:tcPr>
            <w:tcW w:w="1549" w:type="dxa"/>
            <w:vAlign w:val="center"/>
          </w:tcPr>
          <w:p w:rsidR="0049577B" w:rsidRPr="00B40DC1" w:rsidRDefault="0049577B" w:rsidP="002F101F">
            <w:pPr>
              <w:spacing w:line="240" w:lineRule="auto"/>
              <w:ind w:leftChars="0" w:left="0" w:rightChars="0" w:right="0"/>
              <w:jc w:val="center"/>
            </w:pPr>
            <w:r w:rsidRPr="00B40DC1">
              <w:t>4.00%</w:t>
            </w:r>
          </w:p>
        </w:tc>
        <w:tc>
          <w:tcPr>
            <w:tcW w:w="2459" w:type="dxa"/>
            <w:vAlign w:val="center"/>
          </w:tcPr>
          <w:p w:rsidR="0049577B" w:rsidRPr="00B40DC1" w:rsidRDefault="0049577B" w:rsidP="002F101F">
            <w:pPr>
              <w:spacing w:line="240" w:lineRule="auto"/>
              <w:ind w:leftChars="0" w:left="0" w:rightChars="0" w:right="0"/>
              <w:jc w:val="center"/>
            </w:pPr>
            <w:r w:rsidRPr="00B40DC1">
              <w:t>4.50%</w:t>
            </w:r>
          </w:p>
        </w:tc>
      </w:tr>
      <w:tr w:rsidR="0049577B" w:rsidRPr="00B40DC1" w:rsidTr="00AA03F8">
        <w:tc>
          <w:tcPr>
            <w:tcW w:w="1276" w:type="dxa"/>
            <w:vMerge w:val="restart"/>
            <w:vAlign w:val="center"/>
          </w:tcPr>
          <w:p w:rsidR="0049577B" w:rsidRPr="00B40DC1" w:rsidRDefault="0049577B" w:rsidP="002F101F">
            <w:pPr>
              <w:spacing w:line="240" w:lineRule="auto"/>
              <w:ind w:leftChars="0" w:left="0" w:rightChars="0" w:right="0"/>
              <w:jc w:val="center"/>
            </w:pPr>
            <w:r w:rsidRPr="00B40DC1">
              <w:t>還算滿意</w:t>
            </w:r>
          </w:p>
        </w:tc>
        <w:tc>
          <w:tcPr>
            <w:tcW w:w="1115" w:type="dxa"/>
            <w:vAlign w:val="center"/>
          </w:tcPr>
          <w:p w:rsidR="0049577B" w:rsidRPr="00B40DC1" w:rsidRDefault="0049577B" w:rsidP="002F101F">
            <w:pPr>
              <w:spacing w:line="240" w:lineRule="auto"/>
              <w:ind w:leftChars="0" w:left="0" w:rightChars="0" w:right="0"/>
              <w:jc w:val="center"/>
            </w:pPr>
            <w:r w:rsidRPr="00B40DC1">
              <w:t>次數</w:t>
            </w:r>
          </w:p>
        </w:tc>
        <w:tc>
          <w:tcPr>
            <w:tcW w:w="1549" w:type="dxa"/>
            <w:vAlign w:val="center"/>
          </w:tcPr>
          <w:p w:rsidR="0049577B" w:rsidRPr="00B40DC1" w:rsidRDefault="0049577B" w:rsidP="002F101F">
            <w:pPr>
              <w:spacing w:line="240" w:lineRule="auto"/>
              <w:ind w:leftChars="0" w:left="0" w:rightChars="0" w:right="0"/>
              <w:jc w:val="center"/>
            </w:pPr>
            <w:r w:rsidRPr="00B40DC1">
              <w:t>96</w:t>
            </w:r>
          </w:p>
        </w:tc>
        <w:tc>
          <w:tcPr>
            <w:tcW w:w="1549" w:type="dxa"/>
            <w:vAlign w:val="center"/>
          </w:tcPr>
          <w:p w:rsidR="0049577B" w:rsidRPr="00B40DC1" w:rsidRDefault="0049577B" w:rsidP="002F101F">
            <w:pPr>
              <w:spacing w:line="240" w:lineRule="auto"/>
              <w:ind w:leftChars="0" w:left="0" w:rightChars="0" w:right="0"/>
              <w:jc w:val="center"/>
            </w:pPr>
            <w:r w:rsidRPr="00B40DC1">
              <w:t>161</w:t>
            </w:r>
          </w:p>
        </w:tc>
        <w:tc>
          <w:tcPr>
            <w:tcW w:w="1549" w:type="dxa"/>
            <w:vAlign w:val="center"/>
          </w:tcPr>
          <w:p w:rsidR="0049577B" w:rsidRPr="00B40DC1" w:rsidRDefault="0049577B" w:rsidP="002F101F">
            <w:pPr>
              <w:spacing w:line="240" w:lineRule="auto"/>
              <w:ind w:leftChars="0" w:left="0" w:rightChars="0" w:right="0"/>
              <w:jc w:val="center"/>
            </w:pPr>
            <w:r w:rsidRPr="00B40DC1">
              <w:t>12</w:t>
            </w:r>
          </w:p>
        </w:tc>
        <w:tc>
          <w:tcPr>
            <w:tcW w:w="2459" w:type="dxa"/>
            <w:vAlign w:val="center"/>
          </w:tcPr>
          <w:p w:rsidR="0049577B" w:rsidRPr="00B40DC1" w:rsidRDefault="0049577B" w:rsidP="002F101F">
            <w:pPr>
              <w:spacing w:line="240" w:lineRule="auto"/>
              <w:ind w:leftChars="0" w:left="0" w:rightChars="0" w:right="0"/>
              <w:jc w:val="center"/>
            </w:pPr>
            <w:r w:rsidRPr="00B40DC1">
              <w:t>269</w:t>
            </w:r>
          </w:p>
        </w:tc>
      </w:tr>
      <w:tr w:rsidR="0049577B" w:rsidRPr="00B40DC1" w:rsidTr="00AA03F8">
        <w:tc>
          <w:tcPr>
            <w:tcW w:w="1276" w:type="dxa"/>
            <w:vMerge/>
            <w:vAlign w:val="center"/>
          </w:tcPr>
          <w:p w:rsidR="0049577B" w:rsidRPr="00B40DC1" w:rsidRDefault="0049577B" w:rsidP="002F101F">
            <w:pPr>
              <w:spacing w:line="240" w:lineRule="auto"/>
              <w:ind w:leftChars="0" w:left="0" w:rightChars="0" w:right="0"/>
              <w:jc w:val="center"/>
            </w:pPr>
          </w:p>
        </w:tc>
        <w:tc>
          <w:tcPr>
            <w:tcW w:w="1115" w:type="dxa"/>
            <w:vAlign w:val="center"/>
          </w:tcPr>
          <w:p w:rsidR="0049577B" w:rsidRPr="00B40DC1" w:rsidRDefault="0049577B" w:rsidP="002F101F">
            <w:pPr>
              <w:spacing w:line="240" w:lineRule="auto"/>
              <w:ind w:leftChars="0" w:left="0" w:rightChars="0" w:right="0"/>
              <w:jc w:val="center"/>
            </w:pPr>
            <w:r w:rsidRPr="00B40DC1">
              <w:t>百分比</w:t>
            </w:r>
          </w:p>
        </w:tc>
        <w:tc>
          <w:tcPr>
            <w:tcW w:w="1549" w:type="dxa"/>
            <w:vAlign w:val="center"/>
          </w:tcPr>
          <w:p w:rsidR="0049577B" w:rsidRPr="00B40DC1" w:rsidRDefault="0049577B" w:rsidP="002F101F">
            <w:pPr>
              <w:spacing w:line="240" w:lineRule="auto"/>
              <w:ind w:leftChars="0" w:left="0" w:rightChars="0" w:right="0"/>
              <w:jc w:val="center"/>
            </w:pPr>
            <w:r w:rsidRPr="00B40DC1">
              <w:t>35.40%</w:t>
            </w:r>
          </w:p>
        </w:tc>
        <w:tc>
          <w:tcPr>
            <w:tcW w:w="1549" w:type="dxa"/>
            <w:vAlign w:val="center"/>
          </w:tcPr>
          <w:p w:rsidR="0049577B" w:rsidRPr="00B40DC1" w:rsidRDefault="0049577B" w:rsidP="002F101F">
            <w:pPr>
              <w:spacing w:line="240" w:lineRule="auto"/>
              <w:ind w:leftChars="0" w:left="0" w:rightChars="0" w:right="0"/>
              <w:jc w:val="center"/>
            </w:pPr>
            <w:r w:rsidRPr="00B40DC1">
              <w:t>36.90%</w:t>
            </w:r>
          </w:p>
        </w:tc>
        <w:tc>
          <w:tcPr>
            <w:tcW w:w="1549" w:type="dxa"/>
            <w:vAlign w:val="center"/>
          </w:tcPr>
          <w:p w:rsidR="0049577B" w:rsidRPr="00B40DC1" w:rsidRDefault="0049577B" w:rsidP="002F101F">
            <w:pPr>
              <w:spacing w:line="240" w:lineRule="auto"/>
              <w:ind w:leftChars="0" w:left="0" w:rightChars="0" w:right="0"/>
              <w:jc w:val="center"/>
            </w:pPr>
            <w:r w:rsidRPr="00B40DC1">
              <w:t>48.00%</w:t>
            </w:r>
          </w:p>
        </w:tc>
        <w:tc>
          <w:tcPr>
            <w:tcW w:w="2459" w:type="dxa"/>
            <w:vAlign w:val="center"/>
          </w:tcPr>
          <w:p w:rsidR="0049577B" w:rsidRPr="00B40DC1" w:rsidRDefault="0049577B" w:rsidP="002F101F">
            <w:pPr>
              <w:spacing w:line="240" w:lineRule="auto"/>
              <w:ind w:leftChars="0" w:left="0" w:rightChars="0" w:right="0"/>
              <w:jc w:val="center"/>
            </w:pPr>
            <w:r w:rsidRPr="00B40DC1">
              <w:t>36.70%</w:t>
            </w:r>
          </w:p>
        </w:tc>
      </w:tr>
      <w:tr w:rsidR="0049577B" w:rsidRPr="00B40DC1" w:rsidTr="00AA03F8">
        <w:tc>
          <w:tcPr>
            <w:tcW w:w="1276" w:type="dxa"/>
            <w:vMerge w:val="restart"/>
            <w:vAlign w:val="center"/>
          </w:tcPr>
          <w:p w:rsidR="0049577B" w:rsidRPr="00B40DC1" w:rsidRDefault="0049577B" w:rsidP="002F101F">
            <w:pPr>
              <w:spacing w:line="240" w:lineRule="auto"/>
              <w:ind w:leftChars="0" w:left="0" w:rightChars="0" w:right="0"/>
              <w:jc w:val="center"/>
            </w:pPr>
            <w:r w:rsidRPr="00B40DC1">
              <w:t>普通</w:t>
            </w:r>
          </w:p>
        </w:tc>
        <w:tc>
          <w:tcPr>
            <w:tcW w:w="1115" w:type="dxa"/>
            <w:vAlign w:val="center"/>
          </w:tcPr>
          <w:p w:rsidR="0049577B" w:rsidRPr="00B40DC1" w:rsidRDefault="0049577B" w:rsidP="002F101F">
            <w:pPr>
              <w:spacing w:line="240" w:lineRule="auto"/>
              <w:ind w:leftChars="0" w:left="0" w:rightChars="0" w:right="0"/>
              <w:jc w:val="center"/>
            </w:pPr>
            <w:r w:rsidRPr="00B40DC1">
              <w:t>次數</w:t>
            </w:r>
          </w:p>
        </w:tc>
        <w:tc>
          <w:tcPr>
            <w:tcW w:w="1549" w:type="dxa"/>
            <w:vAlign w:val="center"/>
          </w:tcPr>
          <w:p w:rsidR="0049577B" w:rsidRPr="00B40DC1" w:rsidRDefault="0049577B" w:rsidP="002F101F">
            <w:pPr>
              <w:spacing w:line="240" w:lineRule="auto"/>
              <w:ind w:leftChars="0" w:left="0" w:rightChars="0" w:right="0"/>
              <w:jc w:val="center"/>
            </w:pPr>
            <w:r w:rsidRPr="00B40DC1">
              <w:t>152</w:t>
            </w:r>
          </w:p>
        </w:tc>
        <w:tc>
          <w:tcPr>
            <w:tcW w:w="1549" w:type="dxa"/>
            <w:vAlign w:val="center"/>
          </w:tcPr>
          <w:p w:rsidR="0049577B" w:rsidRPr="00B40DC1" w:rsidRDefault="0049577B" w:rsidP="002F101F">
            <w:pPr>
              <w:spacing w:line="240" w:lineRule="auto"/>
              <w:ind w:leftChars="0" w:left="0" w:rightChars="0" w:right="0"/>
              <w:jc w:val="center"/>
            </w:pPr>
            <w:r w:rsidRPr="00B40DC1">
              <w:t>223</w:t>
            </w:r>
          </w:p>
        </w:tc>
        <w:tc>
          <w:tcPr>
            <w:tcW w:w="1549" w:type="dxa"/>
            <w:vAlign w:val="center"/>
          </w:tcPr>
          <w:p w:rsidR="0049577B" w:rsidRPr="00B40DC1" w:rsidRDefault="0049577B" w:rsidP="002F101F">
            <w:pPr>
              <w:spacing w:line="240" w:lineRule="auto"/>
              <w:ind w:leftChars="0" w:left="0" w:rightChars="0" w:right="0"/>
              <w:jc w:val="center"/>
            </w:pPr>
            <w:r w:rsidRPr="00B40DC1">
              <w:t>12</w:t>
            </w:r>
          </w:p>
        </w:tc>
        <w:tc>
          <w:tcPr>
            <w:tcW w:w="2459" w:type="dxa"/>
            <w:vAlign w:val="center"/>
          </w:tcPr>
          <w:p w:rsidR="0049577B" w:rsidRPr="00B40DC1" w:rsidRDefault="0049577B" w:rsidP="002F101F">
            <w:pPr>
              <w:spacing w:line="240" w:lineRule="auto"/>
              <w:ind w:leftChars="0" w:left="0" w:rightChars="0" w:right="0"/>
              <w:jc w:val="center"/>
            </w:pPr>
            <w:r w:rsidRPr="00B40DC1">
              <w:t>387</w:t>
            </w:r>
          </w:p>
        </w:tc>
      </w:tr>
      <w:tr w:rsidR="0049577B" w:rsidRPr="00B40DC1" w:rsidTr="00AA03F8">
        <w:tc>
          <w:tcPr>
            <w:tcW w:w="1276" w:type="dxa"/>
            <w:vMerge/>
            <w:vAlign w:val="center"/>
          </w:tcPr>
          <w:p w:rsidR="0049577B" w:rsidRPr="00B40DC1" w:rsidRDefault="0049577B" w:rsidP="002F101F">
            <w:pPr>
              <w:spacing w:line="240" w:lineRule="auto"/>
              <w:ind w:leftChars="0" w:left="0" w:rightChars="0" w:right="0"/>
              <w:jc w:val="center"/>
            </w:pPr>
          </w:p>
        </w:tc>
        <w:tc>
          <w:tcPr>
            <w:tcW w:w="1115" w:type="dxa"/>
            <w:vAlign w:val="center"/>
          </w:tcPr>
          <w:p w:rsidR="0049577B" w:rsidRPr="00B40DC1" w:rsidRDefault="0049577B" w:rsidP="002F101F">
            <w:pPr>
              <w:spacing w:line="240" w:lineRule="auto"/>
              <w:ind w:leftChars="0" w:left="0" w:rightChars="0" w:right="0"/>
              <w:jc w:val="center"/>
            </w:pPr>
            <w:r w:rsidRPr="00B40DC1">
              <w:t>百分比</w:t>
            </w:r>
          </w:p>
        </w:tc>
        <w:tc>
          <w:tcPr>
            <w:tcW w:w="1549" w:type="dxa"/>
            <w:vAlign w:val="center"/>
          </w:tcPr>
          <w:p w:rsidR="0049577B" w:rsidRPr="00B40DC1" w:rsidRDefault="0049577B" w:rsidP="002F101F">
            <w:pPr>
              <w:spacing w:line="240" w:lineRule="auto"/>
              <w:ind w:leftChars="0" w:left="0" w:rightChars="0" w:right="0"/>
              <w:jc w:val="center"/>
            </w:pPr>
            <w:r w:rsidRPr="00B40DC1">
              <w:t>56.10%</w:t>
            </w:r>
          </w:p>
        </w:tc>
        <w:tc>
          <w:tcPr>
            <w:tcW w:w="1549" w:type="dxa"/>
            <w:vAlign w:val="center"/>
          </w:tcPr>
          <w:p w:rsidR="0049577B" w:rsidRPr="00B40DC1" w:rsidRDefault="0049577B" w:rsidP="002F101F">
            <w:pPr>
              <w:spacing w:line="240" w:lineRule="auto"/>
              <w:ind w:leftChars="0" w:left="0" w:rightChars="0" w:right="0"/>
              <w:jc w:val="center"/>
            </w:pPr>
            <w:r w:rsidRPr="00B40DC1">
              <w:t>51.10%</w:t>
            </w:r>
          </w:p>
        </w:tc>
        <w:tc>
          <w:tcPr>
            <w:tcW w:w="1549" w:type="dxa"/>
            <w:vAlign w:val="center"/>
          </w:tcPr>
          <w:p w:rsidR="0049577B" w:rsidRPr="00B40DC1" w:rsidRDefault="0049577B" w:rsidP="002F101F">
            <w:pPr>
              <w:spacing w:line="240" w:lineRule="auto"/>
              <w:ind w:leftChars="0" w:left="0" w:rightChars="0" w:right="0"/>
              <w:jc w:val="center"/>
            </w:pPr>
            <w:r w:rsidRPr="00B40DC1">
              <w:t>48.00%</w:t>
            </w:r>
          </w:p>
        </w:tc>
        <w:tc>
          <w:tcPr>
            <w:tcW w:w="2459" w:type="dxa"/>
            <w:vAlign w:val="center"/>
          </w:tcPr>
          <w:p w:rsidR="0049577B" w:rsidRPr="00B40DC1" w:rsidRDefault="0049577B" w:rsidP="002F101F">
            <w:pPr>
              <w:spacing w:line="240" w:lineRule="auto"/>
              <w:ind w:leftChars="0" w:left="0" w:rightChars="0" w:right="0"/>
              <w:jc w:val="center"/>
            </w:pPr>
            <w:r w:rsidRPr="00B40DC1">
              <w:t>52.90%</w:t>
            </w:r>
          </w:p>
        </w:tc>
      </w:tr>
      <w:tr w:rsidR="0049577B" w:rsidRPr="00B40DC1" w:rsidTr="00AA03F8">
        <w:tc>
          <w:tcPr>
            <w:tcW w:w="1276" w:type="dxa"/>
            <w:vMerge w:val="restart"/>
            <w:vAlign w:val="center"/>
          </w:tcPr>
          <w:p w:rsidR="0049577B" w:rsidRPr="00B40DC1" w:rsidRDefault="0049577B" w:rsidP="002F101F">
            <w:pPr>
              <w:spacing w:line="240" w:lineRule="auto"/>
              <w:ind w:leftChars="0" w:left="0" w:rightChars="0" w:right="0"/>
              <w:jc w:val="center"/>
            </w:pPr>
            <w:r w:rsidRPr="00B40DC1">
              <w:t>不太滿意</w:t>
            </w:r>
          </w:p>
        </w:tc>
        <w:tc>
          <w:tcPr>
            <w:tcW w:w="1115" w:type="dxa"/>
            <w:vAlign w:val="center"/>
          </w:tcPr>
          <w:p w:rsidR="0049577B" w:rsidRPr="00B40DC1" w:rsidRDefault="0049577B" w:rsidP="002F101F">
            <w:pPr>
              <w:spacing w:line="240" w:lineRule="auto"/>
              <w:ind w:leftChars="0" w:left="0" w:rightChars="0" w:right="0"/>
              <w:jc w:val="center"/>
            </w:pPr>
            <w:r w:rsidRPr="00B40DC1">
              <w:t>次數</w:t>
            </w:r>
          </w:p>
        </w:tc>
        <w:tc>
          <w:tcPr>
            <w:tcW w:w="1549" w:type="dxa"/>
            <w:vAlign w:val="center"/>
          </w:tcPr>
          <w:p w:rsidR="0049577B" w:rsidRPr="00B40DC1" w:rsidRDefault="0049577B" w:rsidP="002F101F">
            <w:pPr>
              <w:spacing w:line="240" w:lineRule="auto"/>
              <w:ind w:leftChars="0" w:left="0" w:rightChars="0" w:right="0"/>
              <w:jc w:val="center"/>
            </w:pPr>
            <w:r w:rsidRPr="00B40DC1">
              <w:t>7</w:t>
            </w:r>
          </w:p>
        </w:tc>
        <w:tc>
          <w:tcPr>
            <w:tcW w:w="1549" w:type="dxa"/>
            <w:vAlign w:val="center"/>
          </w:tcPr>
          <w:p w:rsidR="0049577B" w:rsidRPr="00B40DC1" w:rsidRDefault="0049577B" w:rsidP="002F101F">
            <w:pPr>
              <w:spacing w:line="240" w:lineRule="auto"/>
              <w:ind w:leftChars="0" w:left="0" w:rightChars="0" w:right="0"/>
              <w:jc w:val="center"/>
            </w:pPr>
            <w:r w:rsidRPr="00B40DC1">
              <w:t>32</w:t>
            </w:r>
          </w:p>
        </w:tc>
        <w:tc>
          <w:tcPr>
            <w:tcW w:w="1549" w:type="dxa"/>
            <w:vAlign w:val="center"/>
          </w:tcPr>
          <w:p w:rsidR="0049577B" w:rsidRPr="00B40DC1" w:rsidRDefault="0049577B" w:rsidP="002F101F">
            <w:pPr>
              <w:spacing w:line="240" w:lineRule="auto"/>
              <w:ind w:leftChars="0" w:left="0" w:rightChars="0" w:right="0"/>
              <w:jc w:val="center"/>
            </w:pPr>
            <w:r w:rsidRPr="00B40DC1">
              <w:t>0</w:t>
            </w:r>
          </w:p>
        </w:tc>
        <w:tc>
          <w:tcPr>
            <w:tcW w:w="2459" w:type="dxa"/>
            <w:vAlign w:val="center"/>
          </w:tcPr>
          <w:p w:rsidR="0049577B" w:rsidRPr="00B40DC1" w:rsidRDefault="0049577B" w:rsidP="002F101F">
            <w:pPr>
              <w:spacing w:line="240" w:lineRule="auto"/>
              <w:ind w:leftChars="0" w:left="0" w:rightChars="0" w:right="0"/>
              <w:jc w:val="center"/>
            </w:pPr>
            <w:r w:rsidRPr="00B40DC1">
              <w:t>39</w:t>
            </w:r>
          </w:p>
        </w:tc>
      </w:tr>
      <w:tr w:rsidR="0049577B" w:rsidRPr="00B40DC1" w:rsidTr="00AA03F8">
        <w:tc>
          <w:tcPr>
            <w:tcW w:w="1276" w:type="dxa"/>
            <w:vMerge/>
            <w:vAlign w:val="center"/>
          </w:tcPr>
          <w:p w:rsidR="0049577B" w:rsidRPr="00B40DC1" w:rsidRDefault="0049577B" w:rsidP="002F101F">
            <w:pPr>
              <w:spacing w:line="240" w:lineRule="auto"/>
              <w:ind w:leftChars="0" w:left="0" w:rightChars="0" w:right="0"/>
              <w:jc w:val="center"/>
            </w:pPr>
          </w:p>
        </w:tc>
        <w:tc>
          <w:tcPr>
            <w:tcW w:w="1115" w:type="dxa"/>
            <w:vAlign w:val="center"/>
          </w:tcPr>
          <w:p w:rsidR="0049577B" w:rsidRPr="00B40DC1" w:rsidRDefault="0049577B" w:rsidP="002F101F">
            <w:pPr>
              <w:spacing w:line="240" w:lineRule="auto"/>
              <w:ind w:leftChars="0" w:left="0" w:rightChars="0" w:right="0"/>
              <w:jc w:val="center"/>
            </w:pPr>
            <w:r w:rsidRPr="00B40DC1">
              <w:t>百分比</w:t>
            </w:r>
          </w:p>
        </w:tc>
        <w:tc>
          <w:tcPr>
            <w:tcW w:w="1549" w:type="dxa"/>
            <w:vAlign w:val="center"/>
          </w:tcPr>
          <w:p w:rsidR="0049577B" w:rsidRPr="00B40DC1" w:rsidRDefault="0049577B" w:rsidP="002F101F">
            <w:pPr>
              <w:spacing w:line="240" w:lineRule="auto"/>
              <w:ind w:leftChars="0" w:left="0" w:rightChars="0" w:right="0"/>
              <w:jc w:val="center"/>
            </w:pPr>
            <w:r w:rsidRPr="00B40DC1">
              <w:t>2.60%</w:t>
            </w:r>
          </w:p>
        </w:tc>
        <w:tc>
          <w:tcPr>
            <w:tcW w:w="1549" w:type="dxa"/>
            <w:vAlign w:val="center"/>
          </w:tcPr>
          <w:p w:rsidR="0049577B" w:rsidRPr="00B40DC1" w:rsidRDefault="0049577B" w:rsidP="002F101F">
            <w:pPr>
              <w:spacing w:line="240" w:lineRule="auto"/>
              <w:ind w:leftChars="0" w:left="0" w:rightChars="0" w:right="0"/>
              <w:jc w:val="center"/>
            </w:pPr>
            <w:r w:rsidRPr="00B40DC1">
              <w:t>7.30%</w:t>
            </w:r>
          </w:p>
        </w:tc>
        <w:tc>
          <w:tcPr>
            <w:tcW w:w="1549" w:type="dxa"/>
            <w:vAlign w:val="center"/>
          </w:tcPr>
          <w:p w:rsidR="0049577B" w:rsidRPr="00B40DC1" w:rsidRDefault="0049577B" w:rsidP="002F101F">
            <w:pPr>
              <w:spacing w:line="240" w:lineRule="auto"/>
              <w:ind w:leftChars="0" w:left="0" w:rightChars="0" w:right="0"/>
              <w:jc w:val="center"/>
            </w:pPr>
            <w:r w:rsidRPr="00B40DC1">
              <w:t>0.00%</w:t>
            </w:r>
          </w:p>
        </w:tc>
        <w:tc>
          <w:tcPr>
            <w:tcW w:w="2459" w:type="dxa"/>
            <w:vAlign w:val="center"/>
          </w:tcPr>
          <w:p w:rsidR="0049577B" w:rsidRPr="00B40DC1" w:rsidRDefault="0049577B" w:rsidP="002F101F">
            <w:pPr>
              <w:spacing w:line="240" w:lineRule="auto"/>
              <w:ind w:leftChars="0" w:left="0" w:rightChars="0" w:right="0"/>
              <w:jc w:val="center"/>
            </w:pPr>
            <w:r w:rsidRPr="00B40DC1">
              <w:t>5.30%</w:t>
            </w:r>
          </w:p>
        </w:tc>
      </w:tr>
      <w:tr w:rsidR="0049577B" w:rsidRPr="00B40DC1" w:rsidTr="00AA03F8">
        <w:tc>
          <w:tcPr>
            <w:tcW w:w="1276" w:type="dxa"/>
            <w:vMerge w:val="restart"/>
            <w:vAlign w:val="center"/>
          </w:tcPr>
          <w:p w:rsidR="0049577B" w:rsidRPr="00B40DC1" w:rsidRDefault="0049577B" w:rsidP="002F101F">
            <w:pPr>
              <w:spacing w:line="240" w:lineRule="auto"/>
              <w:ind w:leftChars="0" w:left="0" w:rightChars="0" w:right="0"/>
              <w:jc w:val="center"/>
            </w:pPr>
            <w:r w:rsidRPr="00B40DC1">
              <w:t>非常不滿意</w:t>
            </w:r>
          </w:p>
        </w:tc>
        <w:tc>
          <w:tcPr>
            <w:tcW w:w="1115" w:type="dxa"/>
            <w:vAlign w:val="center"/>
          </w:tcPr>
          <w:p w:rsidR="0049577B" w:rsidRPr="00B40DC1" w:rsidRDefault="0049577B" w:rsidP="002F101F">
            <w:pPr>
              <w:spacing w:line="240" w:lineRule="auto"/>
              <w:ind w:leftChars="0" w:left="0" w:rightChars="0" w:right="0"/>
              <w:jc w:val="center"/>
            </w:pPr>
            <w:r w:rsidRPr="00B40DC1">
              <w:t>次數</w:t>
            </w:r>
          </w:p>
        </w:tc>
        <w:tc>
          <w:tcPr>
            <w:tcW w:w="1549" w:type="dxa"/>
            <w:vAlign w:val="center"/>
          </w:tcPr>
          <w:p w:rsidR="0049577B" w:rsidRPr="00B40DC1" w:rsidRDefault="0049577B" w:rsidP="002F101F">
            <w:pPr>
              <w:spacing w:line="240" w:lineRule="auto"/>
              <w:ind w:leftChars="0" w:left="0" w:rightChars="0" w:right="0"/>
              <w:jc w:val="center"/>
            </w:pPr>
            <w:r w:rsidRPr="00B40DC1">
              <w:t>3</w:t>
            </w:r>
          </w:p>
        </w:tc>
        <w:tc>
          <w:tcPr>
            <w:tcW w:w="1549" w:type="dxa"/>
            <w:vAlign w:val="center"/>
          </w:tcPr>
          <w:p w:rsidR="0049577B" w:rsidRPr="00B40DC1" w:rsidRDefault="0049577B" w:rsidP="002F101F">
            <w:pPr>
              <w:spacing w:line="240" w:lineRule="auto"/>
              <w:ind w:leftChars="0" w:left="0" w:rightChars="0" w:right="0"/>
              <w:jc w:val="center"/>
            </w:pPr>
            <w:r w:rsidRPr="00B40DC1">
              <w:t>1</w:t>
            </w:r>
          </w:p>
        </w:tc>
        <w:tc>
          <w:tcPr>
            <w:tcW w:w="1549" w:type="dxa"/>
            <w:vAlign w:val="center"/>
          </w:tcPr>
          <w:p w:rsidR="0049577B" w:rsidRPr="00B40DC1" w:rsidRDefault="0049577B" w:rsidP="002F101F">
            <w:pPr>
              <w:spacing w:line="240" w:lineRule="auto"/>
              <w:ind w:leftChars="0" w:left="0" w:rightChars="0" w:right="0"/>
              <w:jc w:val="center"/>
            </w:pPr>
            <w:r w:rsidRPr="00B40DC1">
              <w:t>0</w:t>
            </w:r>
          </w:p>
        </w:tc>
        <w:tc>
          <w:tcPr>
            <w:tcW w:w="2459" w:type="dxa"/>
            <w:vAlign w:val="center"/>
          </w:tcPr>
          <w:p w:rsidR="0049577B" w:rsidRPr="00B40DC1" w:rsidRDefault="0049577B" w:rsidP="002F101F">
            <w:pPr>
              <w:spacing w:line="240" w:lineRule="auto"/>
              <w:ind w:leftChars="0" w:left="0" w:rightChars="0" w:right="0"/>
              <w:jc w:val="center"/>
            </w:pPr>
            <w:r w:rsidRPr="00B40DC1">
              <w:t>4</w:t>
            </w:r>
          </w:p>
        </w:tc>
      </w:tr>
      <w:tr w:rsidR="0049577B" w:rsidRPr="00B40DC1" w:rsidTr="00AA03F8">
        <w:tc>
          <w:tcPr>
            <w:tcW w:w="1276" w:type="dxa"/>
            <w:vMerge/>
            <w:vAlign w:val="center"/>
          </w:tcPr>
          <w:p w:rsidR="0049577B" w:rsidRPr="00B40DC1" w:rsidRDefault="0049577B" w:rsidP="002F101F">
            <w:pPr>
              <w:spacing w:line="240" w:lineRule="auto"/>
              <w:ind w:leftChars="0" w:left="0" w:rightChars="0" w:right="0"/>
              <w:jc w:val="center"/>
            </w:pPr>
          </w:p>
        </w:tc>
        <w:tc>
          <w:tcPr>
            <w:tcW w:w="1115" w:type="dxa"/>
            <w:vAlign w:val="center"/>
          </w:tcPr>
          <w:p w:rsidR="0049577B" w:rsidRPr="00B40DC1" w:rsidRDefault="0049577B" w:rsidP="002F101F">
            <w:pPr>
              <w:spacing w:line="240" w:lineRule="auto"/>
              <w:ind w:leftChars="0" w:left="0" w:rightChars="0" w:right="0"/>
              <w:jc w:val="center"/>
            </w:pPr>
            <w:r w:rsidRPr="00B40DC1">
              <w:t>百分比</w:t>
            </w:r>
          </w:p>
        </w:tc>
        <w:tc>
          <w:tcPr>
            <w:tcW w:w="1549" w:type="dxa"/>
            <w:vAlign w:val="center"/>
          </w:tcPr>
          <w:p w:rsidR="0049577B" w:rsidRPr="00B40DC1" w:rsidRDefault="0049577B" w:rsidP="002F101F">
            <w:pPr>
              <w:spacing w:line="240" w:lineRule="auto"/>
              <w:ind w:leftChars="0" w:left="0" w:rightChars="0" w:right="0"/>
              <w:jc w:val="center"/>
            </w:pPr>
            <w:r w:rsidRPr="00B40DC1">
              <w:t>1.10%</w:t>
            </w:r>
          </w:p>
        </w:tc>
        <w:tc>
          <w:tcPr>
            <w:tcW w:w="1549" w:type="dxa"/>
            <w:vAlign w:val="center"/>
          </w:tcPr>
          <w:p w:rsidR="0049577B" w:rsidRPr="00B40DC1" w:rsidRDefault="0049577B" w:rsidP="002F101F">
            <w:pPr>
              <w:spacing w:line="240" w:lineRule="auto"/>
              <w:ind w:leftChars="0" w:left="0" w:rightChars="0" w:right="0"/>
              <w:jc w:val="center"/>
            </w:pPr>
            <w:r w:rsidRPr="00B40DC1">
              <w:t>0.20%</w:t>
            </w:r>
          </w:p>
        </w:tc>
        <w:tc>
          <w:tcPr>
            <w:tcW w:w="1549" w:type="dxa"/>
            <w:vAlign w:val="center"/>
          </w:tcPr>
          <w:p w:rsidR="0049577B" w:rsidRPr="00B40DC1" w:rsidRDefault="0049577B" w:rsidP="002F101F">
            <w:pPr>
              <w:spacing w:line="240" w:lineRule="auto"/>
              <w:ind w:leftChars="0" w:left="0" w:rightChars="0" w:right="0"/>
              <w:jc w:val="center"/>
            </w:pPr>
            <w:r w:rsidRPr="00B40DC1">
              <w:t>0.00%</w:t>
            </w:r>
          </w:p>
        </w:tc>
        <w:tc>
          <w:tcPr>
            <w:tcW w:w="2459" w:type="dxa"/>
            <w:vAlign w:val="center"/>
          </w:tcPr>
          <w:p w:rsidR="0049577B" w:rsidRPr="00B40DC1" w:rsidRDefault="0049577B" w:rsidP="002F101F">
            <w:pPr>
              <w:spacing w:line="240" w:lineRule="auto"/>
              <w:ind w:leftChars="0" w:left="0" w:rightChars="0" w:right="0"/>
              <w:jc w:val="center"/>
            </w:pPr>
            <w:r w:rsidRPr="00B40DC1">
              <w:t>0.50%</w:t>
            </w:r>
          </w:p>
        </w:tc>
      </w:tr>
      <w:tr w:rsidR="0049577B" w:rsidRPr="00B40DC1" w:rsidTr="00AA03F8">
        <w:tc>
          <w:tcPr>
            <w:tcW w:w="1276" w:type="dxa"/>
            <w:vMerge w:val="restart"/>
            <w:vAlign w:val="center"/>
          </w:tcPr>
          <w:p w:rsidR="0049577B" w:rsidRPr="00B40DC1" w:rsidRDefault="0049577B" w:rsidP="002F101F">
            <w:pPr>
              <w:spacing w:line="240" w:lineRule="auto"/>
              <w:ind w:leftChars="0" w:left="0" w:rightChars="0" w:right="0"/>
              <w:jc w:val="center"/>
            </w:pPr>
            <w:r w:rsidRPr="00B40DC1">
              <w:t>總和</w:t>
            </w:r>
          </w:p>
        </w:tc>
        <w:tc>
          <w:tcPr>
            <w:tcW w:w="1115" w:type="dxa"/>
            <w:vAlign w:val="center"/>
          </w:tcPr>
          <w:p w:rsidR="0049577B" w:rsidRPr="00B40DC1" w:rsidRDefault="0049577B" w:rsidP="002F101F">
            <w:pPr>
              <w:spacing w:line="240" w:lineRule="auto"/>
              <w:ind w:leftChars="0" w:left="0" w:rightChars="0" w:right="0"/>
              <w:jc w:val="center"/>
            </w:pPr>
            <w:r w:rsidRPr="00B40DC1">
              <w:t>次數</w:t>
            </w:r>
          </w:p>
        </w:tc>
        <w:tc>
          <w:tcPr>
            <w:tcW w:w="1549" w:type="dxa"/>
            <w:vAlign w:val="center"/>
          </w:tcPr>
          <w:p w:rsidR="0049577B" w:rsidRPr="00B40DC1" w:rsidRDefault="0049577B" w:rsidP="002F101F">
            <w:pPr>
              <w:spacing w:line="240" w:lineRule="auto"/>
              <w:ind w:leftChars="0" w:left="0" w:rightChars="0" w:right="0"/>
              <w:jc w:val="center"/>
            </w:pPr>
            <w:r w:rsidRPr="00B40DC1">
              <w:t>271</w:t>
            </w:r>
          </w:p>
        </w:tc>
        <w:tc>
          <w:tcPr>
            <w:tcW w:w="1549" w:type="dxa"/>
            <w:vAlign w:val="center"/>
          </w:tcPr>
          <w:p w:rsidR="0049577B" w:rsidRPr="00B40DC1" w:rsidRDefault="0049577B" w:rsidP="002F101F">
            <w:pPr>
              <w:spacing w:line="240" w:lineRule="auto"/>
              <w:ind w:leftChars="0" w:left="0" w:rightChars="0" w:right="0"/>
              <w:jc w:val="center"/>
            </w:pPr>
            <w:r w:rsidRPr="00B40DC1">
              <w:t>436</w:t>
            </w:r>
          </w:p>
        </w:tc>
        <w:tc>
          <w:tcPr>
            <w:tcW w:w="1549" w:type="dxa"/>
            <w:vAlign w:val="center"/>
          </w:tcPr>
          <w:p w:rsidR="0049577B" w:rsidRPr="00B40DC1" w:rsidRDefault="0049577B" w:rsidP="002F101F">
            <w:pPr>
              <w:spacing w:line="240" w:lineRule="auto"/>
              <w:ind w:leftChars="0" w:left="0" w:rightChars="0" w:right="0"/>
              <w:jc w:val="center"/>
            </w:pPr>
            <w:r w:rsidRPr="00B40DC1">
              <w:t>25</w:t>
            </w:r>
          </w:p>
        </w:tc>
        <w:tc>
          <w:tcPr>
            <w:tcW w:w="2459" w:type="dxa"/>
            <w:vAlign w:val="center"/>
          </w:tcPr>
          <w:p w:rsidR="0049577B" w:rsidRPr="00B40DC1" w:rsidRDefault="0049577B" w:rsidP="002F101F">
            <w:pPr>
              <w:spacing w:line="240" w:lineRule="auto"/>
              <w:ind w:leftChars="0" w:left="0" w:rightChars="0" w:right="0"/>
              <w:jc w:val="center"/>
            </w:pPr>
            <w:r w:rsidRPr="00B40DC1">
              <w:t>732</w:t>
            </w:r>
          </w:p>
        </w:tc>
      </w:tr>
      <w:tr w:rsidR="0049577B" w:rsidRPr="00B40DC1" w:rsidTr="00AA03F8">
        <w:tc>
          <w:tcPr>
            <w:tcW w:w="1276" w:type="dxa"/>
            <w:vMerge/>
            <w:tcBorders>
              <w:bottom w:val="single" w:sz="8" w:space="0" w:color="auto"/>
            </w:tcBorders>
          </w:tcPr>
          <w:p w:rsidR="0049577B" w:rsidRPr="00B40DC1" w:rsidRDefault="0049577B" w:rsidP="002F101F">
            <w:pPr>
              <w:spacing w:line="240" w:lineRule="auto"/>
              <w:ind w:leftChars="0" w:left="0" w:rightChars="0" w:right="0"/>
              <w:jc w:val="center"/>
            </w:pPr>
          </w:p>
        </w:tc>
        <w:tc>
          <w:tcPr>
            <w:tcW w:w="1115"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百分比</w:t>
            </w:r>
          </w:p>
        </w:tc>
        <w:tc>
          <w:tcPr>
            <w:tcW w:w="1549"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c>
          <w:tcPr>
            <w:tcW w:w="1549"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c>
          <w:tcPr>
            <w:tcW w:w="1549"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c>
          <w:tcPr>
            <w:tcW w:w="2459" w:type="dxa"/>
            <w:tcBorders>
              <w:bottom w:val="single" w:sz="8" w:space="0" w:color="auto"/>
            </w:tcBorders>
            <w:vAlign w:val="center"/>
          </w:tcPr>
          <w:p w:rsidR="0049577B" w:rsidRPr="00B40DC1" w:rsidRDefault="0049577B" w:rsidP="002F101F">
            <w:pPr>
              <w:spacing w:line="240" w:lineRule="auto"/>
              <w:ind w:leftChars="0" w:left="0" w:rightChars="0" w:right="0"/>
              <w:jc w:val="center"/>
            </w:pPr>
            <w:r w:rsidRPr="00B40DC1">
              <w:t>100.00%</w:t>
            </w:r>
          </w:p>
        </w:tc>
      </w:tr>
      <w:tr w:rsidR="0049577B" w:rsidRPr="00B40DC1" w:rsidTr="00AA03F8">
        <w:tc>
          <w:tcPr>
            <w:tcW w:w="1276" w:type="dxa"/>
            <w:tcBorders>
              <w:top w:val="single" w:sz="8" w:space="0" w:color="auto"/>
              <w:bottom w:val="single" w:sz="12" w:space="0" w:color="auto"/>
            </w:tcBorders>
          </w:tcPr>
          <w:p w:rsidR="0049577B" w:rsidRPr="00B40DC1" w:rsidRDefault="0049577B" w:rsidP="002F101F">
            <w:pPr>
              <w:spacing w:line="240" w:lineRule="auto"/>
              <w:ind w:leftChars="0" w:left="0" w:rightChars="0" w:right="0"/>
            </w:pPr>
            <w:r w:rsidRPr="00B40DC1">
              <w:t>卡方值</w:t>
            </w:r>
          </w:p>
        </w:tc>
        <w:tc>
          <w:tcPr>
            <w:tcW w:w="8221" w:type="dxa"/>
            <w:gridSpan w:val="5"/>
            <w:tcBorders>
              <w:top w:val="single" w:sz="8" w:space="0" w:color="auto"/>
              <w:bottom w:val="single" w:sz="12" w:space="0" w:color="auto"/>
            </w:tcBorders>
          </w:tcPr>
          <w:p w:rsidR="0049577B" w:rsidRPr="00B40DC1" w:rsidRDefault="0049577B" w:rsidP="002F101F">
            <w:pPr>
              <w:spacing w:line="240" w:lineRule="auto"/>
              <w:ind w:leftChars="0" w:left="0" w:rightChars="0" w:right="0"/>
            </w:pPr>
            <w:r w:rsidRPr="00B40DC1">
              <w:t>χ</w:t>
            </w:r>
            <w:r w:rsidRPr="00B40DC1">
              <w:rPr>
                <w:vertAlign w:val="superscript"/>
              </w:rPr>
              <w:t>2</w:t>
            </w:r>
            <w:r w:rsidRPr="00B40DC1">
              <w:t>=12.94；df=8；p&gt;0.05</w:t>
            </w:r>
          </w:p>
        </w:tc>
      </w:tr>
    </w:tbl>
    <w:p w:rsidR="0049577B" w:rsidRDefault="00817A92" w:rsidP="000D26BB">
      <w:r>
        <w:t>【資料來源】</w:t>
      </w:r>
      <w:r w:rsidR="0049577B" w:rsidRPr="00B40DC1">
        <w:t>作者自行製作。</w:t>
      </w:r>
    </w:p>
    <w:p w:rsidR="00A66DFC" w:rsidRPr="00B40DC1" w:rsidRDefault="00A66DFC" w:rsidP="000D26BB"/>
    <w:p w:rsidR="0049577B" w:rsidRPr="00B40DC1" w:rsidRDefault="002F101F" w:rsidP="000D26BB">
      <w:r>
        <w:t xml:space="preserve">　　</w:t>
      </w:r>
      <w:r w:rsidR="0049577B" w:rsidRPr="00B40DC1">
        <w:t>當進一步了解國籍別和受訪者求職時是否遭遇困難之關聯性（參閱表12），發現：國籍別與受訪者求職時是否遭遇困難之關連程度沒有達到統計上的顯著水準（χ</w:t>
      </w:r>
      <w:r w:rsidR="0049577B" w:rsidRPr="00B40DC1">
        <w:rPr>
          <w:vertAlign w:val="superscript"/>
        </w:rPr>
        <w:t>2</w:t>
      </w:r>
      <w:r w:rsidR="0049577B" w:rsidRPr="00B40DC1">
        <w:t>=1.31；df=2；p&gt;0.05），顯示：不會因為受訪者國籍別之不同，而在求職時是否會遭遇困難有所差異。</w:t>
      </w:r>
    </w:p>
    <w:p w:rsidR="0049577B" w:rsidRPr="00B40DC1" w:rsidRDefault="00DD52C8" w:rsidP="00A66DFC">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表12 受訪者國籍與求職時是否遭遇困難之關聯分析</w:t>
      </w:r>
    </w:p>
    <w:tbl>
      <w:tblPr>
        <w:tblStyle w:val="43"/>
        <w:tblW w:w="0" w:type="auto"/>
        <w:tblInd w:w="1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6"/>
        <w:gridCol w:w="1267"/>
        <w:gridCol w:w="1549"/>
        <w:gridCol w:w="1549"/>
        <w:gridCol w:w="1549"/>
        <w:gridCol w:w="2459"/>
      </w:tblGrid>
      <w:tr w:rsidR="0049577B" w:rsidRPr="00B40DC1" w:rsidTr="00A66DFC">
        <w:tc>
          <w:tcPr>
            <w:tcW w:w="1266" w:type="dxa"/>
            <w:tcBorders>
              <w:top w:val="single" w:sz="12" w:space="0" w:color="auto"/>
              <w:bottom w:val="single" w:sz="8" w:space="0" w:color="auto"/>
            </w:tcBorders>
            <w:shd w:val="clear" w:color="auto" w:fill="FAF0FA"/>
            <w:vAlign w:val="center"/>
          </w:tcPr>
          <w:p w:rsidR="0049577B" w:rsidRPr="00AA03F8" w:rsidRDefault="0049577B" w:rsidP="00AA03F8">
            <w:pPr>
              <w:spacing w:line="240" w:lineRule="auto"/>
              <w:ind w:leftChars="0" w:left="0" w:rightChars="0" w:right="0"/>
              <w:jc w:val="center"/>
            </w:pPr>
            <w:r w:rsidRPr="00AA03F8">
              <w:t>求職困難</w:t>
            </w:r>
          </w:p>
        </w:tc>
        <w:tc>
          <w:tcPr>
            <w:tcW w:w="1267" w:type="dxa"/>
            <w:tcBorders>
              <w:top w:val="single" w:sz="12" w:space="0" w:color="auto"/>
              <w:bottom w:val="single" w:sz="8" w:space="0" w:color="auto"/>
            </w:tcBorders>
            <w:shd w:val="clear" w:color="auto" w:fill="FAF0FA"/>
            <w:vAlign w:val="center"/>
          </w:tcPr>
          <w:p w:rsidR="0049577B" w:rsidRPr="00AA03F8" w:rsidRDefault="0049577B" w:rsidP="00AA03F8">
            <w:pPr>
              <w:spacing w:line="240" w:lineRule="auto"/>
              <w:ind w:leftChars="0" w:left="0" w:rightChars="0" w:right="0"/>
              <w:jc w:val="center"/>
            </w:pPr>
            <w:r w:rsidRPr="00AA03F8">
              <w:t>次數</w:t>
            </w:r>
          </w:p>
          <w:p w:rsidR="0049577B" w:rsidRPr="00AA03F8" w:rsidRDefault="0049577B" w:rsidP="00AA03F8">
            <w:pPr>
              <w:spacing w:line="240" w:lineRule="auto"/>
              <w:ind w:leftChars="0" w:left="0" w:rightChars="0" w:right="0"/>
              <w:jc w:val="center"/>
            </w:pPr>
            <w:r w:rsidRPr="00AA03F8">
              <w:t>百分比</w:t>
            </w:r>
          </w:p>
        </w:tc>
        <w:tc>
          <w:tcPr>
            <w:tcW w:w="1549" w:type="dxa"/>
            <w:tcBorders>
              <w:top w:val="single" w:sz="12" w:space="0" w:color="auto"/>
              <w:bottom w:val="single" w:sz="8" w:space="0" w:color="auto"/>
            </w:tcBorders>
            <w:shd w:val="clear" w:color="auto" w:fill="FAF0FA"/>
            <w:vAlign w:val="center"/>
          </w:tcPr>
          <w:p w:rsidR="0049577B" w:rsidRPr="00AA03F8" w:rsidRDefault="0049577B" w:rsidP="00AA03F8">
            <w:pPr>
              <w:spacing w:line="240" w:lineRule="auto"/>
              <w:ind w:leftChars="0" w:left="0" w:rightChars="0" w:right="0"/>
              <w:jc w:val="center"/>
            </w:pPr>
            <w:r w:rsidRPr="00AA03F8">
              <w:t>東南亞國家</w:t>
            </w:r>
          </w:p>
        </w:tc>
        <w:tc>
          <w:tcPr>
            <w:tcW w:w="1549" w:type="dxa"/>
            <w:tcBorders>
              <w:top w:val="single" w:sz="12" w:space="0" w:color="auto"/>
              <w:bottom w:val="single" w:sz="8" w:space="0" w:color="auto"/>
            </w:tcBorders>
            <w:shd w:val="clear" w:color="auto" w:fill="FAF0FA"/>
            <w:vAlign w:val="center"/>
          </w:tcPr>
          <w:p w:rsidR="0049577B" w:rsidRPr="00AA03F8" w:rsidRDefault="0049577B" w:rsidP="00AA03F8">
            <w:pPr>
              <w:spacing w:line="240" w:lineRule="auto"/>
              <w:ind w:leftChars="0" w:left="0" w:rightChars="0" w:right="0"/>
              <w:jc w:val="center"/>
            </w:pPr>
            <w:r w:rsidRPr="00AA03F8">
              <w:t>大陸及港澳地區</w:t>
            </w:r>
          </w:p>
        </w:tc>
        <w:tc>
          <w:tcPr>
            <w:tcW w:w="1549" w:type="dxa"/>
            <w:tcBorders>
              <w:top w:val="single" w:sz="12" w:space="0" w:color="auto"/>
              <w:bottom w:val="single" w:sz="8" w:space="0" w:color="auto"/>
            </w:tcBorders>
            <w:shd w:val="clear" w:color="auto" w:fill="FAF0FA"/>
            <w:vAlign w:val="center"/>
          </w:tcPr>
          <w:p w:rsidR="0049577B" w:rsidRPr="00AA03F8" w:rsidRDefault="0049577B" w:rsidP="00AA03F8">
            <w:pPr>
              <w:spacing w:line="240" w:lineRule="auto"/>
              <w:ind w:leftChars="0" w:left="0" w:rightChars="0" w:right="0"/>
              <w:jc w:val="center"/>
            </w:pPr>
            <w:r w:rsidRPr="00AA03F8">
              <w:t>其他國家</w:t>
            </w:r>
          </w:p>
        </w:tc>
        <w:tc>
          <w:tcPr>
            <w:tcW w:w="2459" w:type="dxa"/>
            <w:tcBorders>
              <w:top w:val="single" w:sz="12" w:space="0" w:color="auto"/>
              <w:bottom w:val="single" w:sz="8" w:space="0" w:color="auto"/>
            </w:tcBorders>
            <w:shd w:val="clear" w:color="auto" w:fill="FAF0FA"/>
            <w:vAlign w:val="center"/>
          </w:tcPr>
          <w:p w:rsidR="0049577B" w:rsidRPr="00AA03F8" w:rsidRDefault="0049577B" w:rsidP="00AA03F8">
            <w:pPr>
              <w:spacing w:line="240" w:lineRule="auto"/>
              <w:ind w:leftChars="0" w:left="0" w:rightChars="0" w:right="0"/>
              <w:jc w:val="center"/>
            </w:pPr>
            <w:r w:rsidRPr="00AA03F8">
              <w:t>總和</w:t>
            </w:r>
          </w:p>
        </w:tc>
      </w:tr>
      <w:tr w:rsidR="0049577B" w:rsidRPr="00B40DC1" w:rsidTr="00AA03F8">
        <w:tc>
          <w:tcPr>
            <w:tcW w:w="1266" w:type="dxa"/>
            <w:vMerge w:val="restart"/>
            <w:tcBorders>
              <w:top w:val="single" w:sz="8" w:space="0" w:color="auto"/>
            </w:tcBorders>
            <w:vAlign w:val="center"/>
          </w:tcPr>
          <w:p w:rsidR="0049577B" w:rsidRPr="00AA03F8" w:rsidRDefault="0049577B" w:rsidP="00AA03F8">
            <w:pPr>
              <w:spacing w:line="240" w:lineRule="auto"/>
              <w:ind w:leftChars="0" w:left="0" w:rightChars="0" w:right="0"/>
            </w:pPr>
            <w:r w:rsidRPr="00AA03F8">
              <w:t>沒有遭遇困難</w:t>
            </w:r>
          </w:p>
        </w:tc>
        <w:tc>
          <w:tcPr>
            <w:tcW w:w="1267" w:type="dxa"/>
            <w:tcBorders>
              <w:top w:val="single" w:sz="8" w:space="0" w:color="auto"/>
            </w:tcBorders>
            <w:vAlign w:val="center"/>
          </w:tcPr>
          <w:p w:rsidR="0049577B" w:rsidRPr="00AA03F8" w:rsidRDefault="0049577B" w:rsidP="00AA03F8">
            <w:pPr>
              <w:spacing w:line="240" w:lineRule="auto"/>
              <w:ind w:leftChars="0" w:left="0" w:rightChars="0" w:right="0"/>
            </w:pPr>
            <w:r w:rsidRPr="00AA03F8">
              <w:t>次數</w:t>
            </w:r>
          </w:p>
        </w:tc>
        <w:tc>
          <w:tcPr>
            <w:tcW w:w="1549" w:type="dxa"/>
            <w:tcBorders>
              <w:top w:val="single" w:sz="8" w:space="0" w:color="auto"/>
            </w:tcBorders>
            <w:vAlign w:val="center"/>
          </w:tcPr>
          <w:p w:rsidR="0049577B" w:rsidRPr="00AA03F8" w:rsidRDefault="0049577B" w:rsidP="00AA03F8">
            <w:pPr>
              <w:spacing w:line="240" w:lineRule="auto"/>
              <w:ind w:leftChars="0" w:left="0" w:rightChars="0" w:right="0"/>
              <w:jc w:val="center"/>
            </w:pPr>
            <w:r w:rsidRPr="00AA03F8">
              <w:t>248</w:t>
            </w:r>
          </w:p>
        </w:tc>
        <w:tc>
          <w:tcPr>
            <w:tcW w:w="1549" w:type="dxa"/>
            <w:tcBorders>
              <w:top w:val="single" w:sz="8" w:space="0" w:color="auto"/>
            </w:tcBorders>
            <w:vAlign w:val="center"/>
          </w:tcPr>
          <w:p w:rsidR="0049577B" w:rsidRPr="00AA03F8" w:rsidRDefault="0049577B" w:rsidP="00AA03F8">
            <w:pPr>
              <w:spacing w:line="240" w:lineRule="auto"/>
              <w:ind w:leftChars="0" w:left="0" w:rightChars="0" w:right="0"/>
              <w:jc w:val="center"/>
            </w:pPr>
            <w:r w:rsidRPr="00AA03F8">
              <w:t>393</w:t>
            </w:r>
          </w:p>
        </w:tc>
        <w:tc>
          <w:tcPr>
            <w:tcW w:w="1549" w:type="dxa"/>
            <w:tcBorders>
              <w:top w:val="single" w:sz="8" w:space="0" w:color="auto"/>
            </w:tcBorders>
            <w:vAlign w:val="center"/>
          </w:tcPr>
          <w:p w:rsidR="0049577B" w:rsidRPr="00AA03F8" w:rsidRDefault="0049577B" w:rsidP="00AA03F8">
            <w:pPr>
              <w:spacing w:line="240" w:lineRule="auto"/>
              <w:ind w:leftChars="0" w:left="0" w:rightChars="0" w:right="0"/>
              <w:jc w:val="center"/>
            </w:pPr>
            <w:r w:rsidRPr="00AA03F8">
              <w:t>24</w:t>
            </w:r>
          </w:p>
        </w:tc>
        <w:tc>
          <w:tcPr>
            <w:tcW w:w="2459" w:type="dxa"/>
            <w:tcBorders>
              <w:top w:val="single" w:sz="8" w:space="0" w:color="auto"/>
            </w:tcBorders>
            <w:vAlign w:val="center"/>
          </w:tcPr>
          <w:p w:rsidR="0049577B" w:rsidRPr="00AA03F8" w:rsidRDefault="0049577B" w:rsidP="00AA03F8">
            <w:pPr>
              <w:spacing w:line="240" w:lineRule="auto"/>
              <w:ind w:leftChars="0" w:left="0" w:rightChars="0" w:right="0"/>
              <w:jc w:val="center"/>
            </w:pPr>
            <w:r w:rsidRPr="00AA03F8">
              <w:t>665</w:t>
            </w:r>
          </w:p>
        </w:tc>
      </w:tr>
      <w:tr w:rsidR="0049577B" w:rsidRPr="00B40DC1" w:rsidTr="00AA03F8">
        <w:tc>
          <w:tcPr>
            <w:tcW w:w="1266" w:type="dxa"/>
            <w:vMerge/>
            <w:vAlign w:val="center"/>
          </w:tcPr>
          <w:p w:rsidR="0049577B" w:rsidRPr="00AA03F8" w:rsidRDefault="0049577B" w:rsidP="00AA03F8">
            <w:pPr>
              <w:spacing w:line="240" w:lineRule="auto"/>
              <w:ind w:leftChars="0" w:left="0" w:rightChars="0" w:right="0"/>
            </w:pPr>
          </w:p>
        </w:tc>
        <w:tc>
          <w:tcPr>
            <w:tcW w:w="1267" w:type="dxa"/>
            <w:vAlign w:val="center"/>
          </w:tcPr>
          <w:p w:rsidR="0049577B" w:rsidRPr="00AA03F8" w:rsidRDefault="0049577B" w:rsidP="00AA03F8">
            <w:pPr>
              <w:spacing w:line="240" w:lineRule="auto"/>
              <w:ind w:leftChars="0" w:left="0" w:rightChars="0" w:right="0"/>
            </w:pPr>
            <w:r w:rsidRPr="00AA03F8">
              <w:t>百分比</w:t>
            </w:r>
          </w:p>
        </w:tc>
        <w:tc>
          <w:tcPr>
            <w:tcW w:w="1549" w:type="dxa"/>
            <w:vAlign w:val="center"/>
          </w:tcPr>
          <w:p w:rsidR="0049577B" w:rsidRPr="00AA03F8" w:rsidRDefault="0049577B" w:rsidP="00AA03F8">
            <w:pPr>
              <w:spacing w:line="240" w:lineRule="auto"/>
              <w:ind w:leftChars="0" w:left="0" w:rightChars="0" w:right="0"/>
              <w:jc w:val="center"/>
            </w:pPr>
            <w:r w:rsidRPr="00AA03F8">
              <w:t>90.80%</w:t>
            </w:r>
          </w:p>
        </w:tc>
        <w:tc>
          <w:tcPr>
            <w:tcW w:w="1549" w:type="dxa"/>
            <w:vAlign w:val="center"/>
          </w:tcPr>
          <w:p w:rsidR="0049577B" w:rsidRPr="00AA03F8" w:rsidRDefault="0049577B" w:rsidP="00AA03F8">
            <w:pPr>
              <w:spacing w:line="240" w:lineRule="auto"/>
              <w:ind w:leftChars="0" w:left="0" w:rightChars="0" w:right="0"/>
              <w:jc w:val="center"/>
            </w:pPr>
            <w:r w:rsidRPr="00AA03F8">
              <w:t>89.50%</w:t>
            </w:r>
          </w:p>
        </w:tc>
        <w:tc>
          <w:tcPr>
            <w:tcW w:w="1549" w:type="dxa"/>
            <w:vAlign w:val="center"/>
          </w:tcPr>
          <w:p w:rsidR="0049577B" w:rsidRPr="00AA03F8" w:rsidRDefault="0049577B" w:rsidP="00AA03F8">
            <w:pPr>
              <w:spacing w:line="240" w:lineRule="auto"/>
              <w:ind w:leftChars="0" w:left="0" w:rightChars="0" w:right="0"/>
              <w:jc w:val="center"/>
            </w:pPr>
            <w:r w:rsidRPr="00AA03F8">
              <w:t>96.00%</w:t>
            </w:r>
          </w:p>
        </w:tc>
        <w:tc>
          <w:tcPr>
            <w:tcW w:w="2459" w:type="dxa"/>
            <w:vAlign w:val="center"/>
          </w:tcPr>
          <w:p w:rsidR="0049577B" w:rsidRPr="00AA03F8" w:rsidRDefault="0049577B" w:rsidP="00AA03F8">
            <w:pPr>
              <w:spacing w:line="240" w:lineRule="auto"/>
              <w:ind w:leftChars="0" w:left="0" w:rightChars="0" w:right="0"/>
              <w:jc w:val="center"/>
            </w:pPr>
            <w:r w:rsidRPr="00AA03F8">
              <w:t>90.20%</w:t>
            </w:r>
          </w:p>
        </w:tc>
      </w:tr>
      <w:tr w:rsidR="0049577B" w:rsidRPr="00B40DC1" w:rsidTr="00AA03F8">
        <w:tc>
          <w:tcPr>
            <w:tcW w:w="1266" w:type="dxa"/>
            <w:vMerge w:val="restart"/>
            <w:vAlign w:val="center"/>
          </w:tcPr>
          <w:p w:rsidR="0049577B" w:rsidRPr="00AA03F8" w:rsidRDefault="0049577B" w:rsidP="00AA03F8">
            <w:pPr>
              <w:spacing w:line="240" w:lineRule="auto"/>
              <w:ind w:leftChars="0" w:left="0" w:rightChars="0" w:right="0"/>
            </w:pPr>
            <w:r w:rsidRPr="00AA03F8">
              <w:t>有困難</w:t>
            </w:r>
          </w:p>
        </w:tc>
        <w:tc>
          <w:tcPr>
            <w:tcW w:w="1267" w:type="dxa"/>
            <w:vAlign w:val="center"/>
          </w:tcPr>
          <w:p w:rsidR="0049577B" w:rsidRPr="00AA03F8" w:rsidRDefault="0049577B" w:rsidP="00AA03F8">
            <w:pPr>
              <w:spacing w:line="240" w:lineRule="auto"/>
              <w:ind w:leftChars="0" w:left="0" w:rightChars="0" w:right="0"/>
            </w:pPr>
            <w:r w:rsidRPr="00AA03F8">
              <w:t>次數</w:t>
            </w:r>
          </w:p>
        </w:tc>
        <w:tc>
          <w:tcPr>
            <w:tcW w:w="1549" w:type="dxa"/>
            <w:vAlign w:val="center"/>
          </w:tcPr>
          <w:p w:rsidR="0049577B" w:rsidRPr="00AA03F8" w:rsidRDefault="0049577B" w:rsidP="00AA03F8">
            <w:pPr>
              <w:spacing w:line="240" w:lineRule="auto"/>
              <w:ind w:leftChars="0" w:left="0" w:rightChars="0" w:right="0"/>
              <w:jc w:val="center"/>
            </w:pPr>
            <w:r w:rsidRPr="00AA03F8">
              <w:t>25</w:t>
            </w:r>
          </w:p>
        </w:tc>
        <w:tc>
          <w:tcPr>
            <w:tcW w:w="1549" w:type="dxa"/>
            <w:vAlign w:val="center"/>
          </w:tcPr>
          <w:p w:rsidR="0049577B" w:rsidRPr="00AA03F8" w:rsidRDefault="0049577B" w:rsidP="00AA03F8">
            <w:pPr>
              <w:spacing w:line="240" w:lineRule="auto"/>
              <w:ind w:leftChars="0" w:left="0" w:rightChars="0" w:right="0"/>
              <w:jc w:val="center"/>
            </w:pPr>
            <w:r w:rsidRPr="00AA03F8">
              <w:t>46</w:t>
            </w:r>
          </w:p>
        </w:tc>
        <w:tc>
          <w:tcPr>
            <w:tcW w:w="1549" w:type="dxa"/>
            <w:vAlign w:val="center"/>
          </w:tcPr>
          <w:p w:rsidR="0049577B" w:rsidRPr="00AA03F8" w:rsidRDefault="0049577B" w:rsidP="00AA03F8">
            <w:pPr>
              <w:spacing w:line="240" w:lineRule="auto"/>
              <w:ind w:leftChars="0" w:left="0" w:rightChars="0" w:right="0"/>
              <w:jc w:val="center"/>
            </w:pPr>
            <w:r w:rsidRPr="00AA03F8">
              <w:t>1</w:t>
            </w:r>
          </w:p>
        </w:tc>
        <w:tc>
          <w:tcPr>
            <w:tcW w:w="2459" w:type="dxa"/>
            <w:vAlign w:val="center"/>
          </w:tcPr>
          <w:p w:rsidR="0049577B" w:rsidRPr="00AA03F8" w:rsidRDefault="0049577B" w:rsidP="00AA03F8">
            <w:pPr>
              <w:spacing w:line="240" w:lineRule="auto"/>
              <w:ind w:leftChars="0" w:left="0" w:rightChars="0" w:right="0"/>
              <w:jc w:val="center"/>
            </w:pPr>
            <w:r w:rsidRPr="00AA03F8">
              <w:t>72</w:t>
            </w:r>
          </w:p>
        </w:tc>
      </w:tr>
      <w:tr w:rsidR="0049577B" w:rsidRPr="00B40DC1" w:rsidTr="00AA03F8">
        <w:tc>
          <w:tcPr>
            <w:tcW w:w="1266" w:type="dxa"/>
            <w:vMerge/>
            <w:vAlign w:val="center"/>
          </w:tcPr>
          <w:p w:rsidR="0049577B" w:rsidRPr="00AA03F8" w:rsidRDefault="0049577B" w:rsidP="00AA03F8">
            <w:pPr>
              <w:spacing w:line="240" w:lineRule="auto"/>
              <w:ind w:leftChars="0" w:left="0" w:rightChars="0" w:right="0"/>
            </w:pPr>
          </w:p>
        </w:tc>
        <w:tc>
          <w:tcPr>
            <w:tcW w:w="1267" w:type="dxa"/>
            <w:vAlign w:val="center"/>
          </w:tcPr>
          <w:p w:rsidR="0049577B" w:rsidRPr="00AA03F8" w:rsidRDefault="0049577B" w:rsidP="00AA03F8">
            <w:pPr>
              <w:spacing w:line="240" w:lineRule="auto"/>
              <w:ind w:leftChars="0" w:left="0" w:rightChars="0" w:right="0"/>
            </w:pPr>
            <w:r w:rsidRPr="00AA03F8">
              <w:t>百分比</w:t>
            </w:r>
          </w:p>
        </w:tc>
        <w:tc>
          <w:tcPr>
            <w:tcW w:w="1549" w:type="dxa"/>
            <w:vAlign w:val="center"/>
          </w:tcPr>
          <w:p w:rsidR="0049577B" w:rsidRPr="00AA03F8" w:rsidRDefault="0049577B" w:rsidP="00AA03F8">
            <w:pPr>
              <w:spacing w:line="240" w:lineRule="auto"/>
              <w:ind w:leftChars="0" w:left="0" w:rightChars="0" w:right="0"/>
              <w:jc w:val="center"/>
            </w:pPr>
            <w:r w:rsidRPr="00AA03F8">
              <w:t>9.20%</w:t>
            </w:r>
          </w:p>
        </w:tc>
        <w:tc>
          <w:tcPr>
            <w:tcW w:w="1549" w:type="dxa"/>
            <w:vAlign w:val="center"/>
          </w:tcPr>
          <w:p w:rsidR="0049577B" w:rsidRPr="00AA03F8" w:rsidRDefault="0049577B" w:rsidP="00AA03F8">
            <w:pPr>
              <w:spacing w:line="240" w:lineRule="auto"/>
              <w:ind w:leftChars="0" w:left="0" w:rightChars="0" w:right="0"/>
              <w:jc w:val="center"/>
            </w:pPr>
            <w:r w:rsidRPr="00AA03F8">
              <w:t>10.50%</w:t>
            </w:r>
          </w:p>
        </w:tc>
        <w:tc>
          <w:tcPr>
            <w:tcW w:w="1549" w:type="dxa"/>
            <w:vAlign w:val="center"/>
          </w:tcPr>
          <w:p w:rsidR="0049577B" w:rsidRPr="00AA03F8" w:rsidRDefault="0049577B" w:rsidP="00AA03F8">
            <w:pPr>
              <w:spacing w:line="240" w:lineRule="auto"/>
              <w:ind w:leftChars="0" w:left="0" w:rightChars="0" w:right="0"/>
              <w:jc w:val="center"/>
            </w:pPr>
            <w:r w:rsidRPr="00AA03F8">
              <w:t>4.00%</w:t>
            </w:r>
          </w:p>
        </w:tc>
        <w:tc>
          <w:tcPr>
            <w:tcW w:w="2459" w:type="dxa"/>
            <w:vAlign w:val="center"/>
          </w:tcPr>
          <w:p w:rsidR="0049577B" w:rsidRPr="00AA03F8" w:rsidRDefault="0049577B" w:rsidP="00AA03F8">
            <w:pPr>
              <w:spacing w:line="240" w:lineRule="auto"/>
              <w:ind w:leftChars="0" w:left="0" w:rightChars="0" w:right="0"/>
              <w:jc w:val="center"/>
            </w:pPr>
            <w:r w:rsidRPr="00AA03F8">
              <w:t>9.80%</w:t>
            </w:r>
          </w:p>
        </w:tc>
      </w:tr>
      <w:tr w:rsidR="0049577B" w:rsidRPr="00B40DC1" w:rsidTr="00AA03F8">
        <w:tc>
          <w:tcPr>
            <w:tcW w:w="1266" w:type="dxa"/>
            <w:vMerge w:val="restart"/>
            <w:vAlign w:val="center"/>
          </w:tcPr>
          <w:p w:rsidR="0049577B" w:rsidRPr="00AA03F8" w:rsidRDefault="0049577B" w:rsidP="00AA03F8">
            <w:pPr>
              <w:spacing w:line="240" w:lineRule="auto"/>
              <w:ind w:leftChars="0" w:left="0" w:rightChars="0" w:right="0"/>
            </w:pPr>
            <w:r w:rsidRPr="00AA03F8">
              <w:t>總和</w:t>
            </w:r>
          </w:p>
        </w:tc>
        <w:tc>
          <w:tcPr>
            <w:tcW w:w="1267" w:type="dxa"/>
            <w:vAlign w:val="center"/>
          </w:tcPr>
          <w:p w:rsidR="0049577B" w:rsidRPr="00AA03F8" w:rsidRDefault="0049577B" w:rsidP="00AA03F8">
            <w:pPr>
              <w:spacing w:line="240" w:lineRule="auto"/>
              <w:ind w:leftChars="0" w:left="0" w:rightChars="0" w:right="0"/>
            </w:pPr>
            <w:r w:rsidRPr="00AA03F8">
              <w:t>次數</w:t>
            </w:r>
          </w:p>
        </w:tc>
        <w:tc>
          <w:tcPr>
            <w:tcW w:w="1549" w:type="dxa"/>
            <w:vAlign w:val="center"/>
          </w:tcPr>
          <w:p w:rsidR="0049577B" w:rsidRPr="00AA03F8" w:rsidRDefault="0049577B" w:rsidP="00AA03F8">
            <w:pPr>
              <w:spacing w:line="240" w:lineRule="auto"/>
              <w:ind w:leftChars="0" w:left="0" w:rightChars="0" w:right="0"/>
              <w:jc w:val="center"/>
            </w:pPr>
            <w:r w:rsidRPr="00AA03F8">
              <w:t>273</w:t>
            </w:r>
          </w:p>
        </w:tc>
        <w:tc>
          <w:tcPr>
            <w:tcW w:w="1549" w:type="dxa"/>
            <w:vAlign w:val="center"/>
          </w:tcPr>
          <w:p w:rsidR="0049577B" w:rsidRPr="00AA03F8" w:rsidRDefault="0049577B" w:rsidP="00AA03F8">
            <w:pPr>
              <w:spacing w:line="240" w:lineRule="auto"/>
              <w:ind w:leftChars="0" w:left="0" w:rightChars="0" w:right="0"/>
              <w:jc w:val="center"/>
            </w:pPr>
            <w:r w:rsidRPr="00AA03F8">
              <w:t>439</w:t>
            </w:r>
          </w:p>
        </w:tc>
        <w:tc>
          <w:tcPr>
            <w:tcW w:w="1549" w:type="dxa"/>
            <w:vAlign w:val="center"/>
          </w:tcPr>
          <w:p w:rsidR="0049577B" w:rsidRPr="00AA03F8" w:rsidRDefault="0049577B" w:rsidP="00AA03F8">
            <w:pPr>
              <w:spacing w:line="240" w:lineRule="auto"/>
              <w:ind w:leftChars="0" w:left="0" w:rightChars="0" w:right="0"/>
              <w:jc w:val="center"/>
            </w:pPr>
            <w:r w:rsidRPr="00AA03F8">
              <w:t>25</w:t>
            </w:r>
          </w:p>
        </w:tc>
        <w:tc>
          <w:tcPr>
            <w:tcW w:w="2459" w:type="dxa"/>
            <w:vAlign w:val="center"/>
          </w:tcPr>
          <w:p w:rsidR="0049577B" w:rsidRPr="00AA03F8" w:rsidRDefault="0049577B" w:rsidP="00AA03F8">
            <w:pPr>
              <w:spacing w:line="240" w:lineRule="auto"/>
              <w:ind w:leftChars="0" w:left="0" w:rightChars="0" w:right="0"/>
              <w:jc w:val="center"/>
            </w:pPr>
            <w:r w:rsidRPr="00AA03F8">
              <w:t>737</w:t>
            </w:r>
          </w:p>
        </w:tc>
      </w:tr>
      <w:tr w:rsidR="0049577B" w:rsidRPr="00B40DC1" w:rsidTr="00AA03F8">
        <w:tc>
          <w:tcPr>
            <w:tcW w:w="1266" w:type="dxa"/>
            <w:vMerge/>
            <w:tcBorders>
              <w:bottom w:val="single" w:sz="8" w:space="0" w:color="auto"/>
            </w:tcBorders>
          </w:tcPr>
          <w:p w:rsidR="0049577B" w:rsidRPr="00AA03F8" w:rsidRDefault="0049577B" w:rsidP="00AA03F8">
            <w:pPr>
              <w:spacing w:line="240" w:lineRule="auto"/>
              <w:ind w:leftChars="0" w:left="0" w:rightChars="0" w:right="0"/>
            </w:pPr>
          </w:p>
        </w:tc>
        <w:tc>
          <w:tcPr>
            <w:tcW w:w="1267" w:type="dxa"/>
            <w:tcBorders>
              <w:bottom w:val="single" w:sz="8" w:space="0" w:color="auto"/>
            </w:tcBorders>
            <w:vAlign w:val="center"/>
          </w:tcPr>
          <w:p w:rsidR="0049577B" w:rsidRPr="00AA03F8" w:rsidRDefault="0049577B" w:rsidP="00AA03F8">
            <w:pPr>
              <w:spacing w:line="240" w:lineRule="auto"/>
              <w:ind w:leftChars="0" w:left="0" w:rightChars="0" w:right="0"/>
            </w:pPr>
            <w:r w:rsidRPr="00AA03F8">
              <w:t>百分比</w:t>
            </w:r>
          </w:p>
        </w:tc>
        <w:tc>
          <w:tcPr>
            <w:tcW w:w="1549" w:type="dxa"/>
            <w:tcBorders>
              <w:bottom w:val="single" w:sz="8" w:space="0" w:color="auto"/>
            </w:tcBorders>
            <w:vAlign w:val="center"/>
          </w:tcPr>
          <w:p w:rsidR="0049577B" w:rsidRPr="00AA03F8" w:rsidRDefault="0049577B" w:rsidP="00AA03F8">
            <w:pPr>
              <w:spacing w:line="240" w:lineRule="auto"/>
              <w:ind w:leftChars="0" w:left="0" w:rightChars="0" w:right="0"/>
              <w:jc w:val="center"/>
            </w:pPr>
            <w:r w:rsidRPr="00AA03F8">
              <w:t>100.00%</w:t>
            </w:r>
          </w:p>
        </w:tc>
        <w:tc>
          <w:tcPr>
            <w:tcW w:w="1549" w:type="dxa"/>
            <w:tcBorders>
              <w:bottom w:val="single" w:sz="8" w:space="0" w:color="auto"/>
            </w:tcBorders>
            <w:vAlign w:val="center"/>
          </w:tcPr>
          <w:p w:rsidR="0049577B" w:rsidRPr="00AA03F8" w:rsidRDefault="0049577B" w:rsidP="00AA03F8">
            <w:pPr>
              <w:spacing w:line="240" w:lineRule="auto"/>
              <w:ind w:leftChars="0" w:left="0" w:rightChars="0" w:right="0"/>
              <w:jc w:val="center"/>
            </w:pPr>
            <w:r w:rsidRPr="00AA03F8">
              <w:t>100.00%</w:t>
            </w:r>
          </w:p>
        </w:tc>
        <w:tc>
          <w:tcPr>
            <w:tcW w:w="1549" w:type="dxa"/>
            <w:tcBorders>
              <w:bottom w:val="single" w:sz="8" w:space="0" w:color="auto"/>
            </w:tcBorders>
            <w:vAlign w:val="center"/>
          </w:tcPr>
          <w:p w:rsidR="0049577B" w:rsidRPr="00AA03F8" w:rsidRDefault="0049577B" w:rsidP="00AA03F8">
            <w:pPr>
              <w:spacing w:line="240" w:lineRule="auto"/>
              <w:ind w:leftChars="0" w:left="0" w:rightChars="0" w:right="0"/>
              <w:jc w:val="center"/>
            </w:pPr>
            <w:r w:rsidRPr="00AA03F8">
              <w:t>100.00%</w:t>
            </w:r>
          </w:p>
        </w:tc>
        <w:tc>
          <w:tcPr>
            <w:tcW w:w="2459" w:type="dxa"/>
            <w:tcBorders>
              <w:bottom w:val="single" w:sz="8" w:space="0" w:color="auto"/>
            </w:tcBorders>
            <w:vAlign w:val="center"/>
          </w:tcPr>
          <w:p w:rsidR="0049577B" w:rsidRPr="00AA03F8" w:rsidRDefault="0049577B" w:rsidP="00AA03F8">
            <w:pPr>
              <w:spacing w:line="240" w:lineRule="auto"/>
              <w:ind w:leftChars="0" w:left="0" w:rightChars="0" w:right="0"/>
              <w:jc w:val="center"/>
            </w:pPr>
            <w:r w:rsidRPr="00AA03F8">
              <w:t>100.00%</w:t>
            </w:r>
          </w:p>
        </w:tc>
      </w:tr>
      <w:tr w:rsidR="0049577B" w:rsidRPr="00B40DC1" w:rsidTr="00AA03F8">
        <w:tc>
          <w:tcPr>
            <w:tcW w:w="1266" w:type="dxa"/>
            <w:tcBorders>
              <w:top w:val="single" w:sz="8" w:space="0" w:color="auto"/>
              <w:bottom w:val="single" w:sz="12" w:space="0" w:color="auto"/>
            </w:tcBorders>
          </w:tcPr>
          <w:p w:rsidR="0049577B" w:rsidRPr="00AA03F8" w:rsidRDefault="0049577B" w:rsidP="00AA03F8">
            <w:pPr>
              <w:spacing w:line="240" w:lineRule="auto"/>
              <w:ind w:leftChars="0" w:left="0" w:rightChars="0" w:right="0"/>
            </w:pPr>
            <w:r w:rsidRPr="00AA03F8">
              <w:t>卡方值</w:t>
            </w:r>
          </w:p>
        </w:tc>
        <w:tc>
          <w:tcPr>
            <w:tcW w:w="8373" w:type="dxa"/>
            <w:gridSpan w:val="5"/>
            <w:tcBorders>
              <w:top w:val="single" w:sz="8" w:space="0" w:color="auto"/>
              <w:bottom w:val="single" w:sz="12" w:space="0" w:color="auto"/>
            </w:tcBorders>
          </w:tcPr>
          <w:p w:rsidR="0049577B" w:rsidRPr="00AA03F8" w:rsidRDefault="0049577B" w:rsidP="00AA03F8">
            <w:pPr>
              <w:spacing w:line="240" w:lineRule="auto"/>
              <w:ind w:leftChars="0" w:left="0" w:rightChars="0" w:right="0"/>
            </w:pPr>
            <w:r w:rsidRPr="00AA03F8">
              <w:t>χ2=1.31；df=2；p&gt;0.05</w:t>
            </w:r>
          </w:p>
        </w:tc>
      </w:tr>
    </w:tbl>
    <w:p w:rsidR="0049577B" w:rsidRPr="00B40DC1" w:rsidRDefault="00817A92" w:rsidP="00A66DFC">
      <w:pPr>
        <w:spacing w:line="240" w:lineRule="auto"/>
        <w:ind w:leftChars="0" w:left="0" w:rightChars="0" w:right="0"/>
      </w:pPr>
      <w:r>
        <w:t>【資料來源】</w:t>
      </w:r>
      <w:r w:rsidR="0049577B" w:rsidRPr="00B40DC1">
        <w:t>作者自行製作。</w:t>
      </w:r>
    </w:p>
    <w:p w:rsidR="0049577B" w:rsidRPr="00B40DC1" w:rsidRDefault="0049577B" w:rsidP="000D26BB"/>
    <w:p w:rsidR="0049577B" w:rsidRPr="00B40DC1" w:rsidRDefault="002F101F" w:rsidP="00A66DFC">
      <w:pPr>
        <w:spacing w:line="240" w:lineRule="auto"/>
        <w:ind w:leftChars="0" w:left="0" w:rightChars="0" w:right="0"/>
      </w:pPr>
      <w:r>
        <w:t xml:space="preserve">　　</w:t>
      </w:r>
      <w:r w:rsidR="0049577B" w:rsidRPr="00B40DC1">
        <w:t>有關新移民就業所遭遇的困難，本研究針對桃園市新移民服務據點和專業團體的訪談資料亦有類似的發現。</w:t>
      </w:r>
    </w:p>
    <w:p w:rsidR="0049577B" w:rsidRPr="00B40DC1" w:rsidRDefault="002F101F" w:rsidP="00A66DFC">
      <w:pPr>
        <w:spacing w:line="240" w:lineRule="auto"/>
        <w:ind w:leftChars="0" w:left="0" w:rightChars="0" w:right="0"/>
      </w:pPr>
      <w:r>
        <w:t xml:space="preserve">　　</w:t>
      </w:r>
      <w:r w:rsidR="0049577B" w:rsidRPr="00B40DC1">
        <w:t>在母國是有一技之長的，例如從事美髮業等，但是來到臺灣之後，雖然普遍都有就業意願及就業機會，但是缺乏</w:t>
      </w:r>
      <w:r w:rsidR="0049577B" w:rsidRPr="00B40DC1">
        <w:rPr>
          <w:u w:val="single"/>
        </w:rPr>
        <w:t>創業資金及中文語言能力</w:t>
      </w:r>
      <w:r w:rsidR="0049577B" w:rsidRPr="00B40DC1">
        <w:t>，使得在就業上面臨困境。此外，</w:t>
      </w:r>
      <w:r w:rsidR="0049577B" w:rsidRPr="00B40DC1">
        <w:rPr>
          <w:u w:val="single"/>
        </w:rPr>
        <w:t>普遍雇主在聘僱時常希望新移民能夠讀寫中文</w:t>
      </w:r>
      <w:r w:rsidR="0049577B" w:rsidRPr="00B40DC1">
        <w:t>，更使得新移民的就業機會受到限制。再來是，新移民家庭大多數有小孩，在需要照顧小孩的前提下，新移民普遍希望能夠是正常班的，能夠方便接送小孩上下學，但往往較為</w:t>
      </w:r>
      <w:r w:rsidR="0049577B" w:rsidRPr="00B40DC1">
        <w:rPr>
          <w:u w:val="single"/>
        </w:rPr>
        <w:t>低技術性的工作都是輪班制的使得新移民無法工作就業</w:t>
      </w:r>
      <w:r w:rsidR="0049577B" w:rsidRPr="00B40DC1">
        <w:t>。-----政府</w:t>
      </w:r>
      <w:r w:rsidR="0049577B" w:rsidRPr="00B40DC1">
        <w:rPr>
          <w:u w:val="single"/>
        </w:rPr>
        <w:t>所設置職訓地點交通便利性仍不足</w:t>
      </w:r>
      <w:r w:rsidR="0049577B" w:rsidRPr="00B40DC1">
        <w:t>，使得新移民往往無法前往。-----目前政府提供的職訓課程多為技術層級低、服務性高的課程，</w:t>
      </w:r>
      <w:r w:rsidR="0049577B" w:rsidRPr="00B40DC1">
        <w:rPr>
          <w:u w:val="single"/>
        </w:rPr>
        <w:t>未能全盤考量新移民的母國教育程度或專業技能</w:t>
      </w:r>
      <w:r w:rsidR="0049577B" w:rsidRPr="00B40DC1">
        <w:t>。-----再來是新移民就業會遇到「職場歧視」，雇主多以沒有身分證不願雇用或僅給予外籍勞工的薪資(同工不同酬)，甚至未給予權益保障，如勞健保。(1-4-2)</w:t>
      </w:r>
    </w:p>
    <w:p w:rsidR="0049577B" w:rsidRPr="00B40DC1" w:rsidRDefault="002F101F" w:rsidP="00A66DFC">
      <w:pPr>
        <w:spacing w:line="240" w:lineRule="auto"/>
        <w:ind w:leftChars="0" w:left="0" w:rightChars="0" w:right="0"/>
      </w:pPr>
      <w:r>
        <w:t xml:space="preserve">　　</w:t>
      </w:r>
      <w:r w:rsidR="0049577B" w:rsidRPr="00B40DC1">
        <w:t>我認為新移民在就業現況上，因為受限於他們的</w:t>
      </w:r>
      <w:r w:rsidR="0049577B" w:rsidRPr="00B40DC1">
        <w:rPr>
          <w:u w:val="single"/>
        </w:rPr>
        <w:t>學歷不被承認</w:t>
      </w:r>
      <w:r w:rsidR="0049577B" w:rsidRPr="00B40DC1">
        <w:t>，且又沒有</w:t>
      </w:r>
      <w:r w:rsidR="0049577B" w:rsidRPr="00B40DC1">
        <w:rPr>
          <w:u w:val="single"/>
        </w:rPr>
        <w:t>專業的能力</w:t>
      </w:r>
      <w:r w:rsidR="0049577B" w:rsidRPr="00B40DC1">
        <w:t>，因此在工作上只能找一些非技術性的工作。-----我認為政府在這方面應該要針對這些新移民的需求，像是可以開辦烹飪班、電腦班協助他們取得證照，電腦班可以教這些新移民一些電腦的基本文書處理，讓他們可以從事公司或工廠的會計，而不是開設美容、美髮班，這些班雖然對他們也有幫助，但她們還是需要一筆資金才可以開店。(11-4-2)</w:t>
      </w:r>
    </w:p>
    <w:p w:rsidR="0049577B" w:rsidRPr="00B40DC1" w:rsidRDefault="002F101F" w:rsidP="00A66DFC">
      <w:pPr>
        <w:spacing w:line="240" w:lineRule="auto"/>
        <w:ind w:leftChars="0" w:left="0" w:rightChars="0" w:right="0"/>
        <w:rPr>
          <w:spacing w:val="2"/>
          <w:kern w:val="0"/>
        </w:rPr>
      </w:pPr>
      <w:r>
        <w:t xml:space="preserve">　　</w:t>
      </w:r>
      <w:r w:rsidR="0049577B" w:rsidRPr="00B40DC1">
        <w:t>目前我們所服務的新移民案例，她們目前約80%有工作，</w:t>
      </w:r>
      <w:r w:rsidR="0049577B" w:rsidRPr="00B40DC1">
        <w:rPr>
          <w:u w:val="single"/>
        </w:rPr>
        <w:t>所面臨的困境是家中年幼或就學的小孩無人照顧的問題</w:t>
      </w:r>
      <w:r w:rsidR="0049577B" w:rsidRPr="00B40DC1">
        <w:t>。-----新移民認為</w:t>
      </w:r>
      <w:r w:rsidR="0049577B" w:rsidRPr="00B40DC1">
        <w:rPr>
          <w:u w:val="single"/>
        </w:rPr>
        <w:t>政府所提供的職業訓練認為不符合她們的就業需求</w:t>
      </w:r>
      <w:r w:rsidR="0049577B" w:rsidRPr="00B40DC1">
        <w:t>，目前有開設的是美容班、美甲班，這些課程雖然可以讓新移民學得專業技能，但是在就業方面，卻沒有這麼容易，她們通常還必須有一筆創業的資金。(13-4-2)</w:t>
      </w:r>
    </w:p>
    <w:p w:rsidR="0049577B" w:rsidRDefault="002F101F" w:rsidP="00A66DFC">
      <w:pPr>
        <w:spacing w:line="240" w:lineRule="auto"/>
        <w:ind w:leftChars="0" w:left="0" w:rightChars="0" w:right="0"/>
      </w:pPr>
      <w:r>
        <w:t xml:space="preserve">　　</w:t>
      </w:r>
      <w:r w:rsidR="0049577B" w:rsidRPr="00B40DC1">
        <w:t>近幾年來，在相關法令與政策不斷地修改下，臺灣婚姻移民形式上在勞動權益所享有的利保障幾乎與人無異</w:t>
      </w:r>
      <w:r w:rsidR="0049577B" w:rsidRPr="002F101F">
        <w:rPr>
          <w:rStyle w:val="af7"/>
          <w:rFonts w:eastAsia="新細明體"/>
          <w:sz w:val="20"/>
        </w:rPr>
        <w:footnoteReference w:id="506"/>
      </w:r>
      <w:r w:rsidR="0049577B" w:rsidRPr="00B40DC1">
        <w:t>。而本研究則發現，可能由於政府的輔導作為奏效，求職時遭遇困難的新移民僅佔約一成。而本研究針對不同國籍別新移民的差異分析，則有以下更進一步的發現：（一）國籍別與受訪者目前是否就業的關連程度達到統計上的顯著水準（χ</w:t>
      </w:r>
      <w:r w:rsidR="0049577B" w:rsidRPr="00B40DC1">
        <w:rPr>
          <w:vertAlign w:val="superscript"/>
        </w:rPr>
        <w:t>2</w:t>
      </w:r>
      <w:r w:rsidR="0049577B" w:rsidRPr="00B40DC1">
        <w:t>=41.48；df=20；p&lt;0.01）。同時，相較於其他國籍別新移民，以原國籍為東南亞國家的新移民目前從事有報酬工作百分比相對較高，而以大陸及港澳地區新移民目前從事有報酬工作百分比相對較低。（二）國籍別與受訪者從事主要工作平均月薪的關連程度達到統計上的顯著水準（χ</w:t>
      </w:r>
      <w:r w:rsidR="0049577B" w:rsidRPr="00B40DC1">
        <w:rPr>
          <w:vertAlign w:val="superscript"/>
        </w:rPr>
        <w:t>2</w:t>
      </w:r>
      <w:r w:rsidR="0049577B" w:rsidRPr="00B40DC1">
        <w:t>=50.46；df=14；p&lt;0.001）。同時，相較於其他國籍別新移民，以原籍為東南亞國家的新移民所從事主要工作平均月薪相對較低，而大陸及港澳地區新移民所從事主要工作平均月薪則分布較為分散。（三）不同國籍新移民所從事的工作數量及主要工作的性質並無顯著差異，不同國籍新移民對目前工作滿意度亦無顯著差異。</w:t>
      </w:r>
    </w:p>
    <w:p w:rsidR="00A66DFC" w:rsidRPr="00B40DC1" w:rsidRDefault="00DD52C8" w:rsidP="00A66DFC">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A66DFC">
      <w:pPr>
        <w:pStyle w:val="3"/>
        <w:rPr>
          <w:lang w:eastAsia="zh-TW"/>
        </w:rPr>
      </w:pPr>
      <w:bookmarkStart w:id="119" w:name="_四、不同國籍新移民生活適應情形分析"/>
      <w:bookmarkEnd w:id="119"/>
      <w:r w:rsidRPr="00B40DC1">
        <w:rPr>
          <w:lang w:eastAsia="zh-TW"/>
        </w:rPr>
        <w:t>四、不同國籍新移民生活適應情形分析</w:t>
      </w:r>
    </w:p>
    <w:p w:rsidR="0049577B" w:rsidRDefault="002F101F" w:rsidP="00A66DFC">
      <w:pPr>
        <w:spacing w:line="240" w:lineRule="auto"/>
        <w:ind w:leftChars="0" w:left="0" w:rightChars="0" w:right="0"/>
      </w:pPr>
      <w:r>
        <w:t xml:space="preserve">　　</w:t>
      </w:r>
      <w:r w:rsidR="0049577B" w:rsidRPr="00B40DC1">
        <w:t>表13顯示國籍別與受訪者中文能力之關聯性分析。首先，在中文聽力部分，國籍別與受訪者中文聽力的關連程度達到統計上的顯著水準（χ</w:t>
      </w:r>
      <w:r w:rsidR="0049577B" w:rsidRPr="00B40DC1">
        <w:rPr>
          <w:vertAlign w:val="superscript"/>
        </w:rPr>
        <w:t>2</w:t>
      </w:r>
      <w:r w:rsidR="0049577B" w:rsidRPr="00B40DC1">
        <w:t>=138.72；df=4；p&lt;0.001），顯示：會因為受訪者國籍別之不同，而在其中文聽力上有所差異。當進一步觀察百分比分布情形可以發現，雖然各種國籍別的新移民中文聽力均以好者所占百分比最高，但其中又以大陸及港澳地區的新移民表示自己中文聽力不錯者所占百分比最高，占90.90％；而以原籍為其他國家新移民中文聽力不錯者所占百分比最低，占65.90％。第二，在中文口說能力部分，國籍別與受訪者中文口說能力的關連程度達到統計上的顯著水準（χ</w:t>
      </w:r>
      <w:r w:rsidR="0049577B" w:rsidRPr="00B40DC1">
        <w:rPr>
          <w:vertAlign w:val="superscript"/>
        </w:rPr>
        <w:t>2</w:t>
      </w:r>
      <w:r w:rsidR="0049577B" w:rsidRPr="00B40DC1">
        <w:t>=158.87；df=4；p&lt;0.001），顯示：會因為受訪者國籍別之不同，而在其中文口說能力上有所差異。當進一步觀察百分比分布情形可以發現，雖然各種國籍別的新移民中文口說能力均以好者所占百分比最高，但其中又以大陸及港澳地區的新移民表示自己中文口說能力不錯者所占百分比最高，占90.30％；而以原籍為其他國家新移民中文口說能力不錯者所占百分比最低，占58.90％。第三，在中文閱讀能力方面國籍別與受訪者中文閱讀能力的關連程度達到統計上的顯著水準（χ2=416.86；df=4；p&lt;0.001），顯示：會因為受訪者國籍別之不同，而在其中文閱讀能力上有所差異。當進一步觀察百分比分布情形可以發現，原籍為東南亞國家新移民中文閱讀能力以尚可者所占百分比最高，占46.00%；其次為不好者，占37.60%。大陸及港澳地區新移民以表示自己中文閱讀能力不錯者所占百分比最高，占68.90％；其次為尚可者，占25.90%。原籍為其他國家新移民中文閱讀能力以尚可者所占百分比最高，占46.30%；其次為不好者，占36.60％。最後，在中文寫作能力方面，國籍別與受訪者中文寫作能力的關連程度達到統計上的顯著水準（χ2=416.86；df=4；p&lt;0.001），顯示：會因為受訪者國籍別之不同，而在其中文寫作能力上有所差異。當進一步觀察百分比分布情形可以發現，原籍為東南亞國家新移民中文寫作能力以不好者所占百分比最高，占56.40%；其次為尚可者，占32.90%。大陸及港澳地區新移民以表示自己中文寫作能力不錯者所占百分比最高，占57.50％；其次為尚可者，占25.60%。原籍為其他國家新移民中文寫作能力以不好者所占百分比最高，占56.10%；其次為尚可者，占29.30％。</w:t>
      </w:r>
    </w:p>
    <w:p w:rsidR="00A66DFC" w:rsidRPr="00B40DC1" w:rsidRDefault="00DD52C8" w:rsidP="00A66DFC">
      <w:pPr>
        <w:spacing w:line="240" w:lineRule="auto"/>
        <w:ind w:leftChars="0" w:left="0" w:rightChars="0" w:right="0"/>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表13</w:t>
      </w:r>
      <w:r w:rsidR="00A66DFC">
        <w:rPr>
          <w:rFonts w:ascii="新細明體" w:eastAsia="新細明體" w:hAnsi="新細明體" w:hint="eastAsia"/>
          <w:lang w:eastAsia="zh-TW"/>
        </w:rPr>
        <w:t>、</w:t>
      </w:r>
      <w:r w:rsidRPr="00B40DC1">
        <w:rPr>
          <w:lang w:eastAsia="zh-TW"/>
        </w:rPr>
        <w:t>受訪者國籍與其中文能力之關聯分析</w:t>
      </w:r>
    </w:p>
    <w:tbl>
      <w:tblPr>
        <w:tblStyle w:val="43"/>
        <w:tblW w:w="933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40"/>
        <w:gridCol w:w="899"/>
        <w:gridCol w:w="1148"/>
        <w:gridCol w:w="1486"/>
        <w:gridCol w:w="1487"/>
        <w:gridCol w:w="1487"/>
        <w:gridCol w:w="1487"/>
      </w:tblGrid>
      <w:tr w:rsidR="0049577B" w:rsidRPr="00B40DC1" w:rsidTr="00A66DFC">
        <w:trPr>
          <w:jc w:val="center"/>
        </w:trPr>
        <w:tc>
          <w:tcPr>
            <w:tcW w:w="1340"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中文能力</w:t>
            </w:r>
          </w:p>
        </w:tc>
        <w:tc>
          <w:tcPr>
            <w:tcW w:w="899"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程度</w:t>
            </w:r>
          </w:p>
        </w:tc>
        <w:tc>
          <w:tcPr>
            <w:tcW w:w="1148"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次數</w:t>
            </w:r>
          </w:p>
          <w:p w:rsidR="0049577B" w:rsidRPr="00B40DC1" w:rsidRDefault="0049577B" w:rsidP="00A66DFC">
            <w:pPr>
              <w:spacing w:line="240" w:lineRule="auto"/>
              <w:ind w:leftChars="0" w:left="0" w:rightChars="0" w:right="0"/>
              <w:jc w:val="center"/>
            </w:pPr>
            <w:r w:rsidRPr="00B40DC1">
              <w:t>百分比</w:t>
            </w:r>
          </w:p>
        </w:tc>
        <w:tc>
          <w:tcPr>
            <w:tcW w:w="1486"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東南亞國家</w:t>
            </w:r>
          </w:p>
        </w:tc>
        <w:tc>
          <w:tcPr>
            <w:tcW w:w="1487"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大陸及港澳地區</w:t>
            </w:r>
          </w:p>
        </w:tc>
        <w:tc>
          <w:tcPr>
            <w:tcW w:w="1487"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其他國家</w:t>
            </w:r>
          </w:p>
        </w:tc>
        <w:tc>
          <w:tcPr>
            <w:tcW w:w="1487"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總和</w:t>
            </w:r>
          </w:p>
        </w:tc>
      </w:tr>
      <w:tr w:rsidR="0049577B" w:rsidRPr="00B40DC1" w:rsidTr="00A66DFC">
        <w:trPr>
          <w:jc w:val="center"/>
        </w:trPr>
        <w:tc>
          <w:tcPr>
            <w:tcW w:w="1340"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聽力</w:t>
            </w:r>
          </w:p>
        </w:tc>
        <w:tc>
          <w:tcPr>
            <w:tcW w:w="89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好</w:t>
            </w:r>
          </w:p>
        </w:tc>
        <w:tc>
          <w:tcPr>
            <w:tcW w:w="1148" w:type="dxa"/>
            <w:tcBorders>
              <w:top w:val="single" w:sz="8" w:space="0" w:color="auto"/>
            </w:tcBorders>
            <w:vAlign w:val="center"/>
          </w:tcPr>
          <w:p w:rsidR="0049577B" w:rsidRPr="00B40DC1" w:rsidRDefault="0049577B" w:rsidP="00A66DFC">
            <w:pPr>
              <w:spacing w:line="240" w:lineRule="auto"/>
              <w:ind w:leftChars="0" w:left="0" w:rightChars="0" w:right="0"/>
            </w:pPr>
            <w:r w:rsidRPr="00B40DC1">
              <w:t>次數</w:t>
            </w:r>
          </w:p>
        </w:tc>
        <w:tc>
          <w:tcPr>
            <w:tcW w:w="1486"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300</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841</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27</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1168</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66.70%</w:t>
            </w:r>
          </w:p>
        </w:tc>
        <w:tc>
          <w:tcPr>
            <w:tcW w:w="1487" w:type="dxa"/>
            <w:vAlign w:val="center"/>
          </w:tcPr>
          <w:p w:rsidR="0049577B" w:rsidRPr="00B40DC1" w:rsidRDefault="0049577B" w:rsidP="00A66DFC">
            <w:pPr>
              <w:spacing w:line="240" w:lineRule="auto"/>
              <w:ind w:leftChars="0" w:left="0" w:rightChars="0" w:right="0"/>
              <w:jc w:val="center"/>
            </w:pPr>
            <w:r w:rsidRPr="00B40DC1">
              <w:t>90.90%</w:t>
            </w:r>
          </w:p>
        </w:tc>
        <w:tc>
          <w:tcPr>
            <w:tcW w:w="1487" w:type="dxa"/>
            <w:vAlign w:val="center"/>
          </w:tcPr>
          <w:p w:rsidR="0049577B" w:rsidRPr="00B40DC1" w:rsidRDefault="0049577B" w:rsidP="00A66DFC">
            <w:pPr>
              <w:spacing w:line="240" w:lineRule="auto"/>
              <w:ind w:leftChars="0" w:left="0" w:rightChars="0" w:right="0"/>
              <w:jc w:val="center"/>
            </w:pPr>
            <w:r w:rsidRPr="00B40DC1">
              <w:t>65.90%</w:t>
            </w:r>
          </w:p>
        </w:tc>
        <w:tc>
          <w:tcPr>
            <w:tcW w:w="1487" w:type="dxa"/>
            <w:vAlign w:val="center"/>
          </w:tcPr>
          <w:p w:rsidR="0049577B" w:rsidRPr="00B40DC1" w:rsidRDefault="0049577B" w:rsidP="00A66DFC">
            <w:pPr>
              <w:spacing w:line="240" w:lineRule="auto"/>
              <w:ind w:leftChars="0" w:left="0" w:rightChars="0" w:right="0"/>
              <w:jc w:val="center"/>
            </w:pPr>
            <w:r w:rsidRPr="00B40DC1">
              <w:t>82.50%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尚可</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141</w:t>
            </w:r>
          </w:p>
        </w:tc>
        <w:tc>
          <w:tcPr>
            <w:tcW w:w="1487" w:type="dxa"/>
            <w:vAlign w:val="center"/>
          </w:tcPr>
          <w:p w:rsidR="0049577B" w:rsidRPr="00B40DC1" w:rsidRDefault="0049577B" w:rsidP="00A66DFC">
            <w:pPr>
              <w:spacing w:line="240" w:lineRule="auto"/>
              <w:ind w:leftChars="0" w:left="0" w:rightChars="0" w:right="0"/>
              <w:jc w:val="center"/>
            </w:pPr>
            <w:r w:rsidRPr="00B40DC1">
              <w:t>83</w:t>
            </w:r>
          </w:p>
        </w:tc>
        <w:tc>
          <w:tcPr>
            <w:tcW w:w="1487" w:type="dxa"/>
            <w:vAlign w:val="center"/>
          </w:tcPr>
          <w:p w:rsidR="0049577B" w:rsidRPr="00B40DC1" w:rsidRDefault="0049577B" w:rsidP="00A66DFC">
            <w:pPr>
              <w:spacing w:line="240" w:lineRule="auto"/>
              <w:ind w:leftChars="0" w:left="0" w:rightChars="0" w:right="0"/>
              <w:jc w:val="center"/>
            </w:pPr>
            <w:r w:rsidRPr="00B40DC1">
              <w:t>12</w:t>
            </w:r>
          </w:p>
        </w:tc>
        <w:tc>
          <w:tcPr>
            <w:tcW w:w="1487" w:type="dxa"/>
            <w:vAlign w:val="center"/>
          </w:tcPr>
          <w:p w:rsidR="0049577B" w:rsidRPr="00B40DC1" w:rsidRDefault="0049577B" w:rsidP="00A66DFC">
            <w:pPr>
              <w:spacing w:line="240" w:lineRule="auto"/>
              <w:ind w:leftChars="0" w:left="0" w:rightChars="0" w:right="0"/>
              <w:jc w:val="center"/>
            </w:pPr>
            <w:r w:rsidRPr="00B40DC1">
              <w:t>236</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31.30%</w:t>
            </w:r>
          </w:p>
        </w:tc>
        <w:tc>
          <w:tcPr>
            <w:tcW w:w="1487" w:type="dxa"/>
            <w:vAlign w:val="center"/>
          </w:tcPr>
          <w:p w:rsidR="0049577B" w:rsidRPr="00B40DC1" w:rsidRDefault="0049577B" w:rsidP="00A66DFC">
            <w:pPr>
              <w:spacing w:line="240" w:lineRule="auto"/>
              <w:ind w:leftChars="0" w:left="0" w:rightChars="0" w:right="0"/>
              <w:jc w:val="center"/>
            </w:pPr>
            <w:r w:rsidRPr="00B40DC1">
              <w:t>9.00%</w:t>
            </w:r>
          </w:p>
        </w:tc>
        <w:tc>
          <w:tcPr>
            <w:tcW w:w="1487" w:type="dxa"/>
            <w:vAlign w:val="center"/>
          </w:tcPr>
          <w:p w:rsidR="0049577B" w:rsidRPr="00B40DC1" w:rsidRDefault="0049577B" w:rsidP="00A66DFC">
            <w:pPr>
              <w:spacing w:line="240" w:lineRule="auto"/>
              <w:ind w:leftChars="0" w:left="0" w:rightChars="0" w:right="0"/>
              <w:jc w:val="center"/>
            </w:pPr>
            <w:r w:rsidRPr="00B40DC1">
              <w:t>29.30%</w:t>
            </w:r>
          </w:p>
        </w:tc>
        <w:tc>
          <w:tcPr>
            <w:tcW w:w="1487" w:type="dxa"/>
            <w:vAlign w:val="center"/>
          </w:tcPr>
          <w:p w:rsidR="0049577B" w:rsidRPr="00B40DC1" w:rsidRDefault="0049577B" w:rsidP="00A66DFC">
            <w:pPr>
              <w:spacing w:line="240" w:lineRule="auto"/>
              <w:ind w:leftChars="0" w:left="0" w:rightChars="0" w:right="0"/>
              <w:jc w:val="center"/>
            </w:pPr>
            <w:r w:rsidRPr="00B40DC1">
              <w:t>16.70%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不好</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9</w:t>
            </w:r>
          </w:p>
        </w:tc>
        <w:tc>
          <w:tcPr>
            <w:tcW w:w="1487" w:type="dxa"/>
            <w:vAlign w:val="center"/>
          </w:tcPr>
          <w:p w:rsidR="0049577B" w:rsidRPr="00B40DC1" w:rsidRDefault="0049577B" w:rsidP="00A66DFC">
            <w:pPr>
              <w:spacing w:line="240" w:lineRule="auto"/>
              <w:ind w:leftChars="0" w:left="0" w:rightChars="0" w:right="0"/>
              <w:jc w:val="center"/>
            </w:pPr>
            <w:r w:rsidRPr="00B40DC1">
              <w:t>1</w:t>
            </w:r>
          </w:p>
        </w:tc>
        <w:tc>
          <w:tcPr>
            <w:tcW w:w="1487" w:type="dxa"/>
            <w:vAlign w:val="center"/>
          </w:tcPr>
          <w:p w:rsidR="0049577B" w:rsidRPr="00B40DC1" w:rsidRDefault="0049577B" w:rsidP="00A66DFC">
            <w:pPr>
              <w:spacing w:line="240" w:lineRule="auto"/>
              <w:ind w:leftChars="0" w:left="0" w:rightChars="0" w:right="0"/>
              <w:jc w:val="center"/>
            </w:pPr>
            <w:r w:rsidRPr="00B40DC1">
              <w:t>2</w:t>
            </w:r>
          </w:p>
        </w:tc>
        <w:tc>
          <w:tcPr>
            <w:tcW w:w="1487" w:type="dxa"/>
            <w:vAlign w:val="center"/>
          </w:tcPr>
          <w:p w:rsidR="0049577B" w:rsidRPr="00B40DC1" w:rsidRDefault="0049577B" w:rsidP="00A66DFC">
            <w:pPr>
              <w:spacing w:line="240" w:lineRule="auto"/>
              <w:ind w:leftChars="0" w:left="0" w:rightChars="0" w:right="0"/>
              <w:jc w:val="center"/>
            </w:pPr>
            <w:r w:rsidRPr="00B40DC1">
              <w:t>12</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2.00%</w:t>
            </w:r>
          </w:p>
        </w:tc>
        <w:tc>
          <w:tcPr>
            <w:tcW w:w="1487" w:type="dxa"/>
            <w:vAlign w:val="center"/>
          </w:tcPr>
          <w:p w:rsidR="0049577B" w:rsidRPr="00B40DC1" w:rsidRDefault="0049577B" w:rsidP="00A66DFC">
            <w:pPr>
              <w:spacing w:line="240" w:lineRule="auto"/>
              <w:ind w:leftChars="0" w:left="0" w:rightChars="0" w:right="0"/>
              <w:jc w:val="center"/>
            </w:pPr>
            <w:r w:rsidRPr="00B40DC1">
              <w:t>0.10%</w:t>
            </w:r>
          </w:p>
        </w:tc>
        <w:tc>
          <w:tcPr>
            <w:tcW w:w="1487" w:type="dxa"/>
            <w:vAlign w:val="center"/>
          </w:tcPr>
          <w:p w:rsidR="0049577B" w:rsidRPr="00B40DC1" w:rsidRDefault="0049577B" w:rsidP="00A66DFC">
            <w:pPr>
              <w:spacing w:line="240" w:lineRule="auto"/>
              <w:ind w:leftChars="0" w:left="0" w:rightChars="0" w:right="0"/>
              <w:jc w:val="center"/>
            </w:pPr>
            <w:r w:rsidRPr="00B40DC1">
              <w:t>4.90%</w:t>
            </w:r>
          </w:p>
        </w:tc>
        <w:tc>
          <w:tcPr>
            <w:tcW w:w="1487" w:type="dxa"/>
            <w:vAlign w:val="center"/>
          </w:tcPr>
          <w:p w:rsidR="0049577B" w:rsidRPr="00B40DC1" w:rsidRDefault="0049577B" w:rsidP="00A66DFC">
            <w:pPr>
              <w:spacing w:line="240" w:lineRule="auto"/>
              <w:ind w:leftChars="0" w:left="0" w:rightChars="0" w:right="0"/>
              <w:jc w:val="center"/>
            </w:pPr>
            <w:r w:rsidRPr="00B40DC1">
              <w:t>0.80%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總和</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450</w:t>
            </w:r>
          </w:p>
        </w:tc>
        <w:tc>
          <w:tcPr>
            <w:tcW w:w="1487" w:type="dxa"/>
            <w:vAlign w:val="center"/>
          </w:tcPr>
          <w:p w:rsidR="0049577B" w:rsidRPr="00B40DC1" w:rsidRDefault="0049577B" w:rsidP="00A66DFC">
            <w:pPr>
              <w:spacing w:line="240" w:lineRule="auto"/>
              <w:ind w:leftChars="0" w:left="0" w:rightChars="0" w:right="0"/>
              <w:jc w:val="center"/>
            </w:pPr>
            <w:r w:rsidRPr="00B40DC1">
              <w:t>925</w:t>
            </w:r>
          </w:p>
        </w:tc>
        <w:tc>
          <w:tcPr>
            <w:tcW w:w="1487" w:type="dxa"/>
            <w:vAlign w:val="center"/>
          </w:tcPr>
          <w:p w:rsidR="0049577B" w:rsidRPr="00B40DC1" w:rsidRDefault="0049577B" w:rsidP="00A66DFC">
            <w:pPr>
              <w:spacing w:line="240" w:lineRule="auto"/>
              <w:ind w:leftChars="0" w:left="0" w:rightChars="0" w:right="0"/>
              <w:jc w:val="center"/>
            </w:pPr>
            <w:r w:rsidRPr="00B40DC1">
              <w:t>41</w:t>
            </w:r>
          </w:p>
        </w:tc>
        <w:tc>
          <w:tcPr>
            <w:tcW w:w="1487"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rPr>
          <w:jc w:val="center"/>
        </w:trPr>
        <w:tc>
          <w:tcPr>
            <w:tcW w:w="1340" w:type="dxa"/>
            <w:vMerge/>
            <w:tcBorders>
              <w:bottom w:val="single" w:sz="8" w:space="0" w:color="auto"/>
            </w:tcBorders>
          </w:tcPr>
          <w:p w:rsidR="0049577B" w:rsidRPr="00B40DC1" w:rsidRDefault="0049577B" w:rsidP="00A66DFC">
            <w:pPr>
              <w:spacing w:line="240" w:lineRule="auto"/>
              <w:ind w:leftChars="0" w:left="0" w:rightChars="0" w:right="0"/>
            </w:pPr>
          </w:p>
        </w:tc>
        <w:tc>
          <w:tcPr>
            <w:tcW w:w="899" w:type="dxa"/>
            <w:vMerge/>
            <w:tcBorders>
              <w:bottom w:val="single" w:sz="8" w:space="0" w:color="auto"/>
            </w:tcBorders>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rPr>
          <w:jc w:val="center"/>
        </w:trPr>
        <w:tc>
          <w:tcPr>
            <w:tcW w:w="3387" w:type="dxa"/>
            <w:gridSpan w:val="3"/>
            <w:tcBorders>
              <w:bottom w:val="single" w:sz="8" w:space="0" w:color="auto"/>
            </w:tcBorders>
          </w:tcPr>
          <w:p w:rsidR="0049577B" w:rsidRPr="00B40DC1" w:rsidRDefault="0049577B" w:rsidP="00A66DFC">
            <w:pPr>
              <w:spacing w:line="240" w:lineRule="auto"/>
              <w:ind w:leftChars="0" w:left="0" w:rightChars="0" w:right="0"/>
            </w:pPr>
            <w:r w:rsidRPr="00B40DC1">
              <w:t>卡方值</w:t>
            </w:r>
          </w:p>
        </w:tc>
        <w:tc>
          <w:tcPr>
            <w:tcW w:w="5947" w:type="dxa"/>
            <w:gridSpan w:val="4"/>
            <w:tcBorders>
              <w:bottom w:val="single" w:sz="8" w:space="0" w:color="auto"/>
            </w:tcBorders>
            <w:vAlign w:val="center"/>
          </w:tcPr>
          <w:p w:rsidR="0049577B" w:rsidRPr="00B40DC1" w:rsidRDefault="0049577B" w:rsidP="00A66DFC">
            <w:pPr>
              <w:spacing w:line="240" w:lineRule="auto"/>
              <w:ind w:leftChars="0" w:left="0" w:rightChars="0" w:right="0"/>
            </w:pPr>
            <w:r w:rsidRPr="00B40DC1">
              <w:t>χ</w:t>
            </w:r>
            <w:r w:rsidRPr="00B40DC1">
              <w:rPr>
                <w:vertAlign w:val="superscript"/>
              </w:rPr>
              <w:t>2</w:t>
            </w:r>
            <w:r w:rsidRPr="00B40DC1">
              <w:t>=138.72；df=4；p&lt;0.001</w:t>
            </w:r>
          </w:p>
        </w:tc>
      </w:tr>
      <w:tr w:rsidR="0049577B" w:rsidRPr="00B40DC1" w:rsidTr="00A66DFC">
        <w:trPr>
          <w:jc w:val="center"/>
        </w:trPr>
        <w:tc>
          <w:tcPr>
            <w:tcW w:w="1340" w:type="dxa"/>
            <w:tcBorders>
              <w:top w:val="single" w:sz="12" w:space="0" w:color="auto"/>
              <w:bottom w:val="single" w:sz="8" w:space="0" w:color="auto"/>
            </w:tcBorders>
            <w:vAlign w:val="center"/>
          </w:tcPr>
          <w:p w:rsidR="0049577B" w:rsidRPr="00B40DC1" w:rsidRDefault="0049577B" w:rsidP="00A66DFC">
            <w:pPr>
              <w:spacing w:line="240" w:lineRule="auto"/>
              <w:ind w:leftChars="0" w:left="0" w:rightChars="0" w:right="0"/>
            </w:pPr>
            <w:r w:rsidRPr="00B40DC1">
              <w:t>中文能力</w:t>
            </w:r>
          </w:p>
        </w:tc>
        <w:tc>
          <w:tcPr>
            <w:tcW w:w="899" w:type="dxa"/>
            <w:tcBorders>
              <w:top w:val="single" w:sz="12" w:space="0" w:color="auto"/>
              <w:bottom w:val="single" w:sz="8" w:space="0" w:color="auto"/>
            </w:tcBorders>
            <w:vAlign w:val="center"/>
          </w:tcPr>
          <w:p w:rsidR="0049577B" w:rsidRPr="00B40DC1" w:rsidRDefault="0049577B" w:rsidP="00A66DFC">
            <w:pPr>
              <w:spacing w:line="240" w:lineRule="auto"/>
              <w:ind w:leftChars="0" w:left="0" w:rightChars="0" w:right="0"/>
            </w:pPr>
            <w:r w:rsidRPr="00B40DC1">
              <w:t>程度</w:t>
            </w:r>
          </w:p>
        </w:tc>
        <w:tc>
          <w:tcPr>
            <w:tcW w:w="1148" w:type="dxa"/>
            <w:tcBorders>
              <w:top w:val="single" w:sz="12" w:space="0" w:color="auto"/>
              <w:bottom w:val="single" w:sz="8" w:space="0" w:color="auto"/>
            </w:tcBorders>
            <w:vAlign w:val="center"/>
          </w:tcPr>
          <w:p w:rsidR="0049577B" w:rsidRPr="00B40DC1" w:rsidRDefault="0049577B" w:rsidP="00A66DFC">
            <w:pPr>
              <w:spacing w:line="240" w:lineRule="auto"/>
              <w:ind w:leftChars="0" w:left="0" w:rightChars="0" w:right="0"/>
            </w:pPr>
            <w:r w:rsidRPr="00B40DC1">
              <w:t>次數</w:t>
            </w:r>
          </w:p>
          <w:p w:rsidR="0049577B" w:rsidRPr="00B40DC1" w:rsidRDefault="0049577B" w:rsidP="00A66DFC">
            <w:pPr>
              <w:spacing w:line="240" w:lineRule="auto"/>
              <w:ind w:leftChars="0" w:left="0" w:rightChars="0" w:right="0"/>
            </w:pPr>
            <w:r w:rsidRPr="00B40DC1">
              <w:t>百分比</w:t>
            </w:r>
          </w:p>
        </w:tc>
        <w:tc>
          <w:tcPr>
            <w:tcW w:w="1486" w:type="dxa"/>
            <w:tcBorders>
              <w:top w:val="single" w:sz="12" w:space="0" w:color="auto"/>
              <w:bottom w:val="single" w:sz="8" w:space="0" w:color="auto"/>
            </w:tcBorders>
            <w:vAlign w:val="center"/>
          </w:tcPr>
          <w:p w:rsidR="0049577B" w:rsidRPr="00B40DC1" w:rsidRDefault="0049577B" w:rsidP="00A66DFC">
            <w:pPr>
              <w:spacing w:line="240" w:lineRule="auto"/>
              <w:ind w:leftChars="0" w:left="0" w:rightChars="0" w:right="0"/>
            </w:pPr>
            <w:r w:rsidRPr="00B40DC1">
              <w:t>東南亞國家</w:t>
            </w:r>
          </w:p>
        </w:tc>
        <w:tc>
          <w:tcPr>
            <w:tcW w:w="1487" w:type="dxa"/>
            <w:tcBorders>
              <w:top w:val="single" w:sz="12" w:space="0" w:color="auto"/>
              <w:bottom w:val="single" w:sz="8" w:space="0" w:color="auto"/>
            </w:tcBorders>
            <w:vAlign w:val="center"/>
          </w:tcPr>
          <w:p w:rsidR="0049577B" w:rsidRPr="00B40DC1" w:rsidRDefault="0049577B" w:rsidP="00A66DFC">
            <w:pPr>
              <w:spacing w:line="240" w:lineRule="auto"/>
              <w:ind w:leftChars="0" w:left="0" w:rightChars="0" w:right="0"/>
            </w:pPr>
            <w:r w:rsidRPr="00B40DC1">
              <w:t>大陸及港澳地區</w:t>
            </w:r>
          </w:p>
        </w:tc>
        <w:tc>
          <w:tcPr>
            <w:tcW w:w="1487" w:type="dxa"/>
            <w:tcBorders>
              <w:top w:val="single" w:sz="12" w:space="0" w:color="auto"/>
              <w:bottom w:val="single" w:sz="8" w:space="0" w:color="auto"/>
            </w:tcBorders>
            <w:vAlign w:val="center"/>
          </w:tcPr>
          <w:p w:rsidR="0049577B" w:rsidRPr="00B40DC1" w:rsidRDefault="0049577B" w:rsidP="00A66DFC">
            <w:pPr>
              <w:spacing w:line="240" w:lineRule="auto"/>
              <w:ind w:leftChars="0" w:left="0" w:rightChars="0" w:right="0"/>
            </w:pPr>
            <w:r w:rsidRPr="00B40DC1">
              <w:t>其他國家</w:t>
            </w:r>
          </w:p>
        </w:tc>
        <w:tc>
          <w:tcPr>
            <w:tcW w:w="1487" w:type="dxa"/>
            <w:tcBorders>
              <w:top w:val="single" w:sz="12" w:space="0" w:color="auto"/>
              <w:bottom w:val="single" w:sz="8" w:space="0" w:color="auto"/>
            </w:tcBorders>
            <w:vAlign w:val="center"/>
          </w:tcPr>
          <w:p w:rsidR="0049577B" w:rsidRPr="00B40DC1" w:rsidRDefault="0049577B" w:rsidP="00A66DFC">
            <w:pPr>
              <w:spacing w:line="240" w:lineRule="auto"/>
              <w:ind w:leftChars="0" w:left="0" w:rightChars="0" w:right="0"/>
            </w:pPr>
            <w:r w:rsidRPr="00B40DC1">
              <w:t>總和</w:t>
            </w:r>
          </w:p>
        </w:tc>
      </w:tr>
      <w:tr w:rsidR="0049577B" w:rsidRPr="00B40DC1" w:rsidTr="00A66DFC">
        <w:trPr>
          <w:jc w:val="center"/>
        </w:trPr>
        <w:tc>
          <w:tcPr>
            <w:tcW w:w="1340"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口說能力</w:t>
            </w:r>
          </w:p>
        </w:tc>
        <w:tc>
          <w:tcPr>
            <w:tcW w:w="89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好</w:t>
            </w:r>
          </w:p>
        </w:tc>
        <w:tc>
          <w:tcPr>
            <w:tcW w:w="1148" w:type="dxa"/>
            <w:tcBorders>
              <w:top w:val="single" w:sz="8" w:space="0" w:color="auto"/>
            </w:tcBorders>
            <w:vAlign w:val="center"/>
          </w:tcPr>
          <w:p w:rsidR="0049577B" w:rsidRPr="00B40DC1" w:rsidRDefault="0049577B" w:rsidP="00A66DFC">
            <w:pPr>
              <w:spacing w:line="240" w:lineRule="auto"/>
              <w:ind w:leftChars="0" w:left="0" w:rightChars="0" w:right="0"/>
            </w:pPr>
            <w:r w:rsidRPr="00B40DC1">
              <w:t>次數</w:t>
            </w:r>
          </w:p>
        </w:tc>
        <w:tc>
          <w:tcPr>
            <w:tcW w:w="1486"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287</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835</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24</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1146</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63.80%</w:t>
            </w:r>
          </w:p>
        </w:tc>
        <w:tc>
          <w:tcPr>
            <w:tcW w:w="1487" w:type="dxa"/>
            <w:vAlign w:val="center"/>
          </w:tcPr>
          <w:p w:rsidR="0049577B" w:rsidRPr="00B40DC1" w:rsidRDefault="0049577B" w:rsidP="00A66DFC">
            <w:pPr>
              <w:spacing w:line="240" w:lineRule="auto"/>
              <w:ind w:leftChars="0" w:left="0" w:rightChars="0" w:right="0"/>
              <w:jc w:val="center"/>
            </w:pPr>
            <w:r w:rsidRPr="00B40DC1">
              <w:t>90.30%</w:t>
            </w:r>
          </w:p>
        </w:tc>
        <w:tc>
          <w:tcPr>
            <w:tcW w:w="1487" w:type="dxa"/>
            <w:vAlign w:val="center"/>
          </w:tcPr>
          <w:p w:rsidR="0049577B" w:rsidRPr="00B40DC1" w:rsidRDefault="0049577B" w:rsidP="00A66DFC">
            <w:pPr>
              <w:spacing w:line="240" w:lineRule="auto"/>
              <w:ind w:leftChars="0" w:left="0" w:rightChars="0" w:right="0"/>
              <w:jc w:val="center"/>
            </w:pPr>
            <w:r w:rsidRPr="00B40DC1">
              <w:t>58.50%</w:t>
            </w:r>
          </w:p>
        </w:tc>
        <w:tc>
          <w:tcPr>
            <w:tcW w:w="1487" w:type="dxa"/>
            <w:vAlign w:val="center"/>
          </w:tcPr>
          <w:p w:rsidR="0049577B" w:rsidRPr="00B40DC1" w:rsidRDefault="0049577B" w:rsidP="00A66DFC">
            <w:pPr>
              <w:spacing w:line="240" w:lineRule="auto"/>
              <w:ind w:leftChars="0" w:left="0" w:rightChars="0" w:right="0"/>
              <w:jc w:val="center"/>
            </w:pPr>
            <w:r w:rsidRPr="00B40DC1">
              <w:t>80.90%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尚可</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151</w:t>
            </w:r>
          </w:p>
        </w:tc>
        <w:tc>
          <w:tcPr>
            <w:tcW w:w="1487" w:type="dxa"/>
            <w:vAlign w:val="center"/>
          </w:tcPr>
          <w:p w:rsidR="0049577B" w:rsidRPr="00B40DC1" w:rsidRDefault="0049577B" w:rsidP="00A66DFC">
            <w:pPr>
              <w:spacing w:line="240" w:lineRule="auto"/>
              <w:ind w:leftChars="0" w:left="0" w:rightChars="0" w:right="0"/>
              <w:jc w:val="center"/>
            </w:pPr>
            <w:r w:rsidRPr="00B40DC1">
              <w:t>85</w:t>
            </w:r>
          </w:p>
        </w:tc>
        <w:tc>
          <w:tcPr>
            <w:tcW w:w="1487" w:type="dxa"/>
            <w:vAlign w:val="center"/>
          </w:tcPr>
          <w:p w:rsidR="0049577B" w:rsidRPr="00B40DC1" w:rsidRDefault="0049577B" w:rsidP="00A66DFC">
            <w:pPr>
              <w:spacing w:line="240" w:lineRule="auto"/>
              <w:ind w:leftChars="0" w:left="0" w:rightChars="0" w:right="0"/>
              <w:jc w:val="center"/>
            </w:pPr>
            <w:r w:rsidRPr="00B40DC1">
              <w:t>15</w:t>
            </w:r>
          </w:p>
        </w:tc>
        <w:tc>
          <w:tcPr>
            <w:tcW w:w="1487" w:type="dxa"/>
            <w:vAlign w:val="center"/>
          </w:tcPr>
          <w:p w:rsidR="0049577B" w:rsidRPr="00B40DC1" w:rsidRDefault="0049577B" w:rsidP="00A66DFC">
            <w:pPr>
              <w:spacing w:line="240" w:lineRule="auto"/>
              <w:ind w:leftChars="0" w:left="0" w:rightChars="0" w:right="0"/>
              <w:jc w:val="center"/>
            </w:pPr>
            <w:r w:rsidRPr="00B40DC1">
              <w:t>251</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33.60%</w:t>
            </w:r>
          </w:p>
        </w:tc>
        <w:tc>
          <w:tcPr>
            <w:tcW w:w="1487" w:type="dxa"/>
            <w:vAlign w:val="center"/>
          </w:tcPr>
          <w:p w:rsidR="0049577B" w:rsidRPr="00B40DC1" w:rsidRDefault="0049577B" w:rsidP="00A66DFC">
            <w:pPr>
              <w:spacing w:line="240" w:lineRule="auto"/>
              <w:ind w:leftChars="0" w:left="0" w:rightChars="0" w:right="0"/>
              <w:jc w:val="center"/>
            </w:pPr>
            <w:r w:rsidRPr="00B40DC1">
              <w:t>9.20%</w:t>
            </w:r>
          </w:p>
        </w:tc>
        <w:tc>
          <w:tcPr>
            <w:tcW w:w="1487" w:type="dxa"/>
            <w:vAlign w:val="center"/>
          </w:tcPr>
          <w:p w:rsidR="0049577B" w:rsidRPr="00B40DC1" w:rsidRDefault="0049577B" w:rsidP="00A66DFC">
            <w:pPr>
              <w:spacing w:line="240" w:lineRule="auto"/>
              <w:ind w:leftChars="0" w:left="0" w:rightChars="0" w:right="0"/>
              <w:jc w:val="center"/>
            </w:pPr>
            <w:r w:rsidRPr="00B40DC1">
              <w:t>36.60%</w:t>
            </w:r>
          </w:p>
        </w:tc>
        <w:tc>
          <w:tcPr>
            <w:tcW w:w="1487" w:type="dxa"/>
            <w:vAlign w:val="center"/>
          </w:tcPr>
          <w:p w:rsidR="0049577B" w:rsidRPr="00B40DC1" w:rsidRDefault="0049577B" w:rsidP="00A66DFC">
            <w:pPr>
              <w:spacing w:line="240" w:lineRule="auto"/>
              <w:ind w:leftChars="0" w:left="0" w:rightChars="0" w:right="0"/>
              <w:jc w:val="center"/>
            </w:pPr>
            <w:r w:rsidRPr="00B40DC1">
              <w:t>17.70%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不好</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12</w:t>
            </w:r>
          </w:p>
        </w:tc>
        <w:tc>
          <w:tcPr>
            <w:tcW w:w="1487" w:type="dxa"/>
            <w:vAlign w:val="center"/>
          </w:tcPr>
          <w:p w:rsidR="0049577B" w:rsidRPr="00B40DC1" w:rsidRDefault="0049577B" w:rsidP="00A66DFC">
            <w:pPr>
              <w:spacing w:line="240" w:lineRule="auto"/>
              <w:ind w:leftChars="0" w:left="0" w:rightChars="0" w:right="0"/>
              <w:jc w:val="center"/>
            </w:pPr>
            <w:r w:rsidRPr="00B40DC1">
              <w:t>5</w:t>
            </w:r>
          </w:p>
        </w:tc>
        <w:tc>
          <w:tcPr>
            <w:tcW w:w="1487" w:type="dxa"/>
            <w:vAlign w:val="center"/>
          </w:tcPr>
          <w:p w:rsidR="0049577B" w:rsidRPr="00B40DC1" w:rsidRDefault="0049577B" w:rsidP="00A66DFC">
            <w:pPr>
              <w:spacing w:line="240" w:lineRule="auto"/>
              <w:ind w:leftChars="0" w:left="0" w:rightChars="0" w:right="0"/>
              <w:jc w:val="center"/>
            </w:pPr>
            <w:r w:rsidRPr="00B40DC1">
              <w:t>2</w:t>
            </w:r>
          </w:p>
        </w:tc>
        <w:tc>
          <w:tcPr>
            <w:tcW w:w="1487" w:type="dxa"/>
            <w:vAlign w:val="center"/>
          </w:tcPr>
          <w:p w:rsidR="0049577B" w:rsidRPr="00B40DC1" w:rsidRDefault="0049577B" w:rsidP="00A66DFC">
            <w:pPr>
              <w:spacing w:line="240" w:lineRule="auto"/>
              <w:ind w:leftChars="0" w:left="0" w:rightChars="0" w:right="0"/>
              <w:jc w:val="center"/>
            </w:pPr>
            <w:r w:rsidRPr="00B40DC1">
              <w:t>19</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2.70%</w:t>
            </w:r>
          </w:p>
        </w:tc>
        <w:tc>
          <w:tcPr>
            <w:tcW w:w="1487" w:type="dxa"/>
            <w:vAlign w:val="center"/>
          </w:tcPr>
          <w:p w:rsidR="0049577B" w:rsidRPr="00B40DC1" w:rsidRDefault="0049577B" w:rsidP="00A66DFC">
            <w:pPr>
              <w:spacing w:line="240" w:lineRule="auto"/>
              <w:ind w:leftChars="0" w:left="0" w:rightChars="0" w:right="0"/>
              <w:jc w:val="center"/>
            </w:pPr>
            <w:r w:rsidRPr="00B40DC1">
              <w:t>0.50%</w:t>
            </w:r>
          </w:p>
        </w:tc>
        <w:tc>
          <w:tcPr>
            <w:tcW w:w="1487" w:type="dxa"/>
            <w:vAlign w:val="center"/>
          </w:tcPr>
          <w:p w:rsidR="0049577B" w:rsidRPr="00B40DC1" w:rsidRDefault="0049577B" w:rsidP="00A66DFC">
            <w:pPr>
              <w:spacing w:line="240" w:lineRule="auto"/>
              <w:ind w:leftChars="0" w:left="0" w:rightChars="0" w:right="0"/>
              <w:jc w:val="center"/>
            </w:pPr>
            <w:r w:rsidRPr="00B40DC1">
              <w:t>4.90%</w:t>
            </w:r>
          </w:p>
        </w:tc>
        <w:tc>
          <w:tcPr>
            <w:tcW w:w="1487" w:type="dxa"/>
            <w:vAlign w:val="center"/>
          </w:tcPr>
          <w:p w:rsidR="0049577B" w:rsidRPr="00B40DC1" w:rsidRDefault="0049577B" w:rsidP="00A66DFC">
            <w:pPr>
              <w:spacing w:line="240" w:lineRule="auto"/>
              <w:ind w:leftChars="0" w:left="0" w:rightChars="0" w:right="0"/>
              <w:jc w:val="center"/>
            </w:pPr>
            <w:r w:rsidRPr="00B40DC1">
              <w:t>1.30%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總和</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450</w:t>
            </w:r>
          </w:p>
        </w:tc>
        <w:tc>
          <w:tcPr>
            <w:tcW w:w="1487" w:type="dxa"/>
            <w:vAlign w:val="center"/>
          </w:tcPr>
          <w:p w:rsidR="0049577B" w:rsidRPr="00B40DC1" w:rsidRDefault="0049577B" w:rsidP="00A66DFC">
            <w:pPr>
              <w:spacing w:line="240" w:lineRule="auto"/>
              <w:ind w:leftChars="0" w:left="0" w:rightChars="0" w:right="0"/>
              <w:jc w:val="center"/>
            </w:pPr>
            <w:r w:rsidRPr="00B40DC1">
              <w:t>925</w:t>
            </w:r>
          </w:p>
        </w:tc>
        <w:tc>
          <w:tcPr>
            <w:tcW w:w="1487" w:type="dxa"/>
            <w:vAlign w:val="center"/>
          </w:tcPr>
          <w:p w:rsidR="0049577B" w:rsidRPr="00B40DC1" w:rsidRDefault="0049577B" w:rsidP="00A66DFC">
            <w:pPr>
              <w:spacing w:line="240" w:lineRule="auto"/>
              <w:ind w:leftChars="0" w:left="0" w:rightChars="0" w:right="0"/>
              <w:jc w:val="center"/>
            </w:pPr>
            <w:r w:rsidRPr="00B40DC1">
              <w:t>41</w:t>
            </w:r>
          </w:p>
        </w:tc>
        <w:tc>
          <w:tcPr>
            <w:tcW w:w="1487"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rPr>
          <w:jc w:val="center"/>
        </w:trPr>
        <w:tc>
          <w:tcPr>
            <w:tcW w:w="1340" w:type="dxa"/>
            <w:vMerge/>
            <w:tcBorders>
              <w:bottom w:val="single" w:sz="8" w:space="0" w:color="auto"/>
            </w:tcBorders>
          </w:tcPr>
          <w:p w:rsidR="0049577B" w:rsidRPr="00B40DC1" w:rsidRDefault="0049577B" w:rsidP="00A66DFC">
            <w:pPr>
              <w:spacing w:line="240" w:lineRule="auto"/>
              <w:ind w:leftChars="0" w:left="0" w:rightChars="0" w:right="0"/>
            </w:pPr>
          </w:p>
        </w:tc>
        <w:tc>
          <w:tcPr>
            <w:tcW w:w="899" w:type="dxa"/>
            <w:vMerge/>
            <w:tcBorders>
              <w:bottom w:val="single" w:sz="8" w:space="0" w:color="auto"/>
            </w:tcBorders>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rPr>
          <w:jc w:val="center"/>
        </w:trPr>
        <w:tc>
          <w:tcPr>
            <w:tcW w:w="3387" w:type="dxa"/>
            <w:gridSpan w:val="3"/>
            <w:tcBorders>
              <w:bottom w:val="single" w:sz="8" w:space="0" w:color="auto"/>
            </w:tcBorders>
          </w:tcPr>
          <w:p w:rsidR="0049577B" w:rsidRPr="00B40DC1" w:rsidRDefault="0049577B" w:rsidP="00A66DFC">
            <w:pPr>
              <w:spacing w:line="240" w:lineRule="auto"/>
              <w:ind w:leftChars="0" w:left="0" w:rightChars="0" w:right="0"/>
            </w:pPr>
            <w:r w:rsidRPr="00B40DC1">
              <w:t>卡方值</w:t>
            </w:r>
          </w:p>
        </w:tc>
        <w:tc>
          <w:tcPr>
            <w:tcW w:w="5947" w:type="dxa"/>
            <w:gridSpan w:val="4"/>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χ</w:t>
            </w:r>
            <w:r w:rsidRPr="00B40DC1">
              <w:rPr>
                <w:vertAlign w:val="superscript"/>
              </w:rPr>
              <w:t>2</w:t>
            </w:r>
            <w:r w:rsidRPr="00B40DC1">
              <w:t>=158.87；df=4；p&lt;0.001</w:t>
            </w:r>
          </w:p>
        </w:tc>
      </w:tr>
      <w:tr w:rsidR="0049577B" w:rsidRPr="00B40DC1" w:rsidTr="00A66DFC">
        <w:trPr>
          <w:jc w:val="center"/>
        </w:trPr>
        <w:tc>
          <w:tcPr>
            <w:tcW w:w="1340"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中文閱讀能力</w:t>
            </w:r>
          </w:p>
        </w:tc>
        <w:tc>
          <w:tcPr>
            <w:tcW w:w="89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好</w:t>
            </w:r>
          </w:p>
        </w:tc>
        <w:tc>
          <w:tcPr>
            <w:tcW w:w="1148" w:type="dxa"/>
            <w:tcBorders>
              <w:top w:val="single" w:sz="8" w:space="0" w:color="auto"/>
            </w:tcBorders>
            <w:vAlign w:val="center"/>
          </w:tcPr>
          <w:p w:rsidR="0049577B" w:rsidRPr="00B40DC1" w:rsidRDefault="0049577B" w:rsidP="00A66DFC">
            <w:pPr>
              <w:spacing w:line="240" w:lineRule="auto"/>
              <w:ind w:leftChars="0" w:left="0" w:rightChars="0" w:right="0"/>
            </w:pPr>
            <w:r w:rsidRPr="00B40DC1">
              <w:t>次數</w:t>
            </w:r>
          </w:p>
        </w:tc>
        <w:tc>
          <w:tcPr>
            <w:tcW w:w="1486"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74</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637</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7</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718</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16.40%</w:t>
            </w:r>
          </w:p>
        </w:tc>
        <w:tc>
          <w:tcPr>
            <w:tcW w:w="1487" w:type="dxa"/>
            <w:vAlign w:val="center"/>
          </w:tcPr>
          <w:p w:rsidR="0049577B" w:rsidRPr="00B40DC1" w:rsidRDefault="0049577B" w:rsidP="00A66DFC">
            <w:pPr>
              <w:spacing w:line="240" w:lineRule="auto"/>
              <w:ind w:leftChars="0" w:left="0" w:rightChars="0" w:right="0"/>
              <w:jc w:val="center"/>
            </w:pPr>
            <w:r w:rsidRPr="00B40DC1">
              <w:t>68.90%</w:t>
            </w:r>
          </w:p>
        </w:tc>
        <w:tc>
          <w:tcPr>
            <w:tcW w:w="1487" w:type="dxa"/>
            <w:vAlign w:val="center"/>
          </w:tcPr>
          <w:p w:rsidR="0049577B" w:rsidRPr="00B40DC1" w:rsidRDefault="0049577B" w:rsidP="00A66DFC">
            <w:pPr>
              <w:spacing w:line="240" w:lineRule="auto"/>
              <w:ind w:leftChars="0" w:left="0" w:rightChars="0" w:right="0"/>
              <w:jc w:val="center"/>
            </w:pPr>
            <w:r w:rsidRPr="00B40DC1">
              <w:t>17.10%</w:t>
            </w:r>
          </w:p>
        </w:tc>
        <w:tc>
          <w:tcPr>
            <w:tcW w:w="1487" w:type="dxa"/>
            <w:vAlign w:val="center"/>
          </w:tcPr>
          <w:p w:rsidR="0049577B" w:rsidRPr="00B40DC1" w:rsidRDefault="0049577B" w:rsidP="00A66DFC">
            <w:pPr>
              <w:spacing w:line="240" w:lineRule="auto"/>
              <w:ind w:leftChars="0" w:left="0" w:rightChars="0" w:right="0"/>
              <w:jc w:val="center"/>
            </w:pPr>
            <w:r w:rsidRPr="00B40DC1">
              <w:t>50.70%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尚可</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207</w:t>
            </w:r>
          </w:p>
        </w:tc>
        <w:tc>
          <w:tcPr>
            <w:tcW w:w="1487" w:type="dxa"/>
            <w:vAlign w:val="center"/>
          </w:tcPr>
          <w:p w:rsidR="0049577B" w:rsidRPr="00B40DC1" w:rsidRDefault="0049577B" w:rsidP="00A66DFC">
            <w:pPr>
              <w:spacing w:line="240" w:lineRule="auto"/>
              <w:ind w:leftChars="0" w:left="0" w:rightChars="0" w:right="0"/>
              <w:jc w:val="center"/>
            </w:pPr>
            <w:r w:rsidRPr="00B40DC1">
              <w:t>240</w:t>
            </w:r>
          </w:p>
        </w:tc>
        <w:tc>
          <w:tcPr>
            <w:tcW w:w="1487" w:type="dxa"/>
            <w:vAlign w:val="center"/>
          </w:tcPr>
          <w:p w:rsidR="0049577B" w:rsidRPr="00B40DC1" w:rsidRDefault="0049577B" w:rsidP="00A66DFC">
            <w:pPr>
              <w:spacing w:line="240" w:lineRule="auto"/>
              <w:ind w:leftChars="0" w:left="0" w:rightChars="0" w:right="0"/>
              <w:jc w:val="center"/>
            </w:pPr>
            <w:r w:rsidRPr="00B40DC1">
              <w:t>19</w:t>
            </w:r>
          </w:p>
        </w:tc>
        <w:tc>
          <w:tcPr>
            <w:tcW w:w="1487" w:type="dxa"/>
            <w:vAlign w:val="center"/>
          </w:tcPr>
          <w:p w:rsidR="0049577B" w:rsidRPr="00B40DC1" w:rsidRDefault="0049577B" w:rsidP="00A66DFC">
            <w:pPr>
              <w:spacing w:line="240" w:lineRule="auto"/>
              <w:ind w:leftChars="0" w:left="0" w:rightChars="0" w:right="0"/>
              <w:jc w:val="center"/>
            </w:pPr>
            <w:r w:rsidRPr="00B40DC1">
              <w:t>466</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46.00%</w:t>
            </w:r>
          </w:p>
        </w:tc>
        <w:tc>
          <w:tcPr>
            <w:tcW w:w="1487" w:type="dxa"/>
            <w:vAlign w:val="center"/>
          </w:tcPr>
          <w:p w:rsidR="0049577B" w:rsidRPr="00B40DC1" w:rsidRDefault="0049577B" w:rsidP="00A66DFC">
            <w:pPr>
              <w:spacing w:line="240" w:lineRule="auto"/>
              <w:ind w:leftChars="0" w:left="0" w:rightChars="0" w:right="0"/>
              <w:jc w:val="center"/>
            </w:pPr>
            <w:r w:rsidRPr="00B40DC1">
              <w:t>25.90%</w:t>
            </w:r>
          </w:p>
        </w:tc>
        <w:tc>
          <w:tcPr>
            <w:tcW w:w="1487" w:type="dxa"/>
            <w:vAlign w:val="center"/>
          </w:tcPr>
          <w:p w:rsidR="0049577B" w:rsidRPr="00B40DC1" w:rsidRDefault="0049577B" w:rsidP="00A66DFC">
            <w:pPr>
              <w:spacing w:line="240" w:lineRule="auto"/>
              <w:ind w:leftChars="0" w:left="0" w:rightChars="0" w:right="0"/>
              <w:jc w:val="center"/>
            </w:pPr>
            <w:r w:rsidRPr="00B40DC1">
              <w:t>46.30%</w:t>
            </w:r>
          </w:p>
        </w:tc>
        <w:tc>
          <w:tcPr>
            <w:tcW w:w="1487" w:type="dxa"/>
            <w:vAlign w:val="center"/>
          </w:tcPr>
          <w:p w:rsidR="0049577B" w:rsidRPr="00B40DC1" w:rsidRDefault="0049577B" w:rsidP="00A66DFC">
            <w:pPr>
              <w:spacing w:line="240" w:lineRule="auto"/>
              <w:ind w:leftChars="0" w:left="0" w:rightChars="0" w:right="0"/>
              <w:jc w:val="center"/>
            </w:pPr>
            <w:r w:rsidRPr="00B40DC1">
              <w:t>32.90%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不好</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169</w:t>
            </w:r>
          </w:p>
        </w:tc>
        <w:tc>
          <w:tcPr>
            <w:tcW w:w="1487" w:type="dxa"/>
            <w:vAlign w:val="center"/>
          </w:tcPr>
          <w:p w:rsidR="0049577B" w:rsidRPr="00B40DC1" w:rsidRDefault="0049577B" w:rsidP="00A66DFC">
            <w:pPr>
              <w:spacing w:line="240" w:lineRule="auto"/>
              <w:ind w:leftChars="0" w:left="0" w:rightChars="0" w:right="0"/>
              <w:jc w:val="center"/>
            </w:pPr>
            <w:r w:rsidRPr="00B40DC1">
              <w:t>48</w:t>
            </w:r>
          </w:p>
        </w:tc>
        <w:tc>
          <w:tcPr>
            <w:tcW w:w="1487" w:type="dxa"/>
            <w:vAlign w:val="center"/>
          </w:tcPr>
          <w:p w:rsidR="0049577B" w:rsidRPr="00B40DC1" w:rsidRDefault="0049577B" w:rsidP="00A66DFC">
            <w:pPr>
              <w:spacing w:line="240" w:lineRule="auto"/>
              <w:ind w:leftChars="0" w:left="0" w:rightChars="0" w:right="0"/>
              <w:jc w:val="center"/>
            </w:pPr>
            <w:r w:rsidRPr="00B40DC1">
              <w:t>15</w:t>
            </w:r>
          </w:p>
        </w:tc>
        <w:tc>
          <w:tcPr>
            <w:tcW w:w="1487" w:type="dxa"/>
            <w:vAlign w:val="center"/>
          </w:tcPr>
          <w:p w:rsidR="0049577B" w:rsidRPr="00B40DC1" w:rsidRDefault="0049577B" w:rsidP="00A66DFC">
            <w:pPr>
              <w:spacing w:line="240" w:lineRule="auto"/>
              <w:ind w:leftChars="0" w:left="0" w:rightChars="0" w:right="0"/>
              <w:jc w:val="center"/>
            </w:pPr>
            <w:r w:rsidRPr="00B40DC1">
              <w:t>232</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37.60%</w:t>
            </w:r>
          </w:p>
        </w:tc>
        <w:tc>
          <w:tcPr>
            <w:tcW w:w="1487" w:type="dxa"/>
            <w:vAlign w:val="center"/>
          </w:tcPr>
          <w:p w:rsidR="0049577B" w:rsidRPr="00B40DC1" w:rsidRDefault="0049577B" w:rsidP="00A66DFC">
            <w:pPr>
              <w:spacing w:line="240" w:lineRule="auto"/>
              <w:ind w:leftChars="0" w:left="0" w:rightChars="0" w:right="0"/>
              <w:jc w:val="center"/>
            </w:pPr>
            <w:r w:rsidRPr="00B40DC1">
              <w:t>5.20%</w:t>
            </w:r>
          </w:p>
        </w:tc>
        <w:tc>
          <w:tcPr>
            <w:tcW w:w="1487" w:type="dxa"/>
            <w:vAlign w:val="center"/>
          </w:tcPr>
          <w:p w:rsidR="0049577B" w:rsidRPr="00B40DC1" w:rsidRDefault="0049577B" w:rsidP="00A66DFC">
            <w:pPr>
              <w:spacing w:line="240" w:lineRule="auto"/>
              <w:ind w:leftChars="0" w:left="0" w:rightChars="0" w:right="0"/>
              <w:jc w:val="center"/>
            </w:pPr>
            <w:r w:rsidRPr="00B40DC1">
              <w:t>36.60%</w:t>
            </w:r>
          </w:p>
        </w:tc>
        <w:tc>
          <w:tcPr>
            <w:tcW w:w="1487" w:type="dxa"/>
            <w:vAlign w:val="center"/>
          </w:tcPr>
          <w:p w:rsidR="0049577B" w:rsidRPr="00B40DC1" w:rsidRDefault="0049577B" w:rsidP="00A66DFC">
            <w:pPr>
              <w:spacing w:line="240" w:lineRule="auto"/>
              <w:ind w:leftChars="0" w:left="0" w:rightChars="0" w:right="0"/>
              <w:jc w:val="center"/>
            </w:pPr>
            <w:r w:rsidRPr="00B40DC1">
              <w:t>16.40%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總和</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450</w:t>
            </w:r>
          </w:p>
        </w:tc>
        <w:tc>
          <w:tcPr>
            <w:tcW w:w="1487" w:type="dxa"/>
            <w:vAlign w:val="center"/>
          </w:tcPr>
          <w:p w:rsidR="0049577B" w:rsidRPr="00B40DC1" w:rsidRDefault="0049577B" w:rsidP="00A66DFC">
            <w:pPr>
              <w:spacing w:line="240" w:lineRule="auto"/>
              <w:ind w:leftChars="0" w:left="0" w:rightChars="0" w:right="0"/>
              <w:jc w:val="center"/>
            </w:pPr>
            <w:r w:rsidRPr="00B40DC1">
              <w:t>925</w:t>
            </w:r>
          </w:p>
        </w:tc>
        <w:tc>
          <w:tcPr>
            <w:tcW w:w="1487" w:type="dxa"/>
            <w:vAlign w:val="center"/>
          </w:tcPr>
          <w:p w:rsidR="0049577B" w:rsidRPr="00B40DC1" w:rsidRDefault="0049577B" w:rsidP="00A66DFC">
            <w:pPr>
              <w:spacing w:line="240" w:lineRule="auto"/>
              <w:ind w:leftChars="0" w:left="0" w:rightChars="0" w:right="0"/>
              <w:jc w:val="center"/>
            </w:pPr>
            <w:r w:rsidRPr="00B40DC1">
              <w:t>41</w:t>
            </w:r>
          </w:p>
        </w:tc>
        <w:tc>
          <w:tcPr>
            <w:tcW w:w="1487"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rPr>
          <w:jc w:val="center"/>
        </w:trPr>
        <w:tc>
          <w:tcPr>
            <w:tcW w:w="1340" w:type="dxa"/>
            <w:vMerge/>
            <w:tcBorders>
              <w:bottom w:val="single" w:sz="8" w:space="0" w:color="auto"/>
            </w:tcBorders>
          </w:tcPr>
          <w:p w:rsidR="0049577B" w:rsidRPr="00B40DC1" w:rsidRDefault="0049577B" w:rsidP="00A66DFC">
            <w:pPr>
              <w:spacing w:line="240" w:lineRule="auto"/>
              <w:ind w:leftChars="0" w:left="0" w:rightChars="0" w:right="0"/>
            </w:pPr>
          </w:p>
        </w:tc>
        <w:tc>
          <w:tcPr>
            <w:tcW w:w="899" w:type="dxa"/>
            <w:vMerge/>
            <w:tcBorders>
              <w:bottom w:val="single" w:sz="8" w:space="0" w:color="auto"/>
            </w:tcBorders>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rPr>
          <w:jc w:val="center"/>
        </w:trPr>
        <w:tc>
          <w:tcPr>
            <w:tcW w:w="3387" w:type="dxa"/>
            <w:gridSpan w:val="3"/>
            <w:tcBorders>
              <w:bottom w:val="single" w:sz="8" w:space="0" w:color="auto"/>
            </w:tcBorders>
          </w:tcPr>
          <w:p w:rsidR="0049577B" w:rsidRPr="00B40DC1" w:rsidRDefault="0049577B" w:rsidP="00A66DFC">
            <w:pPr>
              <w:spacing w:line="240" w:lineRule="auto"/>
              <w:ind w:leftChars="0" w:left="0" w:rightChars="0" w:right="0"/>
            </w:pPr>
            <w:r w:rsidRPr="00B40DC1">
              <w:t>卡方值</w:t>
            </w:r>
          </w:p>
        </w:tc>
        <w:tc>
          <w:tcPr>
            <w:tcW w:w="5947" w:type="dxa"/>
            <w:gridSpan w:val="4"/>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χ</w:t>
            </w:r>
            <w:r w:rsidRPr="00B40DC1">
              <w:rPr>
                <w:vertAlign w:val="superscript"/>
              </w:rPr>
              <w:t>2</w:t>
            </w:r>
            <w:r w:rsidRPr="00B40DC1">
              <w:t>=416.86；df=4；p&lt;0.001</w:t>
            </w:r>
          </w:p>
        </w:tc>
      </w:tr>
      <w:tr w:rsidR="0049577B" w:rsidRPr="00B40DC1" w:rsidTr="00A66DFC">
        <w:trPr>
          <w:jc w:val="center"/>
        </w:trPr>
        <w:tc>
          <w:tcPr>
            <w:tcW w:w="1340"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中文寫作</w:t>
            </w:r>
          </w:p>
        </w:tc>
        <w:tc>
          <w:tcPr>
            <w:tcW w:w="89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好</w:t>
            </w:r>
          </w:p>
        </w:tc>
        <w:tc>
          <w:tcPr>
            <w:tcW w:w="1148" w:type="dxa"/>
            <w:tcBorders>
              <w:top w:val="single" w:sz="8" w:space="0" w:color="auto"/>
            </w:tcBorders>
            <w:vAlign w:val="center"/>
          </w:tcPr>
          <w:p w:rsidR="0049577B" w:rsidRPr="00B40DC1" w:rsidRDefault="0049577B" w:rsidP="00A66DFC">
            <w:pPr>
              <w:spacing w:line="240" w:lineRule="auto"/>
              <w:ind w:leftChars="0" w:left="0" w:rightChars="0" w:right="0"/>
            </w:pPr>
            <w:r w:rsidRPr="00B40DC1">
              <w:t>次數</w:t>
            </w:r>
          </w:p>
        </w:tc>
        <w:tc>
          <w:tcPr>
            <w:tcW w:w="1486"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48</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532</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6</w:t>
            </w:r>
          </w:p>
        </w:tc>
        <w:tc>
          <w:tcPr>
            <w:tcW w:w="1487"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586</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10.70%</w:t>
            </w:r>
          </w:p>
        </w:tc>
        <w:tc>
          <w:tcPr>
            <w:tcW w:w="1487" w:type="dxa"/>
            <w:vAlign w:val="center"/>
          </w:tcPr>
          <w:p w:rsidR="0049577B" w:rsidRPr="00B40DC1" w:rsidRDefault="0049577B" w:rsidP="00A66DFC">
            <w:pPr>
              <w:spacing w:line="240" w:lineRule="auto"/>
              <w:ind w:leftChars="0" w:left="0" w:rightChars="0" w:right="0"/>
              <w:jc w:val="center"/>
            </w:pPr>
            <w:r w:rsidRPr="00B40DC1">
              <w:t>57.50%</w:t>
            </w:r>
          </w:p>
        </w:tc>
        <w:tc>
          <w:tcPr>
            <w:tcW w:w="1487" w:type="dxa"/>
            <w:vAlign w:val="center"/>
          </w:tcPr>
          <w:p w:rsidR="0049577B" w:rsidRPr="00B40DC1" w:rsidRDefault="0049577B" w:rsidP="00A66DFC">
            <w:pPr>
              <w:spacing w:line="240" w:lineRule="auto"/>
              <w:ind w:leftChars="0" w:left="0" w:rightChars="0" w:right="0"/>
              <w:jc w:val="center"/>
            </w:pPr>
            <w:r w:rsidRPr="00B40DC1">
              <w:t>14.60%</w:t>
            </w:r>
          </w:p>
        </w:tc>
        <w:tc>
          <w:tcPr>
            <w:tcW w:w="1487" w:type="dxa"/>
            <w:vAlign w:val="center"/>
          </w:tcPr>
          <w:p w:rsidR="0049577B" w:rsidRPr="00B40DC1" w:rsidRDefault="0049577B" w:rsidP="00A66DFC">
            <w:pPr>
              <w:spacing w:line="240" w:lineRule="auto"/>
              <w:ind w:leftChars="0" w:left="0" w:rightChars="0" w:right="0"/>
              <w:jc w:val="center"/>
            </w:pPr>
            <w:r w:rsidRPr="00B40DC1">
              <w:t>41.40%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尚可</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148</w:t>
            </w:r>
          </w:p>
        </w:tc>
        <w:tc>
          <w:tcPr>
            <w:tcW w:w="1487" w:type="dxa"/>
            <w:vAlign w:val="center"/>
          </w:tcPr>
          <w:p w:rsidR="0049577B" w:rsidRPr="00B40DC1" w:rsidRDefault="0049577B" w:rsidP="00A66DFC">
            <w:pPr>
              <w:spacing w:line="240" w:lineRule="auto"/>
              <w:ind w:leftChars="0" w:left="0" w:rightChars="0" w:right="0"/>
              <w:jc w:val="center"/>
            </w:pPr>
            <w:r w:rsidRPr="00B40DC1">
              <w:t>237</w:t>
            </w:r>
          </w:p>
        </w:tc>
        <w:tc>
          <w:tcPr>
            <w:tcW w:w="1487" w:type="dxa"/>
            <w:vAlign w:val="center"/>
          </w:tcPr>
          <w:p w:rsidR="0049577B" w:rsidRPr="00B40DC1" w:rsidRDefault="0049577B" w:rsidP="00A66DFC">
            <w:pPr>
              <w:spacing w:line="240" w:lineRule="auto"/>
              <w:ind w:leftChars="0" w:left="0" w:rightChars="0" w:right="0"/>
              <w:jc w:val="center"/>
            </w:pPr>
            <w:r w:rsidRPr="00B40DC1">
              <w:t>12</w:t>
            </w:r>
          </w:p>
        </w:tc>
        <w:tc>
          <w:tcPr>
            <w:tcW w:w="1487" w:type="dxa"/>
            <w:vAlign w:val="center"/>
          </w:tcPr>
          <w:p w:rsidR="0049577B" w:rsidRPr="00B40DC1" w:rsidRDefault="0049577B" w:rsidP="00A66DFC">
            <w:pPr>
              <w:spacing w:line="240" w:lineRule="auto"/>
              <w:ind w:leftChars="0" w:left="0" w:rightChars="0" w:right="0"/>
              <w:jc w:val="center"/>
            </w:pPr>
            <w:r w:rsidRPr="00B40DC1">
              <w:t>397</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32.90%</w:t>
            </w:r>
          </w:p>
        </w:tc>
        <w:tc>
          <w:tcPr>
            <w:tcW w:w="1487" w:type="dxa"/>
            <w:vAlign w:val="center"/>
          </w:tcPr>
          <w:p w:rsidR="0049577B" w:rsidRPr="00B40DC1" w:rsidRDefault="0049577B" w:rsidP="00A66DFC">
            <w:pPr>
              <w:spacing w:line="240" w:lineRule="auto"/>
              <w:ind w:leftChars="0" w:left="0" w:rightChars="0" w:right="0"/>
              <w:jc w:val="center"/>
            </w:pPr>
            <w:r w:rsidRPr="00B40DC1">
              <w:t>25.60%</w:t>
            </w:r>
          </w:p>
        </w:tc>
        <w:tc>
          <w:tcPr>
            <w:tcW w:w="1487" w:type="dxa"/>
            <w:vAlign w:val="center"/>
          </w:tcPr>
          <w:p w:rsidR="0049577B" w:rsidRPr="00B40DC1" w:rsidRDefault="0049577B" w:rsidP="00A66DFC">
            <w:pPr>
              <w:spacing w:line="240" w:lineRule="auto"/>
              <w:ind w:leftChars="0" w:left="0" w:rightChars="0" w:right="0"/>
              <w:jc w:val="center"/>
            </w:pPr>
            <w:r w:rsidRPr="00B40DC1">
              <w:t>29.30%</w:t>
            </w:r>
          </w:p>
        </w:tc>
        <w:tc>
          <w:tcPr>
            <w:tcW w:w="1487" w:type="dxa"/>
            <w:vAlign w:val="center"/>
          </w:tcPr>
          <w:p w:rsidR="0049577B" w:rsidRPr="00B40DC1" w:rsidRDefault="0049577B" w:rsidP="00A66DFC">
            <w:pPr>
              <w:spacing w:line="240" w:lineRule="auto"/>
              <w:ind w:leftChars="0" w:left="0" w:rightChars="0" w:right="0"/>
              <w:jc w:val="center"/>
            </w:pPr>
            <w:r w:rsidRPr="00B40DC1">
              <w:t>28.00%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不好</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254</w:t>
            </w:r>
          </w:p>
        </w:tc>
        <w:tc>
          <w:tcPr>
            <w:tcW w:w="1487" w:type="dxa"/>
            <w:vAlign w:val="center"/>
          </w:tcPr>
          <w:p w:rsidR="0049577B" w:rsidRPr="00B40DC1" w:rsidRDefault="0049577B" w:rsidP="00A66DFC">
            <w:pPr>
              <w:spacing w:line="240" w:lineRule="auto"/>
              <w:ind w:leftChars="0" w:left="0" w:rightChars="0" w:right="0"/>
              <w:jc w:val="center"/>
            </w:pPr>
            <w:r w:rsidRPr="00B40DC1">
              <w:t>156</w:t>
            </w:r>
          </w:p>
        </w:tc>
        <w:tc>
          <w:tcPr>
            <w:tcW w:w="1487" w:type="dxa"/>
            <w:vAlign w:val="center"/>
          </w:tcPr>
          <w:p w:rsidR="0049577B" w:rsidRPr="00B40DC1" w:rsidRDefault="0049577B" w:rsidP="00A66DFC">
            <w:pPr>
              <w:spacing w:line="240" w:lineRule="auto"/>
              <w:ind w:leftChars="0" w:left="0" w:rightChars="0" w:right="0"/>
              <w:jc w:val="center"/>
            </w:pPr>
            <w:r w:rsidRPr="00B40DC1">
              <w:t>23</w:t>
            </w:r>
          </w:p>
        </w:tc>
        <w:tc>
          <w:tcPr>
            <w:tcW w:w="1487" w:type="dxa"/>
            <w:vAlign w:val="center"/>
          </w:tcPr>
          <w:p w:rsidR="0049577B" w:rsidRPr="00B40DC1" w:rsidRDefault="0049577B" w:rsidP="00A66DFC">
            <w:pPr>
              <w:spacing w:line="240" w:lineRule="auto"/>
              <w:ind w:leftChars="0" w:left="0" w:rightChars="0" w:right="0"/>
              <w:jc w:val="center"/>
            </w:pPr>
            <w:r w:rsidRPr="00B40DC1">
              <w:t>433</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ign w:val="center"/>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56.40%</w:t>
            </w:r>
          </w:p>
        </w:tc>
        <w:tc>
          <w:tcPr>
            <w:tcW w:w="1487" w:type="dxa"/>
            <w:vAlign w:val="center"/>
          </w:tcPr>
          <w:p w:rsidR="0049577B" w:rsidRPr="00B40DC1" w:rsidRDefault="0049577B" w:rsidP="00A66DFC">
            <w:pPr>
              <w:spacing w:line="240" w:lineRule="auto"/>
              <w:ind w:leftChars="0" w:left="0" w:rightChars="0" w:right="0"/>
              <w:jc w:val="center"/>
            </w:pPr>
            <w:r w:rsidRPr="00B40DC1">
              <w:t>16.90%</w:t>
            </w:r>
          </w:p>
        </w:tc>
        <w:tc>
          <w:tcPr>
            <w:tcW w:w="1487" w:type="dxa"/>
            <w:vAlign w:val="center"/>
          </w:tcPr>
          <w:p w:rsidR="0049577B" w:rsidRPr="00B40DC1" w:rsidRDefault="0049577B" w:rsidP="00A66DFC">
            <w:pPr>
              <w:spacing w:line="240" w:lineRule="auto"/>
              <w:ind w:leftChars="0" w:left="0" w:rightChars="0" w:right="0"/>
              <w:jc w:val="center"/>
            </w:pPr>
            <w:r w:rsidRPr="00B40DC1">
              <w:t>56.10%</w:t>
            </w:r>
          </w:p>
        </w:tc>
        <w:tc>
          <w:tcPr>
            <w:tcW w:w="1487" w:type="dxa"/>
            <w:vAlign w:val="center"/>
          </w:tcPr>
          <w:p w:rsidR="0049577B" w:rsidRPr="00B40DC1" w:rsidRDefault="0049577B" w:rsidP="00A66DFC">
            <w:pPr>
              <w:spacing w:line="240" w:lineRule="auto"/>
              <w:ind w:leftChars="0" w:left="0" w:rightChars="0" w:right="0"/>
              <w:jc w:val="center"/>
            </w:pPr>
            <w:r w:rsidRPr="00B40DC1">
              <w:t>30.60%</w:t>
            </w:r>
          </w:p>
        </w:tc>
      </w:tr>
      <w:tr w:rsidR="0049577B" w:rsidRPr="00B40DC1" w:rsidTr="00A66DFC">
        <w:trPr>
          <w:jc w:val="center"/>
        </w:trPr>
        <w:tc>
          <w:tcPr>
            <w:tcW w:w="1340" w:type="dxa"/>
            <w:vMerge/>
            <w:vAlign w:val="center"/>
          </w:tcPr>
          <w:p w:rsidR="0049577B" w:rsidRPr="00B40DC1" w:rsidRDefault="0049577B" w:rsidP="00A66DFC">
            <w:pPr>
              <w:spacing w:line="240" w:lineRule="auto"/>
              <w:ind w:leftChars="0" w:left="0" w:rightChars="0" w:right="0"/>
            </w:pPr>
          </w:p>
        </w:tc>
        <w:tc>
          <w:tcPr>
            <w:tcW w:w="899" w:type="dxa"/>
            <w:vMerge w:val="restart"/>
            <w:vAlign w:val="center"/>
          </w:tcPr>
          <w:p w:rsidR="0049577B" w:rsidRPr="00B40DC1" w:rsidRDefault="0049577B" w:rsidP="00A66DFC">
            <w:pPr>
              <w:spacing w:line="240" w:lineRule="auto"/>
              <w:ind w:leftChars="0" w:left="0" w:rightChars="0" w:right="0"/>
            </w:pPr>
            <w:r w:rsidRPr="00B40DC1">
              <w:t>總和</w:t>
            </w:r>
          </w:p>
        </w:tc>
        <w:tc>
          <w:tcPr>
            <w:tcW w:w="1148" w:type="dxa"/>
            <w:vAlign w:val="center"/>
          </w:tcPr>
          <w:p w:rsidR="0049577B" w:rsidRPr="00B40DC1" w:rsidRDefault="0049577B" w:rsidP="00A66DFC">
            <w:pPr>
              <w:spacing w:line="240" w:lineRule="auto"/>
              <w:ind w:leftChars="0" w:left="0" w:rightChars="0" w:right="0"/>
            </w:pPr>
            <w:r w:rsidRPr="00B40DC1">
              <w:t>次數</w:t>
            </w:r>
          </w:p>
        </w:tc>
        <w:tc>
          <w:tcPr>
            <w:tcW w:w="1486" w:type="dxa"/>
            <w:vAlign w:val="center"/>
          </w:tcPr>
          <w:p w:rsidR="0049577B" w:rsidRPr="00B40DC1" w:rsidRDefault="0049577B" w:rsidP="00A66DFC">
            <w:pPr>
              <w:spacing w:line="240" w:lineRule="auto"/>
              <w:ind w:leftChars="0" w:left="0" w:rightChars="0" w:right="0"/>
              <w:jc w:val="center"/>
            </w:pPr>
            <w:r w:rsidRPr="00B40DC1">
              <w:t>450</w:t>
            </w:r>
          </w:p>
        </w:tc>
        <w:tc>
          <w:tcPr>
            <w:tcW w:w="1487" w:type="dxa"/>
            <w:vAlign w:val="center"/>
          </w:tcPr>
          <w:p w:rsidR="0049577B" w:rsidRPr="00B40DC1" w:rsidRDefault="0049577B" w:rsidP="00A66DFC">
            <w:pPr>
              <w:spacing w:line="240" w:lineRule="auto"/>
              <w:ind w:leftChars="0" w:left="0" w:rightChars="0" w:right="0"/>
              <w:jc w:val="center"/>
            </w:pPr>
            <w:r w:rsidRPr="00B40DC1">
              <w:t>925</w:t>
            </w:r>
          </w:p>
        </w:tc>
        <w:tc>
          <w:tcPr>
            <w:tcW w:w="1487" w:type="dxa"/>
            <w:vAlign w:val="center"/>
          </w:tcPr>
          <w:p w:rsidR="0049577B" w:rsidRPr="00B40DC1" w:rsidRDefault="0049577B" w:rsidP="00A66DFC">
            <w:pPr>
              <w:spacing w:line="240" w:lineRule="auto"/>
              <w:ind w:leftChars="0" w:left="0" w:rightChars="0" w:right="0"/>
              <w:jc w:val="center"/>
            </w:pPr>
            <w:r w:rsidRPr="00B40DC1">
              <w:t>41</w:t>
            </w:r>
          </w:p>
        </w:tc>
        <w:tc>
          <w:tcPr>
            <w:tcW w:w="1487"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rPr>
          <w:jc w:val="center"/>
        </w:trPr>
        <w:tc>
          <w:tcPr>
            <w:tcW w:w="1340" w:type="dxa"/>
            <w:vMerge/>
            <w:tcBorders>
              <w:bottom w:val="single" w:sz="8" w:space="0" w:color="auto"/>
            </w:tcBorders>
          </w:tcPr>
          <w:p w:rsidR="0049577B" w:rsidRPr="00B40DC1" w:rsidRDefault="0049577B" w:rsidP="00A66DFC">
            <w:pPr>
              <w:spacing w:line="240" w:lineRule="auto"/>
              <w:ind w:leftChars="0" w:left="0" w:rightChars="0" w:right="0"/>
            </w:pPr>
          </w:p>
        </w:tc>
        <w:tc>
          <w:tcPr>
            <w:tcW w:w="899" w:type="dxa"/>
            <w:vMerge/>
            <w:tcBorders>
              <w:bottom w:val="single" w:sz="8" w:space="0" w:color="auto"/>
            </w:tcBorders>
          </w:tcPr>
          <w:p w:rsidR="0049577B" w:rsidRPr="00B40DC1" w:rsidRDefault="0049577B" w:rsidP="00A66DFC">
            <w:pPr>
              <w:spacing w:line="240" w:lineRule="auto"/>
              <w:ind w:leftChars="0" w:left="0" w:rightChars="0" w:right="0"/>
            </w:pPr>
          </w:p>
        </w:tc>
        <w:tc>
          <w:tcPr>
            <w:tcW w:w="1148" w:type="dxa"/>
            <w:vAlign w:val="center"/>
          </w:tcPr>
          <w:p w:rsidR="0049577B" w:rsidRPr="00B40DC1" w:rsidRDefault="0049577B" w:rsidP="00A66DFC">
            <w:pPr>
              <w:spacing w:line="240" w:lineRule="auto"/>
              <w:ind w:leftChars="0" w:left="0" w:rightChars="0" w:right="0"/>
            </w:pPr>
            <w:r w:rsidRPr="00B40DC1">
              <w:t>百分比</w:t>
            </w:r>
          </w:p>
        </w:tc>
        <w:tc>
          <w:tcPr>
            <w:tcW w:w="1486"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c>
          <w:tcPr>
            <w:tcW w:w="1487" w:type="dxa"/>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rPr>
          <w:jc w:val="center"/>
        </w:trPr>
        <w:tc>
          <w:tcPr>
            <w:tcW w:w="3387" w:type="dxa"/>
            <w:gridSpan w:val="3"/>
            <w:tcBorders>
              <w:bottom w:val="single" w:sz="8" w:space="0" w:color="auto"/>
            </w:tcBorders>
          </w:tcPr>
          <w:p w:rsidR="0049577B" w:rsidRPr="00B40DC1" w:rsidRDefault="0049577B" w:rsidP="00A66DFC">
            <w:pPr>
              <w:spacing w:line="240" w:lineRule="auto"/>
              <w:ind w:leftChars="0" w:left="0" w:rightChars="0" w:right="0"/>
            </w:pPr>
            <w:r w:rsidRPr="00B40DC1">
              <w:t>卡方值</w:t>
            </w:r>
          </w:p>
        </w:tc>
        <w:tc>
          <w:tcPr>
            <w:tcW w:w="5947" w:type="dxa"/>
            <w:gridSpan w:val="4"/>
            <w:tcBorders>
              <w:bottom w:val="single" w:sz="8" w:space="0" w:color="auto"/>
            </w:tcBorders>
            <w:vAlign w:val="center"/>
          </w:tcPr>
          <w:p w:rsidR="0049577B" w:rsidRPr="00B40DC1" w:rsidRDefault="0049577B" w:rsidP="00A66DFC">
            <w:pPr>
              <w:spacing w:line="240" w:lineRule="auto"/>
              <w:ind w:leftChars="0" w:left="0" w:rightChars="0" w:right="0"/>
            </w:pPr>
            <w:r w:rsidRPr="00B40DC1">
              <w:t>χ</w:t>
            </w:r>
            <w:r w:rsidRPr="00B40DC1">
              <w:rPr>
                <w:vertAlign w:val="superscript"/>
              </w:rPr>
              <w:t>2</w:t>
            </w:r>
            <w:r w:rsidRPr="00B40DC1">
              <w:t>=337.64；df=4；p&lt;0.001</w:t>
            </w:r>
          </w:p>
        </w:tc>
      </w:tr>
    </w:tbl>
    <w:p w:rsidR="0049577B" w:rsidRPr="00B40DC1" w:rsidRDefault="00817A92" w:rsidP="00A66DFC">
      <w:pPr>
        <w:spacing w:line="240" w:lineRule="auto"/>
        <w:ind w:leftChars="0" w:left="0" w:rightChars="0" w:right="0"/>
      </w:pPr>
      <w:r>
        <w:t>【資料來源】</w:t>
      </w:r>
      <w:r w:rsidR="0049577B" w:rsidRPr="00B40DC1">
        <w:t>作者自行製作。</w:t>
      </w:r>
    </w:p>
    <w:p w:rsidR="00A66DFC" w:rsidRDefault="00A66DFC" w:rsidP="00A66DFC">
      <w:pPr>
        <w:spacing w:line="240" w:lineRule="auto"/>
        <w:ind w:leftChars="0" w:left="0" w:rightChars="0" w:right="0"/>
      </w:pPr>
    </w:p>
    <w:p w:rsidR="0049577B" w:rsidRPr="00B40DC1" w:rsidRDefault="002F101F" w:rsidP="00A66DFC">
      <w:pPr>
        <w:spacing w:line="240" w:lineRule="auto"/>
        <w:ind w:leftChars="0" w:left="0" w:rightChars="0" w:right="0"/>
      </w:pPr>
      <w:r>
        <w:t xml:space="preserve">　　</w:t>
      </w:r>
      <w:r w:rsidR="0049577B" w:rsidRPr="00B40DC1">
        <w:t>表14顯示國籍別和受訪者與家人溝通上是否存在困擾之關聯性分析。從本表可以發現：國籍別和受訪者與家人溝通上是否存在困擾之關連程度未達統計上的顯著水準（χ</w:t>
      </w:r>
      <w:r w:rsidR="0049577B" w:rsidRPr="00B40DC1">
        <w:rPr>
          <w:vertAlign w:val="superscript"/>
        </w:rPr>
        <w:t>2</w:t>
      </w:r>
      <w:r w:rsidR="0049577B" w:rsidRPr="00B40DC1">
        <w:t>=7.04；df=6；p&gt;0.05），顯示：不會因為受訪者國籍別之不同，而在與家人溝通上是否存在困擾有所差異。</w:t>
      </w:r>
    </w:p>
    <w:p w:rsidR="0049577B" w:rsidRPr="00B40DC1" w:rsidRDefault="00DD52C8" w:rsidP="00A66DFC">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表14</w:t>
      </w:r>
      <w:r w:rsidR="00A66DFC">
        <w:rPr>
          <w:rFonts w:ascii="新細明體" w:eastAsia="新細明體" w:hAnsi="新細明體" w:hint="eastAsia"/>
          <w:lang w:eastAsia="zh-TW"/>
        </w:rPr>
        <w:t>、</w:t>
      </w:r>
      <w:r w:rsidRPr="00B40DC1">
        <w:rPr>
          <w:lang w:eastAsia="zh-TW"/>
        </w:rPr>
        <w:t>受訪者國籍與和家人溝通有無困擾之關聯分析</w:t>
      </w:r>
    </w:p>
    <w:tbl>
      <w:tblPr>
        <w:tblStyle w:val="43"/>
        <w:tblW w:w="0" w:type="auto"/>
        <w:tblInd w:w="12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59"/>
        <w:gridCol w:w="1276"/>
        <w:gridCol w:w="1701"/>
        <w:gridCol w:w="1701"/>
        <w:gridCol w:w="1701"/>
        <w:gridCol w:w="1701"/>
      </w:tblGrid>
      <w:tr w:rsidR="0049577B" w:rsidRPr="00B40DC1" w:rsidTr="00A66DFC">
        <w:tc>
          <w:tcPr>
            <w:tcW w:w="1559" w:type="dxa"/>
            <w:tcBorders>
              <w:top w:val="single" w:sz="12" w:space="0" w:color="auto"/>
              <w:bottom w:val="single" w:sz="8" w:space="0" w:color="auto"/>
            </w:tcBorders>
            <w:shd w:val="clear" w:color="auto" w:fill="FAF0FA"/>
            <w:vAlign w:val="center"/>
          </w:tcPr>
          <w:p w:rsidR="0049577B" w:rsidRPr="00B40DC1" w:rsidRDefault="0049577B" w:rsidP="00A66DFC">
            <w:pPr>
              <w:spacing w:line="240" w:lineRule="auto"/>
              <w:ind w:leftChars="0" w:left="0" w:rightChars="0" w:right="0"/>
              <w:jc w:val="center"/>
            </w:pPr>
            <w:r w:rsidRPr="00B40DC1">
              <w:t>家人溝通</w:t>
            </w:r>
          </w:p>
        </w:tc>
        <w:tc>
          <w:tcPr>
            <w:tcW w:w="1276" w:type="dxa"/>
            <w:tcBorders>
              <w:top w:val="single" w:sz="12" w:space="0" w:color="auto"/>
              <w:bottom w:val="single" w:sz="8" w:space="0" w:color="auto"/>
            </w:tcBorders>
            <w:shd w:val="clear" w:color="auto" w:fill="FAF0FA"/>
            <w:vAlign w:val="center"/>
          </w:tcPr>
          <w:p w:rsidR="0049577B" w:rsidRPr="00B40DC1" w:rsidRDefault="0049577B" w:rsidP="00A66DFC">
            <w:pPr>
              <w:spacing w:line="240" w:lineRule="auto"/>
              <w:ind w:leftChars="0" w:left="0" w:rightChars="0" w:right="0"/>
              <w:jc w:val="center"/>
            </w:pPr>
            <w:r w:rsidRPr="00B40DC1">
              <w:t>次數</w:t>
            </w:r>
          </w:p>
          <w:p w:rsidR="0049577B" w:rsidRPr="00B40DC1" w:rsidRDefault="0049577B" w:rsidP="00A66DFC">
            <w:pPr>
              <w:spacing w:line="240" w:lineRule="auto"/>
              <w:ind w:leftChars="0" w:left="0" w:rightChars="0" w:right="0"/>
              <w:jc w:val="center"/>
            </w:pPr>
            <w:r w:rsidRPr="00B40DC1">
              <w:t>百分比</w:t>
            </w:r>
          </w:p>
        </w:tc>
        <w:tc>
          <w:tcPr>
            <w:tcW w:w="1701" w:type="dxa"/>
            <w:tcBorders>
              <w:top w:val="single" w:sz="12" w:space="0" w:color="auto"/>
              <w:bottom w:val="single" w:sz="8" w:space="0" w:color="auto"/>
            </w:tcBorders>
            <w:shd w:val="clear" w:color="auto" w:fill="FAF0FA"/>
            <w:vAlign w:val="center"/>
          </w:tcPr>
          <w:p w:rsidR="0049577B" w:rsidRPr="00B40DC1" w:rsidRDefault="0049577B" w:rsidP="00A66DFC">
            <w:pPr>
              <w:spacing w:line="240" w:lineRule="auto"/>
              <w:ind w:leftChars="0" w:left="0" w:rightChars="0" w:right="0"/>
              <w:jc w:val="center"/>
            </w:pPr>
            <w:r w:rsidRPr="00B40DC1">
              <w:t>東南亞國家</w:t>
            </w:r>
          </w:p>
        </w:tc>
        <w:tc>
          <w:tcPr>
            <w:tcW w:w="1701" w:type="dxa"/>
            <w:tcBorders>
              <w:top w:val="single" w:sz="12" w:space="0" w:color="auto"/>
              <w:bottom w:val="single" w:sz="8" w:space="0" w:color="auto"/>
            </w:tcBorders>
            <w:shd w:val="clear" w:color="auto" w:fill="FAF0FA"/>
            <w:vAlign w:val="center"/>
          </w:tcPr>
          <w:p w:rsidR="0049577B" w:rsidRPr="00B40DC1" w:rsidRDefault="0049577B" w:rsidP="00A66DFC">
            <w:pPr>
              <w:spacing w:line="240" w:lineRule="auto"/>
              <w:ind w:leftChars="0" w:left="0" w:rightChars="0" w:right="0"/>
              <w:jc w:val="center"/>
            </w:pPr>
            <w:r w:rsidRPr="00B40DC1">
              <w:t>大陸及港澳地區</w:t>
            </w:r>
          </w:p>
        </w:tc>
        <w:tc>
          <w:tcPr>
            <w:tcW w:w="1701" w:type="dxa"/>
            <w:tcBorders>
              <w:top w:val="single" w:sz="12" w:space="0" w:color="auto"/>
              <w:bottom w:val="single" w:sz="8" w:space="0" w:color="auto"/>
            </w:tcBorders>
            <w:shd w:val="clear" w:color="auto" w:fill="FAF0FA"/>
            <w:vAlign w:val="center"/>
          </w:tcPr>
          <w:p w:rsidR="0049577B" w:rsidRPr="00B40DC1" w:rsidRDefault="0049577B" w:rsidP="00A66DFC">
            <w:pPr>
              <w:spacing w:line="240" w:lineRule="auto"/>
              <w:ind w:leftChars="0" w:left="0" w:rightChars="0" w:right="0"/>
              <w:jc w:val="center"/>
            </w:pPr>
            <w:r w:rsidRPr="00B40DC1">
              <w:t>其他國家</w:t>
            </w:r>
          </w:p>
        </w:tc>
        <w:tc>
          <w:tcPr>
            <w:tcW w:w="1701" w:type="dxa"/>
            <w:tcBorders>
              <w:top w:val="single" w:sz="12" w:space="0" w:color="auto"/>
              <w:bottom w:val="single" w:sz="8" w:space="0" w:color="auto"/>
            </w:tcBorders>
            <w:shd w:val="clear" w:color="auto" w:fill="FAF0FA"/>
            <w:vAlign w:val="center"/>
          </w:tcPr>
          <w:p w:rsidR="0049577B" w:rsidRPr="00B40DC1" w:rsidRDefault="0049577B" w:rsidP="00A66DFC">
            <w:pPr>
              <w:spacing w:line="240" w:lineRule="auto"/>
              <w:ind w:leftChars="0" w:left="0" w:rightChars="0" w:right="0"/>
              <w:jc w:val="center"/>
            </w:pPr>
            <w:r w:rsidRPr="00B40DC1">
              <w:t>總和</w:t>
            </w:r>
          </w:p>
        </w:tc>
      </w:tr>
      <w:tr w:rsidR="0049577B" w:rsidRPr="00B40DC1" w:rsidTr="00A66DFC">
        <w:tc>
          <w:tcPr>
            <w:tcW w:w="155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非常有困擾</w:t>
            </w:r>
          </w:p>
        </w:tc>
        <w:tc>
          <w:tcPr>
            <w:tcW w:w="1276"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次數</w:t>
            </w:r>
          </w:p>
        </w:tc>
        <w:tc>
          <w:tcPr>
            <w:tcW w:w="1701"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3</w:t>
            </w:r>
          </w:p>
        </w:tc>
        <w:tc>
          <w:tcPr>
            <w:tcW w:w="1701"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5</w:t>
            </w:r>
          </w:p>
        </w:tc>
        <w:tc>
          <w:tcPr>
            <w:tcW w:w="1701"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0</w:t>
            </w:r>
          </w:p>
        </w:tc>
        <w:tc>
          <w:tcPr>
            <w:tcW w:w="1701"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8</w:t>
            </w:r>
          </w:p>
        </w:tc>
      </w:tr>
      <w:tr w:rsidR="0049577B" w:rsidRPr="00B40DC1" w:rsidTr="00A66DFC">
        <w:tc>
          <w:tcPr>
            <w:tcW w:w="1559" w:type="dxa"/>
            <w:vMerge/>
            <w:vAlign w:val="center"/>
          </w:tcPr>
          <w:p w:rsidR="0049577B" w:rsidRPr="00B40DC1" w:rsidRDefault="0049577B" w:rsidP="00A66DFC">
            <w:pPr>
              <w:spacing w:line="240" w:lineRule="auto"/>
              <w:ind w:leftChars="0" w:left="0" w:rightChars="0" w:right="0"/>
            </w:pPr>
          </w:p>
        </w:tc>
        <w:tc>
          <w:tcPr>
            <w:tcW w:w="1276" w:type="dxa"/>
            <w:vAlign w:val="center"/>
          </w:tcPr>
          <w:p w:rsidR="0049577B" w:rsidRPr="00B40DC1" w:rsidRDefault="0049577B" w:rsidP="00A66DFC">
            <w:pPr>
              <w:spacing w:line="240" w:lineRule="auto"/>
              <w:ind w:leftChars="0" w:left="0" w:rightChars="0" w:right="0"/>
              <w:jc w:val="center"/>
            </w:pPr>
            <w:r w:rsidRPr="00B40DC1">
              <w:t>百分比</w:t>
            </w:r>
          </w:p>
        </w:tc>
        <w:tc>
          <w:tcPr>
            <w:tcW w:w="1701" w:type="dxa"/>
            <w:vAlign w:val="center"/>
          </w:tcPr>
          <w:p w:rsidR="0049577B" w:rsidRPr="00B40DC1" w:rsidRDefault="0049577B" w:rsidP="00A66DFC">
            <w:pPr>
              <w:spacing w:line="240" w:lineRule="auto"/>
              <w:ind w:leftChars="0" w:left="0" w:rightChars="0" w:right="0"/>
              <w:jc w:val="center"/>
            </w:pPr>
            <w:r w:rsidRPr="00B40DC1">
              <w:t>0.70%</w:t>
            </w:r>
          </w:p>
        </w:tc>
        <w:tc>
          <w:tcPr>
            <w:tcW w:w="1701" w:type="dxa"/>
            <w:vAlign w:val="center"/>
          </w:tcPr>
          <w:p w:rsidR="0049577B" w:rsidRPr="00B40DC1" w:rsidRDefault="0049577B" w:rsidP="00A66DFC">
            <w:pPr>
              <w:spacing w:line="240" w:lineRule="auto"/>
              <w:ind w:leftChars="0" w:left="0" w:rightChars="0" w:right="0"/>
              <w:jc w:val="center"/>
            </w:pPr>
            <w:r w:rsidRPr="00B40DC1">
              <w:t>0.50%</w:t>
            </w:r>
          </w:p>
        </w:tc>
        <w:tc>
          <w:tcPr>
            <w:tcW w:w="1701" w:type="dxa"/>
            <w:vAlign w:val="center"/>
          </w:tcPr>
          <w:p w:rsidR="0049577B" w:rsidRPr="00B40DC1" w:rsidRDefault="0049577B" w:rsidP="00A66DFC">
            <w:pPr>
              <w:spacing w:line="240" w:lineRule="auto"/>
              <w:ind w:leftChars="0" w:left="0" w:rightChars="0" w:right="0"/>
              <w:jc w:val="center"/>
            </w:pPr>
            <w:r w:rsidRPr="00B40DC1">
              <w:t>0.00%</w:t>
            </w:r>
          </w:p>
        </w:tc>
        <w:tc>
          <w:tcPr>
            <w:tcW w:w="1701" w:type="dxa"/>
            <w:vAlign w:val="center"/>
          </w:tcPr>
          <w:p w:rsidR="0049577B" w:rsidRPr="00B40DC1" w:rsidRDefault="0049577B" w:rsidP="00A66DFC">
            <w:pPr>
              <w:spacing w:line="240" w:lineRule="auto"/>
              <w:ind w:leftChars="0" w:left="0" w:rightChars="0" w:right="0"/>
              <w:jc w:val="center"/>
            </w:pPr>
            <w:r w:rsidRPr="00B40DC1">
              <w:t>0.60%</w:t>
            </w:r>
          </w:p>
        </w:tc>
      </w:tr>
      <w:tr w:rsidR="0049577B" w:rsidRPr="00B40DC1" w:rsidTr="00A66DFC">
        <w:tc>
          <w:tcPr>
            <w:tcW w:w="1559" w:type="dxa"/>
            <w:vMerge w:val="restart"/>
            <w:vAlign w:val="center"/>
          </w:tcPr>
          <w:p w:rsidR="0049577B" w:rsidRPr="00B40DC1" w:rsidRDefault="0049577B" w:rsidP="00A66DFC">
            <w:pPr>
              <w:spacing w:line="240" w:lineRule="auto"/>
              <w:ind w:leftChars="0" w:left="0" w:rightChars="0" w:right="0"/>
            </w:pPr>
            <w:r w:rsidRPr="00B40DC1">
              <w:t>有點困擾</w:t>
            </w:r>
          </w:p>
        </w:tc>
        <w:tc>
          <w:tcPr>
            <w:tcW w:w="1276" w:type="dxa"/>
            <w:vAlign w:val="center"/>
          </w:tcPr>
          <w:p w:rsidR="0049577B" w:rsidRPr="00B40DC1" w:rsidRDefault="0049577B" w:rsidP="00A66DFC">
            <w:pPr>
              <w:spacing w:line="240" w:lineRule="auto"/>
              <w:ind w:leftChars="0" w:left="0" w:rightChars="0" w:right="0"/>
              <w:jc w:val="center"/>
            </w:pPr>
            <w:r w:rsidRPr="00B40DC1">
              <w:t>次數</w:t>
            </w:r>
          </w:p>
        </w:tc>
        <w:tc>
          <w:tcPr>
            <w:tcW w:w="1701" w:type="dxa"/>
            <w:vAlign w:val="center"/>
          </w:tcPr>
          <w:p w:rsidR="0049577B" w:rsidRPr="00B40DC1" w:rsidRDefault="0049577B" w:rsidP="00A66DFC">
            <w:pPr>
              <w:spacing w:line="240" w:lineRule="auto"/>
              <w:ind w:leftChars="0" w:left="0" w:rightChars="0" w:right="0"/>
              <w:jc w:val="center"/>
            </w:pPr>
            <w:r w:rsidRPr="00B40DC1">
              <w:t>16</w:t>
            </w:r>
          </w:p>
        </w:tc>
        <w:tc>
          <w:tcPr>
            <w:tcW w:w="1701" w:type="dxa"/>
            <w:vAlign w:val="center"/>
          </w:tcPr>
          <w:p w:rsidR="0049577B" w:rsidRPr="00B40DC1" w:rsidRDefault="0049577B" w:rsidP="00A66DFC">
            <w:pPr>
              <w:spacing w:line="240" w:lineRule="auto"/>
              <w:ind w:leftChars="0" w:left="0" w:rightChars="0" w:right="0"/>
              <w:jc w:val="center"/>
            </w:pPr>
            <w:r w:rsidRPr="00B40DC1">
              <w:t>45</w:t>
            </w:r>
          </w:p>
        </w:tc>
        <w:tc>
          <w:tcPr>
            <w:tcW w:w="1701" w:type="dxa"/>
            <w:vAlign w:val="center"/>
          </w:tcPr>
          <w:p w:rsidR="0049577B" w:rsidRPr="00B40DC1" w:rsidRDefault="0049577B" w:rsidP="00A66DFC">
            <w:pPr>
              <w:spacing w:line="240" w:lineRule="auto"/>
              <w:ind w:leftChars="0" w:left="0" w:rightChars="0" w:right="0"/>
              <w:jc w:val="center"/>
            </w:pPr>
            <w:r w:rsidRPr="00B40DC1">
              <w:t>2</w:t>
            </w:r>
          </w:p>
        </w:tc>
        <w:tc>
          <w:tcPr>
            <w:tcW w:w="1701" w:type="dxa"/>
            <w:vAlign w:val="center"/>
          </w:tcPr>
          <w:p w:rsidR="0049577B" w:rsidRPr="00B40DC1" w:rsidRDefault="0049577B" w:rsidP="00A66DFC">
            <w:pPr>
              <w:spacing w:line="240" w:lineRule="auto"/>
              <w:ind w:leftChars="0" w:left="0" w:rightChars="0" w:right="0"/>
              <w:jc w:val="center"/>
            </w:pPr>
            <w:r w:rsidRPr="00B40DC1">
              <w:t>63</w:t>
            </w:r>
          </w:p>
        </w:tc>
      </w:tr>
      <w:tr w:rsidR="0049577B" w:rsidRPr="00B40DC1" w:rsidTr="00A66DFC">
        <w:tc>
          <w:tcPr>
            <w:tcW w:w="1559" w:type="dxa"/>
            <w:vMerge/>
            <w:vAlign w:val="center"/>
          </w:tcPr>
          <w:p w:rsidR="0049577B" w:rsidRPr="00B40DC1" w:rsidRDefault="0049577B" w:rsidP="00A66DFC">
            <w:pPr>
              <w:spacing w:line="240" w:lineRule="auto"/>
              <w:ind w:leftChars="0" w:left="0" w:rightChars="0" w:right="0"/>
            </w:pPr>
          </w:p>
        </w:tc>
        <w:tc>
          <w:tcPr>
            <w:tcW w:w="1276" w:type="dxa"/>
            <w:vAlign w:val="center"/>
          </w:tcPr>
          <w:p w:rsidR="0049577B" w:rsidRPr="00B40DC1" w:rsidRDefault="0049577B" w:rsidP="00A66DFC">
            <w:pPr>
              <w:spacing w:line="240" w:lineRule="auto"/>
              <w:ind w:leftChars="0" w:left="0" w:rightChars="0" w:right="0"/>
              <w:jc w:val="center"/>
            </w:pPr>
            <w:r w:rsidRPr="00B40DC1">
              <w:t>百分比</w:t>
            </w:r>
          </w:p>
        </w:tc>
        <w:tc>
          <w:tcPr>
            <w:tcW w:w="1701" w:type="dxa"/>
            <w:vAlign w:val="center"/>
          </w:tcPr>
          <w:p w:rsidR="0049577B" w:rsidRPr="00B40DC1" w:rsidRDefault="0049577B" w:rsidP="00A66DFC">
            <w:pPr>
              <w:spacing w:line="240" w:lineRule="auto"/>
              <w:ind w:leftChars="0" w:left="0" w:rightChars="0" w:right="0"/>
              <w:jc w:val="center"/>
            </w:pPr>
            <w:r w:rsidRPr="00B40DC1">
              <w:t>3.60%</w:t>
            </w:r>
          </w:p>
        </w:tc>
        <w:tc>
          <w:tcPr>
            <w:tcW w:w="1701" w:type="dxa"/>
            <w:vAlign w:val="center"/>
          </w:tcPr>
          <w:p w:rsidR="0049577B" w:rsidRPr="00B40DC1" w:rsidRDefault="0049577B" w:rsidP="00A66DFC">
            <w:pPr>
              <w:spacing w:line="240" w:lineRule="auto"/>
              <w:ind w:leftChars="0" w:left="0" w:rightChars="0" w:right="0"/>
              <w:jc w:val="center"/>
            </w:pPr>
            <w:r w:rsidRPr="00B40DC1">
              <w:t>4.90%</w:t>
            </w:r>
          </w:p>
        </w:tc>
        <w:tc>
          <w:tcPr>
            <w:tcW w:w="1701" w:type="dxa"/>
            <w:vAlign w:val="center"/>
          </w:tcPr>
          <w:p w:rsidR="0049577B" w:rsidRPr="00B40DC1" w:rsidRDefault="0049577B" w:rsidP="00A66DFC">
            <w:pPr>
              <w:spacing w:line="240" w:lineRule="auto"/>
              <w:ind w:leftChars="0" w:left="0" w:rightChars="0" w:right="0"/>
              <w:jc w:val="center"/>
            </w:pPr>
            <w:r w:rsidRPr="00B40DC1">
              <w:t>4.90%</w:t>
            </w:r>
          </w:p>
        </w:tc>
        <w:tc>
          <w:tcPr>
            <w:tcW w:w="1701" w:type="dxa"/>
            <w:vAlign w:val="center"/>
          </w:tcPr>
          <w:p w:rsidR="0049577B" w:rsidRPr="00B40DC1" w:rsidRDefault="0049577B" w:rsidP="00A66DFC">
            <w:pPr>
              <w:spacing w:line="240" w:lineRule="auto"/>
              <w:ind w:leftChars="0" w:left="0" w:rightChars="0" w:right="0"/>
              <w:jc w:val="center"/>
            </w:pPr>
            <w:r w:rsidRPr="00B40DC1">
              <w:t>4.40%</w:t>
            </w:r>
          </w:p>
        </w:tc>
      </w:tr>
      <w:tr w:rsidR="0049577B" w:rsidRPr="00B40DC1" w:rsidTr="00A66DFC">
        <w:tc>
          <w:tcPr>
            <w:tcW w:w="1559" w:type="dxa"/>
            <w:vMerge w:val="restart"/>
            <w:vAlign w:val="center"/>
          </w:tcPr>
          <w:p w:rsidR="0049577B" w:rsidRPr="00B40DC1" w:rsidRDefault="0049577B" w:rsidP="00A66DFC">
            <w:pPr>
              <w:spacing w:line="240" w:lineRule="auto"/>
              <w:ind w:leftChars="0" w:left="0" w:rightChars="0" w:right="0"/>
            </w:pPr>
            <w:r w:rsidRPr="00B40DC1">
              <w:t>普通</w:t>
            </w:r>
          </w:p>
        </w:tc>
        <w:tc>
          <w:tcPr>
            <w:tcW w:w="1276" w:type="dxa"/>
            <w:vAlign w:val="center"/>
          </w:tcPr>
          <w:p w:rsidR="0049577B" w:rsidRPr="00B40DC1" w:rsidRDefault="0049577B" w:rsidP="00A66DFC">
            <w:pPr>
              <w:spacing w:line="240" w:lineRule="auto"/>
              <w:ind w:leftChars="0" w:left="0" w:rightChars="0" w:right="0"/>
              <w:jc w:val="center"/>
            </w:pPr>
            <w:r w:rsidRPr="00B40DC1">
              <w:t>次數</w:t>
            </w:r>
          </w:p>
        </w:tc>
        <w:tc>
          <w:tcPr>
            <w:tcW w:w="1701" w:type="dxa"/>
            <w:vAlign w:val="center"/>
          </w:tcPr>
          <w:p w:rsidR="0049577B" w:rsidRPr="00B40DC1" w:rsidRDefault="0049577B" w:rsidP="00A66DFC">
            <w:pPr>
              <w:spacing w:line="240" w:lineRule="auto"/>
              <w:ind w:leftChars="0" w:left="0" w:rightChars="0" w:right="0"/>
              <w:jc w:val="center"/>
            </w:pPr>
            <w:r w:rsidRPr="00B40DC1">
              <w:t>57</w:t>
            </w:r>
          </w:p>
        </w:tc>
        <w:tc>
          <w:tcPr>
            <w:tcW w:w="1701" w:type="dxa"/>
            <w:vAlign w:val="center"/>
          </w:tcPr>
          <w:p w:rsidR="0049577B" w:rsidRPr="00B40DC1" w:rsidRDefault="0049577B" w:rsidP="00A66DFC">
            <w:pPr>
              <w:spacing w:line="240" w:lineRule="auto"/>
              <w:ind w:leftChars="0" w:left="0" w:rightChars="0" w:right="0"/>
              <w:jc w:val="center"/>
            </w:pPr>
            <w:r w:rsidRPr="00B40DC1">
              <w:t>90</w:t>
            </w:r>
          </w:p>
        </w:tc>
        <w:tc>
          <w:tcPr>
            <w:tcW w:w="1701" w:type="dxa"/>
            <w:vAlign w:val="center"/>
          </w:tcPr>
          <w:p w:rsidR="0049577B" w:rsidRPr="00B40DC1" w:rsidRDefault="0049577B" w:rsidP="00A66DFC">
            <w:pPr>
              <w:spacing w:line="240" w:lineRule="auto"/>
              <w:ind w:leftChars="0" w:left="0" w:rightChars="0" w:right="0"/>
              <w:jc w:val="center"/>
            </w:pPr>
            <w:r w:rsidRPr="00B40DC1">
              <w:t>1</w:t>
            </w:r>
          </w:p>
        </w:tc>
        <w:tc>
          <w:tcPr>
            <w:tcW w:w="1701" w:type="dxa"/>
            <w:vAlign w:val="center"/>
          </w:tcPr>
          <w:p w:rsidR="0049577B" w:rsidRPr="00B40DC1" w:rsidRDefault="0049577B" w:rsidP="00A66DFC">
            <w:pPr>
              <w:spacing w:line="240" w:lineRule="auto"/>
              <w:ind w:leftChars="0" w:left="0" w:rightChars="0" w:right="0"/>
              <w:jc w:val="center"/>
            </w:pPr>
            <w:r w:rsidRPr="00B40DC1">
              <w:t>148</w:t>
            </w:r>
          </w:p>
        </w:tc>
      </w:tr>
      <w:tr w:rsidR="0049577B" w:rsidRPr="00B40DC1" w:rsidTr="00A66DFC">
        <w:tc>
          <w:tcPr>
            <w:tcW w:w="1559" w:type="dxa"/>
            <w:vMerge/>
            <w:vAlign w:val="center"/>
          </w:tcPr>
          <w:p w:rsidR="0049577B" w:rsidRPr="00B40DC1" w:rsidRDefault="0049577B" w:rsidP="00A66DFC">
            <w:pPr>
              <w:spacing w:line="240" w:lineRule="auto"/>
              <w:ind w:leftChars="0" w:left="0" w:rightChars="0" w:right="0"/>
            </w:pPr>
          </w:p>
        </w:tc>
        <w:tc>
          <w:tcPr>
            <w:tcW w:w="1276" w:type="dxa"/>
            <w:vAlign w:val="center"/>
          </w:tcPr>
          <w:p w:rsidR="0049577B" w:rsidRPr="00B40DC1" w:rsidRDefault="0049577B" w:rsidP="00A66DFC">
            <w:pPr>
              <w:spacing w:line="240" w:lineRule="auto"/>
              <w:ind w:leftChars="0" w:left="0" w:rightChars="0" w:right="0"/>
              <w:jc w:val="center"/>
            </w:pPr>
            <w:r w:rsidRPr="00B40DC1">
              <w:t>百分比</w:t>
            </w:r>
          </w:p>
        </w:tc>
        <w:tc>
          <w:tcPr>
            <w:tcW w:w="1701" w:type="dxa"/>
            <w:vAlign w:val="center"/>
          </w:tcPr>
          <w:p w:rsidR="0049577B" w:rsidRPr="00B40DC1" w:rsidRDefault="0049577B" w:rsidP="00A66DFC">
            <w:pPr>
              <w:spacing w:line="240" w:lineRule="auto"/>
              <w:ind w:leftChars="0" w:left="0" w:rightChars="0" w:right="0"/>
              <w:jc w:val="center"/>
            </w:pPr>
            <w:r w:rsidRPr="00B40DC1">
              <w:t>12.70%</w:t>
            </w:r>
          </w:p>
        </w:tc>
        <w:tc>
          <w:tcPr>
            <w:tcW w:w="1701" w:type="dxa"/>
            <w:vAlign w:val="center"/>
          </w:tcPr>
          <w:p w:rsidR="0049577B" w:rsidRPr="00B40DC1" w:rsidRDefault="0049577B" w:rsidP="00A66DFC">
            <w:pPr>
              <w:spacing w:line="240" w:lineRule="auto"/>
              <w:ind w:leftChars="0" w:left="0" w:rightChars="0" w:right="0"/>
              <w:jc w:val="center"/>
            </w:pPr>
            <w:r w:rsidRPr="00B40DC1">
              <w:t>9.70%</w:t>
            </w:r>
          </w:p>
        </w:tc>
        <w:tc>
          <w:tcPr>
            <w:tcW w:w="1701" w:type="dxa"/>
            <w:vAlign w:val="center"/>
          </w:tcPr>
          <w:p w:rsidR="0049577B" w:rsidRPr="00B40DC1" w:rsidRDefault="0049577B" w:rsidP="00A66DFC">
            <w:pPr>
              <w:spacing w:line="240" w:lineRule="auto"/>
              <w:ind w:leftChars="0" w:left="0" w:rightChars="0" w:right="0"/>
              <w:jc w:val="center"/>
            </w:pPr>
            <w:r w:rsidRPr="00B40DC1">
              <w:t>2.40%</w:t>
            </w:r>
          </w:p>
        </w:tc>
        <w:tc>
          <w:tcPr>
            <w:tcW w:w="1701" w:type="dxa"/>
            <w:vAlign w:val="center"/>
          </w:tcPr>
          <w:p w:rsidR="0049577B" w:rsidRPr="00B40DC1" w:rsidRDefault="0049577B" w:rsidP="00A66DFC">
            <w:pPr>
              <w:spacing w:line="240" w:lineRule="auto"/>
              <w:ind w:leftChars="0" w:left="0" w:rightChars="0" w:right="0"/>
              <w:jc w:val="center"/>
            </w:pPr>
            <w:r w:rsidRPr="00B40DC1">
              <w:t>10.50%</w:t>
            </w:r>
          </w:p>
        </w:tc>
      </w:tr>
      <w:tr w:rsidR="0049577B" w:rsidRPr="00B40DC1" w:rsidTr="00A66DFC">
        <w:tc>
          <w:tcPr>
            <w:tcW w:w="1559" w:type="dxa"/>
            <w:vMerge w:val="restart"/>
            <w:vAlign w:val="center"/>
          </w:tcPr>
          <w:p w:rsidR="0049577B" w:rsidRPr="00B40DC1" w:rsidRDefault="0049577B" w:rsidP="00A66DFC">
            <w:pPr>
              <w:spacing w:line="240" w:lineRule="auto"/>
              <w:ind w:leftChars="0" w:left="0" w:rightChars="0" w:right="0"/>
            </w:pPr>
            <w:r w:rsidRPr="00B40DC1">
              <w:t>沒有困擾</w:t>
            </w:r>
          </w:p>
        </w:tc>
        <w:tc>
          <w:tcPr>
            <w:tcW w:w="1276" w:type="dxa"/>
            <w:vAlign w:val="center"/>
          </w:tcPr>
          <w:p w:rsidR="0049577B" w:rsidRPr="00B40DC1" w:rsidRDefault="0049577B" w:rsidP="00A66DFC">
            <w:pPr>
              <w:spacing w:line="240" w:lineRule="auto"/>
              <w:ind w:leftChars="0" w:left="0" w:rightChars="0" w:right="0"/>
              <w:jc w:val="center"/>
            </w:pPr>
            <w:r w:rsidRPr="00B40DC1">
              <w:t>次數</w:t>
            </w:r>
          </w:p>
        </w:tc>
        <w:tc>
          <w:tcPr>
            <w:tcW w:w="1701" w:type="dxa"/>
            <w:vAlign w:val="center"/>
          </w:tcPr>
          <w:p w:rsidR="0049577B" w:rsidRPr="00B40DC1" w:rsidRDefault="0049577B" w:rsidP="00A66DFC">
            <w:pPr>
              <w:spacing w:line="240" w:lineRule="auto"/>
              <w:ind w:leftChars="0" w:left="0" w:rightChars="0" w:right="0"/>
              <w:jc w:val="center"/>
            </w:pPr>
            <w:r w:rsidRPr="00B40DC1">
              <w:t>374</w:t>
            </w:r>
          </w:p>
        </w:tc>
        <w:tc>
          <w:tcPr>
            <w:tcW w:w="1701" w:type="dxa"/>
            <w:vAlign w:val="center"/>
          </w:tcPr>
          <w:p w:rsidR="0049577B" w:rsidRPr="00B40DC1" w:rsidRDefault="0049577B" w:rsidP="00A66DFC">
            <w:pPr>
              <w:spacing w:line="240" w:lineRule="auto"/>
              <w:ind w:leftChars="0" w:left="0" w:rightChars="0" w:right="0"/>
              <w:jc w:val="center"/>
            </w:pPr>
            <w:r w:rsidRPr="00B40DC1">
              <w:t>785</w:t>
            </w:r>
          </w:p>
        </w:tc>
        <w:tc>
          <w:tcPr>
            <w:tcW w:w="1701" w:type="dxa"/>
            <w:vAlign w:val="center"/>
          </w:tcPr>
          <w:p w:rsidR="0049577B" w:rsidRPr="00B40DC1" w:rsidRDefault="0049577B" w:rsidP="00A66DFC">
            <w:pPr>
              <w:spacing w:line="240" w:lineRule="auto"/>
              <w:ind w:leftChars="0" w:left="0" w:rightChars="0" w:right="0"/>
              <w:jc w:val="center"/>
            </w:pPr>
            <w:r w:rsidRPr="00B40DC1">
              <w:t>38</w:t>
            </w:r>
          </w:p>
        </w:tc>
        <w:tc>
          <w:tcPr>
            <w:tcW w:w="1701" w:type="dxa"/>
            <w:vAlign w:val="center"/>
          </w:tcPr>
          <w:p w:rsidR="0049577B" w:rsidRPr="00B40DC1" w:rsidRDefault="0049577B" w:rsidP="00A66DFC">
            <w:pPr>
              <w:spacing w:line="240" w:lineRule="auto"/>
              <w:ind w:leftChars="0" w:left="0" w:rightChars="0" w:right="0"/>
              <w:jc w:val="center"/>
            </w:pPr>
            <w:r w:rsidRPr="00B40DC1">
              <w:t>1197</w:t>
            </w:r>
          </w:p>
        </w:tc>
      </w:tr>
      <w:tr w:rsidR="0049577B" w:rsidRPr="00B40DC1" w:rsidTr="00A66DFC">
        <w:tc>
          <w:tcPr>
            <w:tcW w:w="1559" w:type="dxa"/>
            <w:vMerge/>
            <w:vAlign w:val="center"/>
          </w:tcPr>
          <w:p w:rsidR="0049577B" w:rsidRPr="00B40DC1" w:rsidRDefault="0049577B" w:rsidP="00A66DFC">
            <w:pPr>
              <w:spacing w:line="240" w:lineRule="auto"/>
              <w:ind w:leftChars="0" w:left="0" w:rightChars="0" w:right="0"/>
            </w:pPr>
          </w:p>
        </w:tc>
        <w:tc>
          <w:tcPr>
            <w:tcW w:w="1276" w:type="dxa"/>
            <w:vAlign w:val="center"/>
          </w:tcPr>
          <w:p w:rsidR="0049577B" w:rsidRPr="00B40DC1" w:rsidRDefault="0049577B" w:rsidP="00A66DFC">
            <w:pPr>
              <w:spacing w:line="240" w:lineRule="auto"/>
              <w:ind w:leftChars="0" w:left="0" w:rightChars="0" w:right="0"/>
              <w:jc w:val="center"/>
            </w:pPr>
            <w:r w:rsidRPr="00B40DC1">
              <w:t>百分比</w:t>
            </w:r>
          </w:p>
        </w:tc>
        <w:tc>
          <w:tcPr>
            <w:tcW w:w="1701" w:type="dxa"/>
            <w:vAlign w:val="center"/>
          </w:tcPr>
          <w:p w:rsidR="0049577B" w:rsidRPr="00B40DC1" w:rsidRDefault="0049577B" w:rsidP="00A66DFC">
            <w:pPr>
              <w:spacing w:line="240" w:lineRule="auto"/>
              <w:ind w:leftChars="0" w:left="0" w:rightChars="0" w:right="0"/>
              <w:jc w:val="center"/>
            </w:pPr>
            <w:r w:rsidRPr="00B40DC1">
              <w:t>83.10%</w:t>
            </w:r>
          </w:p>
        </w:tc>
        <w:tc>
          <w:tcPr>
            <w:tcW w:w="1701" w:type="dxa"/>
            <w:vAlign w:val="center"/>
          </w:tcPr>
          <w:p w:rsidR="0049577B" w:rsidRPr="00B40DC1" w:rsidRDefault="0049577B" w:rsidP="00A66DFC">
            <w:pPr>
              <w:spacing w:line="240" w:lineRule="auto"/>
              <w:ind w:leftChars="0" w:left="0" w:rightChars="0" w:right="0"/>
              <w:jc w:val="center"/>
            </w:pPr>
            <w:r w:rsidRPr="00B40DC1">
              <w:t>84.90%</w:t>
            </w:r>
          </w:p>
        </w:tc>
        <w:tc>
          <w:tcPr>
            <w:tcW w:w="1701" w:type="dxa"/>
            <w:vAlign w:val="center"/>
          </w:tcPr>
          <w:p w:rsidR="0049577B" w:rsidRPr="00B40DC1" w:rsidRDefault="0049577B" w:rsidP="00A66DFC">
            <w:pPr>
              <w:spacing w:line="240" w:lineRule="auto"/>
              <w:ind w:leftChars="0" w:left="0" w:rightChars="0" w:right="0"/>
              <w:jc w:val="center"/>
            </w:pPr>
            <w:r w:rsidRPr="00B40DC1">
              <w:t>92.70%</w:t>
            </w:r>
          </w:p>
        </w:tc>
        <w:tc>
          <w:tcPr>
            <w:tcW w:w="1701" w:type="dxa"/>
            <w:vAlign w:val="center"/>
          </w:tcPr>
          <w:p w:rsidR="0049577B" w:rsidRPr="00B40DC1" w:rsidRDefault="0049577B" w:rsidP="00A66DFC">
            <w:pPr>
              <w:spacing w:line="240" w:lineRule="auto"/>
              <w:ind w:leftChars="0" w:left="0" w:rightChars="0" w:right="0"/>
              <w:jc w:val="center"/>
            </w:pPr>
            <w:r w:rsidRPr="00B40DC1">
              <w:t>84.50%</w:t>
            </w:r>
          </w:p>
        </w:tc>
      </w:tr>
      <w:tr w:rsidR="0049577B" w:rsidRPr="00B40DC1" w:rsidTr="00A66DFC">
        <w:tc>
          <w:tcPr>
            <w:tcW w:w="1559" w:type="dxa"/>
            <w:vMerge w:val="restart"/>
            <w:vAlign w:val="center"/>
          </w:tcPr>
          <w:p w:rsidR="0049577B" w:rsidRPr="00B40DC1" w:rsidRDefault="0049577B" w:rsidP="00A66DFC">
            <w:pPr>
              <w:spacing w:line="240" w:lineRule="auto"/>
              <w:ind w:leftChars="0" w:left="0" w:rightChars="0" w:right="0"/>
            </w:pPr>
            <w:r w:rsidRPr="00B40DC1">
              <w:t>總和</w:t>
            </w:r>
          </w:p>
        </w:tc>
        <w:tc>
          <w:tcPr>
            <w:tcW w:w="1276" w:type="dxa"/>
            <w:vAlign w:val="center"/>
          </w:tcPr>
          <w:p w:rsidR="0049577B" w:rsidRPr="00B40DC1" w:rsidRDefault="0049577B" w:rsidP="00A66DFC">
            <w:pPr>
              <w:spacing w:line="240" w:lineRule="auto"/>
              <w:ind w:leftChars="0" w:left="0" w:rightChars="0" w:right="0"/>
              <w:jc w:val="center"/>
            </w:pPr>
            <w:r w:rsidRPr="00B40DC1">
              <w:t>次數</w:t>
            </w:r>
          </w:p>
        </w:tc>
        <w:tc>
          <w:tcPr>
            <w:tcW w:w="1701" w:type="dxa"/>
            <w:vAlign w:val="center"/>
          </w:tcPr>
          <w:p w:rsidR="0049577B" w:rsidRPr="00B40DC1" w:rsidRDefault="0049577B" w:rsidP="00A66DFC">
            <w:pPr>
              <w:spacing w:line="240" w:lineRule="auto"/>
              <w:ind w:leftChars="0" w:left="0" w:rightChars="0" w:right="0"/>
              <w:jc w:val="center"/>
            </w:pPr>
            <w:r w:rsidRPr="00B40DC1">
              <w:t>450</w:t>
            </w:r>
          </w:p>
        </w:tc>
        <w:tc>
          <w:tcPr>
            <w:tcW w:w="1701" w:type="dxa"/>
            <w:vAlign w:val="center"/>
          </w:tcPr>
          <w:p w:rsidR="0049577B" w:rsidRPr="00B40DC1" w:rsidRDefault="0049577B" w:rsidP="00A66DFC">
            <w:pPr>
              <w:spacing w:line="240" w:lineRule="auto"/>
              <w:ind w:leftChars="0" w:left="0" w:rightChars="0" w:right="0"/>
              <w:jc w:val="center"/>
            </w:pPr>
            <w:r w:rsidRPr="00B40DC1">
              <w:t>925</w:t>
            </w:r>
          </w:p>
        </w:tc>
        <w:tc>
          <w:tcPr>
            <w:tcW w:w="1701" w:type="dxa"/>
            <w:vAlign w:val="center"/>
          </w:tcPr>
          <w:p w:rsidR="0049577B" w:rsidRPr="00B40DC1" w:rsidRDefault="0049577B" w:rsidP="00A66DFC">
            <w:pPr>
              <w:spacing w:line="240" w:lineRule="auto"/>
              <w:ind w:leftChars="0" w:left="0" w:rightChars="0" w:right="0"/>
              <w:jc w:val="center"/>
            </w:pPr>
            <w:r w:rsidRPr="00B40DC1">
              <w:t>41</w:t>
            </w:r>
          </w:p>
        </w:tc>
        <w:tc>
          <w:tcPr>
            <w:tcW w:w="1701"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c>
          <w:tcPr>
            <w:tcW w:w="1559" w:type="dxa"/>
            <w:vMerge/>
            <w:tcBorders>
              <w:bottom w:val="single" w:sz="8" w:space="0" w:color="auto"/>
            </w:tcBorders>
          </w:tcPr>
          <w:p w:rsidR="0049577B" w:rsidRPr="00B40DC1" w:rsidRDefault="0049577B" w:rsidP="00A66DFC">
            <w:pPr>
              <w:spacing w:line="240" w:lineRule="auto"/>
              <w:ind w:leftChars="0" w:left="0" w:rightChars="0" w:right="0"/>
            </w:pPr>
          </w:p>
        </w:tc>
        <w:tc>
          <w:tcPr>
            <w:tcW w:w="1276" w:type="dxa"/>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百分比</w:t>
            </w:r>
          </w:p>
        </w:tc>
        <w:tc>
          <w:tcPr>
            <w:tcW w:w="1701" w:type="dxa"/>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100.00%</w:t>
            </w:r>
          </w:p>
        </w:tc>
        <w:tc>
          <w:tcPr>
            <w:tcW w:w="1701" w:type="dxa"/>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100.00%</w:t>
            </w:r>
          </w:p>
        </w:tc>
        <w:tc>
          <w:tcPr>
            <w:tcW w:w="1701" w:type="dxa"/>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100.00%</w:t>
            </w:r>
          </w:p>
        </w:tc>
        <w:tc>
          <w:tcPr>
            <w:tcW w:w="1701" w:type="dxa"/>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c>
          <w:tcPr>
            <w:tcW w:w="1559" w:type="dxa"/>
            <w:tcBorders>
              <w:top w:val="single" w:sz="8" w:space="0" w:color="auto"/>
              <w:bottom w:val="single" w:sz="12" w:space="0" w:color="auto"/>
            </w:tcBorders>
          </w:tcPr>
          <w:p w:rsidR="0049577B" w:rsidRPr="00B40DC1" w:rsidRDefault="0049577B" w:rsidP="00A66DFC">
            <w:pPr>
              <w:spacing w:line="240" w:lineRule="auto"/>
              <w:ind w:leftChars="0" w:left="0" w:rightChars="0" w:right="0"/>
            </w:pPr>
            <w:r w:rsidRPr="00B40DC1">
              <w:t>卡方值</w:t>
            </w:r>
          </w:p>
        </w:tc>
        <w:tc>
          <w:tcPr>
            <w:tcW w:w="8080" w:type="dxa"/>
            <w:gridSpan w:val="5"/>
            <w:tcBorders>
              <w:top w:val="single" w:sz="8" w:space="0" w:color="auto"/>
              <w:bottom w:val="single" w:sz="12" w:space="0" w:color="auto"/>
            </w:tcBorders>
            <w:vAlign w:val="center"/>
          </w:tcPr>
          <w:p w:rsidR="0049577B" w:rsidRPr="00B40DC1" w:rsidRDefault="0049577B" w:rsidP="00A66DFC">
            <w:pPr>
              <w:spacing w:line="240" w:lineRule="auto"/>
              <w:ind w:leftChars="0" w:left="0" w:rightChars="0" w:right="0"/>
            </w:pPr>
            <w:r w:rsidRPr="00B40DC1">
              <w:t>χ</w:t>
            </w:r>
            <w:r w:rsidRPr="00B40DC1">
              <w:rPr>
                <w:vertAlign w:val="superscript"/>
              </w:rPr>
              <w:t>2</w:t>
            </w:r>
            <w:r w:rsidRPr="00B40DC1">
              <w:t>=7.04；df=6；p&gt;0.05</w:t>
            </w:r>
          </w:p>
        </w:tc>
      </w:tr>
    </w:tbl>
    <w:p w:rsidR="0049577B" w:rsidRDefault="00817A92" w:rsidP="00A66DFC">
      <w:pPr>
        <w:spacing w:line="240" w:lineRule="auto"/>
        <w:ind w:leftChars="0" w:left="0" w:rightChars="0" w:right="0"/>
      </w:pPr>
      <w:r>
        <w:t>【資料來源】</w:t>
      </w:r>
      <w:r w:rsidR="0049577B" w:rsidRPr="00B40DC1">
        <w:t>作者自行製作。</w:t>
      </w:r>
    </w:p>
    <w:p w:rsidR="005F2716" w:rsidRPr="00B40DC1" w:rsidRDefault="005F2716" w:rsidP="000D26BB"/>
    <w:p w:rsidR="0049577B" w:rsidRPr="00B40DC1" w:rsidRDefault="005F2716" w:rsidP="00A66DFC">
      <w:pPr>
        <w:spacing w:line="240" w:lineRule="auto"/>
        <w:ind w:leftChars="0" w:left="0" w:rightChars="0" w:right="0"/>
      </w:pPr>
      <w:r>
        <w:t xml:space="preserve">　　</w:t>
      </w:r>
      <w:r w:rsidR="0049577B" w:rsidRPr="00B40DC1">
        <w:t>有關新移民與家人溝通困擾的原因方面，本研究進一步透過桃園市新移民服務據點和專業團體的訪談資料顯示：由於文化及風俗習慣上的差異，加上語言溝通障礙，導致新移民與家人溝通上的困難。</w:t>
      </w:r>
    </w:p>
    <w:p w:rsidR="0049577B" w:rsidRPr="00B40DC1" w:rsidRDefault="005F2716" w:rsidP="00A66DFC">
      <w:pPr>
        <w:spacing w:line="240" w:lineRule="auto"/>
        <w:ind w:leftChars="0" w:left="0" w:rightChars="0" w:right="0"/>
      </w:pPr>
      <w:r>
        <w:t xml:space="preserve">　　</w:t>
      </w:r>
      <w:r w:rsidR="0049577B" w:rsidRPr="00B40DC1">
        <w:t>因為新移民來自於國外，</w:t>
      </w:r>
      <w:r w:rsidR="0049577B" w:rsidRPr="00B40DC1">
        <w:rPr>
          <w:u w:val="single"/>
        </w:rPr>
        <w:t>與臺灣的風俗、文化有很大的差別</w:t>
      </w:r>
      <w:r w:rsidR="0049577B" w:rsidRPr="00B40DC1">
        <w:t>，致使他們在與丈夫、家中成員溝通上會出現許多問題，像是婆媳問題、親子教養問題等。(2-4-1)</w:t>
      </w:r>
    </w:p>
    <w:p w:rsidR="0049577B" w:rsidRPr="00B40DC1" w:rsidRDefault="0049577B" w:rsidP="00A66DFC">
      <w:pPr>
        <w:spacing w:line="240" w:lineRule="auto"/>
        <w:ind w:leftChars="0" w:left="0" w:rightChars="0" w:right="0"/>
      </w:pPr>
      <w:r w:rsidRPr="00B40DC1">
        <w:t>婆媳問題比較常見，</w:t>
      </w:r>
      <w:r w:rsidRPr="00B40DC1">
        <w:rPr>
          <w:u w:val="single"/>
        </w:rPr>
        <w:t>語言方面也會出現障礙</w:t>
      </w:r>
      <w:r w:rsidRPr="00B40DC1">
        <w:t>，可能生活上家人間的溝通會不太方便。(5-4-1)</w:t>
      </w:r>
    </w:p>
    <w:p w:rsidR="0049577B" w:rsidRPr="00B40DC1" w:rsidRDefault="005F2716" w:rsidP="00A66DFC">
      <w:pPr>
        <w:spacing w:line="240" w:lineRule="auto"/>
        <w:ind w:leftChars="0" w:left="0" w:rightChars="0" w:right="0"/>
      </w:pPr>
      <w:r>
        <w:t xml:space="preserve">　　</w:t>
      </w:r>
      <w:r w:rsidR="0049577B" w:rsidRPr="00B40DC1">
        <w:t>不論是外籍或是陸籍配偶，我覺得</w:t>
      </w:r>
      <w:r w:rsidR="0049577B" w:rsidRPr="00B40DC1">
        <w:rPr>
          <w:u w:val="single"/>
        </w:rPr>
        <w:t>文化差異比較會產生問題</w:t>
      </w:r>
      <w:r w:rsidR="0049577B" w:rsidRPr="00B40DC1">
        <w:t>，-----主要都是家庭成員的溝通問題。(10-4-1)</w:t>
      </w:r>
    </w:p>
    <w:p w:rsidR="0049577B" w:rsidRPr="00B40DC1" w:rsidRDefault="005F2716" w:rsidP="00A66DFC">
      <w:pPr>
        <w:spacing w:line="240" w:lineRule="auto"/>
        <w:ind w:leftChars="0" w:left="0" w:rightChars="0" w:right="0"/>
        <w:rPr>
          <w:spacing w:val="2"/>
          <w:kern w:val="0"/>
        </w:rPr>
      </w:pPr>
      <w:r>
        <w:t xml:space="preserve">　　</w:t>
      </w:r>
      <w:r w:rsidR="0049577B" w:rsidRPr="00B40DC1">
        <w:t>各國</w:t>
      </w:r>
      <w:r w:rsidR="0049577B" w:rsidRPr="00B40DC1">
        <w:rPr>
          <w:u w:val="single"/>
        </w:rPr>
        <w:t>文化及風俗習慣差異性大是最主要的問題</w:t>
      </w:r>
      <w:r w:rsidR="0049577B" w:rsidRPr="00B40DC1">
        <w:t>，因為新移民初來臺灣，語言上無法溝通，加上文化上的不同，致使很多新移民出現適應不良的現象，另外會娶新移民的大多是家庭經濟比較弱勢的男性，在溝通不良的情況下，容易造成隔閡及磨擦。(16-4-1)</w:t>
      </w:r>
    </w:p>
    <w:p w:rsidR="0049577B" w:rsidRPr="00B40DC1" w:rsidRDefault="005F2716" w:rsidP="00A66DFC">
      <w:pPr>
        <w:spacing w:line="240" w:lineRule="auto"/>
        <w:ind w:leftChars="0" w:left="0" w:rightChars="0" w:right="0"/>
      </w:pPr>
      <w:r>
        <w:t xml:space="preserve">　　</w:t>
      </w:r>
      <w:r w:rsidR="0049577B" w:rsidRPr="00B40DC1">
        <w:t>當進一步了解國籍別和受訪者目前在臺生活面臨重大困擾類型之關聯性（參閱表15），發現：國籍別與受訪者在臺生活上所面臨重大困擾類型之關連程度未達統計上的顯著水準（χ</w:t>
      </w:r>
      <w:r w:rsidR="0049577B" w:rsidRPr="00B40DC1">
        <w:rPr>
          <w:vertAlign w:val="superscript"/>
        </w:rPr>
        <w:t>2</w:t>
      </w:r>
      <w:r w:rsidR="0049577B" w:rsidRPr="00B40DC1">
        <w:t>=37.59；df=28；p&gt;0.05），顯示：不會因為受訪者國籍別之不同，而在其生活所面臨的重大困擾類型上有所差異。</w:t>
      </w:r>
    </w:p>
    <w:p w:rsidR="0049577B" w:rsidRPr="00B40DC1" w:rsidRDefault="005F2716" w:rsidP="00A66DFC">
      <w:pPr>
        <w:spacing w:line="240" w:lineRule="auto"/>
        <w:ind w:leftChars="0" w:left="0" w:rightChars="0" w:right="0"/>
      </w:pPr>
      <w:r>
        <w:t xml:space="preserve">　　</w:t>
      </w:r>
      <w:r w:rsidR="0049577B" w:rsidRPr="00B40DC1">
        <w:t>有關新移民在臺生活的重大困擾問題，本研究針對桃園市新移民服務據點和專業團體的訪談資料亦有類似發現。</w:t>
      </w:r>
    </w:p>
    <w:p w:rsidR="0049577B" w:rsidRPr="00B40DC1" w:rsidRDefault="005F2716" w:rsidP="00A66DFC">
      <w:pPr>
        <w:spacing w:line="240" w:lineRule="auto"/>
        <w:ind w:leftChars="0" w:left="0" w:rightChars="0" w:right="0"/>
      </w:pPr>
      <w:r>
        <w:t xml:space="preserve">　　</w:t>
      </w:r>
      <w:r w:rsidR="0049577B" w:rsidRPr="00B40DC1">
        <w:t>第一是</w:t>
      </w:r>
      <w:r w:rsidR="0049577B" w:rsidRPr="00B40DC1">
        <w:rPr>
          <w:u w:val="single"/>
        </w:rPr>
        <w:t>經濟問題</w:t>
      </w:r>
      <w:r w:rsidR="0049577B" w:rsidRPr="00B40DC1">
        <w:t>，-----需要賺錢養家或者是小孩還小需要照顧又或者是公婆需要照顧。-----第二是</w:t>
      </w:r>
      <w:r w:rsidR="0049577B" w:rsidRPr="00B40DC1">
        <w:rPr>
          <w:u w:val="single"/>
        </w:rPr>
        <w:t>婚姻問題</w:t>
      </w:r>
      <w:r w:rsidR="0049577B" w:rsidRPr="00B40DC1">
        <w:t>，像是丈夫外遇、夫妻間溝通不良等。-----第三是</w:t>
      </w:r>
      <w:r w:rsidR="0049577B" w:rsidRPr="00B40DC1">
        <w:rPr>
          <w:u w:val="single"/>
        </w:rPr>
        <w:t>法律相關問題</w:t>
      </w:r>
      <w:r w:rsidR="0049577B" w:rsidRPr="00B40DC1">
        <w:t>，像是新移民的身分證或居留證遭詐騙集團利用作為人頭帳戶的問題，大部分被詐騙的原因是容易相信他人，不懂法律上的規定。(1-4-1)</w:t>
      </w:r>
    </w:p>
    <w:p w:rsidR="0049577B" w:rsidRPr="00B40DC1" w:rsidRDefault="0049577B" w:rsidP="00A66DFC">
      <w:pPr>
        <w:spacing w:line="240" w:lineRule="auto"/>
        <w:ind w:leftChars="0" w:left="0" w:rightChars="0" w:right="0"/>
      </w:pPr>
      <w:r w:rsidRPr="00B40DC1">
        <w:rPr>
          <w:u w:val="single"/>
        </w:rPr>
        <w:t>婆媳問題比較常見</w:t>
      </w:r>
      <w:r w:rsidRPr="00B40DC1">
        <w:t>，語言方面也會出現障礙，可能生活上家人間的溝通會不太方便。</w:t>
      </w:r>
      <w:r w:rsidR="003C1792">
        <w:t>(</w:t>
      </w:r>
      <w:r w:rsidRPr="00B40DC1">
        <w:t>5-4-1)</w:t>
      </w:r>
    </w:p>
    <w:p w:rsidR="0049577B" w:rsidRDefault="005F2716" w:rsidP="00A66DFC">
      <w:pPr>
        <w:spacing w:line="240" w:lineRule="auto"/>
        <w:ind w:leftChars="0" w:left="0" w:rightChars="0" w:right="0"/>
      </w:pPr>
      <w:r>
        <w:t xml:space="preserve">　　</w:t>
      </w:r>
      <w:r w:rsidR="0049577B" w:rsidRPr="00B40DC1">
        <w:t>主要的問題是</w:t>
      </w:r>
      <w:r w:rsidR="0049577B" w:rsidRPr="00B40DC1">
        <w:rPr>
          <w:u w:val="single"/>
        </w:rPr>
        <w:t>新移民生活適應的問題</w:t>
      </w:r>
      <w:r w:rsidR="0049577B" w:rsidRPr="00B40DC1">
        <w:t>，因為新移民來自於不同的國家，在語言文化、生活習慣、風俗民情及環境適應等，有太多的不同，因此在家庭溝通相處上一定會遇到很多的問題-----。第二是</w:t>
      </w:r>
      <w:r w:rsidR="0049577B" w:rsidRPr="00B40DC1">
        <w:rPr>
          <w:u w:val="single"/>
        </w:rPr>
        <w:t>就業問題</w:t>
      </w:r>
      <w:r w:rsidR="0049577B" w:rsidRPr="00B40DC1">
        <w:t>，因為新移民語言及身分的特殊，致使在臺灣從事的工作較低階，像是在工廠當作業員、飲食小吃部當清潔工等，為了賺錢生活，兼差多份工作的情形很多，導致的情形就是目前我們主要關心的對象，小孩教育的問題-----。第三，家庭暴力的問題，普遍來說，因為新移民家庭的男性生活適應能力不佳，在缺乏自信心的情形下，有些會有家庭暴力的情形發生，而家庭暴力發生對於小孩的人格成長有很深遠的影響。</w:t>
      </w:r>
      <w:r w:rsidR="003C1792">
        <w:t>(</w:t>
      </w:r>
      <w:r w:rsidR="0049577B" w:rsidRPr="00B40DC1">
        <w:t>13-4-1)</w:t>
      </w:r>
    </w:p>
    <w:p w:rsidR="005F2716" w:rsidRPr="00B40DC1" w:rsidRDefault="00DD52C8" w:rsidP="00A66DFC">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表15</w:t>
      </w:r>
      <w:r w:rsidR="00A66DFC">
        <w:rPr>
          <w:rFonts w:ascii="新細明體" w:eastAsia="新細明體" w:hAnsi="新細明體" w:hint="eastAsia"/>
          <w:lang w:eastAsia="zh-TW"/>
        </w:rPr>
        <w:t>、</w:t>
      </w:r>
      <w:r w:rsidRPr="00B40DC1">
        <w:rPr>
          <w:lang w:eastAsia="zh-TW"/>
        </w:rPr>
        <w:t>受訪者國籍與目前在臺生活有何重大困擾之關聯分析</w:t>
      </w:r>
    </w:p>
    <w:tbl>
      <w:tblPr>
        <w:tblStyle w:val="43"/>
        <w:tblW w:w="0" w:type="auto"/>
        <w:tblInd w:w="1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6"/>
        <w:gridCol w:w="1261"/>
        <w:gridCol w:w="1568"/>
        <w:gridCol w:w="1740"/>
        <w:gridCol w:w="1740"/>
        <w:gridCol w:w="1740"/>
      </w:tblGrid>
      <w:tr w:rsidR="005F2716" w:rsidRPr="00B40DC1" w:rsidTr="00A66DFC">
        <w:tc>
          <w:tcPr>
            <w:tcW w:w="1716"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生活困擾</w:t>
            </w:r>
          </w:p>
        </w:tc>
        <w:tc>
          <w:tcPr>
            <w:tcW w:w="1261"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次數百分比</w:t>
            </w:r>
          </w:p>
        </w:tc>
        <w:tc>
          <w:tcPr>
            <w:tcW w:w="1568"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東南亞國家</w:t>
            </w:r>
          </w:p>
        </w:tc>
        <w:tc>
          <w:tcPr>
            <w:tcW w:w="1740"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大陸及港澳地區</w:t>
            </w:r>
          </w:p>
        </w:tc>
        <w:tc>
          <w:tcPr>
            <w:tcW w:w="1740"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其他國家</w:t>
            </w:r>
          </w:p>
        </w:tc>
        <w:tc>
          <w:tcPr>
            <w:tcW w:w="1740"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總和</w:t>
            </w:r>
          </w:p>
        </w:tc>
      </w:tr>
      <w:tr w:rsidR="005F2716" w:rsidRPr="00B40DC1" w:rsidTr="00A66DFC">
        <w:tc>
          <w:tcPr>
            <w:tcW w:w="1716" w:type="dxa"/>
            <w:vMerge w:val="restart"/>
            <w:tcBorders>
              <w:top w:val="single" w:sz="8" w:space="0" w:color="auto"/>
            </w:tcBorders>
            <w:vAlign w:val="center"/>
          </w:tcPr>
          <w:p w:rsidR="0049577B" w:rsidRPr="00B40DC1" w:rsidRDefault="0049577B" w:rsidP="005F2716">
            <w:pPr>
              <w:ind w:leftChars="18" w:left="47"/>
            </w:pPr>
            <w:r w:rsidRPr="00B40DC1">
              <w:t>自己健康問題</w:t>
            </w:r>
          </w:p>
        </w:tc>
        <w:tc>
          <w:tcPr>
            <w:tcW w:w="1261" w:type="dxa"/>
            <w:tcBorders>
              <w:top w:val="single" w:sz="8" w:space="0" w:color="auto"/>
            </w:tcBorders>
            <w:vAlign w:val="center"/>
          </w:tcPr>
          <w:p w:rsidR="0049577B" w:rsidRPr="00B40DC1" w:rsidRDefault="0049577B" w:rsidP="005F2716">
            <w:pPr>
              <w:ind w:leftChars="0" w:left="0"/>
            </w:pPr>
            <w:r w:rsidRPr="00B40DC1">
              <w:t>次數</w:t>
            </w:r>
          </w:p>
        </w:tc>
        <w:tc>
          <w:tcPr>
            <w:tcW w:w="1568" w:type="dxa"/>
            <w:tcBorders>
              <w:top w:val="single" w:sz="8" w:space="0" w:color="auto"/>
            </w:tcBorders>
            <w:vAlign w:val="center"/>
          </w:tcPr>
          <w:p w:rsidR="0049577B" w:rsidRPr="00B40DC1" w:rsidRDefault="0049577B" w:rsidP="005F2716">
            <w:pPr>
              <w:jc w:val="center"/>
            </w:pPr>
            <w:r w:rsidRPr="00B40DC1">
              <w:t>4</w:t>
            </w:r>
          </w:p>
        </w:tc>
        <w:tc>
          <w:tcPr>
            <w:tcW w:w="1740" w:type="dxa"/>
            <w:tcBorders>
              <w:top w:val="single" w:sz="8" w:space="0" w:color="auto"/>
            </w:tcBorders>
            <w:vAlign w:val="center"/>
          </w:tcPr>
          <w:p w:rsidR="0049577B" w:rsidRPr="00B40DC1" w:rsidRDefault="0049577B" w:rsidP="005F2716">
            <w:pPr>
              <w:jc w:val="center"/>
            </w:pPr>
            <w:r w:rsidRPr="00B40DC1">
              <w:t>40</w:t>
            </w:r>
          </w:p>
        </w:tc>
        <w:tc>
          <w:tcPr>
            <w:tcW w:w="1740" w:type="dxa"/>
            <w:tcBorders>
              <w:top w:val="single" w:sz="8" w:space="0" w:color="auto"/>
            </w:tcBorders>
            <w:vAlign w:val="center"/>
          </w:tcPr>
          <w:p w:rsidR="0049577B" w:rsidRPr="00B40DC1" w:rsidRDefault="0049577B" w:rsidP="005F2716">
            <w:pPr>
              <w:jc w:val="center"/>
            </w:pPr>
            <w:r w:rsidRPr="00B40DC1">
              <w:t>2</w:t>
            </w:r>
          </w:p>
        </w:tc>
        <w:tc>
          <w:tcPr>
            <w:tcW w:w="1740" w:type="dxa"/>
            <w:tcBorders>
              <w:top w:val="single" w:sz="8" w:space="0" w:color="auto"/>
            </w:tcBorders>
            <w:vAlign w:val="center"/>
          </w:tcPr>
          <w:p w:rsidR="0049577B" w:rsidRPr="00B40DC1" w:rsidRDefault="0049577B" w:rsidP="005F2716">
            <w:pPr>
              <w:jc w:val="center"/>
            </w:pPr>
            <w:r w:rsidRPr="00B40DC1">
              <w:t>46</w:t>
            </w:r>
          </w:p>
        </w:tc>
      </w:tr>
      <w:tr w:rsidR="005F2716"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pPr>
            <w:r w:rsidRPr="00B40DC1">
              <w:t>百分比</w:t>
            </w:r>
          </w:p>
        </w:tc>
        <w:tc>
          <w:tcPr>
            <w:tcW w:w="1568" w:type="dxa"/>
            <w:vAlign w:val="center"/>
          </w:tcPr>
          <w:p w:rsidR="0049577B" w:rsidRPr="00B40DC1" w:rsidRDefault="0049577B" w:rsidP="005F2716">
            <w:pPr>
              <w:jc w:val="center"/>
            </w:pPr>
            <w:r w:rsidRPr="00B40DC1">
              <w:t>0.90%</w:t>
            </w:r>
          </w:p>
        </w:tc>
        <w:tc>
          <w:tcPr>
            <w:tcW w:w="1740" w:type="dxa"/>
            <w:vAlign w:val="center"/>
          </w:tcPr>
          <w:p w:rsidR="0049577B" w:rsidRPr="00B40DC1" w:rsidRDefault="0049577B" w:rsidP="005F2716">
            <w:pPr>
              <w:jc w:val="center"/>
            </w:pPr>
            <w:r w:rsidRPr="00B40DC1">
              <w:t>4.50%</w:t>
            </w:r>
          </w:p>
        </w:tc>
        <w:tc>
          <w:tcPr>
            <w:tcW w:w="1740" w:type="dxa"/>
            <w:vAlign w:val="center"/>
          </w:tcPr>
          <w:p w:rsidR="0049577B" w:rsidRPr="00B40DC1" w:rsidRDefault="0049577B" w:rsidP="005F2716">
            <w:pPr>
              <w:jc w:val="center"/>
            </w:pPr>
            <w:r w:rsidRPr="00B40DC1">
              <w:t>5.30%</w:t>
            </w:r>
          </w:p>
        </w:tc>
        <w:tc>
          <w:tcPr>
            <w:tcW w:w="1740" w:type="dxa"/>
            <w:vAlign w:val="center"/>
          </w:tcPr>
          <w:p w:rsidR="0049577B" w:rsidRPr="00B40DC1" w:rsidRDefault="0049577B" w:rsidP="005F2716">
            <w:pPr>
              <w:jc w:val="center"/>
            </w:pPr>
            <w:r w:rsidRPr="00B40DC1">
              <w:t>3.40%</w:t>
            </w:r>
          </w:p>
        </w:tc>
      </w:tr>
      <w:tr w:rsidR="005F2716" w:rsidRPr="00B40DC1" w:rsidTr="00A66DFC">
        <w:tc>
          <w:tcPr>
            <w:tcW w:w="1716" w:type="dxa"/>
            <w:vMerge w:val="restart"/>
            <w:vAlign w:val="center"/>
          </w:tcPr>
          <w:p w:rsidR="0049577B" w:rsidRPr="00B40DC1" w:rsidRDefault="0049577B" w:rsidP="005F2716">
            <w:pPr>
              <w:ind w:leftChars="18" w:left="47"/>
            </w:pPr>
            <w:r w:rsidRPr="00B40DC1">
              <w:t>夫妻相處問題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5</w:t>
            </w:r>
          </w:p>
        </w:tc>
        <w:tc>
          <w:tcPr>
            <w:tcW w:w="1740" w:type="dxa"/>
            <w:vAlign w:val="center"/>
          </w:tcPr>
          <w:p w:rsidR="0049577B" w:rsidRPr="00B40DC1" w:rsidRDefault="0049577B" w:rsidP="005F2716">
            <w:pPr>
              <w:jc w:val="center"/>
            </w:pPr>
            <w:r w:rsidRPr="00B40DC1">
              <w:t>8</w:t>
            </w:r>
          </w:p>
        </w:tc>
        <w:tc>
          <w:tcPr>
            <w:tcW w:w="1740" w:type="dxa"/>
            <w:vAlign w:val="center"/>
          </w:tcPr>
          <w:p w:rsidR="0049577B" w:rsidRPr="00B40DC1" w:rsidRDefault="0049577B" w:rsidP="005F2716">
            <w:pPr>
              <w:jc w:val="center"/>
            </w:pPr>
            <w:r w:rsidRPr="00B40DC1">
              <w:t>1</w:t>
            </w:r>
          </w:p>
        </w:tc>
        <w:tc>
          <w:tcPr>
            <w:tcW w:w="1740" w:type="dxa"/>
            <w:vAlign w:val="center"/>
          </w:tcPr>
          <w:p w:rsidR="0049577B" w:rsidRPr="00B40DC1" w:rsidRDefault="0049577B" w:rsidP="005F2716">
            <w:pPr>
              <w:jc w:val="center"/>
            </w:pPr>
            <w:r w:rsidRPr="00B40DC1">
              <w:t>14</w:t>
            </w:r>
          </w:p>
        </w:tc>
      </w:tr>
      <w:tr w:rsidR="005F2716"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1.20%</w:t>
            </w:r>
          </w:p>
        </w:tc>
        <w:tc>
          <w:tcPr>
            <w:tcW w:w="1740" w:type="dxa"/>
            <w:vAlign w:val="center"/>
          </w:tcPr>
          <w:p w:rsidR="0049577B" w:rsidRPr="00B40DC1" w:rsidRDefault="0049577B" w:rsidP="005F2716">
            <w:pPr>
              <w:jc w:val="center"/>
            </w:pPr>
            <w:r w:rsidRPr="00B40DC1">
              <w:t>0.90%</w:t>
            </w:r>
          </w:p>
        </w:tc>
        <w:tc>
          <w:tcPr>
            <w:tcW w:w="1740" w:type="dxa"/>
            <w:vAlign w:val="center"/>
          </w:tcPr>
          <w:p w:rsidR="0049577B" w:rsidRPr="00B40DC1" w:rsidRDefault="0049577B" w:rsidP="005F2716">
            <w:pPr>
              <w:jc w:val="center"/>
            </w:pPr>
            <w:r w:rsidRPr="00B40DC1">
              <w:t>2.60%</w:t>
            </w:r>
          </w:p>
        </w:tc>
        <w:tc>
          <w:tcPr>
            <w:tcW w:w="1740" w:type="dxa"/>
            <w:vAlign w:val="center"/>
          </w:tcPr>
          <w:p w:rsidR="0049577B" w:rsidRPr="00B40DC1" w:rsidRDefault="0049577B" w:rsidP="005F2716">
            <w:pPr>
              <w:jc w:val="center"/>
            </w:pPr>
            <w:r w:rsidRPr="00B40DC1">
              <w:t>1.00%</w:t>
            </w:r>
          </w:p>
        </w:tc>
      </w:tr>
      <w:tr w:rsidR="005F2716" w:rsidRPr="00B40DC1" w:rsidTr="00A66DFC">
        <w:tc>
          <w:tcPr>
            <w:tcW w:w="1716" w:type="dxa"/>
            <w:vMerge w:val="restart"/>
            <w:vAlign w:val="center"/>
          </w:tcPr>
          <w:p w:rsidR="0049577B" w:rsidRPr="00B40DC1" w:rsidRDefault="0049577B" w:rsidP="005F2716">
            <w:pPr>
              <w:ind w:leftChars="18" w:left="47"/>
            </w:pPr>
            <w:r w:rsidRPr="00B40DC1">
              <w:t>自己工作問題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19</w:t>
            </w:r>
          </w:p>
        </w:tc>
        <w:tc>
          <w:tcPr>
            <w:tcW w:w="1740" w:type="dxa"/>
            <w:vAlign w:val="center"/>
          </w:tcPr>
          <w:p w:rsidR="0049577B" w:rsidRPr="00B40DC1" w:rsidRDefault="0049577B" w:rsidP="005F2716">
            <w:pPr>
              <w:jc w:val="center"/>
            </w:pPr>
            <w:r w:rsidRPr="00B40DC1">
              <w:t>28</w:t>
            </w:r>
          </w:p>
        </w:tc>
        <w:tc>
          <w:tcPr>
            <w:tcW w:w="1740"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47</w:t>
            </w:r>
          </w:p>
        </w:tc>
      </w:tr>
      <w:tr w:rsidR="005F2716"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4.40%</w:t>
            </w:r>
          </w:p>
        </w:tc>
        <w:tc>
          <w:tcPr>
            <w:tcW w:w="1740" w:type="dxa"/>
            <w:vAlign w:val="center"/>
          </w:tcPr>
          <w:p w:rsidR="0049577B" w:rsidRPr="00B40DC1" w:rsidRDefault="0049577B" w:rsidP="005F2716">
            <w:pPr>
              <w:jc w:val="center"/>
            </w:pPr>
            <w:r w:rsidRPr="00B40DC1">
              <w:t>3.10%</w:t>
            </w:r>
          </w:p>
        </w:tc>
        <w:tc>
          <w:tcPr>
            <w:tcW w:w="1740"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3.40%</w:t>
            </w:r>
          </w:p>
        </w:tc>
      </w:tr>
      <w:tr w:rsidR="005F2716" w:rsidRPr="00B40DC1" w:rsidTr="00A66DFC">
        <w:tc>
          <w:tcPr>
            <w:tcW w:w="1716" w:type="dxa"/>
            <w:vMerge w:val="restart"/>
            <w:vAlign w:val="center"/>
          </w:tcPr>
          <w:p w:rsidR="0049577B" w:rsidRPr="00B40DC1" w:rsidRDefault="0049577B" w:rsidP="005F2716">
            <w:pPr>
              <w:ind w:leftChars="18" w:left="47"/>
            </w:pPr>
            <w:r w:rsidRPr="00B40DC1">
              <w:t>家人工作問題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4</w:t>
            </w:r>
          </w:p>
        </w:tc>
        <w:tc>
          <w:tcPr>
            <w:tcW w:w="1740"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4</w:t>
            </w:r>
          </w:p>
        </w:tc>
      </w:tr>
      <w:tr w:rsidR="005F2716"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0.40%</w:t>
            </w:r>
          </w:p>
        </w:tc>
        <w:tc>
          <w:tcPr>
            <w:tcW w:w="1740"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0.30%</w:t>
            </w:r>
          </w:p>
        </w:tc>
      </w:tr>
      <w:tr w:rsidR="005F2716" w:rsidRPr="00B40DC1" w:rsidTr="00A66DFC">
        <w:tc>
          <w:tcPr>
            <w:tcW w:w="1716" w:type="dxa"/>
            <w:vMerge w:val="restart"/>
            <w:vAlign w:val="center"/>
          </w:tcPr>
          <w:p w:rsidR="0049577B" w:rsidRPr="00B40DC1" w:rsidRDefault="0049577B" w:rsidP="005F2716">
            <w:pPr>
              <w:ind w:leftChars="18" w:left="47"/>
            </w:pPr>
            <w:r w:rsidRPr="00B40DC1">
              <w:t>經濟問題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58</w:t>
            </w:r>
          </w:p>
        </w:tc>
        <w:tc>
          <w:tcPr>
            <w:tcW w:w="1740" w:type="dxa"/>
            <w:vAlign w:val="center"/>
          </w:tcPr>
          <w:p w:rsidR="0049577B" w:rsidRPr="00B40DC1" w:rsidRDefault="0049577B" w:rsidP="005F2716">
            <w:pPr>
              <w:jc w:val="center"/>
            </w:pPr>
            <w:r w:rsidRPr="00B40DC1">
              <w:t>96</w:t>
            </w:r>
          </w:p>
        </w:tc>
        <w:tc>
          <w:tcPr>
            <w:tcW w:w="1740" w:type="dxa"/>
            <w:vAlign w:val="center"/>
          </w:tcPr>
          <w:p w:rsidR="0049577B" w:rsidRPr="00B40DC1" w:rsidRDefault="0049577B" w:rsidP="005F2716">
            <w:pPr>
              <w:jc w:val="center"/>
            </w:pPr>
            <w:r w:rsidRPr="00B40DC1">
              <w:t>2</w:t>
            </w:r>
          </w:p>
        </w:tc>
        <w:tc>
          <w:tcPr>
            <w:tcW w:w="1740" w:type="dxa"/>
            <w:vAlign w:val="center"/>
          </w:tcPr>
          <w:p w:rsidR="0049577B" w:rsidRPr="00B40DC1" w:rsidRDefault="0049577B" w:rsidP="005F2716">
            <w:pPr>
              <w:jc w:val="center"/>
            </w:pPr>
            <w:r w:rsidRPr="00B40DC1">
              <w:t>156</w:t>
            </w:r>
          </w:p>
        </w:tc>
      </w:tr>
      <w:tr w:rsidR="005F2716"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13.40%</w:t>
            </w:r>
          </w:p>
        </w:tc>
        <w:tc>
          <w:tcPr>
            <w:tcW w:w="1740" w:type="dxa"/>
            <w:vAlign w:val="center"/>
          </w:tcPr>
          <w:p w:rsidR="0049577B" w:rsidRPr="00B40DC1" w:rsidRDefault="0049577B" w:rsidP="005F2716">
            <w:pPr>
              <w:jc w:val="center"/>
            </w:pPr>
            <w:r w:rsidRPr="00B40DC1">
              <w:t>10.70%</w:t>
            </w:r>
          </w:p>
        </w:tc>
        <w:tc>
          <w:tcPr>
            <w:tcW w:w="1740" w:type="dxa"/>
            <w:vAlign w:val="center"/>
          </w:tcPr>
          <w:p w:rsidR="0049577B" w:rsidRPr="00B40DC1" w:rsidRDefault="0049577B" w:rsidP="005F2716">
            <w:pPr>
              <w:jc w:val="center"/>
            </w:pPr>
            <w:r w:rsidRPr="00B40DC1">
              <w:t>5.30%</w:t>
            </w:r>
          </w:p>
        </w:tc>
        <w:tc>
          <w:tcPr>
            <w:tcW w:w="1740" w:type="dxa"/>
            <w:vAlign w:val="center"/>
          </w:tcPr>
          <w:p w:rsidR="0049577B" w:rsidRPr="00B40DC1" w:rsidRDefault="0049577B" w:rsidP="005F2716">
            <w:pPr>
              <w:jc w:val="center"/>
            </w:pPr>
            <w:r w:rsidRPr="00B40DC1">
              <w:t>11.40%</w:t>
            </w:r>
          </w:p>
        </w:tc>
      </w:tr>
      <w:tr w:rsidR="005F2716" w:rsidRPr="00B40DC1" w:rsidTr="00A66DFC">
        <w:tc>
          <w:tcPr>
            <w:tcW w:w="1716" w:type="dxa"/>
            <w:vMerge w:val="restart"/>
            <w:vAlign w:val="center"/>
          </w:tcPr>
          <w:p w:rsidR="0049577B" w:rsidRPr="00B40DC1" w:rsidRDefault="0049577B" w:rsidP="005F2716">
            <w:pPr>
              <w:ind w:leftChars="18" w:left="47"/>
            </w:pPr>
            <w:r w:rsidRPr="00B40DC1">
              <w:t>人身安全問題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1</w:t>
            </w:r>
          </w:p>
        </w:tc>
        <w:tc>
          <w:tcPr>
            <w:tcW w:w="1740"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1</w:t>
            </w:r>
          </w:p>
        </w:tc>
      </w:tr>
      <w:tr w:rsidR="005F2716"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0.10%</w:t>
            </w:r>
          </w:p>
        </w:tc>
        <w:tc>
          <w:tcPr>
            <w:tcW w:w="1740"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0.10%</w:t>
            </w:r>
          </w:p>
        </w:tc>
      </w:tr>
      <w:tr w:rsidR="005F2716" w:rsidRPr="00B40DC1" w:rsidTr="00A66DFC">
        <w:tc>
          <w:tcPr>
            <w:tcW w:w="1716" w:type="dxa"/>
            <w:vMerge w:val="restart"/>
            <w:vAlign w:val="center"/>
          </w:tcPr>
          <w:p w:rsidR="0049577B" w:rsidRPr="00B40DC1" w:rsidRDefault="0049577B" w:rsidP="005F2716">
            <w:pPr>
              <w:ind w:leftChars="18" w:left="47"/>
            </w:pPr>
            <w:r w:rsidRPr="00B40DC1">
              <w:t>家庭暴力問題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3</w:t>
            </w:r>
          </w:p>
        </w:tc>
        <w:tc>
          <w:tcPr>
            <w:tcW w:w="1740"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3</w:t>
            </w:r>
          </w:p>
        </w:tc>
      </w:tr>
      <w:tr w:rsidR="005F2716"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0.30%</w:t>
            </w:r>
          </w:p>
        </w:tc>
        <w:tc>
          <w:tcPr>
            <w:tcW w:w="1740"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0.20%</w:t>
            </w:r>
          </w:p>
        </w:tc>
      </w:tr>
      <w:tr w:rsidR="005F2716" w:rsidRPr="00B40DC1" w:rsidTr="00A66DFC">
        <w:tc>
          <w:tcPr>
            <w:tcW w:w="1716" w:type="dxa"/>
            <w:vMerge w:val="restart"/>
            <w:vAlign w:val="center"/>
          </w:tcPr>
          <w:p w:rsidR="0049577B" w:rsidRPr="00B40DC1" w:rsidRDefault="0049577B" w:rsidP="005F2716">
            <w:pPr>
              <w:ind w:leftChars="18" w:left="47"/>
            </w:pPr>
            <w:r w:rsidRPr="00B40DC1">
              <w:t>公婆妯娌問題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1</w:t>
            </w:r>
          </w:p>
        </w:tc>
        <w:tc>
          <w:tcPr>
            <w:tcW w:w="1740" w:type="dxa"/>
            <w:vAlign w:val="center"/>
          </w:tcPr>
          <w:p w:rsidR="0049577B" w:rsidRPr="00B40DC1" w:rsidRDefault="0049577B" w:rsidP="005F2716">
            <w:pPr>
              <w:jc w:val="center"/>
            </w:pPr>
            <w:r w:rsidRPr="00B40DC1">
              <w:t>2</w:t>
            </w:r>
          </w:p>
        </w:tc>
        <w:tc>
          <w:tcPr>
            <w:tcW w:w="1740"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3</w:t>
            </w:r>
          </w:p>
        </w:tc>
      </w:tr>
      <w:tr w:rsidR="005F2716"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0.20%</w:t>
            </w:r>
          </w:p>
        </w:tc>
        <w:tc>
          <w:tcPr>
            <w:tcW w:w="1740" w:type="dxa"/>
            <w:vAlign w:val="center"/>
          </w:tcPr>
          <w:p w:rsidR="0049577B" w:rsidRPr="00B40DC1" w:rsidRDefault="0049577B" w:rsidP="005F2716">
            <w:pPr>
              <w:jc w:val="center"/>
            </w:pPr>
            <w:r w:rsidRPr="00B40DC1">
              <w:t>0.20%</w:t>
            </w:r>
          </w:p>
        </w:tc>
        <w:tc>
          <w:tcPr>
            <w:tcW w:w="1740"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0.20%</w:t>
            </w:r>
          </w:p>
        </w:tc>
      </w:tr>
      <w:tr w:rsidR="005F2716" w:rsidRPr="00B40DC1" w:rsidTr="00A66DFC">
        <w:tc>
          <w:tcPr>
            <w:tcW w:w="1716" w:type="dxa"/>
            <w:vMerge w:val="restart"/>
            <w:vAlign w:val="center"/>
          </w:tcPr>
          <w:p w:rsidR="0049577B" w:rsidRPr="00B40DC1" w:rsidRDefault="0049577B" w:rsidP="005F2716">
            <w:pPr>
              <w:ind w:leftChars="18" w:left="47"/>
            </w:pPr>
            <w:r w:rsidRPr="00B40DC1">
              <w:t>家中兒童照顧問題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6</w:t>
            </w:r>
          </w:p>
        </w:tc>
        <w:tc>
          <w:tcPr>
            <w:tcW w:w="1740" w:type="dxa"/>
            <w:vAlign w:val="center"/>
          </w:tcPr>
          <w:p w:rsidR="0049577B" w:rsidRPr="00B40DC1" w:rsidRDefault="0049577B" w:rsidP="005F2716">
            <w:pPr>
              <w:jc w:val="center"/>
            </w:pPr>
            <w:r w:rsidRPr="00B40DC1">
              <w:t>8</w:t>
            </w:r>
          </w:p>
        </w:tc>
        <w:tc>
          <w:tcPr>
            <w:tcW w:w="1740" w:type="dxa"/>
            <w:vAlign w:val="center"/>
          </w:tcPr>
          <w:p w:rsidR="0049577B" w:rsidRPr="00B40DC1" w:rsidRDefault="0049577B" w:rsidP="005F2716">
            <w:pPr>
              <w:jc w:val="center"/>
            </w:pPr>
            <w:r w:rsidRPr="00B40DC1">
              <w:t>1</w:t>
            </w:r>
          </w:p>
        </w:tc>
        <w:tc>
          <w:tcPr>
            <w:tcW w:w="1740" w:type="dxa"/>
            <w:vAlign w:val="center"/>
          </w:tcPr>
          <w:p w:rsidR="0049577B" w:rsidRPr="00B40DC1" w:rsidRDefault="0049577B" w:rsidP="005F2716">
            <w:pPr>
              <w:jc w:val="center"/>
            </w:pPr>
            <w:r w:rsidRPr="00B40DC1">
              <w:t>15</w:t>
            </w:r>
          </w:p>
        </w:tc>
      </w:tr>
      <w:tr w:rsidR="005F2716"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1.40%</w:t>
            </w:r>
          </w:p>
        </w:tc>
        <w:tc>
          <w:tcPr>
            <w:tcW w:w="1740" w:type="dxa"/>
            <w:vAlign w:val="center"/>
          </w:tcPr>
          <w:p w:rsidR="0049577B" w:rsidRPr="00B40DC1" w:rsidRDefault="0049577B" w:rsidP="005F2716">
            <w:pPr>
              <w:jc w:val="center"/>
            </w:pPr>
            <w:r w:rsidRPr="00B40DC1">
              <w:t>0.90%</w:t>
            </w:r>
          </w:p>
        </w:tc>
        <w:tc>
          <w:tcPr>
            <w:tcW w:w="1740" w:type="dxa"/>
            <w:vAlign w:val="center"/>
          </w:tcPr>
          <w:p w:rsidR="0049577B" w:rsidRPr="00B40DC1" w:rsidRDefault="0049577B" w:rsidP="005F2716">
            <w:pPr>
              <w:jc w:val="center"/>
            </w:pPr>
            <w:r w:rsidRPr="00B40DC1">
              <w:t>2.60%</w:t>
            </w:r>
          </w:p>
        </w:tc>
        <w:tc>
          <w:tcPr>
            <w:tcW w:w="1740" w:type="dxa"/>
            <w:vAlign w:val="center"/>
          </w:tcPr>
          <w:p w:rsidR="0049577B" w:rsidRPr="00B40DC1" w:rsidRDefault="0049577B" w:rsidP="005F2716">
            <w:pPr>
              <w:jc w:val="center"/>
            </w:pPr>
            <w:r w:rsidRPr="00B40DC1">
              <w:t>1.10%</w:t>
            </w:r>
          </w:p>
        </w:tc>
      </w:tr>
      <w:tr w:rsidR="005F2716" w:rsidRPr="00B40DC1" w:rsidTr="00A66DFC">
        <w:tc>
          <w:tcPr>
            <w:tcW w:w="1716" w:type="dxa"/>
            <w:vMerge w:val="restart"/>
            <w:vAlign w:val="center"/>
          </w:tcPr>
          <w:p w:rsidR="0049577B" w:rsidRPr="00B40DC1" w:rsidRDefault="0049577B" w:rsidP="005F2716">
            <w:pPr>
              <w:ind w:leftChars="18" w:left="47"/>
            </w:pPr>
            <w:r w:rsidRPr="00B40DC1">
              <w:t>家中老人照顧問題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1</w:t>
            </w:r>
          </w:p>
        </w:tc>
        <w:tc>
          <w:tcPr>
            <w:tcW w:w="1740" w:type="dxa"/>
            <w:vAlign w:val="center"/>
          </w:tcPr>
          <w:p w:rsidR="0049577B" w:rsidRPr="00B40DC1" w:rsidRDefault="0049577B" w:rsidP="005F2716">
            <w:pPr>
              <w:jc w:val="center"/>
            </w:pPr>
            <w:r w:rsidRPr="00B40DC1">
              <w:t>2</w:t>
            </w:r>
          </w:p>
        </w:tc>
        <w:tc>
          <w:tcPr>
            <w:tcW w:w="1740"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3</w:t>
            </w:r>
          </w:p>
        </w:tc>
      </w:tr>
      <w:tr w:rsidR="0049577B"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0.20%</w:t>
            </w:r>
          </w:p>
        </w:tc>
        <w:tc>
          <w:tcPr>
            <w:tcW w:w="1740" w:type="dxa"/>
            <w:vAlign w:val="center"/>
          </w:tcPr>
          <w:p w:rsidR="0049577B" w:rsidRPr="00B40DC1" w:rsidRDefault="0049577B" w:rsidP="005F2716">
            <w:pPr>
              <w:jc w:val="center"/>
            </w:pPr>
            <w:r w:rsidRPr="00B40DC1">
              <w:t>0.20%</w:t>
            </w:r>
          </w:p>
        </w:tc>
        <w:tc>
          <w:tcPr>
            <w:tcW w:w="1740"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0.20%</w:t>
            </w:r>
          </w:p>
        </w:tc>
      </w:tr>
      <w:tr w:rsidR="0049577B" w:rsidRPr="00B40DC1" w:rsidTr="00A66DFC">
        <w:tc>
          <w:tcPr>
            <w:tcW w:w="1716" w:type="dxa"/>
            <w:vMerge w:val="restart"/>
            <w:vAlign w:val="center"/>
          </w:tcPr>
          <w:p w:rsidR="0049577B" w:rsidRPr="00B40DC1" w:rsidRDefault="0049577B" w:rsidP="005F2716">
            <w:pPr>
              <w:ind w:leftChars="18" w:left="47"/>
            </w:pPr>
            <w:r w:rsidRPr="00B40DC1">
              <w:t>子女教育或溝通問題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40</w:t>
            </w:r>
          </w:p>
        </w:tc>
        <w:tc>
          <w:tcPr>
            <w:tcW w:w="1740" w:type="dxa"/>
            <w:vAlign w:val="center"/>
          </w:tcPr>
          <w:p w:rsidR="0049577B" w:rsidRPr="00B40DC1" w:rsidRDefault="0049577B" w:rsidP="005F2716">
            <w:pPr>
              <w:jc w:val="center"/>
            </w:pPr>
            <w:r w:rsidRPr="00B40DC1">
              <w:t>44</w:t>
            </w:r>
          </w:p>
        </w:tc>
        <w:tc>
          <w:tcPr>
            <w:tcW w:w="1740" w:type="dxa"/>
            <w:vAlign w:val="center"/>
          </w:tcPr>
          <w:p w:rsidR="0049577B" w:rsidRPr="00B40DC1" w:rsidRDefault="0049577B" w:rsidP="005F2716">
            <w:pPr>
              <w:jc w:val="center"/>
            </w:pPr>
            <w:r w:rsidRPr="00B40DC1">
              <w:t>1</w:t>
            </w:r>
          </w:p>
        </w:tc>
        <w:tc>
          <w:tcPr>
            <w:tcW w:w="1740" w:type="dxa"/>
            <w:vAlign w:val="center"/>
          </w:tcPr>
          <w:p w:rsidR="0049577B" w:rsidRPr="00B40DC1" w:rsidRDefault="0049577B" w:rsidP="005F2716">
            <w:pPr>
              <w:jc w:val="center"/>
            </w:pPr>
            <w:r w:rsidRPr="00B40DC1">
              <w:t>85</w:t>
            </w:r>
          </w:p>
        </w:tc>
      </w:tr>
      <w:tr w:rsidR="0049577B"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9.20%</w:t>
            </w:r>
          </w:p>
        </w:tc>
        <w:tc>
          <w:tcPr>
            <w:tcW w:w="1740" w:type="dxa"/>
            <w:vAlign w:val="center"/>
          </w:tcPr>
          <w:p w:rsidR="0049577B" w:rsidRPr="00B40DC1" w:rsidRDefault="0049577B" w:rsidP="005F2716">
            <w:pPr>
              <w:jc w:val="center"/>
            </w:pPr>
            <w:r w:rsidRPr="00B40DC1">
              <w:t>4.90%</w:t>
            </w:r>
          </w:p>
        </w:tc>
        <w:tc>
          <w:tcPr>
            <w:tcW w:w="1740" w:type="dxa"/>
            <w:vAlign w:val="center"/>
          </w:tcPr>
          <w:p w:rsidR="0049577B" w:rsidRPr="00B40DC1" w:rsidRDefault="0049577B" w:rsidP="005F2716">
            <w:pPr>
              <w:jc w:val="center"/>
            </w:pPr>
            <w:r w:rsidRPr="00B40DC1">
              <w:t>2.60%</w:t>
            </w:r>
          </w:p>
        </w:tc>
        <w:tc>
          <w:tcPr>
            <w:tcW w:w="1740" w:type="dxa"/>
            <w:vAlign w:val="center"/>
          </w:tcPr>
          <w:p w:rsidR="0049577B" w:rsidRPr="00B40DC1" w:rsidRDefault="0049577B" w:rsidP="005F2716">
            <w:pPr>
              <w:jc w:val="center"/>
            </w:pPr>
            <w:r w:rsidRPr="00B40DC1">
              <w:t>6.20%</w:t>
            </w:r>
          </w:p>
        </w:tc>
      </w:tr>
      <w:tr w:rsidR="0049577B" w:rsidRPr="00B40DC1" w:rsidTr="00A66DFC">
        <w:tc>
          <w:tcPr>
            <w:tcW w:w="1716" w:type="dxa"/>
            <w:vMerge w:val="restart"/>
            <w:vAlign w:val="center"/>
          </w:tcPr>
          <w:p w:rsidR="0049577B" w:rsidRPr="00B40DC1" w:rsidRDefault="0049577B" w:rsidP="005F2716">
            <w:pPr>
              <w:ind w:leftChars="18" w:left="47"/>
            </w:pPr>
            <w:r w:rsidRPr="00B40DC1">
              <w:t>居住問題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1</w:t>
            </w:r>
          </w:p>
        </w:tc>
        <w:tc>
          <w:tcPr>
            <w:tcW w:w="1740"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1</w:t>
            </w:r>
          </w:p>
        </w:tc>
      </w:tr>
      <w:tr w:rsidR="0049577B"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0.10%</w:t>
            </w:r>
          </w:p>
        </w:tc>
        <w:tc>
          <w:tcPr>
            <w:tcW w:w="1740"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0.10%</w:t>
            </w:r>
          </w:p>
        </w:tc>
      </w:tr>
      <w:tr w:rsidR="0049577B" w:rsidRPr="00B40DC1" w:rsidTr="00A66DFC">
        <w:tc>
          <w:tcPr>
            <w:tcW w:w="1716" w:type="dxa"/>
            <w:vMerge w:val="restart"/>
            <w:vAlign w:val="center"/>
          </w:tcPr>
          <w:p w:rsidR="0049577B" w:rsidRPr="00B40DC1" w:rsidRDefault="0049577B" w:rsidP="005F2716">
            <w:pPr>
              <w:ind w:leftChars="18" w:left="47"/>
            </w:pPr>
            <w:r w:rsidRPr="00B40DC1">
              <w:t>在台生活權益問題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1</w:t>
            </w:r>
          </w:p>
        </w:tc>
        <w:tc>
          <w:tcPr>
            <w:tcW w:w="1740" w:type="dxa"/>
            <w:vAlign w:val="center"/>
          </w:tcPr>
          <w:p w:rsidR="0049577B" w:rsidRPr="00B40DC1" w:rsidRDefault="0049577B" w:rsidP="005F2716">
            <w:pPr>
              <w:jc w:val="center"/>
            </w:pPr>
            <w:r w:rsidRPr="00B40DC1">
              <w:t>7</w:t>
            </w:r>
          </w:p>
        </w:tc>
        <w:tc>
          <w:tcPr>
            <w:tcW w:w="1740"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8</w:t>
            </w:r>
          </w:p>
        </w:tc>
      </w:tr>
      <w:tr w:rsidR="0049577B"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0.20%</w:t>
            </w:r>
          </w:p>
        </w:tc>
        <w:tc>
          <w:tcPr>
            <w:tcW w:w="1740" w:type="dxa"/>
            <w:vAlign w:val="center"/>
          </w:tcPr>
          <w:p w:rsidR="0049577B" w:rsidRPr="00B40DC1" w:rsidRDefault="0049577B" w:rsidP="005F2716">
            <w:pPr>
              <w:jc w:val="center"/>
            </w:pPr>
            <w:r w:rsidRPr="00B40DC1">
              <w:t>0.80%</w:t>
            </w:r>
          </w:p>
        </w:tc>
        <w:tc>
          <w:tcPr>
            <w:tcW w:w="1740"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0.60%</w:t>
            </w:r>
          </w:p>
        </w:tc>
      </w:tr>
      <w:tr w:rsidR="0049577B" w:rsidRPr="00B40DC1" w:rsidTr="00A66DFC">
        <w:tc>
          <w:tcPr>
            <w:tcW w:w="1716" w:type="dxa"/>
            <w:vMerge w:val="restart"/>
            <w:vAlign w:val="center"/>
          </w:tcPr>
          <w:p w:rsidR="0049577B" w:rsidRPr="00B40DC1" w:rsidRDefault="0049577B" w:rsidP="005F2716">
            <w:pPr>
              <w:ind w:leftChars="18" w:left="47"/>
            </w:pPr>
            <w:r w:rsidRPr="00B40DC1">
              <w:t>其他</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1</w:t>
            </w:r>
          </w:p>
        </w:tc>
        <w:tc>
          <w:tcPr>
            <w:tcW w:w="1740" w:type="dxa"/>
            <w:vAlign w:val="center"/>
          </w:tcPr>
          <w:p w:rsidR="0049577B" w:rsidRPr="00B40DC1" w:rsidRDefault="0049577B" w:rsidP="005F2716">
            <w:pPr>
              <w:jc w:val="center"/>
            </w:pPr>
            <w:r w:rsidRPr="00B40DC1">
              <w:t>0</w:t>
            </w:r>
          </w:p>
        </w:tc>
        <w:tc>
          <w:tcPr>
            <w:tcW w:w="1740" w:type="dxa"/>
            <w:vAlign w:val="center"/>
          </w:tcPr>
          <w:p w:rsidR="0049577B" w:rsidRPr="00B40DC1" w:rsidRDefault="0049577B" w:rsidP="005F2716">
            <w:pPr>
              <w:jc w:val="center"/>
            </w:pPr>
            <w:r w:rsidRPr="00B40DC1">
              <w:t>1</w:t>
            </w:r>
          </w:p>
        </w:tc>
      </w:tr>
      <w:tr w:rsidR="0049577B"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0.10%</w:t>
            </w:r>
          </w:p>
        </w:tc>
        <w:tc>
          <w:tcPr>
            <w:tcW w:w="1740" w:type="dxa"/>
            <w:vAlign w:val="center"/>
          </w:tcPr>
          <w:p w:rsidR="0049577B" w:rsidRPr="00B40DC1" w:rsidRDefault="0049577B" w:rsidP="005F2716">
            <w:pPr>
              <w:jc w:val="center"/>
            </w:pPr>
            <w:r w:rsidRPr="00B40DC1">
              <w:t>0.00%</w:t>
            </w:r>
          </w:p>
        </w:tc>
        <w:tc>
          <w:tcPr>
            <w:tcW w:w="1740" w:type="dxa"/>
            <w:vAlign w:val="center"/>
          </w:tcPr>
          <w:p w:rsidR="0049577B" w:rsidRPr="00B40DC1" w:rsidRDefault="0049577B" w:rsidP="005F2716">
            <w:pPr>
              <w:jc w:val="center"/>
            </w:pPr>
            <w:r w:rsidRPr="00B40DC1">
              <w:t>0.10%</w:t>
            </w:r>
          </w:p>
        </w:tc>
      </w:tr>
      <w:tr w:rsidR="0049577B" w:rsidRPr="00B40DC1" w:rsidTr="00A66DFC">
        <w:tc>
          <w:tcPr>
            <w:tcW w:w="1716" w:type="dxa"/>
            <w:vMerge w:val="restart"/>
            <w:vAlign w:val="center"/>
          </w:tcPr>
          <w:p w:rsidR="0049577B" w:rsidRPr="00B40DC1" w:rsidRDefault="0049577B" w:rsidP="005F2716">
            <w:pPr>
              <w:ind w:leftChars="18" w:left="47"/>
            </w:pPr>
            <w:r w:rsidRPr="00B40DC1">
              <w:t>沒有困擾問題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299</w:t>
            </w:r>
          </w:p>
        </w:tc>
        <w:tc>
          <w:tcPr>
            <w:tcW w:w="1740" w:type="dxa"/>
            <w:vAlign w:val="center"/>
          </w:tcPr>
          <w:p w:rsidR="0049577B" w:rsidRPr="00B40DC1" w:rsidRDefault="0049577B" w:rsidP="005F2716">
            <w:pPr>
              <w:jc w:val="center"/>
            </w:pPr>
            <w:r w:rsidRPr="00B40DC1">
              <w:t>651</w:t>
            </w:r>
          </w:p>
        </w:tc>
        <w:tc>
          <w:tcPr>
            <w:tcW w:w="1740" w:type="dxa"/>
            <w:vAlign w:val="center"/>
          </w:tcPr>
          <w:p w:rsidR="0049577B" w:rsidRPr="00B40DC1" w:rsidRDefault="0049577B" w:rsidP="005F2716">
            <w:pPr>
              <w:jc w:val="center"/>
            </w:pPr>
            <w:r w:rsidRPr="00B40DC1">
              <w:t>31</w:t>
            </w:r>
          </w:p>
        </w:tc>
        <w:tc>
          <w:tcPr>
            <w:tcW w:w="1740" w:type="dxa"/>
            <w:vAlign w:val="center"/>
          </w:tcPr>
          <w:p w:rsidR="0049577B" w:rsidRPr="00B40DC1" w:rsidRDefault="0049577B" w:rsidP="005F2716">
            <w:pPr>
              <w:jc w:val="center"/>
            </w:pPr>
            <w:r w:rsidRPr="00B40DC1">
              <w:t>981</w:t>
            </w:r>
          </w:p>
        </w:tc>
      </w:tr>
      <w:tr w:rsidR="0049577B" w:rsidRPr="00B40DC1" w:rsidTr="00A66DFC">
        <w:tc>
          <w:tcPr>
            <w:tcW w:w="1716" w:type="dxa"/>
            <w:vMerge/>
            <w:vAlign w:val="center"/>
          </w:tcPr>
          <w:p w:rsidR="0049577B" w:rsidRPr="00B40DC1" w:rsidRDefault="0049577B" w:rsidP="005F2716">
            <w:pPr>
              <w:ind w:leftChars="18" w:left="47"/>
            </w:pPr>
          </w:p>
        </w:tc>
        <w:tc>
          <w:tcPr>
            <w:tcW w:w="1261" w:type="dxa"/>
            <w:vAlign w:val="center"/>
          </w:tcPr>
          <w:p w:rsidR="0049577B" w:rsidRPr="00B40DC1" w:rsidRDefault="0049577B" w:rsidP="005F2716">
            <w:pPr>
              <w:ind w:leftChars="0" w:left="0" w:rightChars="-30" w:right="-78"/>
            </w:pPr>
            <w:r w:rsidRPr="00B40DC1">
              <w:t>百分比</w:t>
            </w:r>
          </w:p>
        </w:tc>
        <w:tc>
          <w:tcPr>
            <w:tcW w:w="1568" w:type="dxa"/>
            <w:vAlign w:val="center"/>
          </w:tcPr>
          <w:p w:rsidR="0049577B" w:rsidRPr="00B40DC1" w:rsidRDefault="0049577B" w:rsidP="005F2716">
            <w:pPr>
              <w:jc w:val="center"/>
            </w:pPr>
            <w:r w:rsidRPr="00B40DC1">
              <w:t>68.90%</w:t>
            </w:r>
          </w:p>
        </w:tc>
        <w:tc>
          <w:tcPr>
            <w:tcW w:w="1740" w:type="dxa"/>
            <w:vAlign w:val="center"/>
          </w:tcPr>
          <w:p w:rsidR="0049577B" w:rsidRPr="00B40DC1" w:rsidRDefault="0049577B" w:rsidP="005F2716">
            <w:pPr>
              <w:jc w:val="center"/>
            </w:pPr>
            <w:r w:rsidRPr="00B40DC1">
              <w:t>72.70%</w:t>
            </w:r>
          </w:p>
        </w:tc>
        <w:tc>
          <w:tcPr>
            <w:tcW w:w="1740" w:type="dxa"/>
            <w:vAlign w:val="center"/>
          </w:tcPr>
          <w:p w:rsidR="0049577B" w:rsidRPr="00B40DC1" w:rsidRDefault="0049577B" w:rsidP="005F2716">
            <w:pPr>
              <w:jc w:val="center"/>
            </w:pPr>
            <w:r w:rsidRPr="00B40DC1">
              <w:t>81.60%</w:t>
            </w:r>
          </w:p>
        </w:tc>
        <w:tc>
          <w:tcPr>
            <w:tcW w:w="1740" w:type="dxa"/>
            <w:vAlign w:val="center"/>
          </w:tcPr>
          <w:p w:rsidR="0049577B" w:rsidRPr="00B40DC1" w:rsidRDefault="0049577B" w:rsidP="005F2716">
            <w:pPr>
              <w:jc w:val="center"/>
            </w:pPr>
            <w:r w:rsidRPr="00B40DC1">
              <w:t>71.70%</w:t>
            </w:r>
          </w:p>
        </w:tc>
      </w:tr>
      <w:tr w:rsidR="0049577B" w:rsidRPr="00B40DC1" w:rsidTr="00A66DFC">
        <w:tc>
          <w:tcPr>
            <w:tcW w:w="1716" w:type="dxa"/>
            <w:vMerge w:val="restart"/>
            <w:vAlign w:val="center"/>
          </w:tcPr>
          <w:p w:rsidR="0049577B" w:rsidRPr="00B40DC1" w:rsidRDefault="0049577B" w:rsidP="005F2716">
            <w:pPr>
              <w:ind w:leftChars="18" w:left="47"/>
            </w:pPr>
            <w:r w:rsidRPr="00B40DC1">
              <w:t>總和</w:t>
            </w:r>
          </w:p>
        </w:tc>
        <w:tc>
          <w:tcPr>
            <w:tcW w:w="1261" w:type="dxa"/>
            <w:vAlign w:val="center"/>
          </w:tcPr>
          <w:p w:rsidR="0049577B" w:rsidRPr="00B40DC1" w:rsidRDefault="0049577B" w:rsidP="005F2716">
            <w:pPr>
              <w:ind w:leftChars="0" w:left="0" w:rightChars="-30" w:right="-78"/>
            </w:pPr>
            <w:r w:rsidRPr="00B40DC1">
              <w:t>次數</w:t>
            </w:r>
          </w:p>
        </w:tc>
        <w:tc>
          <w:tcPr>
            <w:tcW w:w="1568" w:type="dxa"/>
            <w:vAlign w:val="center"/>
          </w:tcPr>
          <w:p w:rsidR="0049577B" w:rsidRPr="00B40DC1" w:rsidRDefault="0049577B" w:rsidP="005F2716">
            <w:pPr>
              <w:jc w:val="center"/>
            </w:pPr>
            <w:r w:rsidRPr="00B40DC1">
              <w:t>434</w:t>
            </w:r>
          </w:p>
        </w:tc>
        <w:tc>
          <w:tcPr>
            <w:tcW w:w="1740" w:type="dxa"/>
            <w:vAlign w:val="center"/>
          </w:tcPr>
          <w:p w:rsidR="0049577B" w:rsidRPr="00B40DC1" w:rsidRDefault="0049577B" w:rsidP="005F2716">
            <w:pPr>
              <w:jc w:val="center"/>
            </w:pPr>
            <w:r w:rsidRPr="00B40DC1">
              <w:t>896</w:t>
            </w:r>
          </w:p>
        </w:tc>
        <w:tc>
          <w:tcPr>
            <w:tcW w:w="1740" w:type="dxa"/>
            <w:vAlign w:val="center"/>
          </w:tcPr>
          <w:p w:rsidR="0049577B" w:rsidRPr="00B40DC1" w:rsidRDefault="0049577B" w:rsidP="005F2716">
            <w:pPr>
              <w:jc w:val="center"/>
            </w:pPr>
            <w:r w:rsidRPr="00B40DC1">
              <w:t>38</w:t>
            </w:r>
          </w:p>
        </w:tc>
        <w:tc>
          <w:tcPr>
            <w:tcW w:w="1740" w:type="dxa"/>
            <w:vAlign w:val="center"/>
          </w:tcPr>
          <w:p w:rsidR="0049577B" w:rsidRPr="00B40DC1" w:rsidRDefault="0049577B" w:rsidP="005F2716">
            <w:pPr>
              <w:jc w:val="center"/>
            </w:pPr>
            <w:r w:rsidRPr="00B40DC1">
              <w:t>1368</w:t>
            </w:r>
          </w:p>
        </w:tc>
      </w:tr>
      <w:tr w:rsidR="0049577B" w:rsidRPr="00B40DC1" w:rsidTr="00A66DFC">
        <w:tc>
          <w:tcPr>
            <w:tcW w:w="1716" w:type="dxa"/>
            <w:vMerge/>
            <w:tcBorders>
              <w:bottom w:val="single" w:sz="8" w:space="0" w:color="auto"/>
            </w:tcBorders>
          </w:tcPr>
          <w:p w:rsidR="0049577B" w:rsidRPr="00B40DC1" w:rsidRDefault="0049577B" w:rsidP="005F2716">
            <w:pPr>
              <w:ind w:leftChars="18" w:left="47"/>
            </w:pPr>
          </w:p>
        </w:tc>
        <w:tc>
          <w:tcPr>
            <w:tcW w:w="1261" w:type="dxa"/>
            <w:tcBorders>
              <w:bottom w:val="single" w:sz="8" w:space="0" w:color="auto"/>
            </w:tcBorders>
            <w:vAlign w:val="center"/>
          </w:tcPr>
          <w:p w:rsidR="0049577B" w:rsidRPr="00B40DC1" w:rsidRDefault="0049577B" w:rsidP="005F2716">
            <w:pPr>
              <w:ind w:leftChars="0" w:left="0" w:rightChars="-30" w:right="-78"/>
            </w:pPr>
            <w:r w:rsidRPr="00B40DC1">
              <w:t>百分比</w:t>
            </w:r>
          </w:p>
        </w:tc>
        <w:tc>
          <w:tcPr>
            <w:tcW w:w="1568" w:type="dxa"/>
            <w:tcBorders>
              <w:bottom w:val="single" w:sz="8" w:space="0" w:color="auto"/>
            </w:tcBorders>
            <w:vAlign w:val="center"/>
          </w:tcPr>
          <w:p w:rsidR="0049577B" w:rsidRPr="00B40DC1" w:rsidRDefault="0049577B" w:rsidP="005F2716">
            <w:pPr>
              <w:jc w:val="center"/>
            </w:pPr>
            <w:r w:rsidRPr="00B40DC1">
              <w:t>100.00%</w:t>
            </w:r>
          </w:p>
        </w:tc>
        <w:tc>
          <w:tcPr>
            <w:tcW w:w="1740" w:type="dxa"/>
            <w:tcBorders>
              <w:bottom w:val="single" w:sz="8" w:space="0" w:color="auto"/>
            </w:tcBorders>
            <w:vAlign w:val="center"/>
          </w:tcPr>
          <w:p w:rsidR="0049577B" w:rsidRPr="00B40DC1" w:rsidRDefault="0049577B" w:rsidP="005F2716">
            <w:pPr>
              <w:jc w:val="center"/>
            </w:pPr>
            <w:r w:rsidRPr="00B40DC1">
              <w:t>100.00%</w:t>
            </w:r>
          </w:p>
        </w:tc>
        <w:tc>
          <w:tcPr>
            <w:tcW w:w="1740" w:type="dxa"/>
            <w:tcBorders>
              <w:bottom w:val="single" w:sz="8" w:space="0" w:color="auto"/>
            </w:tcBorders>
            <w:vAlign w:val="center"/>
          </w:tcPr>
          <w:p w:rsidR="0049577B" w:rsidRPr="00B40DC1" w:rsidRDefault="0049577B" w:rsidP="005F2716">
            <w:pPr>
              <w:jc w:val="center"/>
            </w:pPr>
            <w:r w:rsidRPr="00B40DC1">
              <w:t>100.00%</w:t>
            </w:r>
          </w:p>
        </w:tc>
        <w:tc>
          <w:tcPr>
            <w:tcW w:w="1740" w:type="dxa"/>
            <w:tcBorders>
              <w:bottom w:val="single" w:sz="8" w:space="0" w:color="auto"/>
            </w:tcBorders>
            <w:vAlign w:val="center"/>
          </w:tcPr>
          <w:p w:rsidR="0049577B" w:rsidRPr="00B40DC1" w:rsidRDefault="0049577B" w:rsidP="005F2716">
            <w:pPr>
              <w:jc w:val="center"/>
            </w:pPr>
            <w:r w:rsidRPr="00B40DC1">
              <w:t>100.00%</w:t>
            </w:r>
          </w:p>
        </w:tc>
      </w:tr>
      <w:tr w:rsidR="0049577B" w:rsidRPr="00B40DC1" w:rsidTr="00A66DFC">
        <w:tc>
          <w:tcPr>
            <w:tcW w:w="1716" w:type="dxa"/>
            <w:tcBorders>
              <w:top w:val="single" w:sz="8" w:space="0" w:color="auto"/>
              <w:bottom w:val="single" w:sz="12" w:space="0" w:color="auto"/>
            </w:tcBorders>
          </w:tcPr>
          <w:p w:rsidR="0049577B" w:rsidRPr="00B40DC1" w:rsidRDefault="0049577B" w:rsidP="005F2716">
            <w:pPr>
              <w:ind w:leftChars="18" w:left="47"/>
            </w:pPr>
            <w:r w:rsidRPr="00B40DC1">
              <w:t>卡方值</w:t>
            </w:r>
          </w:p>
        </w:tc>
        <w:tc>
          <w:tcPr>
            <w:tcW w:w="0" w:type="auto"/>
            <w:gridSpan w:val="5"/>
            <w:tcBorders>
              <w:top w:val="single" w:sz="8" w:space="0" w:color="auto"/>
              <w:bottom w:val="single" w:sz="12" w:space="0" w:color="auto"/>
            </w:tcBorders>
            <w:vAlign w:val="center"/>
          </w:tcPr>
          <w:p w:rsidR="0049577B" w:rsidRPr="00B40DC1" w:rsidRDefault="0049577B" w:rsidP="000D26BB">
            <w:r w:rsidRPr="00B40DC1">
              <w:t>χ</w:t>
            </w:r>
            <w:r w:rsidRPr="00B40DC1">
              <w:rPr>
                <w:vertAlign w:val="superscript"/>
              </w:rPr>
              <w:t>2</w:t>
            </w:r>
            <w:r w:rsidRPr="00B40DC1">
              <w:t>=37.59；df=28；p&gt;0.05</w:t>
            </w:r>
          </w:p>
        </w:tc>
      </w:tr>
    </w:tbl>
    <w:p w:rsidR="0049577B" w:rsidRPr="00B40DC1" w:rsidRDefault="00817A92" w:rsidP="000D26BB">
      <w:r>
        <w:t>【資料來源】</w:t>
      </w:r>
      <w:r w:rsidR="0049577B" w:rsidRPr="00B40DC1">
        <w:t>作者自行製作。</w:t>
      </w:r>
    </w:p>
    <w:p w:rsidR="0049577B" w:rsidRPr="00B40DC1" w:rsidRDefault="0049577B" w:rsidP="000D26BB"/>
    <w:p w:rsidR="0049577B" w:rsidRPr="00B40DC1" w:rsidRDefault="005F2716" w:rsidP="00A66DFC">
      <w:pPr>
        <w:spacing w:line="240" w:lineRule="auto"/>
        <w:ind w:leftChars="0" w:left="0" w:rightChars="0" w:right="0"/>
      </w:pPr>
      <w:r>
        <w:t xml:space="preserve">　　</w:t>
      </w:r>
      <w:r w:rsidR="0049577B" w:rsidRPr="00B40DC1">
        <w:t>表16顯示國籍別和受訪者沒有參加過照顧輔導措施主要原因之關聯性分析。從本表可以發現：國籍別和受訪者沒有參加過照顧輔導措施主要原因之關連程度未達統計上的顯著水準（χ</w:t>
      </w:r>
      <w:r w:rsidR="0049577B" w:rsidRPr="00B40DC1">
        <w:rPr>
          <w:vertAlign w:val="superscript"/>
        </w:rPr>
        <w:t>2</w:t>
      </w:r>
      <w:r w:rsidR="0049577B" w:rsidRPr="00B40DC1">
        <w:t>=15.29；df=10；p&gt;0.05），顯示：不會因為受訪者國籍別之不同，而在其沒有參加過照顧輔導措施的主要原因上有所差異。</w:t>
      </w:r>
    </w:p>
    <w:p w:rsidR="0049577B" w:rsidRPr="00B40DC1" w:rsidRDefault="005F2716" w:rsidP="00A66DFC">
      <w:pPr>
        <w:spacing w:line="240" w:lineRule="auto"/>
        <w:ind w:leftChars="0" w:left="0" w:rightChars="0" w:right="0"/>
      </w:pPr>
      <w:r>
        <w:t xml:space="preserve">　　</w:t>
      </w:r>
      <w:r w:rsidR="0049577B" w:rsidRPr="00B40DC1">
        <w:t>其次，本研究針對桃園市新移民服務據點和專業團體的訪談資料亦有類似發現。他們常因經濟上的需求，一來到臺灣大部分就會馬上去找工作賺錢，導致沒有多餘的心力在學習上，或是因為需要照顧子女或家人而無法參加照顧輔導課程。此外，也可能因為家人對其不信任，限制他們的行動不讓他們出來。</w:t>
      </w:r>
    </w:p>
    <w:p w:rsidR="0049577B" w:rsidRPr="00B40DC1" w:rsidRDefault="005F2716" w:rsidP="00A66DFC">
      <w:pPr>
        <w:spacing w:line="240" w:lineRule="auto"/>
        <w:ind w:leftChars="0" w:left="0" w:rightChars="0" w:right="0"/>
      </w:pPr>
      <w:r>
        <w:t xml:space="preserve">　　</w:t>
      </w:r>
      <w:r w:rsidR="0049577B" w:rsidRPr="00B40DC1">
        <w:t>新移民生活中最大的困境是新移民走不出來，有可能是</w:t>
      </w:r>
      <w:r w:rsidR="0049577B" w:rsidRPr="00B40DC1">
        <w:rPr>
          <w:u w:val="single"/>
        </w:rPr>
        <w:t>需要賺錢養家或者是小孩還小需要照顧又或者是公婆需要照顧</w:t>
      </w:r>
      <w:r w:rsidR="0049577B" w:rsidRPr="00B40DC1">
        <w:t>，另一方面</w:t>
      </w:r>
      <w:r w:rsidR="0049577B" w:rsidRPr="00B40DC1">
        <w:rPr>
          <w:u w:val="single"/>
        </w:rPr>
        <w:t>家庭觀念的傳統保守封閉</w:t>
      </w:r>
      <w:r w:rsidR="0049577B" w:rsidRPr="00B40DC1">
        <w:t>，認為新移民外出參與活動與他人接觸可能會學壞或者被拐跑，使得不願讓新移民外出與他人交往。(1-4-1)</w:t>
      </w:r>
    </w:p>
    <w:p w:rsidR="0049577B" w:rsidRPr="00B40DC1" w:rsidRDefault="005F2716" w:rsidP="00A66DFC">
      <w:pPr>
        <w:spacing w:line="240" w:lineRule="auto"/>
        <w:ind w:leftChars="0" w:left="0" w:rightChars="0" w:right="0"/>
      </w:pPr>
      <w:r>
        <w:t xml:space="preserve">　　</w:t>
      </w:r>
      <w:r w:rsidR="0049577B" w:rsidRPr="00B40DC1">
        <w:t>像是在客家區的話，因為他們的</w:t>
      </w:r>
      <w:r w:rsidR="0049577B" w:rsidRPr="00B40DC1">
        <w:rPr>
          <w:u w:val="single"/>
        </w:rPr>
        <w:t>家庭比較保守，會限制他們的行動不讓他們出來</w:t>
      </w:r>
      <w:r w:rsidR="0049577B" w:rsidRPr="00B40DC1">
        <w:t>。(2-4-1)</w:t>
      </w:r>
    </w:p>
    <w:p w:rsidR="0049577B" w:rsidRPr="00B40DC1" w:rsidRDefault="005F2716" w:rsidP="00A66DFC">
      <w:pPr>
        <w:spacing w:line="240" w:lineRule="auto"/>
        <w:ind w:leftChars="0" w:left="0" w:rightChars="0" w:right="0"/>
      </w:pPr>
      <w:r>
        <w:t xml:space="preserve">　　</w:t>
      </w:r>
      <w:r w:rsidR="0049577B" w:rsidRPr="00B40DC1">
        <w:t>新移民家庭的經濟狀況普遍都不好，</w:t>
      </w:r>
      <w:r w:rsidR="0049577B" w:rsidRPr="00B40DC1">
        <w:rPr>
          <w:u w:val="single"/>
        </w:rPr>
        <w:t>需要馬上工作而無法去參加課程</w:t>
      </w:r>
      <w:r w:rsidR="0049577B" w:rsidRPr="00B40DC1">
        <w:t>。除非像我們這邊上課的多半家庭經濟還過得去，才有辦法來上課，沒辦法來的通常是迫切需要錢生活的根本沒有時間來上課。(14-4-1)</w:t>
      </w:r>
    </w:p>
    <w:p w:rsidR="0049577B" w:rsidRPr="00B40DC1" w:rsidRDefault="005F2716" w:rsidP="00A66DFC">
      <w:pPr>
        <w:spacing w:line="240" w:lineRule="auto"/>
        <w:ind w:leftChars="0" w:left="0" w:rightChars="0" w:right="0"/>
      </w:pPr>
      <w:r>
        <w:t xml:space="preserve">　　</w:t>
      </w:r>
      <w:r w:rsidR="0049577B" w:rsidRPr="00B40DC1">
        <w:t>絕大數的新移民來臺灣後，在經濟負擔上有迫切的壓力，還擔負起照顧母國家人的責任，因此他們</w:t>
      </w:r>
      <w:r w:rsidR="0049577B" w:rsidRPr="00B40DC1">
        <w:rPr>
          <w:u w:val="single"/>
        </w:rPr>
        <w:t>一來到臺灣大部分就會馬上去找工作賺錢</w:t>
      </w:r>
      <w:r w:rsidR="0049577B" w:rsidRPr="00B40DC1">
        <w:t>，把錢寄回故鄉，變成是說她們</w:t>
      </w:r>
      <w:r w:rsidR="0049577B" w:rsidRPr="00B40DC1">
        <w:rPr>
          <w:u w:val="single"/>
        </w:rPr>
        <w:t>根本沒有多餘的心力在學習上</w:t>
      </w:r>
      <w:r w:rsidR="0049577B" w:rsidRPr="00B40DC1">
        <w:t>。(16-4-1)</w:t>
      </w:r>
    </w:p>
    <w:p w:rsidR="0049577B" w:rsidRPr="00B40DC1" w:rsidRDefault="00DD52C8" w:rsidP="00A66DFC">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表16</w:t>
      </w:r>
      <w:r w:rsidR="00A66DFC">
        <w:rPr>
          <w:rFonts w:ascii="新細明體" w:eastAsia="新細明體" w:hAnsi="新細明體" w:hint="eastAsia"/>
          <w:lang w:eastAsia="zh-TW"/>
        </w:rPr>
        <w:t>、</w:t>
      </w:r>
      <w:r w:rsidRPr="00B40DC1">
        <w:rPr>
          <w:lang w:eastAsia="zh-TW"/>
        </w:rPr>
        <w:t>受訪者國籍與未參加照顧輔導措施主要原因之關聯分析</w:t>
      </w:r>
    </w:p>
    <w:tbl>
      <w:tblPr>
        <w:tblStyle w:val="43"/>
        <w:tblW w:w="0" w:type="auto"/>
        <w:tblInd w:w="25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20"/>
        <w:gridCol w:w="1276"/>
        <w:gridCol w:w="1627"/>
        <w:gridCol w:w="1628"/>
        <w:gridCol w:w="1627"/>
        <w:gridCol w:w="1628"/>
      </w:tblGrid>
      <w:tr w:rsidR="0049577B" w:rsidRPr="00B40DC1" w:rsidTr="00A66DFC">
        <w:tc>
          <w:tcPr>
            <w:tcW w:w="1720" w:type="dxa"/>
            <w:tcBorders>
              <w:top w:val="single" w:sz="12" w:space="0" w:color="auto"/>
              <w:bottom w:val="single" w:sz="8" w:space="0" w:color="auto"/>
            </w:tcBorders>
            <w:shd w:val="clear" w:color="auto" w:fill="FAF0FA"/>
            <w:vAlign w:val="center"/>
          </w:tcPr>
          <w:p w:rsidR="0049577B" w:rsidRPr="00B40DC1" w:rsidRDefault="0049577B" w:rsidP="00A66DFC">
            <w:pPr>
              <w:ind w:leftChars="21" w:left="55"/>
              <w:jc w:val="center"/>
            </w:pPr>
            <w:r w:rsidRPr="00B40DC1">
              <w:t>未參加原因</w:t>
            </w:r>
          </w:p>
        </w:tc>
        <w:tc>
          <w:tcPr>
            <w:tcW w:w="1276" w:type="dxa"/>
            <w:tcBorders>
              <w:top w:val="single" w:sz="12" w:space="0" w:color="auto"/>
              <w:bottom w:val="single" w:sz="8" w:space="0" w:color="auto"/>
            </w:tcBorders>
            <w:shd w:val="clear" w:color="auto" w:fill="FAF0FA"/>
            <w:vAlign w:val="center"/>
          </w:tcPr>
          <w:p w:rsidR="0049577B" w:rsidRPr="00B40DC1" w:rsidRDefault="0049577B" w:rsidP="005F2716">
            <w:pPr>
              <w:ind w:leftChars="-43" w:left="-112"/>
              <w:jc w:val="center"/>
            </w:pPr>
            <w:r w:rsidRPr="00B40DC1">
              <w:t>次數</w:t>
            </w:r>
          </w:p>
          <w:p w:rsidR="0049577B" w:rsidRPr="00B40DC1" w:rsidRDefault="0049577B" w:rsidP="005F2716">
            <w:pPr>
              <w:ind w:leftChars="-43" w:left="-112"/>
              <w:jc w:val="center"/>
            </w:pPr>
            <w:r w:rsidRPr="00B40DC1">
              <w:t>百分比</w:t>
            </w:r>
          </w:p>
        </w:tc>
        <w:tc>
          <w:tcPr>
            <w:tcW w:w="1627" w:type="dxa"/>
            <w:tcBorders>
              <w:top w:val="single" w:sz="12" w:space="0" w:color="auto"/>
              <w:bottom w:val="single" w:sz="8" w:space="0" w:color="auto"/>
            </w:tcBorders>
            <w:shd w:val="clear" w:color="auto" w:fill="FAF0FA"/>
            <w:vAlign w:val="center"/>
          </w:tcPr>
          <w:p w:rsidR="0049577B" w:rsidRPr="00B40DC1" w:rsidRDefault="0049577B" w:rsidP="004B5698">
            <w:pPr>
              <w:ind w:leftChars="0" w:left="0"/>
              <w:jc w:val="center"/>
            </w:pPr>
            <w:r w:rsidRPr="00B40DC1">
              <w:t>東南亞國家</w:t>
            </w:r>
          </w:p>
        </w:tc>
        <w:tc>
          <w:tcPr>
            <w:tcW w:w="1628" w:type="dxa"/>
            <w:tcBorders>
              <w:top w:val="single" w:sz="12" w:space="0" w:color="auto"/>
              <w:bottom w:val="single" w:sz="8" w:space="0" w:color="auto"/>
            </w:tcBorders>
            <w:shd w:val="clear" w:color="auto" w:fill="FAF0FA"/>
            <w:vAlign w:val="center"/>
          </w:tcPr>
          <w:p w:rsidR="0049577B" w:rsidRPr="00B40DC1" w:rsidRDefault="0049577B" w:rsidP="004B5698">
            <w:pPr>
              <w:ind w:leftChars="0" w:left="0"/>
              <w:jc w:val="center"/>
            </w:pPr>
            <w:r w:rsidRPr="00B40DC1">
              <w:t>大陸及港澳地區</w:t>
            </w:r>
          </w:p>
        </w:tc>
        <w:tc>
          <w:tcPr>
            <w:tcW w:w="1627" w:type="dxa"/>
            <w:tcBorders>
              <w:top w:val="single" w:sz="12" w:space="0" w:color="auto"/>
              <w:bottom w:val="single" w:sz="8" w:space="0" w:color="auto"/>
            </w:tcBorders>
            <w:shd w:val="clear" w:color="auto" w:fill="FAF0FA"/>
            <w:vAlign w:val="center"/>
          </w:tcPr>
          <w:p w:rsidR="0049577B" w:rsidRPr="00B40DC1" w:rsidRDefault="0049577B" w:rsidP="004B5698">
            <w:pPr>
              <w:ind w:leftChars="-43" w:left="-112"/>
              <w:jc w:val="center"/>
            </w:pPr>
            <w:r w:rsidRPr="00B40DC1">
              <w:t>其他國家</w:t>
            </w:r>
          </w:p>
        </w:tc>
        <w:tc>
          <w:tcPr>
            <w:tcW w:w="1628" w:type="dxa"/>
            <w:tcBorders>
              <w:top w:val="single" w:sz="12" w:space="0" w:color="auto"/>
              <w:bottom w:val="single" w:sz="8" w:space="0" w:color="auto"/>
            </w:tcBorders>
            <w:shd w:val="clear" w:color="auto" w:fill="FAF0FA"/>
            <w:vAlign w:val="center"/>
          </w:tcPr>
          <w:p w:rsidR="0049577B" w:rsidRPr="00B40DC1" w:rsidRDefault="0049577B" w:rsidP="004B5698">
            <w:pPr>
              <w:jc w:val="center"/>
            </w:pPr>
            <w:r w:rsidRPr="00B40DC1">
              <w:t>總和</w:t>
            </w:r>
          </w:p>
        </w:tc>
      </w:tr>
      <w:tr w:rsidR="0049577B" w:rsidRPr="00B40DC1" w:rsidTr="00A66DFC">
        <w:tc>
          <w:tcPr>
            <w:tcW w:w="1720" w:type="dxa"/>
            <w:vMerge w:val="restart"/>
            <w:tcBorders>
              <w:top w:val="single" w:sz="8" w:space="0" w:color="auto"/>
            </w:tcBorders>
            <w:vAlign w:val="center"/>
          </w:tcPr>
          <w:p w:rsidR="0049577B" w:rsidRPr="00B40DC1" w:rsidRDefault="0049577B" w:rsidP="005F2716">
            <w:pPr>
              <w:ind w:leftChars="21" w:left="55"/>
            </w:pPr>
            <w:r w:rsidRPr="00B40DC1">
              <w:t>料理家務及照顧家人、小孩</w:t>
            </w:r>
          </w:p>
        </w:tc>
        <w:tc>
          <w:tcPr>
            <w:tcW w:w="1276" w:type="dxa"/>
            <w:tcBorders>
              <w:top w:val="single" w:sz="8" w:space="0" w:color="auto"/>
            </w:tcBorders>
            <w:vAlign w:val="center"/>
          </w:tcPr>
          <w:p w:rsidR="0049577B" w:rsidRPr="00B40DC1" w:rsidRDefault="0049577B" w:rsidP="005F2716">
            <w:pPr>
              <w:ind w:leftChars="0" w:left="0"/>
              <w:jc w:val="center"/>
            </w:pPr>
            <w:r w:rsidRPr="00B40DC1">
              <w:t>次數</w:t>
            </w:r>
          </w:p>
        </w:tc>
        <w:tc>
          <w:tcPr>
            <w:tcW w:w="1627" w:type="dxa"/>
            <w:tcBorders>
              <w:top w:val="single" w:sz="8" w:space="0" w:color="auto"/>
            </w:tcBorders>
            <w:vAlign w:val="center"/>
          </w:tcPr>
          <w:p w:rsidR="0049577B" w:rsidRPr="00B40DC1" w:rsidRDefault="0049577B" w:rsidP="005F2716">
            <w:pPr>
              <w:jc w:val="center"/>
            </w:pPr>
            <w:r w:rsidRPr="00B40DC1">
              <w:t>254</w:t>
            </w:r>
          </w:p>
        </w:tc>
        <w:tc>
          <w:tcPr>
            <w:tcW w:w="1628" w:type="dxa"/>
            <w:tcBorders>
              <w:top w:val="single" w:sz="8" w:space="0" w:color="auto"/>
            </w:tcBorders>
            <w:vAlign w:val="center"/>
          </w:tcPr>
          <w:p w:rsidR="0049577B" w:rsidRPr="00B40DC1" w:rsidRDefault="0049577B" w:rsidP="005F2716">
            <w:pPr>
              <w:jc w:val="center"/>
            </w:pPr>
            <w:r w:rsidRPr="00B40DC1">
              <w:t>509</w:t>
            </w:r>
          </w:p>
        </w:tc>
        <w:tc>
          <w:tcPr>
            <w:tcW w:w="1627" w:type="dxa"/>
            <w:tcBorders>
              <w:top w:val="single" w:sz="8" w:space="0" w:color="auto"/>
            </w:tcBorders>
            <w:vAlign w:val="center"/>
          </w:tcPr>
          <w:p w:rsidR="0049577B" w:rsidRPr="00B40DC1" w:rsidRDefault="0049577B" w:rsidP="005F2716">
            <w:pPr>
              <w:jc w:val="center"/>
            </w:pPr>
            <w:r w:rsidRPr="00B40DC1">
              <w:t>25</w:t>
            </w:r>
          </w:p>
        </w:tc>
        <w:tc>
          <w:tcPr>
            <w:tcW w:w="1628" w:type="dxa"/>
            <w:tcBorders>
              <w:top w:val="single" w:sz="8" w:space="0" w:color="auto"/>
            </w:tcBorders>
            <w:vAlign w:val="center"/>
          </w:tcPr>
          <w:p w:rsidR="0049577B" w:rsidRPr="00B40DC1" w:rsidRDefault="0049577B" w:rsidP="005F2716">
            <w:pPr>
              <w:jc w:val="center"/>
            </w:pPr>
            <w:r w:rsidRPr="00B40DC1">
              <w:t>788</w:t>
            </w:r>
          </w:p>
        </w:tc>
      </w:tr>
      <w:tr w:rsidR="0049577B" w:rsidRPr="00B40DC1" w:rsidTr="00A66DFC">
        <w:tc>
          <w:tcPr>
            <w:tcW w:w="1720" w:type="dxa"/>
            <w:vMerge/>
            <w:vAlign w:val="center"/>
          </w:tcPr>
          <w:p w:rsidR="0049577B" w:rsidRPr="00B40DC1" w:rsidRDefault="0049577B" w:rsidP="005F2716">
            <w:pPr>
              <w:ind w:leftChars="21" w:left="55"/>
            </w:pPr>
          </w:p>
        </w:tc>
        <w:tc>
          <w:tcPr>
            <w:tcW w:w="1276" w:type="dxa"/>
            <w:vAlign w:val="center"/>
          </w:tcPr>
          <w:p w:rsidR="0049577B" w:rsidRPr="00B40DC1" w:rsidRDefault="0049577B" w:rsidP="005F2716">
            <w:pPr>
              <w:ind w:leftChars="0" w:left="0"/>
              <w:jc w:val="center"/>
            </w:pPr>
            <w:r w:rsidRPr="00B40DC1">
              <w:t>百分比</w:t>
            </w:r>
          </w:p>
        </w:tc>
        <w:tc>
          <w:tcPr>
            <w:tcW w:w="1627" w:type="dxa"/>
            <w:vAlign w:val="center"/>
          </w:tcPr>
          <w:p w:rsidR="0049577B" w:rsidRPr="00B40DC1" w:rsidRDefault="0049577B" w:rsidP="005F2716">
            <w:pPr>
              <w:jc w:val="center"/>
            </w:pPr>
            <w:r w:rsidRPr="00B40DC1">
              <w:t>82.20%</w:t>
            </w:r>
          </w:p>
        </w:tc>
        <w:tc>
          <w:tcPr>
            <w:tcW w:w="1628" w:type="dxa"/>
            <w:vAlign w:val="center"/>
          </w:tcPr>
          <w:p w:rsidR="0049577B" w:rsidRPr="00B40DC1" w:rsidRDefault="0049577B" w:rsidP="005F2716">
            <w:pPr>
              <w:jc w:val="center"/>
            </w:pPr>
            <w:r w:rsidRPr="00B40DC1">
              <w:t>78.20%</w:t>
            </w:r>
          </w:p>
        </w:tc>
        <w:tc>
          <w:tcPr>
            <w:tcW w:w="1627" w:type="dxa"/>
            <w:vAlign w:val="center"/>
          </w:tcPr>
          <w:p w:rsidR="0049577B" w:rsidRPr="00B40DC1" w:rsidRDefault="0049577B" w:rsidP="005F2716">
            <w:pPr>
              <w:jc w:val="center"/>
            </w:pPr>
            <w:r w:rsidRPr="00B40DC1">
              <w:t>83.30%</w:t>
            </w:r>
          </w:p>
        </w:tc>
        <w:tc>
          <w:tcPr>
            <w:tcW w:w="1628" w:type="dxa"/>
            <w:vAlign w:val="center"/>
          </w:tcPr>
          <w:p w:rsidR="0049577B" w:rsidRPr="00B40DC1" w:rsidRDefault="0049577B" w:rsidP="005F2716">
            <w:pPr>
              <w:jc w:val="center"/>
            </w:pPr>
            <w:r w:rsidRPr="00B40DC1">
              <w:t>79.60%</w:t>
            </w:r>
          </w:p>
        </w:tc>
      </w:tr>
      <w:tr w:rsidR="0049577B" w:rsidRPr="00B40DC1" w:rsidTr="00A66DFC">
        <w:tc>
          <w:tcPr>
            <w:tcW w:w="1720" w:type="dxa"/>
            <w:vMerge w:val="restart"/>
            <w:vAlign w:val="center"/>
          </w:tcPr>
          <w:p w:rsidR="0049577B" w:rsidRPr="00B40DC1" w:rsidRDefault="0049577B" w:rsidP="005F2716">
            <w:pPr>
              <w:ind w:leftChars="21" w:left="55"/>
            </w:pPr>
            <w:r w:rsidRPr="00B40DC1">
              <w:t>家人不同意參加</w:t>
            </w:r>
          </w:p>
        </w:tc>
        <w:tc>
          <w:tcPr>
            <w:tcW w:w="1276" w:type="dxa"/>
            <w:vAlign w:val="center"/>
          </w:tcPr>
          <w:p w:rsidR="0049577B" w:rsidRPr="00B40DC1" w:rsidRDefault="0049577B" w:rsidP="005F2716">
            <w:pPr>
              <w:ind w:leftChars="0" w:left="0"/>
              <w:jc w:val="center"/>
            </w:pPr>
            <w:r w:rsidRPr="00B40DC1">
              <w:t>次數</w:t>
            </w:r>
          </w:p>
        </w:tc>
        <w:tc>
          <w:tcPr>
            <w:tcW w:w="1627" w:type="dxa"/>
            <w:vAlign w:val="center"/>
          </w:tcPr>
          <w:p w:rsidR="0049577B" w:rsidRPr="00B40DC1" w:rsidRDefault="0049577B" w:rsidP="005F2716">
            <w:pPr>
              <w:jc w:val="center"/>
            </w:pPr>
            <w:r w:rsidRPr="00B40DC1">
              <w:t>5</w:t>
            </w:r>
          </w:p>
        </w:tc>
        <w:tc>
          <w:tcPr>
            <w:tcW w:w="1628" w:type="dxa"/>
            <w:vAlign w:val="center"/>
          </w:tcPr>
          <w:p w:rsidR="0049577B" w:rsidRPr="00B40DC1" w:rsidRDefault="0049577B" w:rsidP="005F2716">
            <w:pPr>
              <w:jc w:val="center"/>
            </w:pPr>
            <w:r w:rsidRPr="00B40DC1">
              <w:t>5</w:t>
            </w:r>
          </w:p>
        </w:tc>
        <w:tc>
          <w:tcPr>
            <w:tcW w:w="1627" w:type="dxa"/>
            <w:vAlign w:val="center"/>
          </w:tcPr>
          <w:p w:rsidR="0049577B" w:rsidRPr="00B40DC1" w:rsidRDefault="0049577B" w:rsidP="005F2716">
            <w:pPr>
              <w:jc w:val="center"/>
            </w:pPr>
            <w:r w:rsidRPr="00B40DC1">
              <w:t>0</w:t>
            </w:r>
          </w:p>
        </w:tc>
        <w:tc>
          <w:tcPr>
            <w:tcW w:w="1628" w:type="dxa"/>
            <w:vAlign w:val="center"/>
          </w:tcPr>
          <w:p w:rsidR="0049577B" w:rsidRPr="00B40DC1" w:rsidRDefault="0049577B" w:rsidP="005F2716">
            <w:pPr>
              <w:jc w:val="center"/>
            </w:pPr>
            <w:r w:rsidRPr="00B40DC1">
              <w:t>10</w:t>
            </w:r>
          </w:p>
        </w:tc>
      </w:tr>
      <w:tr w:rsidR="0049577B" w:rsidRPr="00B40DC1" w:rsidTr="00A66DFC">
        <w:tc>
          <w:tcPr>
            <w:tcW w:w="1720" w:type="dxa"/>
            <w:vMerge/>
            <w:vAlign w:val="center"/>
          </w:tcPr>
          <w:p w:rsidR="0049577B" w:rsidRPr="00B40DC1" w:rsidRDefault="0049577B" w:rsidP="005F2716">
            <w:pPr>
              <w:ind w:leftChars="21" w:left="55"/>
            </w:pPr>
          </w:p>
        </w:tc>
        <w:tc>
          <w:tcPr>
            <w:tcW w:w="1276" w:type="dxa"/>
            <w:vAlign w:val="center"/>
          </w:tcPr>
          <w:p w:rsidR="0049577B" w:rsidRPr="00B40DC1" w:rsidRDefault="0049577B" w:rsidP="005F2716">
            <w:pPr>
              <w:ind w:leftChars="0" w:left="0"/>
              <w:jc w:val="center"/>
            </w:pPr>
            <w:r w:rsidRPr="00B40DC1">
              <w:t>百分比</w:t>
            </w:r>
          </w:p>
        </w:tc>
        <w:tc>
          <w:tcPr>
            <w:tcW w:w="1627" w:type="dxa"/>
            <w:vAlign w:val="center"/>
          </w:tcPr>
          <w:p w:rsidR="0049577B" w:rsidRPr="00B40DC1" w:rsidRDefault="0049577B" w:rsidP="005F2716">
            <w:pPr>
              <w:jc w:val="center"/>
            </w:pPr>
            <w:r w:rsidRPr="00B40DC1">
              <w:t>1.60%</w:t>
            </w:r>
          </w:p>
        </w:tc>
        <w:tc>
          <w:tcPr>
            <w:tcW w:w="1628" w:type="dxa"/>
            <w:vAlign w:val="center"/>
          </w:tcPr>
          <w:p w:rsidR="0049577B" w:rsidRPr="00B40DC1" w:rsidRDefault="0049577B" w:rsidP="005F2716">
            <w:pPr>
              <w:jc w:val="center"/>
            </w:pPr>
            <w:r w:rsidRPr="00B40DC1">
              <w:t>0.80%</w:t>
            </w:r>
          </w:p>
        </w:tc>
        <w:tc>
          <w:tcPr>
            <w:tcW w:w="1627" w:type="dxa"/>
            <w:vAlign w:val="center"/>
          </w:tcPr>
          <w:p w:rsidR="0049577B" w:rsidRPr="00B40DC1" w:rsidRDefault="0049577B" w:rsidP="005F2716">
            <w:pPr>
              <w:jc w:val="center"/>
            </w:pPr>
            <w:r w:rsidRPr="00B40DC1">
              <w:t>0.00%</w:t>
            </w:r>
          </w:p>
        </w:tc>
        <w:tc>
          <w:tcPr>
            <w:tcW w:w="1628" w:type="dxa"/>
            <w:vAlign w:val="center"/>
          </w:tcPr>
          <w:p w:rsidR="0049577B" w:rsidRPr="00B40DC1" w:rsidRDefault="0049577B" w:rsidP="005F2716">
            <w:pPr>
              <w:jc w:val="center"/>
            </w:pPr>
            <w:r w:rsidRPr="00B40DC1">
              <w:t>1.00%</w:t>
            </w:r>
          </w:p>
        </w:tc>
      </w:tr>
      <w:tr w:rsidR="0049577B" w:rsidRPr="00B40DC1" w:rsidTr="00A66DFC">
        <w:tc>
          <w:tcPr>
            <w:tcW w:w="1720" w:type="dxa"/>
            <w:vMerge w:val="restart"/>
            <w:vAlign w:val="center"/>
          </w:tcPr>
          <w:p w:rsidR="0049577B" w:rsidRPr="00B40DC1" w:rsidRDefault="0049577B" w:rsidP="005F2716">
            <w:pPr>
              <w:ind w:leftChars="21" w:left="55"/>
            </w:pPr>
            <w:r w:rsidRPr="00B40DC1">
              <w:t>要工作</w:t>
            </w:r>
          </w:p>
        </w:tc>
        <w:tc>
          <w:tcPr>
            <w:tcW w:w="1276" w:type="dxa"/>
            <w:vAlign w:val="center"/>
          </w:tcPr>
          <w:p w:rsidR="0049577B" w:rsidRPr="00B40DC1" w:rsidRDefault="0049577B" w:rsidP="005F2716">
            <w:pPr>
              <w:ind w:leftChars="0" w:left="0"/>
              <w:jc w:val="center"/>
            </w:pPr>
            <w:r w:rsidRPr="00B40DC1">
              <w:t>次數</w:t>
            </w:r>
          </w:p>
        </w:tc>
        <w:tc>
          <w:tcPr>
            <w:tcW w:w="1627" w:type="dxa"/>
            <w:vAlign w:val="center"/>
          </w:tcPr>
          <w:p w:rsidR="0049577B" w:rsidRPr="00B40DC1" w:rsidRDefault="0049577B" w:rsidP="005F2716">
            <w:pPr>
              <w:jc w:val="center"/>
            </w:pPr>
            <w:r w:rsidRPr="00B40DC1">
              <w:t>37</w:t>
            </w:r>
          </w:p>
        </w:tc>
        <w:tc>
          <w:tcPr>
            <w:tcW w:w="1628" w:type="dxa"/>
            <w:vAlign w:val="center"/>
          </w:tcPr>
          <w:p w:rsidR="0049577B" w:rsidRPr="00B40DC1" w:rsidRDefault="0049577B" w:rsidP="005F2716">
            <w:pPr>
              <w:jc w:val="center"/>
            </w:pPr>
            <w:r w:rsidRPr="00B40DC1">
              <w:t>70</w:t>
            </w:r>
          </w:p>
        </w:tc>
        <w:tc>
          <w:tcPr>
            <w:tcW w:w="1627" w:type="dxa"/>
            <w:vAlign w:val="center"/>
          </w:tcPr>
          <w:p w:rsidR="0049577B" w:rsidRPr="00B40DC1" w:rsidRDefault="0049577B" w:rsidP="005F2716">
            <w:pPr>
              <w:jc w:val="center"/>
            </w:pPr>
            <w:r w:rsidRPr="00B40DC1">
              <w:t>2</w:t>
            </w:r>
          </w:p>
        </w:tc>
        <w:tc>
          <w:tcPr>
            <w:tcW w:w="1628" w:type="dxa"/>
            <w:vAlign w:val="center"/>
          </w:tcPr>
          <w:p w:rsidR="0049577B" w:rsidRPr="00B40DC1" w:rsidRDefault="0049577B" w:rsidP="005F2716">
            <w:pPr>
              <w:jc w:val="center"/>
            </w:pPr>
            <w:r w:rsidRPr="00B40DC1">
              <w:t>109</w:t>
            </w:r>
          </w:p>
        </w:tc>
      </w:tr>
      <w:tr w:rsidR="0049577B" w:rsidRPr="00B40DC1" w:rsidTr="00A66DFC">
        <w:tc>
          <w:tcPr>
            <w:tcW w:w="1720" w:type="dxa"/>
            <w:vMerge/>
            <w:vAlign w:val="center"/>
          </w:tcPr>
          <w:p w:rsidR="0049577B" w:rsidRPr="00B40DC1" w:rsidRDefault="0049577B" w:rsidP="005F2716">
            <w:pPr>
              <w:ind w:leftChars="21" w:left="55"/>
            </w:pPr>
          </w:p>
        </w:tc>
        <w:tc>
          <w:tcPr>
            <w:tcW w:w="1276" w:type="dxa"/>
            <w:vAlign w:val="center"/>
          </w:tcPr>
          <w:p w:rsidR="0049577B" w:rsidRPr="00B40DC1" w:rsidRDefault="0049577B" w:rsidP="005F2716">
            <w:pPr>
              <w:ind w:leftChars="0" w:left="0"/>
              <w:jc w:val="center"/>
            </w:pPr>
            <w:r w:rsidRPr="00B40DC1">
              <w:t>百分比</w:t>
            </w:r>
          </w:p>
        </w:tc>
        <w:tc>
          <w:tcPr>
            <w:tcW w:w="1627" w:type="dxa"/>
            <w:vAlign w:val="center"/>
          </w:tcPr>
          <w:p w:rsidR="0049577B" w:rsidRPr="00B40DC1" w:rsidRDefault="0049577B" w:rsidP="005F2716">
            <w:pPr>
              <w:jc w:val="center"/>
            </w:pPr>
            <w:r w:rsidRPr="00B40DC1">
              <w:t>12.00%</w:t>
            </w:r>
          </w:p>
        </w:tc>
        <w:tc>
          <w:tcPr>
            <w:tcW w:w="1628" w:type="dxa"/>
            <w:vAlign w:val="center"/>
          </w:tcPr>
          <w:p w:rsidR="0049577B" w:rsidRPr="00B40DC1" w:rsidRDefault="0049577B" w:rsidP="005F2716">
            <w:pPr>
              <w:jc w:val="center"/>
            </w:pPr>
            <w:r w:rsidRPr="00B40DC1">
              <w:t>10.80%</w:t>
            </w:r>
          </w:p>
        </w:tc>
        <w:tc>
          <w:tcPr>
            <w:tcW w:w="1627" w:type="dxa"/>
            <w:vAlign w:val="center"/>
          </w:tcPr>
          <w:p w:rsidR="0049577B" w:rsidRPr="00B40DC1" w:rsidRDefault="0049577B" w:rsidP="005F2716">
            <w:pPr>
              <w:jc w:val="center"/>
            </w:pPr>
            <w:r w:rsidRPr="00B40DC1">
              <w:t>6.70%</w:t>
            </w:r>
          </w:p>
        </w:tc>
        <w:tc>
          <w:tcPr>
            <w:tcW w:w="1628" w:type="dxa"/>
            <w:vAlign w:val="center"/>
          </w:tcPr>
          <w:p w:rsidR="0049577B" w:rsidRPr="00B40DC1" w:rsidRDefault="0049577B" w:rsidP="005F2716">
            <w:pPr>
              <w:jc w:val="center"/>
            </w:pPr>
            <w:r w:rsidRPr="00B40DC1">
              <w:t>11.00%</w:t>
            </w:r>
          </w:p>
        </w:tc>
      </w:tr>
      <w:tr w:rsidR="0049577B" w:rsidRPr="00B40DC1" w:rsidTr="00A66DFC">
        <w:tc>
          <w:tcPr>
            <w:tcW w:w="1720" w:type="dxa"/>
            <w:vMerge w:val="restart"/>
            <w:vAlign w:val="center"/>
          </w:tcPr>
          <w:p w:rsidR="0049577B" w:rsidRPr="00B40DC1" w:rsidRDefault="0049577B" w:rsidP="005F2716">
            <w:pPr>
              <w:ind w:leftChars="21" w:left="55"/>
            </w:pPr>
            <w:r w:rsidRPr="00B40DC1">
              <w:t>不知道有照顧輔導措施</w:t>
            </w:r>
          </w:p>
        </w:tc>
        <w:tc>
          <w:tcPr>
            <w:tcW w:w="1276" w:type="dxa"/>
            <w:vAlign w:val="center"/>
          </w:tcPr>
          <w:p w:rsidR="0049577B" w:rsidRPr="00B40DC1" w:rsidRDefault="0049577B" w:rsidP="005F2716">
            <w:pPr>
              <w:ind w:leftChars="0" w:left="0"/>
              <w:jc w:val="center"/>
            </w:pPr>
            <w:r w:rsidRPr="00B40DC1">
              <w:t>次數</w:t>
            </w:r>
          </w:p>
        </w:tc>
        <w:tc>
          <w:tcPr>
            <w:tcW w:w="1627" w:type="dxa"/>
            <w:vAlign w:val="center"/>
          </w:tcPr>
          <w:p w:rsidR="0049577B" w:rsidRPr="00B40DC1" w:rsidRDefault="0049577B" w:rsidP="005F2716">
            <w:pPr>
              <w:jc w:val="center"/>
            </w:pPr>
            <w:r w:rsidRPr="00B40DC1">
              <w:t>5</w:t>
            </w:r>
          </w:p>
        </w:tc>
        <w:tc>
          <w:tcPr>
            <w:tcW w:w="1628" w:type="dxa"/>
            <w:vAlign w:val="center"/>
          </w:tcPr>
          <w:p w:rsidR="0049577B" w:rsidRPr="00B40DC1" w:rsidRDefault="0049577B" w:rsidP="005F2716">
            <w:pPr>
              <w:jc w:val="center"/>
            </w:pPr>
            <w:r w:rsidRPr="00B40DC1">
              <w:t>40</w:t>
            </w:r>
          </w:p>
        </w:tc>
        <w:tc>
          <w:tcPr>
            <w:tcW w:w="1627" w:type="dxa"/>
            <w:vAlign w:val="center"/>
          </w:tcPr>
          <w:p w:rsidR="0049577B" w:rsidRPr="00B40DC1" w:rsidRDefault="0049577B" w:rsidP="005F2716">
            <w:pPr>
              <w:jc w:val="center"/>
            </w:pPr>
            <w:r w:rsidRPr="00B40DC1">
              <w:t>1</w:t>
            </w:r>
          </w:p>
        </w:tc>
        <w:tc>
          <w:tcPr>
            <w:tcW w:w="1628" w:type="dxa"/>
            <w:vAlign w:val="center"/>
          </w:tcPr>
          <w:p w:rsidR="0049577B" w:rsidRPr="00B40DC1" w:rsidRDefault="0049577B" w:rsidP="005F2716">
            <w:pPr>
              <w:jc w:val="center"/>
            </w:pPr>
            <w:r w:rsidRPr="00B40DC1">
              <w:t>46</w:t>
            </w:r>
          </w:p>
        </w:tc>
      </w:tr>
      <w:tr w:rsidR="0049577B" w:rsidRPr="00B40DC1" w:rsidTr="00A66DFC">
        <w:tc>
          <w:tcPr>
            <w:tcW w:w="1720" w:type="dxa"/>
            <w:vMerge/>
            <w:vAlign w:val="center"/>
          </w:tcPr>
          <w:p w:rsidR="0049577B" w:rsidRPr="00B40DC1" w:rsidRDefault="0049577B" w:rsidP="005F2716">
            <w:pPr>
              <w:ind w:leftChars="21" w:left="55"/>
            </w:pPr>
          </w:p>
        </w:tc>
        <w:tc>
          <w:tcPr>
            <w:tcW w:w="1276" w:type="dxa"/>
            <w:vAlign w:val="center"/>
          </w:tcPr>
          <w:p w:rsidR="0049577B" w:rsidRPr="00B40DC1" w:rsidRDefault="0049577B" w:rsidP="005F2716">
            <w:pPr>
              <w:ind w:leftChars="0" w:left="0"/>
              <w:jc w:val="center"/>
            </w:pPr>
            <w:r w:rsidRPr="00B40DC1">
              <w:t>百分比</w:t>
            </w:r>
          </w:p>
        </w:tc>
        <w:tc>
          <w:tcPr>
            <w:tcW w:w="1627" w:type="dxa"/>
            <w:vAlign w:val="center"/>
          </w:tcPr>
          <w:p w:rsidR="0049577B" w:rsidRPr="00B40DC1" w:rsidRDefault="0049577B" w:rsidP="005F2716">
            <w:pPr>
              <w:jc w:val="center"/>
            </w:pPr>
            <w:r w:rsidRPr="00B40DC1">
              <w:t>1.60%</w:t>
            </w:r>
          </w:p>
        </w:tc>
        <w:tc>
          <w:tcPr>
            <w:tcW w:w="1628" w:type="dxa"/>
            <w:vAlign w:val="center"/>
          </w:tcPr>
          <w:p w:rsidR="0049577B" w:rsidRPr="00B40DC1" w:rsidRDefault="0049577B" w:rsidP="005F2716">
            <w:pPr>
              <w:jc w:val="center"/>
            </w:pPr>
            <w:r w:rsidRPr="00B40DC1">
              <w:t>6.10%</w:t>
            </w:r>
          </w:p>
        </w:tc>
        <w:tc>
          <w:tcPr>
            <w:tcW w:w="1627" w:type="dxa"/>
            <w:vAlign w:val="center"/>
          </w:tcPr>
          <w:p w:rsidR="0049577B" w:rsidRPr="00B40DC1" w:rsidRDefault="0049577B" w:rsidP="005F2716">
            <w:pPr>
              <w:jc w:val="center"/>
            </w:pPr>
            <w:r w:rsidRPr="00B40DC1">
              <w:t>3.30%</w:t>
            </w:r>
          </w:p>
        </w:tc>
        <w:tc>
          <w:tcPr>
            <w:tcW w:w="1628" w:type="dxa"/>
            <w:vAlign w:val="center"/>
          </w:tcPr>
          <w:p w:rsidR="0049577B" w:rsidRPr="00B40DC1" w:rsidRDefault="0049577B" w:rsidP="005F2716">
            <w:pPr>
              <w:jc w:val="center"/>
            </w:pPr>
            <w:r w:rsidRPr="00B40DC1">
              <w:t>4.60%</w:t>
            </w:r>
          </w:p>
        </w:tc>
      </w:tr>
      <w:tr w:rsidR="0049577B" w:rsidRPr="00B40DC1" w:rsidTr="00A66DFC">
        <w:tc>
          <w:tcPr>
            <w:tcW w:w="1720" w:type="dxa"/>
            <w:vMerge w:val="restart"/>
            <w:vAlign w:val="center"/>
          </w:tcPr>
          <w:p w:rsidR="0049577B" w:rsidRPr="00B40DC1" w:rsidRDefault="0049577B" w:rsidP="005F2716">
            <w:pPr>
              <w:ind w:leftChars="21" w:left="55"/>
            </w:pPr>
            <w:r w:rsidRPr="00B40DC1">
              <w:t>沒有興趣</w:t>
            </w:r>
          </w:p>
        </w:tc>
        <w:tc>
          <w:tcPr>
            <w:tcW w:w="1276" w:type="dxa"/>
            <w:vAlign w:val="center"/>
          </w:tcPr>
          <w:p w:rsidR="0049577B" w:rsidRPr="00B40DC1" w:rsidRDefault="0049577B" w:rsidP="005F2716">
            <w:pPr>
              <w:ind w:leftChars="0" w:left="0"/>
              <w:jc w:val="center"/>
            </w:pPr>
            <w:r w:rsidRPr="00B40DC1">
              <w:t>次數</w:t>
            </w:r>
          </w:p>
        </w:tc>
        <w:tc>
          <w:tcPr>
            <w:tcW w:w="1627" w:type="dxa"/>
            <w:vAlign w:val="center"/>
          </w:tcPr>
          <w:p w:rsidR="0049577B" w:rsidRPr="00B40DC1" w:rsidRDefault="0049577B" w:rsidP="005F2716">
            <w:pPr>
              <w:jc w:val="center"/>
            </w:pPr>
            <w:r w:rsidRPr="00B40DC1">
              <w:t>8</w:t>
            </w:r>
          </w:p>
        </w:tc>
        <w:tc>
          <w:tcPr>
            <w:tcW w:w="1628" w:type="dxa"/>
            <w:vAlign w:val="center"/>
          </w:tcPr>
          <w:p w:rsidR="0049577B" w:rsidRPr="00B40DC1" w:rsidRDefault="0049577B" w:rsidP="005F2716">
            <w:pPr>
              <w:jc w:val="center"/>
            </w:pPr>
            <w:r w:rsidRPr="00B40DC1">
              <w:t>25</w:t>
            </w:r>
          </w:p>
        </w:tc>
        <w:tc>
          <w:tcPr>
            <w:tcW w:w="1627" w:type="dxa"/>
            <w:vAlign w:val="center"/>
          </w:tcPr>
          <w:p w:rsidR="0049577B" w:rsidRPr="00B40DC1" w:rsidRDefault="0049577B" w:rsidP="005F2716">
            <w:pPr>
              <w:jc w:val="center"/>
            </w:pPr>
            <w:r w:rsidRPr="00B40DC1">
              <w:t>2</w:t>
            </w:r>
          </w:p>
        </w:tc>
        <w:tc>
          <w:tcPr>
            <w:tcW w:w="1628" w:type="dxa"/>
            <w:vAlign w:val="center"/>
          </w:tcPr>
          <w:p w:rsidR="0049577B" w:rsidRPr="00B40DC1" w:rsidRDefault="0049577B" w:rsidP="005F2716">
            <w:pPr>
              <w:jc w:val="center"/>
            </w:pPr>
            <w:r w:rsidRPr="00B40DC1">
              <w:t>35</w:t>
            </w:r>
          </w:p>
        </w:tc>
      </w:tr>
      <w:tr w:rsidR="0049577B" w:rsidRPr="00B40DC1" w:rsidTr="00A66DFC">
        <w:tc>
          <w:tcPr>
            <w:tcW w:w="1720" w:type="dxa"/>
            <w:vMerge/>
            <w:vAlign w:val="center"/>
          </w:tcPr>
          <w:p w:rsidR="0049577B" w:rsidRPr="00B40DC1" w:rsidRDefault="0049577B" w:rsidP="005F2716">
            <w:pPr>
              <w:ind w:leftChars="21" w:left="55"/>
            </w:pPr>
          </w:p>
        </w:tc>
        <w:tc>
          <w:tcPr>
            <w:tcW w:w="1276" w:type="dxa"/>
            <w:vAlign w:val="center"/>
          </w:tcPr>
          <w:p w:rsidR="0049577B" w:rsidRPr="00B40DC1" w:rsidRDefault="0049577B" w:rsidP="005F2716">
            <w:pPr>
              <w:ind w:leftChars="0" w:left="0"/>
              <w:jc w:val="center"/>
            </w:pPr>
            <w:r w:rsidRPr="00B40DC1">
              <w:t>百分比</w:t>
            </w:r>
          </w:p>
        </w:tc>
        <w:tc>
          <w:tcPr>
            <w:tcW w:w="1627" w:type="dxa"/>
            <w:vAlign w:val="center"/>
          </w:tcPr>
          <w:p w:rsidR="0049577B" w:rsidRPr="00B40DC1" w:rsidRDefault="0049577B" w:rsidP="005F2716">
            <w:pPr>
              <w:jc w:val="center"/>
            </w:pPr>
            <w:r w:rsidRPr="00B40DC1">
              <w:t>2.60%</w:t>
            </w:r>
          </w:p>
        </w:tc>
        <w:tc>
          <w:tcPr>
            <w:tcW w:w="1628" w:type="dxa"/>
            <w:vAlign w:val="center"/>
          </w:tcPr>
          <w:p w:rsidR="0049577B" w:rsidRPr="00B40DC1" w:rsidRDefault="0049577B" w:rsidP="005F2716">
            <w:pPr>
              <w:jc w:val="center"/>
            </w:pPr>
            <w:r w:rsidRPr="00B40DC1">
              <w:t>3.80%</w:t>
            </w:r>
          </w:p>
        </w:tc>
        <w:tc>
          <w:tcPr>
            <w:tcW w:w="1627" w:type="dxa"/>
            <w:vAlign w:val="center"/>
          </w:tcPr>
          <w:p w:rsidR="0049577B" w:rsidRPr="00B40DC1" w:rsidRDefault="0049577B" w:rsidP="005F2716">
            <w:pPr>
              <w:jc w:val="center"/>
            </w:pPr>
            <w:r w:rsidRPr="00B40DC1">
              <w:t>6.70%</w:t>
            </w:r>
          </w:p>
        </w:tc>
        <w:tc>
          <w:tcPr>
            <w:tcW w:w="1628" w:type="dxa"/>
            <w:vAlign w:val="center"/>
          </w:tcPr>
          <w:p w:rsidR="0049577B" w:rsidRPr="00B40DC1" w:rsidRDefault="0049577B" w:rsidP="005F2716">
            <w:pPr>
              <w:jc w:val="center"/>
            </w:pPr>
            <w:r w:rsidRPr="00B40DC1">
              <w:t>3.50%</w:t>
            </w:r>
          </w:p>
        </w:tc>
      </w:tr>
      <w:tr w:rsidR="0049577B" w:rsidRPr="00B40DC1" w:rsidTr="00A66DFC">
        <w:tc>
          <w:tcPr>
            <w:tcW w:w="1720" w:type="dxa"/>
            <w:vMerge w:val="restart"/>
            <w:vAlign w:val="center"/>
          </w:tcPr>
          <w:p w:rsidR="0049577B" w:rsidRPr="00B40DC1" w:rsidRDefault="0049577B" w:rsidP="005F2716">
            <w:pPr>
              <w:ind w:leftChars="21" w:left="55"/>
            </w:pPr>
            <w:r w:rsidRPr="00B40DC1">
              <w:t>其他</w:t>
            </w:r>
          </w:p>
        </w:tc>
        <w:tc>
          <w:tcPr>
            <w:tcW w:w="1276" w:type="dxa"/>
            <w:vAlign w:val="center"/>
          </w:tcPr>
          <w:p w:rsidR="0049577B" w:rsidRPr="00B40DC1" w:rsidRDefault="0049577B" w:rsidP="005F2716">
            <w:pPr>
              <w:ind w:leftChars="0" w:left="0"/>
              <w:jc w:val="center"/>
            </w:pPr>
            <w:r w:rsidRPr="00B40DC1">
              <w:t>次數</w:t>
            </w:r>
          </w:p>
        </w:tc>
        <w:tc>
          <w:tcPr>
            <w:tcW w:w="1627" w:type="dxa"/>
            <w:vAlign w:val="center"/>
          </w:tcPr>
          <w:p w:rsidR="0049577B" w:rsidRPr="00B40DC1" w:rsidRDefault="0049577B" w:rsidP="005F2716">
            <w:pPr>
              <w:jc w:val="center"/>
            </w:pPr>
            <w:r w:rsidRPr="00B40DC1">
              <w:t>0</w:t>
            </w:r>
          </w:p>
        </w:tc>
        <w:tc>
          <w:tcPr>
            <w:tcW w:w="1628" w:type="dxa"/>
            <w:vAlign w:val="center"/>
          </w:tcPr>
          <w:p w:rsidR="0049577B" w:rsidRPr="00B40DC1" w:rsidRDefault="0049577B" w:rsidP="005F2716">
            <w:pPr>
              <w:jc w:val="center"/>
            </w:pPr>
            <w:r w:rsidRPr="00B40DC1">
              <w:t>2</w:t>
            </w:r>
          </w:p>
        </w:tc>
        <w:tc>
          <w:tcPr>
            <w:tcW w:w="1627" w:type="dxa"/>
            <w:vAlign w:val="center"/>
          </w:tcPr>
          <w:p w:rsidR="0049577B" w:rsidRPr="00B40DC1" w:rsidRDefault="0049577B" w:rsidP="005F2716">
            <w:pPr>
              <w:jc w:val="center"/>
            </w:pPr>
            <w:r w:rsidRPr="00B40DC1">
              <w:t>0</w:t>
            </w:r>
          </w:p>
        </w:tc>
        <w:tc>
          <w:tcPr>
            <w:tcW w:w="1628" w:type="dxa"/>
            <w:vAlign w:val="center"/>
          </w:tcPr>
          <w:p w:rsidR="0049577B" w:rsidRPr="00B40DC1" w:rsidRDefault="0049577B" w:rsidP="005F2716">
            <w:pPr>
              <w:jc w:val="center"/>
            </w:pPr>
            <w:r w:rsidRPr="00B40DC1">
              <w:t>2</w:t>
            </w:r>
          </w:p>
        </w:tc>
      </w:tr>
      <w:tr w:rsidR="0049577B" w:rsidRPr="00B40DC1" w:rsidTr="00A66DFC">
        <w:tc>
          <w:tcPr>
            <w:tcW w:w="1720" w:type="dxa"/>
            <w:vMerge/>
            <w:vAlign w:val="center"/>
          </w:tcPr>
          <w:p w:rsidR="0049577B" w:rsidRPr="00B40DC1" w:rsidRDefault="0049577B" w:rsidP="005F2716">
            <w:pPr>
              <w:ind w:leftChars="21" w:left="55"/>
            </w:pPr>
          </w:p>
        </w:tc>
        <w:tc>
          <w:tcPr>
            <w:tcW w:w="1276" w:type="dxa"/>
            <w:vAlign w:val="center"/>
          </w:tcPr>
          <w:p w:rsidR="0049577B" w:rsidRPr="00B40DC1" w:rsidRDefault="0049577B" w:rsidP="005F2716">
            <w:pPr>
              <w:ind w:leftChars="0" w:left="0"/>
              <w:jc w:val="center"/>
            </w:pPr>
            <w:r w:rsidRPr="00B40DC1">
              <w:t>百分比</w:t>
            </w:r>
          </w:p>
        </w:tc>
        <w:tc>
          <w:tcPr>
            <w:tcW w:w="1627" w:type="dxa"/>
            <w:vAlign w:val="center"/>
          </w:tcPr>
          <w:p w:rsidR="0049577B" w:rsidRPr="00B40DC1" w:rsidRDefault="0049577B" w:rsidP="005F2716">
            <w:pPr>
              <w:jc w:val="center"/>
            </w:pPr>
            <w:r w:rsidRPr="00B40DC1">
              <w:t>0.00%</w:t>
            </w:r>
          </w:p>
        </w:tc>
        <w:tc>
          <w:tcPr>
            <w:tcW w:w="1628" w:type="dxa"/>
            <w:vAlign w:val="center"/>
          </w:tcPr>
          <w:p w:rsidR="0049577B" w:rsidRPr="00B40DC1" w:rsidRDefault="0049577B" w:rsidP="005F2716">
            <w:pPr>
              <w:jc w:val="center"/>
            </w:pPr>
            <w:r w:rsidRPr="00B40DC1">
              <w:t>0.30%</w:t>
            </w:r>
          </w:p>
        </w:tc>
        <w:tc>
          <w:tcPr>
            <w:tcW w:w="1627" w:type="dxa"/>
            <w:vAlign w:val="center"/>
          </w:tcPr>
          <w:p w:rsidR="0049577B" w:rsidRPr="00B40DC1" w:rsidRDefault="0049577B" w:rsidP="005F2716">
            <w:pPr>
              <w:jc w:val="center"/>
            </w:pPr>
            <w:r w:rsidRPr="00B40DC1">
              <w:t>0.00%</w:t>
            </w:r>
          </w:p>
        </w:tc>
        <w:tc>
          <w:tcPr>
            <w:tcW w:w="1628" w:type="dxa"/>
            <w:vAlign w:val="center"/>
          </w:tcPr>
          <w:p w:rsidR="0049577B" w:rsidRPr="00B40DC1" w:rsidRDefault="0049577B" w:rsidP="005F2716">
            <w:pPr>
              <w:jc w:val="center"/>
            </w:pPr>
            <w:r w:rsidRPr="00B40DC1">
              <w:t>0.20%</w:t>
            </w:r>
          </w:p>
        </w:tc>
      </w:tr>
      <w:tr w:rsidR="0049577B" w:rsidRPr="00B40DC1" w:rsidTr="00A66DFC">
        <w:tc>
          <w:tcPr>
            <w:tcW w:w="1720" w:type="dxa"/>
            <w:vMerge w:val="restart"/>
            <w:vAlign w:val="center"/>
          </w:tcPr>
          <w:p w:rsidR="0049577B" w:rsidRPr="00B40DC1" w:rsidRDefault="0049577B" w:rsidP="005F2716">
            <w:pPr>
              <w:ind w:leftChars="21" w:left="55"/>
            </w:pPr>
            <w:r w:rsidRPr="00B40DC1">
              <w:t>總和</w:t>
            </w:r>
          </w:p>
        </w:tc>
        <w:tc>
          <w:tcPr>
            <w:tcW w:w="1276" w:type="dxa"/>
            <w:vAlign w:val="center"/>
          </w:tcPr>
          <w:p w:rsidR="0049577B" w:rsidRPr="00B40DC1" w:rsidRDefault="0049577B" w:rsidP="005F2716">
            <w:pPr>
              <w:ind w:leftChars="0" w:left="0"/>
              <w:jc w:val="center"/>
            </w:pPr>
            <w:r w:rsidRPr="00B40DC1">
              <w:t>次數</w:t>
            </w:r>
          </w:p>
        </w:tc>
        <w:tc>
          <w:tcPr>
            <w:tcW w:w="1627" w:type="dxa"/>
            <w:vAlign w:val="center"/>
          </w:tcPr>
          <w:p w:rsidR="0049577B" w:rsidRPr="00B40DC1" w:rsidRDefault="0049577B" w:rsidP="005F2716">
            <w:pPr>
              <w:jc w:val="center"/>
            </w:pPr>
            <w:r w:rsidRPr="00B40DC1">
              <w:t>309</w:t>
            </w:r>
          </w:p>
        </w:tc>
        <w:tc>
          <w:tcPr>
            <w:tcW w:w="1628" w:type="dxa"/>
            <w:vAlign w:val="center"/>
          </w:tcPr>
          <w:p w:rsidR="0049577B" w:rsidRPr="00B40DC1" w:rsidRDefault="0049577B" w:rsidP="005F2716">
            <w:pPr>
              <w:jc w:val="center"/>
            </w:pPr>
            <w:r w:rsidRPr="00B40DC1">
              <w:t>651</w:t>
            </w:r>
          </w:p>
        </w:tc>
        <w:tc>
          <w:tcPr>
            <w:tcW w:w="1627" w:type="dxa"/>
            <w:vAlign w:val="center"/>
          </w:tcPr>
          <w:p w:rsidR="0049577B" w:rsidRPr="00B40DC1" w:rsidRDefault="0049577B" w:rsidP="005F2716">
            <w:pPr>
              <w:jc w:val="center"/>
            </w:pPr>
            <w:r w:rsidRPr="00B40DC1">
              <w:t>30</w:t>
            </w:r>
          </w:p>
        </w:tc>
        <w:tc>
          <w:tcPr>
            <w:tcW w:w="1628" w:type="dxa"/>
            <w:vAlign w:val="center"/>
          </w:tcPr>
          <w:p w:rsidR="0049577B" w:rsidRPr="00B40DC1" w:rsidRDefault="0049577B" w:rsidP="005F2716">
            <w:pPr>
              <w:jc w:val="center"/>
            </w:pPr>
            <w:r w:rsidRPr="00B40DC1">
              <w:t>990</w:t>
            </w:r>
          </w:p>
        </w:tc>
      </w:tr>
      <w:tr w:rsidR="0049577B" w:rsidRPr="00B40DC1" w:rsidTr="00A66DFC">
        <w:tc>
          <w:tcPr>
            <w:tcW w:w="1720" w:type="dxa"/>
            <w:vMerge/>
            <w:tcBorders>
              <w:bottom w:val="single" w:sz="8" w:space="0" w:color="auto"/>
            </w:tcBorders>
          </w:tcPr>
          <w:p w:rsidR="0049577B" w:rsidRPr="00B40DC1" w:rsidRDefault="0049577B" w:rsidP="000D26BB"/>
        </w:tc>
        <w:tc>
          <w:tcPr>
            <w:tcW w:w="1276" w:type="dxa"/>
            <w:tcBorders>
              <w:bottom w:val="single" w:sz="8" w:space="0" w:color="auto"/>
            </w:tcBorders>
            <w:vAlign w:val="center"/>
          </w:tcPr>
          <w:p w:rsidR="0049577B" w:rsidRPr="00B40DC1" w:rsidRDefault="0049577B" w:rsidP="005F2716">
            <w:pPr>
              <w:ind w:leftChars="0" w:left="0"/>
              <w:jc w:val="center"/>
            </w:pPr>
            <w:r w:rsidRPr="00B40DC1">
              <w:t>百分比</w:t>
            </w:r>
          </w:p>
        </w:tc>
        <w:tc>
          <w:tcPr>
            <w:tcW w:w="1627" w:type="dxa"/>
            <w:tcBorders>
              <w:bottom w:val="single" w:sz="8" w:space="0" w:color="auto"/>
            </w:tcBorders>
            <w:vAlign w:val="center"/>
          </w:tcPr>
          <w:p w:rsidR="0049577B" w:rsidRPr="00B40DC1" w:rsidRDefault="0049577B" w:rsidP="005F2716">
            <w:pPr>
              <w:jc w:val="center"/>
            </w:pPr>
            <w:r w:rsidRPr="00B40DC1">
              <w:t>100.00%</w:t>
            </w:r>
          </w:p>
        </w:tc>
        <w:tc>
          <w:tcPr>
            <w:tcW w:w="1628" w:type="dxa"/>
            <w:tcBorders>
              <w:bottom w:val="single" w:sz="8" w:space="0" w:color="auto"/>
            </w:tcBorders>
            <w:vAlign w:val="center"/>
          </w:tcPr>
          <w:p w:rsidR="0049577B" w:rsidRPr="00B40DC1" w:rsidRDefault="0049577B" w:rsidP="005F2716">
            <w:pPr>
              <w:jc w:val="center"/>
            </w:pPr>
            <w:r w:rsidRPr="00B40DC1">
              <w:t>100.00%</w:t>
            </w:r>
          </w:p>
        </w:tc>
        <w:tc>
          <w:tcPr>
            <w:tcW w:w="1627" w:type="dxa"/>
            <w:tcBorders>
              <w:bottom w:val="single" w:sz="8" w:space="0" w:color="auto"/>
            </w:tcBorders>
            <w:vAlign w:val="center"/>
          </w:tcPr>
          <w:p w:rsidR="0049577B" w:rsidRPr="00B40DC1" w:rsidRDefault="0049577B" w:rsidP="005F2716">
            <w:pPr>
              <w:jc w:val="center"/>
            </w:pPr>
            <w:r w:rsidRPr="00B40DC1">
              <w:t>100.00%</w:t>
            </w:r>
          </w:p>
        </w:tc>
        <w:tc>
          <w:tcPr>
            <w:tcW w:w="1628" w:type="dxa"/>
            <w:tcBorders>
              <w:bottom w:val="single" w:sz="8" w:space="0" w:color="auto"/>
            </w:tcBorders>
            <w:vAlign w:val="center"/>
          </w:tcPr>
          <w:p w:rsidR="0049577B" w:rsidRPr="00B40DC1" w:rsidRDefault="0049577B" w:rsidP="005F2716">
            <w:pPr>
              <w:jc w:val="center"/>
            </w:pPr>
            <w:r w:rsidRPr="00B40DC1">
              <w:t>100.00%</w:t>
            </w:r>
          </w:p>
        </w:tc>
      </w:tr>
      <w:tr w:rsidR="0049577B" w:rsidRPr="00B40DC1" w:rsidTr="00A66DFC">
        <w:tc>
          <w:tcPr>
            <w:tcW w:w="1720" w:type="dxa"/>
            <w:tcBorders>
              <w:top w:val="single" w:sz="8" w:space="0" w:color="auto"/>
              <w:bottom w:val="single" w:sz="12" w:space="0" w:color="auto"/>
            </w:tcBorders>
          </w:tcPr>
          <w:p w:rsidR="0049577B" w:rsidRPr="00B40DC1" w:rsidRDefault="0049577B" w:rsidP="000D26BB">
            <w:r w:rsidRPr="00B40DC1">
              <w:t>卡方值</w:t>
            </w:r>
          </w:p>
        </w:tc>
        <w:tc>
          <w:tcPr>
            <w:tcW w:w="7786" w:type="dxa"/>
            <w:gridSpan w:val="5"/>
            <w:tcBorders>
              <w:top w:val="single" w:sz="8" w:space="0" w:color="auto"/>
              <w:bottom w:val="single" w:sz="12" w:space="0" w:color="auto"/>
            </w:tcBorders>
            <w:vAlign w:val="center"/>
          </w:tcPr>
          <w:p w:rsidR="0049577B" w:rsidRPr="00B40DC1" w:rsidRDefault="0049577B" w:rsidP="000D26BB">
            <w:r w:rsidRPr="00B40DC1">
              <w:t>χ</w:t>
            </w:r>
            <w:r w:rsidRPr="00B40DC1">
              <w:rPr>
                <w:vertAlign w:val="superscript"/>
              </w:rPr>
              <w:t>2</w:t>
            </w:r>
            <w:r w:rsidRPr="00B40DC1">
              <w:t>=15.29；df=10；p&gt;0.05</w:t>
            </w:r>
          </w:p>
        </w:tc>
      </w:tr>
    </w:tbl>
    <w:p w:rsidR="0049577B" w:rsidRPr="00B40DC1" w:rsidRDefault="00817A92" w:rsidP="000D26BB">
      <w:r>
        <w:t>【資料來源】</w:t>
      </w:r>
      <w:r w:rsidR="0049577B" w:rsidRPr="00B40DC1">
        <w:t>作者自行製作。</w:t>
      </w:r>
    </w:p>
    <w:p w:rsidR="0049577B" w:rsidRPr="00B40DC1" w:rsidRDefault="0049577B" w:rsidP="000D26BB"/>
    <w:p w:rsidR="0049577B" w:rsidRPr="00B40DC1" w:rsidRDefault="004B5698" w:rsidP="00A66DFC">
      <w:pPr>
        <w:spacing w:line="240" w:lineRule="auto"/>
        <w:ind w:leftChars="0" w:left="0" w:rightChars="0" w:right="0"/>
      </w:pPr>
      <w:r>
        <w:t xml:space="preserve">　　</w:t>
      </w:r>
      <w:r w:rsidR="0049577B" w:rsidRPr="00B40DC1">
        <w:t>過去研究顯示，對中國籍女性新移民而言，語言溝通比較不會影響日常生活的適應；但對絕大部分的東南亞籍新移民婦女，在移居臺灣之前可能只會幾個簡單生字或輔以比手畫腳，進行簡單的溝通而已，來臺灣之後如果沒有進入「識字班」或學習語言的機會，將會讓許多婚姻移民婦女孤立無援，而與整個社會的互動疏離</w:t>
      </w:r>
      <w:r w:rsidR="0049577B" w:rsidRPr="00A66DFC">
        <w:rPr>
          <w:rStyle w:val="af7"/>
          <w:rFonts w:eastAsia="新細明體"/>
          <w:sz w:val="20"/>
        </w:rPr>
        <w:footnoteReference w:id="507"/>
      </w:r>
      <w:r w:rsidR="0049577B" w:rsidRPr="00B40DC1">
        <w:t>。而本研究針對新移民的中文能力進行分析亦有類似的發現，均以大陸及港澳地區的新移民中文能力最好。再就東南亞國家與其他國籍的新移民而言，其他國國籍新移民在中文聽力與口說能力的程度最差；而東南亞籍新移民則在閱讀能力與寫作能力最差。比較特殊的是，本研究發現，有超過80%的新移民表示與家人溝通沒有困擾，而且不同國籍新移民並無顯著差異，這是與過去研究較為不同的地方。究其原因，除了很多新移民來到臺灣多年，已經能夠適應在臺的生活以及政府輔導作為以發揮部分功能外，也跟本研究對象多，較能看到新移民普遍的現象，而非僅侷限於少數個案。</w:t>
      </w:r>
    </w:p>
    <w:p w:rsidR="0049577B" w:rsidRPr="00B40DC1" w:rsidRDefault="00DD52C8" w:rsidP="00DD52C8">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A66DFC">
      <w:pPr>
        <w:pStyle w:val="3"/>
        <w:rPr>
          <w:lang w:eastAsia="zh-TW"/>
        </w:rPr>
      </w:pPr>
      <w:r w:rsidRPr="00B40DC1">
        <w:rPr>
          <w:lang w:eastAsia="zh-TW"/>
        </w:rPr>
        <w:t>五、不同國籍新移民對生活環境整體感受之分析</w:t>
      </w:r>
    </w:p>
    <w:p w:rsidR="0049577B" w:rsidRPr="00B40DC1" w:rsidRDefault="004B5698" w:rsidP="00A66DFC">
      <w:pPr>
        <w:spacing w:line="240" w:lineRule="auto"/>
        <w:ind w:leftChars="0" w:left="0" w:rightChars="0" w:right="0"/>
      </w:pPr>
      <w:r>
        <w:t xml:space="preserve">　　</w:t>
      </w:r>
      <w:r w:rsidR="0049577B" w:rsidRPr="00B40DC1">
        <w:t>表17顯示國籍別和受訪者對生活環境整體感受之關聯性分析。首先，國籍別和受訪者是否認同居住在臺灣很自由民主之關連程度未達統計上的顯著水準（χ</w:t>
      </w:r>
      <w:r w:rsidR="0049577B" w:rsidRPr="00B40DC1">
        <w:rPr>
          <w:vertAlign w:val="superscript"/>
        </w:rPr>
        <w:t>2</w:t>
      </w:r>
      <w:r w:rsidR="0049577B" w:rsidRPr="00B40DC1">
        <w:t>=10.56；df=6；p&gt;0.05），顯示：不會因為受訪者國籍別之不同，而在其對於居住在臺灣是否很自由民主的認知程度上有所差異。第二，國籍別與受訪者是否認同臺灣是平等對待、社會公益地方達到統計上的顯著水準（χ2=12.48；df=6；p&lt;0.05），顯示：會因為受訪者國籍別之不同，而在其對於臺灣是否為平等對待、社會公益地方的認知程度上有所差異。當進一步觀察百分比分布情形可以發現，原籍為其他國家的新移民表示非常同意和同意者占95.10％，所占百分比最高；其次為原籍為東南亞國家新移民表示非常同意和同意者占94.00%；而以大陸及港澳地區新移民表示非常同意和同意者所占百分比最低，占88.90％。第三，國籍別和受訪者是否認同居住在臺灣很安全之關連程度未達統計上的顯著水準（χ2=11.93；df=6；p&gt;0.05），顯示：不會因為受訪者國籍別之不同，而在其對於居住在臺灣是否很安全的認知程度上有所差異。第四，國籍別與受訪者是否認同居住在台灣有良好教育環境達到統計上的顯著水準（χ2=15.30；df=6；p&lt;0.05），顯示：會因為受訪者國籍別之不同，而在其對於居住在台灣是否有良好教育環境的認知程度上有所差異。當進一步觀察百分比分布情形可以發現，原籍為東南亞國家新移民表示非常同意和同意者占98.70%，所占百分比最高；其次為大陸及港澳地區新移民表示非常同意和同意者占95.60％；而以原籍為其他國家的新移民表示非常同意和同意者所占百分比最低，占92.70％。第五，國籍別與受訪者是否認同居住在台灣有良好醫療照顧達到統計上的顯著水準（χ2=31.73；df=4；p&lt;0.001），顯示：會因為受訪者國籍別之不同，而在其對於居住在台灣是否有良好醫療照顧的認知程度上有所差異。當進一步觀察百分比分布情形可以發現，原籍為東南亞國家新移民以表示非常同意者所占百分比最高，占56.70%；其次為同意者占42.7％。大陸及港澳地區新移民以表示同意者所占百分比最高，占55.10%；其次為非常同意者占41.80％。原籍為其他國家的新移民以表示非常同意者所占百分比最高，占53.70%；其次為同意者占43.90％。整體而言，以原籍為東南亞國家新移民認同程度最高，以大陸及港澳地區新移民的認同程度最低。最後，國籍別和受訪者是否認同居住在臺灣生活很幸福之關連程度沒有達到統計上的顯著水準（χ2=8.10；df=6；p&gt;0.05），顯示：不會因為受訪者國籍別之不同，而在其對於居住在臺灣生活是否很幸福的認知程度上有所差異。</w:t>
      </w:r>
    </w:p>
    <w:p w:rsidR="0049577B" w:rsidRPr="00B40DC1" w:rsidRDefault="004B5698" w:rsidP="00A66DFC">
      <w:pPr>
        <w:spacing w:line="240" w:lineRule="auto"/>
        <w:ind w:leftChars="0" w:left="0" w:rightChars="0" w:right="0"/>
      </w:pPr>
      <w:r>
        <w:t xml:space="preserve">　　</w:t>
      </w:r>
      <w:r w:rsidR="0049577B" w:rsidRPr="00B40DC1">
        <w:t>綜合本表可以發現，有超過九成的新移民對於臺灣生活環境整體的感受感到滿意，其中又以「居住台灣有良好醫療照顧」滿意度最高，感到滿意者計有97.70％；而以「臺灣是平等對待、社會公益地方」的滿意度稍低，表示滿意者計有90.80％。</w:t>
      </w:r>
    </w:p>
    <w:p w:rsidR="0049577B" w:rsidRPr="00B40DC1" w:rsidRDefault="00DD52C8" w:rsidP="00A66DFC">
      <w:pPr>
        <w:jc w:val="right"/>
      </w:pPr>
      <w:r w:rsidRPr="00971E86">
        <w:rPr>
          <w:rFonts w:hint="eastAsia"/>
          <w:sz w:val="20"/>
        </w:rPr>
        <w:t>。。。。。。。。。。。。。。</w:t>
      </w:r>
      <w:hyperlink w:anchor="a4b4"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0D5F5F">
      <w:pPr>
        <w:pStyle w:val="4"/>
        <w:rPr>
          <w:lang w:eastAsia="zh-TW"/>
        </w:rPr>
      </w:pPr>
      <w:r w:rsidRPr="00B40DC1">
        <w:rPr>
          <w:lang w:eastAsia="zh-TW"/>
        </w:rPr>
        <w:t>表17 受訪者國籍與對生活環境整體感受之關聯分析</w:t>
      </w:r>
    </w:p>
    <w:tbl>
      <w:tblPr>
        <w:tblStyle w:val="43"/>
        <w:tblW w:w="962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59"/>
        <w:gridCol w:w="669"/>
        <w:gridCol w:w="1129"/>
        <w:gridCol w:w="1549"/>
        <w:gridCol w:w="1549"/>
        <w:gridCol w:w="1549"/>
        <w:gridCol w:w="2020"/>
      </w:tblGrid>
      <w:tr w:rsidR="0049577B" w:rsidRPr="00B40DC1" w:rsidTr="00A66DFC">
        <w:trPr>
          <w:jc w:val="center"/>
        </w:trPr>
        <w:tc>
          <w:tcPr>
            <w:tcW w:w="1159"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項目</w:t>
            </w:r>
          </w:p>
        </w:tc>
        <w:tc>
          <w:tcPr>
            <w:tcW w:w="669"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p>
        </w:tc>
        <w:tc>
          <w:tcPr>
            <w:tcW w:w="1129"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次數</w:t>
            </w:r>
          </w:p>
          <w:p w:rsidR="0049577B" w:rsidRPr="00B40DC1" w:rsidRDefault="0049577B" w:rsidP="00A66DFC">
            <w:pPr>
              <w:spacing w:line="240" w:lineRule="auto"/>
              <w:ind w:leftChars="0" w:left="0" w:rightChars="0" w:right="0"/>
              <w:jc w:val="center"/>
            </w:pPr>
            <w:r w:rsidRPr="00B40DC1">
              <w:t>百分比</w:t>
            </w:r>
          </w:p>
        </w:tc>
        <w:tc>
          <w:tcPr>
            <w:tcW w:w="1549"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東南亞國家</w:t>
            </w:r>
          </w:p>
        </w:tc>
        <w:tc>
          <w:tcPr>
            <w:tcW w:w="1549"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大陸及港澳地區</w:t>
            </w:r>
          </w:p>
        </w:tc>
        <w:tc>
          <w:tcPr>
            <w:tcW w:w="1549"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其他國家</w:t>
            </w:r>
          </w:p>
        </w:tc>
        <w:tc>
          <w:tcPr>
            <w:tcW w:w="2020" w:type="dxa"/>
            <w:tcBorders>
              <w:top w:val="single" w:sz="12" w:space="0" w:color="auto"/>
              <w:bottom w:val="single" w:sz="8" w:space="0" w:color="auto"/>
            </w:tcBorders>
            <w:shd w:val="clear" w:color="auto" w:fill="EFFDFF"/>
            <w:vAlign w:val="center"/>
          </w:tcPr>
          <w:p w:rsidR="0049577B" w:rsidRPr="00B40DC1" w:rsidRDefault="0049577B" w:rsidP="00A66DFC">
            <w:pPr>
              <w:spacing w:line="240" w:lineRule="auto"/>
              <w:ind w:leftChars="0" w:left="0" w:rightChars="0" w:right="0"/>
              <w:jc w:val="center"/>
            </w:pPr>
            <w:r w:rsidRPr="00B40DC1">
              <w:t>總和</w:t>
            </w:r>
          </w:p>
        </w:tc>
      </w:tr>
      <w:tr w:rsidR="0049577B" w:rsidRPr="00B40DC1" w:rsidTr="00A66DFC">
        <w:trPr>
          <w:jc w:val="center"/>
        </w:trPr>
        <w:tc>
          <w:tcPr>
            <w:tcW w:w="115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居住臺灣很自由民主</w:t>
            </w:r>
          </w:p>
        </w:tc>
        <w:tc>
          <w:tcPr>
            <w:tcW w:w="66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非常同意</w:t>
            </w:r>
          </w:p>
        </w:tc>
        <w:tc>
          <w:tcPr>
            <w:tcW w:w="1129" w:type="dxa"/>
            <w:tcBorders>
              <w:top w:val="single" w:sz="8" w:space="0" w:color="auto"/>
            </w:tcBorders>
            <w:vAlign w:val="center"/>
          </w:tcPr>
          <w:p w:rsidR="0049577B" w:rsidRPr="00B40DC1" w:rsidRDefault="0049577B" w:rsidP="00A66DFC">
            <w:pPr>
              <w:spacing w:line="240" w:lineRule="auto"/>
              <w:ind w:leftChars="0" w:left="0" w:rightChars="0" w:right="0"/>
            </w:pPr>
            <w:r w:rsidRPr="00B40DC1">
              <w:t>次數</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119</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240</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14</w:t>
            </w:r>
          </w:p>
        </w:tc>
        <w:tc>
          <w:tcPr>
            <w:tcW w:w="2020"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373</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26.40%</w:t>
            </w:r>
          </w:p>
        </w:tc>
        <w:tc>
          <w:tcPr>
            <w:tcW w:w="1549" w:type="dxa"/>
            <w:vAlign w:val="center"/>
          </w:tcPr>
          <w:p w:rsidR="0049577B" w:rsidRPr="00B40DC1" w:rsidRDefault="0049577B" w:rsidP="00A66DFC">
            <w:pPr>
              <w:spacing w:line="240" w:lineRule="auto"/>
              <w:ind w:leftChars="0" w:left="0" w:rightChars="0" w:right="0"/>
              <w:jc w:val="center"/>
            </w:pPr>
            <w:r w:rsidRPr="00B40DC1">
              <w:t>25.90%</w:t>
            </w:r>
          </w:p>
        </w:tc>
        <w:tc>
          <w:tcPr>
            <w:tcW w:w="1549" w:type="dxa"/>
            <w:vAlign w:val="center"/>
          </w:tcPr>
          <w:p w:rsidR="0049577B" w:rsidRPr="00B40DC1" w:rsidRDefault="0049577B" w:rsidP="00A66DFC">
            <w:pPr>
              <w:spacing w:line="240" w:lineRule="auto"/>
              <w:ind w:leftChars="0" w:left="0" w:rightChars="0" w:right="0"/>
              <w:jc w:val="center"/>
            </w:pPr>
            <w:r w:rsidRPr="00B40DC1">
              <w:t>34.10%</w:t>
            </w:r>
          </w:p>
        </w:tc>
        <w:tc>
          <w:tcPr>
            <w:tcW w:w="2020" w:type="dxa"/>
            <w:vAlign w:val="center"/>
          </w:tcPr>
          <w:p w:rsidR="0049577B" w:rsidRPr="00B40DC1" w:rsidRDefault="0049577B" w:rsidP="00A66DFC">
            <w:pPr>
              <w:spacing w:line="240" w:lineRule="auto"/>
              <w:ind w:leftChars="0" w:left="0" w:rightChars="0" w:right="0"/>
              <w:jc w:val="center"/>
            </w:pPr>
            <w:r w:rsidRPr="00B40DC1">
              <w:t>26.30%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321</w:t>
            </w:r>
          </w:p>
        </w:tc>
        <w:tc>
          <w:tcPr>
            <w:tcW w:w="1549" w:type="dxa"/>
            <w:vAlign w:val="center"/>
          </w:tcPr>
          <w:p w:rsidR="0049577B" w:rsidRPr="00B40DC1" w:rsidRDefault="0049577B" w:rsidP="00A66DFC">
            <w:pPr>
              <w:spacing w:line="240" w:lineRule="auto"/>
              <w:ind w:leftChars="0" w:left="0" w:rightChars="0" w:right="0"/>
              <w:jc w:val="center"/>
            </w:pPr>
            <w:r w:rsidRPr="00B40DC1">
              <w:t>635</w:t>
            </w:r>
          </w:p>
        </w:tc>
        <w:tc>
          <w:tcPr>
            <w:tcW w:w="1549" w:type="dxa"/>
            <w:vAlign w:val="center"/>
          </w:tcPr>
          <w:p w:rsidR="0049577B" w:rsidRPr="00B40DC1" w:rsidRDefault="0049577B" w:rsidP="00A66DFC">
            <w:pPr>
              <w:spacing w:line="240" w:lineRule="auto"/>
              <w:ind w:leftChars="0" w:left="0" w:rightChars="0" w:right="0"/>
              <w:jc w:val="center"/>
            </w:pPr>
            <w:r w:rsidRPr="00B40DC1">
              <w:t>27</w:t>
            </w:r>
          </w:p>
        </w:tc>
        <w:tc>
          <w:tcPr>
            <w:tcW w:w="2020" w:type="dxa"/>
            <w:vAlign w:val="center"/>
          </w:tcPr>
          <w:p w:rsidR="0049577B" w:rsidRPr="00B40DC1" w:rsidRDefault="0049577B" w:rsidP="00A66DFC">
            <w:pPr>
              <w:spacing w:line="240" w:lineRule="auto"/>
              <w:ind w:leftChars="0" w:left="0" w:rightChars="0" w:right="0"/>
              <w:jc w:val="center"/>
            </w:pPr>
            <w:r w:rsidRPr="00B40DC1">
              <w:t>983</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71.30%</w:t>
            </w:r>
          </w:p>
        </w:tc>
        <w:tc>
          <w:tcPr>
            <w:tcW w:w="1549" w:type="dxa"/>
            <w:vAlign w:val="center"/>
          </w:tcPr>
          <w:p w:rsidR="0049577B" w:rsidRPr="00B40DC1" w:rsidRDefault="0049577B" w:rsidP="00A66DFC">
            <w:pPr>
              <w:spacing w:line="240" w:lineRule="auto"/>
              <w:ind w:leftChars="0" w:left="0" w:rightChars="0" w:right="0"/>
              <w:jc w:val="center"/>
            </w:pPr>
            <w:r w:rsidRPr="00B40DC1">
              <w:t>68.60%</w:t>
            </w:r>
          </w:p>
        </w:tc>
        <w:tc>
          <w:tcPr>
            <w:tcW w:w="1549" w:type="dxa"/>
            <w:vAlign w:val="center"/>
          </w:tcPr>
          <w:p w:rsidR="0049577B" w:rsidRPr="00B40DC1" w:rsidRDefault="0049577B" w:rsidP="00A66DFC">
            <w:pPr>
              <w:spacing w:line="240" w:lineRule="auto"/>
              <w:ind w:leftChars="0" w:left="0" w:rightChars="0" w:right="0"/>
              <w:jc w:val="center"/>
            </w:pPr>
            <w:r w:rsidRPr="00B40DC1">
              <w:t>65.90%</w:t>
            </w:r>
          </w:p>
        </w:tc>
        <w:tc>
          <w:tcPr>
            <w:tcW w:w="2020" w:type="dxa"/>
            <w:vAlign w:val="center"/>
          </w:tcPr>
          <w:p w:rsidR="0049577B" w:rsidRPr="00B40DC1" w:rsidRDefault="0049577B" w:rsidP="00A66DFC">
            <w:pPr>
              <w:spacing w:line="240" w:lineRule="auto"/>
              <w:ind w:leftChars="0" w:left="0" w:rightChars="0" w:right="0"/>
              <w:jc w:val="center"/>
            </w:pPr>
            <w:r w:rsidRPr="00B40DC1">
              <w:t>69.40%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不太同意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10</w:t>
            </w:r>
          </w:p>
        </w:tc>
        <w:tc>
          <w:tcPr>
            <w:tcW w:w="1549" w:type="dxa"/>
            <w:vAlign w:val="center"/>
          </w:tcPr>
          <w:p w:rsidR="0049577B" w:rsidRPr="00B40DC1" w:rsidRDefault="0049577B" w:rsidP="00A66DFC">
            <w:pPr>
              <w:spacing w:line="240" w:lineRule="auto"/>
              <w:ind w:leftChars="0" w:left="0" w:rightChars="0" w:right="0"/>
              <w:jc w:val="center"/>
            </w:pPr>
            <w:r w:rsidRPr="00B40DC1">
              <w:t>49</w:t>
            </w:r>
          </w:p>
        </w:tc>
        <w:tc>
          <w:tcPr>
            <w:tcW w:w="1549" w:type="dxa"/>
            <w:vAlign w:val="center"/>
          </w:tcPr>
          <w:p w:rsidR="0049577B" w:rsidRPr="00B40DC1" w:rsidRDefault="0049577B" w:rsidP="00A66DFC">
            <w:pPr>
              <w:spacing w:line="240" w:lineRule="auto"/>
              <w:ind w:leftChars="0" w:left="0" w:rightChars="0" w:right="0"/>
              <w:jc w:val="center"/>
            </w:pPr>
            <w:r w:rsidRPr="00B40DC1">
              <w:t>0</w:t>
            </w:r>
          </w:p>
        </w:tc>
        <w:tc>
          <w:tcPr>
            <w:tcW w:w="2020" w:type="dxa"/>
            <w:vAlign w:val="center"/>
          </w:tcPr>
          <w:p w:rsidR="0049577B" w:rsidRPr="00B40DC1" w:rsidRDefault="0049577B" w:rsidP="00A66DFC">
            <w:pPr>
              <w:spacing w:line="240" w:lineRule="auto"/>
              <w:ind w:leftChars="0" w:left="0" w:rightChars="0" w:right="0"/>
              <w:jc w:val="center"/>
            </w:pPr>
            <w:r w:rsidRPr="00B40DC1">
              <w:t>59</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2.20%</w:t>
            </w:r>
          </w:p>
        </w:tc>
        <w:tc>
          <w:tcPr>
            <w:tcW w:w="1549" w:type="dxa"/>
            <w:vAlign w:val="center"/>
          </w:tcPr>
          <w:p w:rsidR="0049577B" w:rsidRPr="00B40DC1" w:rsidRDefault="0049577B" w:rsidP="00A66DFC">
            <w:pPr>
              <w:spacing w:line="240" w:lineRule="auto"/>
              <w:ind w:leftChars="0" w:left="0" w:rightChars="0" w:right="0"/>
              <w:jc w:val="center"/>
            </w:pPr>
            <w:r w:rsidRPr="00B40DC1">
              <w:t>5.30%</w:t>
            </w:r>
          </w:p>
        </w:tc>
        <w:tc>
          <w:tcPr>
            <w:tcW w:w="1549" w:type="dxa"/>
            <w:vAlign w:val="center"/>
          </w:tcPr>
          <w:p w:rsidR="0049577B" w:rsidRPr="00B40DC1" w:rsidRDefault="0049577B" w:rsidP="00A66DFC">
            <w:pPr>
              <w:spacing w:line="240" w:lineRule="auto"/>
              <w:ind w:leftChars="0" w:left="0" w:rightChars="0" w:right="0"/>
              <w:jc w:val="center"/>
            </w:pPr>
            <w:r w:rsidRPr="00B40DC1">
              <w:t>0.00%</w:t>
            </w:r>
          </w:p>
        </w:tc>
        <w:tc>
          <w:tcPr>
            <w:tcW w:w="2020" w:type="dxa"/>
            <w:vAlign w:val="center"/>
          </w:tcPr>
          <w:p w:rsidR="0049577B" w:rsidRPr="00B40DC1" w:rsidRDefault="0049577B" w:rsidP="00A66DFC">
            <w:pPr>
              <w:spacing w:line="240" w:lineRule="auto"/>
              <w:ind w:leftChars="0" w:left="0" w:rightChars="0" w:right="0"/>
              <w:jc w:val="center"/>
            </w:pPr>
            <w:r w:rsidRPr="00B40DC1">
              <w:t>4.20%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非常不同意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0</w:t>
            </w:r>
          </w:p>
        </w:tc>
        <w:tc>
          <w:tcPr>
            <w:tcW w:w="1549" w:type="dxa"/>
            <w:vAlign w:val="center"/>
          </w:tcPr>
          <w:p w:rsidR="0049577B" w:rsidRPr="00B40DC1" w:rsidRDefault="0049577B" w:rsidP="00A66DFC">
            <w:pPr>
              <w:spacing w:line="240" w:lineRule="auto"/>
              <w:ind w:leftChars="0" w:left="0" w:rightChars="0" w:right="0"/>
              <w:jc w:val="center"/>
            </w:pPr>
            <w:r w:rsidRPr="00B40DC1">
              <w:t>1</w:t>
            </w:r>
          </w:p>
        </w:tc>
        <w:tc>
          <w:tcPr>
            <w:tcW w:w="1549" w:type="dxa"/>
            <w:vAlign w:val="center"/>
          </w:tcPr>
          <w:p w:rsidR="0049577B" w:rsidRPr="00B40DC1" w:rsidRDefault="0049577B" w:rsidP="00A66DFC">
            <w:pPr>
              <w:spacing w:line="240" w:lineRule="auto"/>
              <w:ind w:leftChars="0" w:left="0" w:rightChars="0" w:right="0"/>
              <w:jc w:val="center"/>
            </w:pPr>
            <w:r w:rsidRPr="00B40DC1">
              <w:t>0</w:t>
            </w:r>
          </w:p>
        </w:tc>
        <w:tc>
          <w:tcPr>
            <w:tcW w:w="2020" w:type="dxa"/>
            <w:vAlign w:val="center"/>
          </w:tcPr>
          <w:p w:rsidR="0049577B" w:rsidRPr="00B40DC1" w:rsidRDefault="0049577B" w:rsidP="00A66DFC">
            <w:pPr>
              <w:spacing w:line="240" w:lineRule="auto"/>
              <w:ind w:leftChars="0" w:left="0" w:rightChars="0" w:right="0"/>
              <w:jc w:val="center"/>
            </w:pPr>
            <w:r w:rsidRPr="00B40DC1">
              <w:t>1</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0.00%</w:t>
            </w:r>
          </w:p>
        </w:tc>
        <w:tc>
          <w:tcPr>
            <w:tcW w:w="1549" w:type="dxa"/>
            <w:vAlign w:val="center"/>
          </w:tcPr>
          <w:p w:rsidR="0049577B" w:rsidRPr="00B40DC1" w:rsidRDefault="0049577B" w:rsidP="00A66DFC">
            <w:pPr>
              <w:spacing w:line="240" w:lineRule="auto"/>
              <w:ind w:leftChars="0" w:left="0" w:rightChars="0" w:right="0"/>
              <w:jc w:val="center"/>
            </w:pPr>
            <w:r w:rsidRPr="00B40DC1">
              <w:t>0.10%</w:t>
            </w:r>
          </w:p>
        </w:tc>
        <w:tc>
          <w:tcPr>
            <w:tcW w:w="1549" w:type="dxa"/>
            <w:vAlign w:val="center"/>
          </w:tcPr>
          <w:p w:rsidR="0049577B" w:rsidRPr="00B40DC1" w:rsidRDefault="0049577B" w:rsidP="00A66DFC">
            <w:pPr>
              <w:spacing w:line="240" w:lineRule="auto"/>
              <w:ind w:leftChars="0" w:left="0" w:rightChars="0" w:right="0"/>
              <w:jc w:val="center"/>
            </w:pPr>
            <w:r w:rsidRPr="00B40DC1">
              <w:t>0.00%</w:t>
            </w:r>
          </w:p>
        </w:tc>
        <w:tc>
          <w:tcPr>
            <w:tcW w:w="2020" w:type="dxa"/>
            <w:vAlign w:val="center"/>
          </w:tcPr>
          <w:p w:rsidR="0049577B" w:rsidRPr="00B40DC1" w:rsidRDefault="0049577B" w:rsidP="00A66DFC">
            <w:pPr>
              <w:spacing w:line="240" w:lineRule="auto"/>
              <w:ind w:leftChars="0" w:left="0" w:rightChars="0" w:right="0"/>
              <w:jc w:val="center"/>
            </w:pPr>
            <w:r w:rsidRPr="00B40DC1">
              <w:t>0.10%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總和</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450</w:t>
            </w:r>
          </w:p>
        </w:tc>
        <w:tc>
          <w:tcPr>
            <w:tcW w:w="1549" w:type="dxa"/>
            <w:vAlign w:val="center"/>
          </w:tcPr>
          <w:p w:rsidR="0049577B" w:rsidRPr="00B40DC1" w:rsidRDefault="0049577B" w:rsidP="00A66DFC">
            <w:pPr>
              <w:spacing w:line="240" w:lineRule="auto"/>
              <w:ind w:leftChars="0" w:left="0" w:rightChars="0" w:right="0"/>
              <w:jc w:val="center"/>
            </w:pPr>
            <w:r w:rsidRPr="00B40DC1">
              <w:t>925</w:t>
            </w:r>
          </w:p>
        </w:tc>
        <w:tc>
          <w:tcPr>
            <w:tcW w:w="1549" w:type="dxa"/>
            <w:vAlign w:val="center"/>
          </w:tcPr>
          <w:p w:rsidR="0049577B" w:rsidRPr="00B40DC1" w:rsidRDefault="0049577B" w:rsidP="00A66DFC">
            <w:pPr>
              <w:spacing w:line="240" w:lineRule="auto"/>
              <w:ind w:leftChars="0" w:left="0" w:rightChars="0" w:right="0"/>
              <w:jc w:val="center"/>
            </w:pPr>
            <w:r w:rsidRPr="00B40DC1">
              <w:t>41</w:t>
            </w:r>
          </w:p>
        </w:tc>
        <w:tc>
          <w:tcPr>
            <w:tcW w:w="2020"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rPr>
          <w:jc w:val="center"/>
        </w:trPr>
        <w:tc>
          <w:tcPr>
            <w:tcW w:w="1159" w:type="dxa"/>
            <w:vMerge/>
            <w:tcBorders>
              <w:bottom w:val="single" w:sz="8" w:space="0" w:color="auto"/>
            </w:tcBorders>
          </w:tcPr>
          <w:p w:rsidR="0049577B" w:rsidRPr="00B40DC1" w:rsidRDefault="0049577B" w:rsidP="00A66DFC">
            <w:pPr>
              <w:spacing w:line="240" w:lineRule="auto"/>
              <w:ind w:leftChars="0" w:left="0" w:rightChars="0" w:right="0"/>
            </w:pPr>
          </w:p>
        </w:tc>
        <w:tc>
          <w:tcPr>
            <w:tcW w:w="669" w:type="dxa"/>
            <w:vMerge/>
            <w:tcBorders>
              <w:bottom w:val="single" w:sz="8" w:space="0" w:color="auto"/>
            </w:tcBorders>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2020" w:type="dxa"/>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rPr>
          <w:jc w:val="center"/>
        </w:trPr>
        <w:tc>
          <w:tcPr>
            <w:tcW w:w="2957" w:type="dxa"/>
            <w:gridSpan w:val="3"/>
            <w:tcBorders>
              <w:bottom w:val="single" w:sz="8" w:space="0" w:color="auto"/>
            </w:tcBorders>
          </w:tcPr>
          <w:p w:rsidR="0049577B" w:rsidRPr="00B40DC1" w:rsidRDefault="0049577B" w:rsidP="00A66DFC">
            <w:pPr>
              <w:spacing w:line="240" w:lineRule="auto"/>
              <w:ind w:leftChars="0" w:left="0" w:rightChars="0" w:right="0"/>
            </w:pPr>
            <w:r w:rsidRPr="00B40DC1">
              <w:t>卡方值</w:t>
            </w:r>
          </w:p>
        </w:tc>
        <w:tc>
          <w:tcPr>
            <w:tcW w:w="6667" w:type="dxa"/>
            <w:gridSpan w:val="4"/>
            <w:tcBorders>
              <w:bottom w:val="single" w:sz="8" w:space="0" w:color="auto"/>
            </w:tcBorders>
          </w:tcPr>
          <w:p w:rsidR="0049577B" w:rsidRPr="00B40DC1" w:rsidRDefault="0049577B" w:rsidP="00A66DFC">
            <w:pPr>
              <w:spacing w:line="240" w:lineRule="auto"/>
              <w:ind w:leftChars="0" w:left="0" w:rightChars="0" w:right="0"/>
            </w:pPr>
            <w:r w:rsidRPr="00B40DC1">
              <w:t>χ</w:t>
            </w:r>
            <w:r w:rsidRPr="00B40DC1">
              <w:rPr>
                <w:vertAlign w:val="superscript"/>
              </w:rPr>
              <w:t>2</w:t>
            </w:r>
            <w:r w:rsidRPr="00B40DC1">
              <w:t>=10.56；df=6；p&gt;0.05</w:t>
            </w:r>
          </w:p>
        </w:tc>
      </w:tr>
      <w:tr w:rsidR="0049577B" w:rsidRPr="00B40DC1" w:rsidTr="00A66DFC">
        <w:trPr>
          <w:jc w:val="center"/>
        </w:trPr>
        <w:tc>
          <w:tcPr>
            <w:tcW w:w="115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是否認同臺灣是平等對待、社會公益地方</w:t>
            </w:r>
          </w:p>
        </w:tc>
        <w:tc>
          <w:tcPr>
            <w:tcW w:w="66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非常同意</w:t>
            </w:r>
          </w:p>
        </w:tc>
        <w:tc>
          <w:tcPr>
            <w:tcW w:w="1129" w:type="dxa"/>
            <w:tcBorders>
              <w:top w:val="single" w:sz="8" w:space="0" w:color="auto"/>
            </w:tcBorders>
            <w:vAlign w:val="center"/>
          </w:tcPr>
          <w:p w:rsidR="0049577B" w:rsidRPr="00B40DC1" w:rsidRDefault="0049577B" w:rsidP="00A66DFC">
            <w:pPr>
              <w:spacing w:line="240" w:lineRule="auto"/>
              <w:ind w:leftChars="0" w:left="0" w:rightChars="0" w:right="0"/>
            </w:pPr>
            <w:r w:rsidRPr="00B40DC1">
              <w:t>次數</w:t>
            </w:r>
          </w:p>
        </w:tc>
        <w:tc>
          <w:tcPr>
            <w:tcW w:w="1549" w:type="dxa"/>
            <w:tcBorders>
              <w:top w:val="single" w:sz="8" w:space="0" w:color="auto"/>
            </w:tcBorders>
            <w:vAlign w:val="center"/>
          </w:tcPr>
          <w:p w:rsidR="0049577B" w:rsidRPr="00B40DC1" w:rsidRDefault="0049577B" w:rsidP="00DD52C8">
            <w:pPr>
              <w:spacing w:line="240" w:lineRule="auto"/>
              <w:ind w:leftChars="0" w:left="0" w:rightChars="0" w:right="0"/>
              <w:jc w:val="center"/>
            </w:pPr>
            <w:r w:rsidRPr="00B40DC1">
              <w:t>103</w:t>
            </w:r>
          </w:p>
        </w:tc>
        <w:tc>
          <w:tcPr>
            <w:tcW w:w="1549" w:type="dxa"/>
            <w:tcBorders>
              <w:top w:val="single" w:sz="8" w:space="0" w:color="auto"/>
            </w:tcBorders>
            <w:vAlign w:val="center"/>
          </w:tcPr>
          <w:p w:rsidR="0049577B" w:rsidRPr="00B40DC1" w:rsidRDefault="0049577B" w:rsidP="00DD52C8">
            <w:pPr>
              <w:spacing w:line="240" w:lineRule="auto"/>
              <w:ind w:leftChars="0" w:left="0" w:rightChars="0" w:right="0"/>
              <w:jc w:val="center"/>
            </w:pPr>
            <w:r w:rsidRPr="00B40DC1">
              <w:t>176</w:t>
            </w:r>
          </w:p>
        </w:tc>
        <w:tc>
          <w:tcPr>
            <w:tcW w:w="1549" w:type="dxa"/>
            <w:tcBorders>
              <w:top w:val="single" w:sz="8" w:space="0" w:color="auto"/>
            </w:tcBorders>
            <w:vAlign w:val="center"/>
          </w:tcPr>
          <w:p w:rsidR="0049577B" w:rsidRPr="00B40DC1" w:rsidRDefault="0049577B" w:rsidP="00DD52C8">
            <w:pPr>
              <w:spacing w:line="240" w:lineRule="auto"/>
              <w:ind w:leftChars="0" w:left="0" w:rightChars="0" w:right="0"/>
              <w:jc w:val="center"/>
            </w:pPr>
            <w:r w:rsidRPr="00B40DC1">
              <w:t>11</w:t>
            </w:r>
          </w:p>
        </w:tc>
        <w:tc>
          <w:tcPr>
            <w:tcW w:w="2020" w:type="dxa"/>
            <w:tcBorders>
              <w:top w:val="single" w:sz="8" w:space="0" w:color="auto"/>
            </w:tcBorders>
            <w:vAlign w:val="center"/>
          </w:tcPr>
          <w:p w:rsidR="0049577B" w:rsidRPr="00B40DC1" w:rsidRDefault="0049577B" w:rsidP="00DD52C8">
            <w:pPr>
              <w:spacing w:line="240" w:lineRule="auto"/>
              <w:ind w:leftChars="0" w:left="0" w:rightChars="0" w:right="0"/>
              <w:jc w:val="center"/>
            </w:pPr>
            <w:r w:rsidRPr="00B40DC1">
              <w:t>290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22.90%</w:t>
            </w:r>
          </w:p>
        </w:tc>
        <w:tc>
          <w:tcPr>
            <w:tcW w:w="1549" w:type="dxa"/>
            <w:vAlign w:val="center"/>
          </w:tcPr>
          <w:p w:rsidR="0049577B" w:rsidRPr="00B40DC1" w:rsidRDefault="0049577B" w:rsidP="00A66DFC">
            <w:pPr>
              <w:spacing w:line="240" w:lineRule="auto"/>
              <w:ind w:leftChars="0" w:left="0" w:rightChars="0" w:right="0"/>
              <w:jc w:val="center"/>
            </w:pPr>
            <w:r w:rsidRPr="00B40DC1">
              <w:t>19.00%</w:t>
            </w:r>
          </w:p>
        </w:tc>
        <w:tc>
          <w:tcPr>
            <w:tcW w:w="1549" w:type="dxa"/>
            <w:vAlign w:val="center"/>
          </w:tcPr>
          <w:p w:rsidR="0049577B" w:rsidRPr="00B40DC1" w:rsidRDefault="0049577B" w:rsidP="00A66DFC">
            <w:pPr>
              <w:spacing w:line="240" w:lineRule="auto"/>
              <w:ind w:leftChars="0" w:left="0" w:rightChars="0" w:right="0"/>
              <w:jc w:val="center"/>
            </w:pPr>
            <w:r w:rsidRPr="00B40DC1">
              <w:t>26.80%</w:t>
            </w:r>
          </w:p>
        </w:tc>
        <w:tc>
          <w:tcPr>
            <w:tcW w:w="2020" w:type="dxa"/>
            <w:vAlign w:val="center"/>
          </w:tcPr>
          <w:p w:rsidR="0049577B" w:rsidRPr="00B40DC1" w:rsidRDefault="0049577B" w:rsidP="00A66DFC">
            <w:pPr>
              <w:spacing w:line="240" w:lineRule="auto"/>
              <w:ind w:leftChars="0" w:left="0" w:rightChars="0" w:right="0"/>
              <w:jc w:val="center"/>
            </w:pPr>
            <w:r w:rsidRPr="00B40DC1">
              <w:t>20.50%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320</w:t>
            </w:r>
          </w:p>
        </w:tc>
        <w:tc>
          <w:tcPr>
            <w:tcW w:w="1549" w:type="dxa"/>
            <w:vAlign w:val="center"/>
          </w:tcPr>
          <w:p w:rsidR="0049577B" w:rsidRPr="00B40DC1" w:rsidRDefault="0049577B" w:rsidP="00A66DFC">
            <w:pPr>
              <w:spacing w:line="240" w:lineRule="auto"/>
              <w:ind w:leftChars="0" w:left="0" w:rightChars="0" w:right="0"/>
              <w:jc w:val="center"/>
            </w:pPr>
            <w:r w:rsidRPr="00B40DC1">
              <w:t>647</w:t>
            </w:r>
          </w:p>
        </w:tc>
        <w:tc>
          <w:tcPr>
            <w:tcW w:w="1549" w:type="dxa"/>
            <w:vAlign w:val="center"/>
          </w:tcPr>
          <w:p w:rsidR="0049577B" w:rsidRPr="00B40DC1" w:rsidRDefault="0049577B" w:rsidP="00A66DFC">
            <w:pPr>
              <w:spacing w:line="240" w:lineRule="auto"/>
              <w:ind w:leftChars="0" w:left="0" w:rightChars="0" w:right="0"/>
              <w:jc w:val="center"/>
            </w:pPr>
            <w:r w:rsidRPr="00B40DC1">
              <w:t>28</w:t>
            </w:r>
          </w:p>
        </w:tc>
        <w:tc>
          <w:tcPr>
            <w:tcW w:w="2020" w:type="dxa"/>
            <w:vAlign w:val="center"/>
          </w:tcPr>
          <w:p w:rsidR="0049577B" w:rsidRPr="00B40DC1" w:rsidRDefault="0049577B" w:rsidP="00A66DFC">
            <w:pPr>
              <w:spacing w:line="240" w:lineRule="auto"/>
              <w:ind w:leftChars="0" w:left="0" w:rightChars="0" w:right="0"/>
              <w:jc w:val="center"/>
            </w:pPr>
            <w:r w:rsidRPr="00B40DC1">
              <w:t>995</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71.10%</w:t>
            </w:r>
          </w:p>
        </w:tc>
        <w:tc>
          <w:tcPr>
            <w:tcW w:w="1549" w:type="dxa"/>
            <w:vAlign w:val="center"/>
          </w:tcPr>
          <w:p w:rsidR="0049577B" w:rsidRPr="00B40DC1" w:rsidRDefault="0049577B" w:rsidP="00A66DFC">
            <w:pPr>
              <w:spacing w:line="240" w:lineRule="auto"/>
              <w:ind w:leftChars="0" w:left="0" w:rightChars="0" w:right="0"/>
              <w:jc w:val="center"/>
            </w:pPr>
            <w:r w:rsidRPr="00B40DC1">
              <w:t>69.90%</w:t>
            </w:r>
          </w:p>
        </w:tc>
        <w:tc>
          <w:tcPr>
            <w:tcW w:w="1549" w:type="dxa"/>
            <w:vAlign w:val="center"/>
          </w:tcPr>
          <w:p w:rsidR="0049577B" w:rsidRPr="00B40DC1" w:rsidRDefault="0049577B" w:rsidP="00A66DFC">
            <w:pPr>
              <w:spacing w:line="240" w:lineRule="auto"/>
              <w:ind w:leftChars="0" w:left="0" w:rightChars="0" w:right="0"/>
              <w:jc w:val="center"/>
            </w:pPr>
            <w:r w:rsidRPr="00B40DC1">
              <w:t>68.30%</w:t>
            </w:r>
          </w:p>
        </w:tc>
        <w:tc>
          <w:tcPr>
            <w:tcW w:w="2020" w:type="dxa"/>
            <w:vAlign w:val="center"/>
          </w:tcPr>
          <w:p w:rsidR="0049577B" w:rsidRPr="00B40DC1" w:rsidRDefault="0049577B" w:rsidP="00A66DFC">
            <w:pPr>
              <w:spacing w:line="240" w:lineRule="auto"/>
              <w:ind w:leftChars="0" w:left="0" w:rightChars="0" w:right="0"/>
              <w:jc w:val="center"/>
            </w:pPr>
            <w:r w:rsidRPr="00B40DC1">
              <w:t>70.30%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不太同意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26</w:t>
            </w:r>
          </w:p>
        </w:tc>
        <w:tc>
          <w:tcPr>
            <w:tcW w:w="1549" w:type="dxa"/>
            <w:vAlign w:val="center"/>
          </w:tcPr>
          <w:p w:rsidR="0049577B" w:rsidRPr="00B40DC1" w:rsidRDefault="0049577B" w:rsidP="00A66DFC">
            <w:pPr>
              <w:spacing w:line="240" w:lineRule="auto"/>
              <w:ind w:leftChars="0" w:left="0" w:rightChars="0" w:right="0"/>
              <w:jc w:val="center"/>
            </w:pPr>
            <w:r w:rsidRPr="00B40DC1">
              <w:t>96</w:t>
            </w:r>
          </w:p>
        </w:tc>
        <w:tc>
          <w:tcPr>
            <w:tcW w:w="1549" w:type="dxa"/>
            <w:vAlign w:val="center"/>
          </w:tcPr>
          <w:p w:rsidR="0049577B" w:rsidRPr="00B40DC1" w:rsidRDefault="0049577B" w:rsidP="00A66DFC">
            <w:pPr>
              <w:spacing w:line="240" w:lineRule="auto"/>
              <w:ind w:leftChars="0" w:left="0" w:rightChars="0" w:right="0"/>
              <w:jc w:val="center"/>
            </w:pPr>
            <w:r w:rsidRPr="00B40DC1">
              <w:t>2</w:t>
            </w:r>
          </w:p>
        </w:tc>
        <w:tc>
          <w:tcPr>
            <w:tcW w:w="2020" w:type="dxa"/>
            <w:vAlign w:val="center"/>
          </w:tcPr>
          <w:p w:rsidR="0049577B" w:rsidRPr="00B40DC1" w:rsidRDefault="0049577B" w:rsidP="00A66DFC">
            <w:pPr>
              <w:spacing w:line="240" w:lineRule="auto"/>
              <w:ind w:leftChars="0" w:left="0" w:rightChars="0" w:right="0"/>
              <w:jc w:val="center"/>
            </w:pPr>
            <w:r w:rsidRPr="00B40DC1">
              <w:t>124</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5.80%</w:t>
            </w:r>
          </w:p>
        </w:tc>
        <w:tc>
          <w:tcPr>
            <w:tcW w:w="1549" w:type="dxa"/>
            <w:vAlign w:val="center"/>
          </w:tcPr>
          <w:p w:rsidR="0049577B" w:rsidRPr="00B40DC1" w:rsidRDefault="0049577B" w:rsidP="00A66DFC">
            <w:pPr>
              <w:spacing w:line="240" w:lineRule="auto"/>
              <w:ind w:leftChars="0" w:left="0" w:rightChars="0" w:right="0"/>
              <w:jc w:val="center"/>
            </w:pPr>
            <w:r w:rsidRPr="00B40DC1">
              <w:t>10.40%</w:t>
            </w:r>
          </w:p>
        </w:tc>
        <w:tc>
          <w:tcPr>
            <w:tcW w:w="1549" w:type="dxa"/>
            <w:vAlign w:val="center"/>
          </w:tcPr>
          <w:p w:rsidR="0049577B" w:rsidRPr="00B40DC1" w:rsidRDefault="0049577B" w:rsidP="00A66DFC">
            <w:pPr>
              <w:spacing w:line="240" w:lineRule="auto"/>
              <w:ind w:leftChars="0" w:left="0" w:rightChars="0" w:right="0"/>
              <w:jc w:val="center"/>
            </w:pPr>
            <w:r w:rsidRPr="00B40DC1">
              <w:t>4.90%</w:t>
            </w:r>
          </w:p>
        </w:tc>
        <w:tc>
          <w:tcPr>
            <w:tcW w:w="2020" w:type="dxa"/>
            <w:vAlign w:val="center"/>
          </w:tcPr>
          <w:p w:rsidR="0049577B" w:rsidRPr="00B40DC1" w:rsidRDefault="0049577B" w:rsidP="00A66DFC">
            <w:pPr>
              <w:spacing w:line="240" w:lineRule="auto"/>
              <w:ind w:leftChars="0" w:left="0" w:rightChars="0" w:right="0"/>
              <w:jc w:val="center"/>
            </w:pPr>
            <w:r w:rsidRPr="00B40DC1">
              <w:t>8.80%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非常不同意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1</w:t>
            </w:r>
          </w:p>
        </w:tc>
        <w:tc>
          <w:tcPr>
            <w:tcW w:w="1549" w:type="dxa"/>
            <w:vAlign w:val="center"/>
          </w:tcPr>
          <w:p w:rsidR="0049577B" w:rsidRPr="00B40DC1" w:rsidRDefault="0049577B" w:rsidP="00A66DFC">
            <w:pPr>
              <w:spacing w:line="240" w:lineRule="auto"/>
              <w:ind w:leftChars="0" w:left="0" w:rightChars="0" w:right="0"/>
              <w:jc w:val="center"/>
            </w:pPr>
            <w:r w:rsidRPr="00B40DC1">
              <w:t>6</w:t>
            </w:r>
          </w:p>
        </w:tc>
        <w:tc>
          <w:tcPr>
            <w:tcW w:w="1549" w:type="dxa"/>
            <w:vAlign w:val="center"/>
          </w:tcPr>
          <w:p w:rsidR="0049577B" w:rsidRPr="00B40DC1" w:rsidRDefault="0049577B" w:rsidP="00A66DFC">
            <w:pPr>
              <w:spacing w:line="240" w:lineRule="auto"/>
              <w:ind w:leftChars="0" w:left="0" w:rightChars="0" w:right="0"/>
              <w:jc w:val="center"/>
            </w:pPr>
            <w:r w:rsidRPr="00B40DC1">
              <w:t>0</w:t>
            </w:r>
          </w:p>
        </w:tc>
        <w:tc>
          <w:tcPr>
            <w:tcW w:w="2020" w:type="dxa"/>
            <w:vAlign w:val="center"/>
          </w:tcPr>
          <w:p w:rsidR="0049577B" w:rsidRPr="00B40DC1" w:rsidRDefault="0049577B" w:rsidP="00A66DFC">
            <w:pPr>
              <w:spacing w:line="240" w:lineRule="auto"/>
              <w:ind w:leftChars="0" w:left="0" w:rightChars="0" w:right="0"/>
              <w:jc w:val="center"/>
            </w:pPr>
            <w:r w:rsidRPr="00B40DC1">
              <w:t>7</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0.20%</w:t>
            </w:r>
          </w:p>
        </w:tc>
        <w:tc>
          <w:tcPr>
            <w:tcW w:w="1549" w:type="dxa"/>
            <w:vAlign w:val="center"/>
          </w:tcPr>
          <w:p w:rsidR="0049577B" w:rsidRPr="00B40DC1" w:rsidRDefault="0049577B" w:rsidP="00A66DFC">
            <w:pPr>
              <w:spacing w:line="240" w:lineRule="auto"/>
              <w:ind w:leftChars="0" w:left="0" w:rightChars="0" w:right="0"/>
              <w:jc w:val="center"/>
            </w:pPr>
            <w:r w:rsidRPr="00B40DC1">
              <w:t>0.60%</w:t>
            </w:r>
          </w:p>
        </w:tc>
        <w:tc>
          <w:tcPr>
            <w:tcW w:w="1549" w:type="dxa"/>
            <w:vAlign w:val="center"/>
          </w:tcPr>
          <w:p w:rsidR="0049577B" w:rsidRPr="00B40DC1" w:rsidRDefault="0049577B" w:rsidP="00A66DFC">
            <w:pPr>
              <w:spacing w:line="240" w:lineRule="auto"/>
              <w:ind w:leftChars="0" w:left="0" w:rightChars="0" w:right="0"/>
              <w:jc w:val="center"/>
            </w:pPr>
            <w:r w:rsidRPr="00B40DC1">
              <w:t>0.00%</w:t>
            </w:r>
          </w:p>
        </w:tc>
        <w:tc>
          <w:tcPr>
            <w:tcW w:w="2020" w:type="dxa"/>
            <w:vAlign w:val="center"/>
          </w:tcPr>
          <w:p w:rsidR="0049577B" w:rsidRPr="00B40DC1" w:rsidRDefault="0049577B" w:rsidP="00A66DFC">
            <w:pPr>
              <w:spacing w:line="240" w:lineRule="auto"/>
              <w:ind w:leftChars="0" w:left="0" w:rightChars="0" w:right="0"/>
              <w:jc w:val="center"/>
            </w:pPr>
            <w:r w:rsidRPr="00B40DC1">
              <w:t>0.50%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總和</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450</w:t>
            </w:r>
          </w:p>
        </w:tc>
        <w:tc>
          <w:tcPr>
            <w:tcW w:w="1549" w:type="dxa"/>
            <w:vAlign w:val="center"/>
          </w:tcPr>
          <w:p w:rsidR="0049577B" w:rsidRPr="00B40DC1" w:rsidRDefault="0049577B" w:rsidP="00A66DFC">
            <w:pPr>
              <w:spacing w:line="240" w:lineRule="auto"/>
              <w:ind w:leftChars="0" w:left="0" w:rightChars="0" w:right="0"/>
              <w:jc w:val="center"/>
            </w:pPr>
            <w:r w:rsidRPr="00B40DC1">
              <w:t>925</w:t>
            </w:r>
          </w:p>
        </w:tc>
        <w:tc>
          <w:tcPr>
            <w:tcW w:w="1549" w:type="dxa"/>
            <w:vAlign w:val="center"/>
          </w:tcPr>
          <w:p w:rsidR="0049577B" w:rsidRPr="00B40DC1" w:rsidRDefault="0049577B" w:rsidP="00A66DFC">
            <w:pPr>
              <w:spacing w:line="240" w:lineRule="auto"/>
              <w:ind w:leftChars="0" w:left="0" w:rightChars="0" w:right="0"/>
              <w:jc w:val="center"/>
            </w:pPr>
            <w:r w:rsidRPr="00B40DC1">
              <w:t>41</w:t>
            </w:r>
          </w:p>
        </w:tc>
        <w:tc>
          <w:tcPr>
            <w:tcW w:w="2020"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rPr>
          <w:jc w:val="center"/>
        </w:trPr>
        <w:tc>
          <w:tcPr>
            <w:tcW w:w="1159" w:type="dxa"/>
            <w:vMerge/>
            <w:tcBorders>
              <w:bottom w:val="single" w:sz="8" w:space="0" w:color="auto"/>
            </w:tcBorders>
          </w:tcPr>
          <w:p w:rsidR="0049577B" w:rsidRPr="00B40DC1" w:rsidRDefault="0049577B" w:rsidP="00A66DFC">
            <w:pPr>
              <w:spacing w:line="240" w:lineRule="auto"/>
              <w:ind w:leftChars="0" w:left="0" w:rightChars="0" w:right="0"/>
            </w:pPr>
          </w:p>
        </w:tc>
        <w:tc>
          <w:tcPr>
            <w:tcW w:w="669" w:type="dxa"/>
            <w:vMerge/>
            <w:tcBorders>
              <w:bottom w:val="single" w:sz="8" w:space="0" w:color="auto"/>
            </w:tcBorders>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2020" w:type="dxa"/>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rPr>
          <w:jc w:val="center"/>
        </w:trPr>
        <w:tc>
          <w:tcPr>
            <w:tcW w:w="2957" w:type="dxa"/>
            <w:gridSpan w:val="3"/>
            <w:tcBorders>
              <w:bottom w:val="single" w:sz="8" w:space="0" w:color="auto"/>
            </w:tcBorders>
          </w:tcPr>
          <w:p w:rsidR="0049577B" w:rsidRPr="00B40DC1" w:rsidRDefault="0049577B" w:rsidP="00A66DFC">
            <w:pPr>
              <w:spacing w:line="240" w:lineRule="auto"/>
              <w:ind w:leftChars="0" w:left="0" w:rightChars="0" w:right="0"/>
            </w:pPr>
            <w:r w:rsidRPr="00B40DC1">
              <w:t>卡方值</w:t>
            </w:r>
          </w:p>
        </w:tc>
        <w:tc>
          <w:tcPr>
            <w:tcW w:w="6667" w:type="dxa"/>
            <w:gridSpan w:val="4"/>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χ</w:t>
            </w:r>
            <w:r w:rsidRPr="00B40DC1">
              <w:rPr>
                <w:vertAlign w:val="superscript"/>
              </w:rPr>
              <w:t>2</w:t>
            </w:r>
            <w:r w:rsidRPr="00B40DC1">
              <w:t>=12.48；df=6；p&lt;0.05</w:t>
            </w:r>
          </w:p>
        </w:tc>
      </w:tr>
      <w:tr w:rsidR="0049577B" w:rsidRPr="00B40DC1" w:rsidTr="00A66DFC">
        <w:trPr>
          <w:jc w:val="center"/>
        </w:trPr>
        <w:tc>
          <w:tcPr>
            <w:tcW w:w="115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台灣是安全的地方</w:t>
            </w:r>
          </w:p>
        </w:tc>
        <w:tc>
          <w:tcPr>
            <w:tcW w:w="66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非常同意</w:t>
            </w:r>
          </w:p>
        </w:tc>
        <w:tc>
          <w:tcPr>
            <w:tcW w:w="1129" w:type="dxa"/>
            <w:tcBorders>
              <w:top w:val="single" w:sz="8" w:space="0" w:color="auto"/>
            </w:tcBorders>
            <w:vAlign w:val="center"/>
          </w:tcPr>
          <w:p w:rsidR="0049577B" w:rsidRPr="00B40DC1" w:rsidRDefault="0049577B" w:rsidP="00A66DFC">
            <w:pPr>
              <w:spacing w:line="240" w:lineRule="auto"/>
              <w:ind w:leftChars="0" w:left="0" w:rightChars="0" w:right="0"/>
            </w:pPr>
            <w:r w:rsidRPr="00B40DC1">
              <w:t>次數</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117</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181</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13</w:t>
            </w:r>
          </w:p>
        </w:tc>
        <w:tc>
          <w:tcPr>
            <w:tcW w:w="2020"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311</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26.00%</w:t>
            </w:r>
          </w:p>
        </w:tc>
        <w:tc>
          <w:tcPr>
            <w:tcW w:w="1549" w:type="dxa"/>
            <w:vAlign w:val="center"/>
          </w:tcPr>
          <w:p w:rsidR="0049577B" w:rsidRPr="00B40DC1" w:rsidRDefault="0049577B" w:rsidP="00A66DFC">
            <w:pPr>
              <w:spacing w:line="240" w:lineRule="auto"/>
              <w:ind w:leftChars="0" w:left="0" w:rightChars="0" w:right="0"/>
              <w:jc w:val="center"/>
            </w:pPr>
            <w:r w:rsidRPr="00B40DC1">
              <w:t>19.60%</w:t>
            </w:r>
          </w:p>
        </w:tc>
        <w:tc>
          <w:tcPr>
            <w:tcW w:w="1549" w:type="dxa"/>
            <w:vAlign w:val="center"/>
          </w:tcPr>
          <w:p w:rsidR="0049577B" w:rsidRPr="00B40DC1" w:rsidRDefault="0049577B" w:rsidP="00A66DFC">
            <w:pPr>
              <w:spacing w:line="240" w:lineRule="auto"/>
              <w:ind w:leftChars="0" w:left="0" w:rightChars="0" w:right="0"/>
              <w:jc w:val="center"/>
            </w:pPr>
            <w:r w:rsidRPr="00B40DC1">
              <w:t>31.70%</w:t>
            </w:r>
          </w:p>
        </w:tc>
        <w:tc>
          <w:tcPr>
            <w:tcW w:w="2020" w:type="dxa"/>
            <w:vAlign w:val="center"/>
          </w:tcPr>
          <w:p w:rsidR="0049577B" w:rsidRPr="00B40DC1" w:rsidRDefault="0049577B" w:rsidP="00A66DFC">
            <w:pPr>
              <w:spacing w:line="240" w:lineRule="auto"/>
              <w:ind w:leftChars="0" w:left="0" w:rightChars="0" w:right="0"/>
              <w:jc w:val="center"/>
            </w:pPr>
            <w:r w:rsidRPr="00B40DC1">
              <w:t>22.00%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316</w:t>
            </w:r>
          </w:p>
        </w:tc>
        <w:tc>
          <w:tcPr>
            <w:tcW w:w="1549" w:type="dxa"/>
            <w:vAlign w:val="center"/>
          </w:tcPr>
          <w:p w:rsidR="0049577B" w:rsidRPr="00B40DC1" w:rsidRDefault="0049577B" w:rsidP="00A66DFC">
            <w:pPr>
              <w:spacing w:line="240" w:lineRule="auto"/>
              <w:ind w:leftChars="0" w:left="0" w:rightChars="0" w:right="0"/>
              <w:jc w:val="center"/>
            </w:pPr>
            <w:r w:rsidRPr="00B40DC1">
              <w:t>692</w:t>
            </w:r>
          </w:p>
        </w:tc>
        <w:tc>
          <w:tcPr>
            <w:tcW w:w="1549" w:type="dxa"/>
            <w:vAlign w:val="center"/>
          </w:tcPr>
          <w:p w:rsidR="0049577B" w:rsidRPr="00B40DC1" w:rsidRDefault="0049577B" w:rsidP="00A66DFC">
            <w:pPr>
              <w:spacing w:line="240" w:lineRule="auto"/>
              <w:ind w:leftChars="0" w:left="0" w:rightChars="0" w:right="0"/>
              <w:jc w:val="center"/>
            </w:pPr>
            <w:r w:rsidRPr="00B40DC1">
              <w:t>27</w:t>
            </w:r>
          </w:p>
        </w:tc>
        <w:tc>
          <w:tcPr>
            <w:tcW w:w="2020" w:type="dxa"/>
            <w:vAlign w:val="center"/>
          </w:tcPr>
          <w:p w:rsidR="0049577B" w:rsidRPr="00B40DC1" w:rsidRDefault="0049577B" w:rsidP="00A66DFC">
            <w:pPr>
              <w:spacing w:line="240" w:lineRule="auto"/>
              <w:ind w:leftChars="0" w:left="0" w:rightChars="0" w:right="0"/>
              <w:jc w:val="center"/>
            </w:pPr>
            <w:r w:rsidRPr="00B40DC1">
              <w:t>1035</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70.20%</w:t>
            </w:r>
          </w:p>
        </w:tc>
        <w:tc>
          <w:tcPr>
            <w:tcW w:w="1549" w:type="dxa"/>
            <w:vAlign w:val="center"/>
          </w:tcPr>
          <w:p w:rsidR="0049577B" w:rsidRPr="00B40DC1" w:rsidRDefault="0049577B" w:rsidP="00A66DFC">
            <w:pPr>
              <w:spacing w:line="240" w:lineRule="auto"/>
              <w:ind w:leftChars="0" w:left="0" w:rightChars="0" w:right="0"/>
              <w:jc w:val="center"/>
            </w:pPr>
            <w:r w:rsidRPr="00B40DC1">
              <w:t>74.80%</w:t>
            </w:r>
          </w:p>
        </w:tc>
        <w:tc>
          <w:tcPr>
            <w:tcW w:w="1549" w:type="dxa"/>
            <w:vAlign w:val="center"/>
          </w:tcPr>
          <w:p w:rsidR="0049577B" w:rsidRPr="00B40DC1" w:rsidRDefault="0049577B" w:rsidP="00A66DFC">
            <w:pPr>
              <w:spacing w:line="240" w:lineRule="auto"/>
              <w:ind w:leftChars="0" w:left="0" w:rightChars="0" w:right="0"/>
              <w:jc w:val="center"/>
            </w:pPr>
            <w:r w:rsidRPr="00B40DC1">
              <w:t>65.90%</w:t>
            </w:r>
          </w:p>
        </w:tc>
        <w:tc>
          <w:tcPr>
            <w:tcW w:w="2020" w:type="dxa"/>
            <w:vAlign w:val="center"/>
          </w:tcPr>
          <w:p w:rsidR="0049577B" w:rsidRPr="00B40DC1" w:rsidRDefault="0049577B" w:rsidP="00A66DFC">
            <w:pPr>
              <w:spacing w:line="240" w:lineRule="auto"/>
              <w:ind w:leftChars="0" w:left="0" w:rightChars="0" w:right="0"/>
              <w:jc w:val="center"/>
            </w:pPr>
            <w:r w:rsidRPr="00B40DC1">
              <w:t>73.10%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不太同意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17</w:t>
            </w:r>
          </w:p>
        </w:tc>
        <w:tc>
          <w:tcPr>
            <w:tcW w:w="1549" w:type="dxa"/>
            <w:vAlign w:val="center"/>
          </w:tcPr>
          <w:p w:rsidR="0049577B" w:rsidRPr="00B40DC1" w:rsidRDefault="0049577B" w:rsidP="00A66DFC">
            <w:pPr>
              <w:spacing w:line="240" w:lineRule="auto"/>
              <w:ind w:leftChars="0" w:left="0" w:rightChars="0" w:right="0"/>
              <w:jc w:val="center"/>
            </w:pPr>
            <w:r w:rsidRPr="00B40DC1">
              <w:t>50</w:t>
            </w:r>
          </w:p>
        </w:tc>
        <w:tc>
          <w:tcPr>
            <w:tcW w:w="1549" w:type="dxa"/>
            <w:vAlign w:val="center"/>
          </w:tcPr>
          <w:p w:rsidR="0049577B" w:rsidRPr="00B40DC1" w:rsidRDefault="0049577B" w:rsidP="00A66DFC">
            <w:pPr>
              <w:spacing w:line="240" w:lineRule="auto"/>
              <w:ind w:leftChars="0" w:left="0" w:rightChars="0" w:right="0"/>
              <w:jc w:val="center"/>
            </w:pPr>
            <w:r w:rsidRPr="00B40DC1">
              <w:t>1</w:t>
            </w:r>
          </w:p>
        </w:tc>
        <w:tc>
          <w:tcPr>
            <w:tcW w:w="2020" w:type="dxa"/>
            <w:vAlign w:val="center"/>
          </w:tcPr>
          <w:p w:rsidR="0049577B" w:rsidRPr="00B40DC1" w:rsidRDefault="0049577B" w:rsidP="00A66DFC">
            <w:pPr>
              <w:spacing w:line="240" w:lineRule="auto"/>
              <w:ind w:leftChars="0" w:left="0" w:rightChars="0" w:right="0"/>
              <w:jc w:val="center"/>
            </w:pPr>
            <w:r w:rsidRPr="00B40DC1">
              <w:t>68</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3.80%</w:t>
            </w:r>
          </w:p>
        </w:tc>
        <w:tc>
          <w:tcPr>
            <w:tcW w:w="1549" w:type="dxa"/>
            <w:vAlign w:val="center"/>
          </w:tcPr>
          <w:p w:rsidR="0049577B" w:rsidRPr="00B40DC1" w:rsidRDefault="0049577B" w:rsidP="00A66DFC">
            <w:pPr>
              <w:spacing w:line="240" w:lineRule="auto"/>
              <w:ind w:leftChars="0" w:left="0" w:rightChars="0" w:right="0"/>
              <w:jc w:val="center"/>
            </w:pPr>
            <w:r w:rsidRPr="00B40DC1">
              <w:t>5.40%</w:t>
            </w:r>
          </w:p>
        </w:tc>
        <w:tc>
          <w:tcPr>
            <w:tcW w:w="1549" w:type="dxa"/>
            <w:vAlign w:val="center"/>
          </w:tcPr>
          <w:p w:rsidR="0049577B" w:rsidRPr="00B40DC1" w:rsidRDefault="0049577B" w:rsidP="00A66DFC">
            <w:pPr>
              <w:spacing w:line="240" w:lineRule="auto"/>
              <w:ind w:leftChars="0" w:left="0" w:rightChars="0" w:right="0"/>
              <w:jc w:val="center"/>
            </w:pPr>
            <w:r w:rsidRPr="00B40DC1">
              <w:t>2.40%</w:t>
            </w:r>
          </w:p>
        </w:tc>
        <w:tc>
          <w:tcPr>
            <w:tcW w:w="2020" w:type="dxa"/>
            <w:vAlign w:val="center"/>
          </w:tcPr>
          <w:p w:rsidR="0049577B" w:rsidRPr="00B40DC1" w:rsidRDefault="0049577B" w:rsidP="00A66DFC">
            <w:pPr>
              <w:spacing w:line="240" w:lineRule="auto"/>
              <w:ind w:leftChars="0" w:left="0" w:rightChars="0" w:right="0"/>
              <w:jc w:val="center"/>
            </w:pPr>
            <w:r w:rsidRPr="00B40DC1">
              <w:t>4.80%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非常不同意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0</w:t>
            </w:r>
          </w:p>
        </w:tc>
        <w:tc>
          <w:tcPr>
            <w:tcW w:w="1549" w:type="dxa"/>
            <w:vAlign w:val="center"/>
          </w:tcPr>
          <w:p w:rsidR="0049577B" w:rsidRPr="00B40DC1" w:rsidRDefault="0049577B" w:rsidP="00A66DFC">
            <w:pPr>
              <w:spacing w:line="240" w:lineRule="auto"/>
              <w:ind w:leftChars="0" w:left="0" w:rightChars="0" w:right="0"/>
              <w:jc w:val="center"/>
            </w:pPr>
            <w:r w:rsidRPr="00B40DC1">
              <w:t>2</w:t>
            </w:r>
          </w:p>
        </w:tc>
        <w:tc>
          <w:tcPr>
            <w:tcW w:w="1549" w:type="dxa"/>
            <w:vAlign w:val="center"/>
          </w:tcPr>
          <w:p w:rsidR="0049577B" w:rsidRPr="00B40DC1" w:rsidRDefault="0049577B" w:rsidP="00A66DFC">
            <w:pPr>
              <w:spacing w:line="240" w:lineRule="auto"/>
              <w:ind w:leftChars="0" w:left="0" w:rightChars="0" w:right="0"/>
              <w:jc w:val="center"/>
            </w:pPr>
            <w:r w:rsidRPr="00B40DC1">
              <w:t>0</w:t>
            </w:r>
          </w:p>
        </w:tc>
        <w:tc>
          <w:tcPr>
            <w:tcW w:w="2020" w:type="dxa"/>
            <w:vAlign w:val="center"/>
          </w:tcPr>
          <w:p w:rsidR="0049577B" w:rsidRPr="00B40DC1" w:rsidRDefault="0049577B" w:rsidP="00A66DFC">
            <w:pPr>
              <w:spacing w:line="240" w:lineRule="auto"/>
              <w:ind w:leftChars="0" w:left="0" w:rightChars="0" w:right="0"/>
              <w:jc w:val="center"/>
            </w:pPr>
            <w:r w:rsidRPr="00B40DC1">
              <w:t>2</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0.00%</w:t>
            </w:r>
          </w:p>
        </w:tc>
        <w:tc>
          <w:tcPr>
            <w:tcW w:w="1549" w:type="dxa"/>
            <w:vAlign w:val="center"/>
          </w:tcPr>
          <w:p w:rsidR="0049577B" w:rsidRPr="00B40DC1" w:rsidRDefault="0049577B" w:rsidP="00A66DFC">
            <w:pPr>
              <w:spacing w:line="240" w:lineRule="auto"/>
              <w:ind w:leftChars="0" w:left="0" w:rightChars="0" w:right="0"/>
              <w:jc w:val="center"/>
            </w:pPr>
            <w:r w:rsidRPr="00B40DC1">
              <w:t>0.20%</w:t>
            </w:r>
          </w:p>
        </w:tc>
        <w:tc>
          <w:tcPr>
            <w:tcW w:w="1549" w:type="dxa"/>
            <w:vAlign w:val="center"/>
          </w:tcPr>
          <w:p w:rsidR="0049577B" w:rsidRPr="00B40DC1" w:rsidRDefault="0049577B" w:rsidP="00A66DFC">
            <w:pPr>
              <w:spacing w:line="240" w:lineRule="auto"/>
              <w:ind w:leftChars="0" w:left="0" w:rightChars="0" w:right="0"/>
              <w:jc w:val="center"/>
            </w:pPr>
            <w:r w:rsidRPr="00B40DC1">
              <w:t>0.00%</w:t>
            </w:r>
          </w:p>
        </w:tc>
        <w:tc>
          <w:tcPr>
            <w:tcW w:w="2020" w:type="dxa"/>
            <w:vAlign w:val="center"/>
          </w:tcPr>
          <w:p w:rsidR="0049577B" w:rsidRPr="00B40DC1" w:rsidRDefault="0049577B" w:rsidP="00A66DFC">
            <w:pPr>
              <w:spacing w:line="240" w:lineRule="auto"/>
              <w:ind w:leftChars="0" w:left="0" w:rightChars="0" w:right="0"/>
              <w:jc w:val="center"/>
            </w:pPr>
            <w:r w:rsidRPr="00B40DC1">
              <w:t>0.10%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總和</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450</w:t>
            </w:r>
          </w:p>
        </w:tc>
        <w:tc>
          <w:tcPr>
            <w:tcW w:w="1549" w:type="dxa"/>
            <w:vAlign w:val="center"/>
          </w:tcPr>
          <w:p w:rsidR="0049577B" w:rsidRPr="00B40DC1" w:rsidRDefault="0049577B" w:rsidP="00A66DFC">
            <w:pPr>
              <w:spacing w:line="240" w:lineRule="auto"/>
              <w:ind w:leftChars="0" w:left="0" w:rightChars="0" w:right="0"/>
              <w:jc w:val="center"/>
            </w:pPr>
            <w:r w:rsidRPr="00B40DC1">
              <w:t>925</w:t>
            </w:r>
          </w:p>
        </w:tc>
        <w:tc>
          <w:tcPr>
            <w:tcW w:w="1549" w:type="dxa"/>
            <w:vAlign w:val="center"/>
          </w:tcPr>
          <w:p w:rsidR="0049577B" w:rsidRPr="00B40DC1" w:rsidRDefault="0049577B" w:rsidP="00A66DFC">
            <w:pPr>
              <w:spacing w:line="240" w:lineRule="auto"/>
              <w:ind w:leftChars="0" w:left="0" w:rightChars="0" w:right="0"/>
              <w:jc w:val="center"/>
            </w:pPr>
            <w:r w:rsidRPr="00B40DC1">
              <w:t>41</w:t>
            </w:r>
          </w:p>
        </w:tc>
        <w:tc>
          <w:tcPr>
            <w:tcW w:w="2020"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rPr>
          <w:jc w:val="center"/>
        </w:trPr>
        <w:tc>
          <w:tcPr>
            <w:tcW w:w="1159" w:type="dxa"/>
            <w:vMerge/>
            <w:tcBorders>
              <w:bottom w:val="single" w:sz="8" w:space="0" w:color="auto"/>
            </w:tcBorders>
          </w:tcPr>
          <w:p w:rsidR="0049577B" w:rsidRPr="00B40DC1" w:rsidRDefault="0049577B" w:rsidP="00A66DFC">
            <w:pPr>
              <w:spacing w:line="240" w:lineRule="auto"/>
              <w:ind w:leftChars="0" w:left="0" w:rightChars="0" w:right="0"/>
            </w:pPr>
          </w:p>
        </w:tc>
        <w:tc>
          <w:tcPr>
            <w:tcW w:w="669" w:type="dxa"/>
            <w:vMerge/>
            <w:tcBorders>
              <w:bottom w:val="single" w:sz="8" w:space="0" w:color="auto"/>
            </w:tcBorders>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2020" w:type="dxa"/>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rPr>
          <w:jc w:val="center"/>
        </w:trPr>
        <w:tc>
          <w:tcPr>
            <w:tcW w:w="2957" w:type="dxa"/>
            <w:gridSpan w:val="3"/>
            <w:tcBorders>
              <w:bottom w:val="single" w:sz="8" w:space="0" w:color="auto"/>
            </w:tcBorders>
          </w:tcPr>
          <w:p w:rsidR="0049577B" w:rsidRPr="00B40DC1" w:rsidRDefault="0049577B" w:rsidP="00A66DFC">
            <w:pPr>
              <w:spacing w:line="240" w:lineRule="auto"/>
              <w:ind w:leftChars="0" w:left="0" w:rightChars="0" w:right="0"/>
            </w:pPr>
            <w:r w:rsidRPr="00B40DC1">
              <w:t>卡方值</w:t>
            </w:r>
          </w:p>
        </w:tc>
        <w:tc>
          <w:tcPr>
            <w:tcW w:w="6667" w:type="dxa"/>
            <w:gridSpan w:val="4"/>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χ</w:t>
            </w:r>
            <w:r w:rsidRPr="00B40DC1">
              <w:rPr>
                <w:vertAlign w:val="superscript"/>
              </w:rPr>
              <w:t>2</w:t>
            </w:r>
            <w:r w:rsidRPr="00B40DC1">
              <w:t>=11.93；df=6；p&gt;0.05</w:t>
            </w:r>
          </w:p>
        </w:tc>
      </w:tr>
      <w:tr w:rsidR="0049577B" w:rsidRPr="00B40DC1" w:rsidTr="00A66DFC">
        <w:trPr>
          <w:jc w:val="center"/>
        </w:trPr>
        <w:tc>
          <w:tcPr>
            <w:tcW w:w="115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居住台灣有良好教育環境</w:t>
            </w:r>
          </w:p>
        </w:tc>
        <w:tc>
          <w:tcPr>
            <w:tcW w:w="66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非常同意</w:t>
            </w:r>
          </w:p>
        </w:tc>
        <w:tc>
          <w:tcPr>
            <w:tcW w:w="1129" w:type="dxa"/>
            <w:tcBorders>
              <w:top w:val="single" w:sz="8" w:space="0" w:color="auto"/>
            </w:tcBorders>
            <w:vAlign w:val="center"/>
          </w:tcPr>
          <w:p w:rsidR="0049577B" w:rsidRPr="00B40DC1" w:rsidRDefault="0049577B" w:rsidP="00A66DFC">
            <w:pPr>
              <w:spacing w:line="240" w:lineRule="auto"/>
              <w:ind w:leftChars="0" w:left="0" w:rightChars="0" w:right="0"/>
            </w:pPr>
            <w:r w:rsidRPr="00B40DC1">
              <w:t>次數</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156</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263</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15</w:t>
            </w:r>
          </w:p>
        </w:tc>
        <w:tc>
          <w:tcPr>
            <w:tcW w:w="2020"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434</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34.70%</w:t>
            </w:r>
          </w:p>
        </w:tc>
        <w:tc>
          <w:tcPr>
            <w:tcW w:w="1549" w:type="dxa"/>
            <w:vAlign w:val="center"/>
          </w:tcPr>
          <w:p w:rsidR="0049577B" w:rsidRPr="00B40DC1" w:rsidRDefault="0049577B" w:rsidP="00A66DFC">
            <w:pPr>
              <w:spacing w:line="240" w:lineRule="auto"/>
              <w:ind w:leftChars="0" w:left="0" w:rightChars="0" w:right="0"/>
              <w:jc w:val="center"/>
            </w:pPr>
            <w:r w:rsidRPr="00B40DC1">
              <w:t>28.40%</w:t>
            </w:r>
          </w:p>
        </w:tc>
        <w:tc>
          <w:tcPr>
            <w:tcW w:w="1549" w:type="dxa"/>
            <w:vAlign w:val="center"/>
          </w:tcPr>
          <w:p w:rsidR="0049577B" w:rsidRPr="00B40DC1" w:rsidRDefault="0049577B" w:rsidP="00A66DFC">
            <w:pPr>
              <w:spacing w:line="240" w:lineRule="auto"/>
              <w:ind w:leftChars="0" w:left="0" w:rightChars="0" w:right="0"/>
              <w:jc w:val="center"/>
            </w:pPr>
            <w:r w:rsidRPr="00B40DC1">
              <w:t>36.60%</w:t>
            </w:r>
          </w:p>
        </w:tc>
        <w:tc>
          <w:tcPr>
            <w:tcW w:w="2020" w:type="dxa"/>
            <w:vAlign w:val="center"/>
          </w:tcPr>
          <w:p w:rsidR="0049577B" w:rsidRPr="00B40DC1" w:rsidRDefault="0049577B" w:rsidP="00A66DFC">
            <w:pPr>
              <w:spacing w:line="240" w:lineRule="auto"/>
              <w:ind w:leftChars="0" w:left="0" w:rightChars="0" w:right="0"/>
              <w:jc w:val="center"/>
            </w:pPr>
            <w:r w:rsidRPr="00B40DC1">
              <w:t>30.60%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288</w:t>
            </w:r>
          </w:p>
        </w:tc>
        <w:tc>
          <w:tcPr>
            <w:tcW w:w="1549" w:type="dxa"/>
            <w:vAlign w:val="center"/>
          </w:tcPr>
          <w:p w:rsidR="0049577B" w:rsidRPr="00B40DC1" w:rsidRDefault="0049577B" w:rsidP="00A66DFC">
            <w:pPr>
              <w:spacing w:line="240" w:lineRule="auto"/>
              <w:ind w:leftChars="0" w:left="0" w:rightChars="0" w:right="0"/>
              <w:jc w:val="center"/>
            </w:pPr>
            <w:r w:rsidRPr="00B40DC1">
              <w:t>622</w:t>
            </w:r>
          </w:p>
        </w:tc>
        <w:tc>
          <w:tcPr>
            <w:tcW w:w="1549" w:type="dxa"/>
            <w:vAlign w:val="center"/>
          </w:tcPr>
          <w:p w:rsidR="0049577B" w:rsidRPr="00B40DC1" w:rsidRDefault="0049577B" w:rsidP="00A66DFC">
            <w:pPr>
              <w:spacing w:line="240" w:lineRule="auto"/>
              <w:ind w:leftChars="0" w:left="0" w:rightChars="0" w:right="0"/>
              <w:jc w:val="center"/>
            </w:pPr>
            <w:r w:rsidRPr="00B40DC1">
              <w:t>23</w:t>
            </w:r>
          </w:p>
        </w:tc>
        <w:tc>
          <w:tcPr>
            <w:tcW w:w="2020" w:type="dxa"/>
            <w:vAlign w:val="center"/>
          </w:tcPr>
          <w:p w:rsidR="0049577B" w:rsidRPr="00B40DC1" w:rsidRDefault="0049577B" w:rsidP="00A66DFC">
            <w:pPr>
              <w:spacing w:line="240" w:lineRule="auto"/>
              <w:ind w:leftChars="0" w:left="0" w:rightChars="0" w:right="0"/>
              <w:jc w:val="center"/>
            </w:pPr>
            <w:r w:rsidRPr="00B40DC1">
              <w:t>933</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64.00%</w:t>
            </w:r>
          </w:p>
        </w:tc>
        <w:tc>
          <w:tcPr>
            <w:tcW w:w="1549" w:type="dxa"/>
            <w:vAlign w:val="center"/>
          </w:tcPr>
          <w:p w:rsidR="0049577B" w:rsidRPr="00B40DC1" w:rsidRDefault="0049577B" w:rsidP="00A66DFC">
            <w:pPr>
              <w:spacing w:line="240" w:lineRule="auto"/>
              <w:ind w:leftChars="0" w:left="0" w:rightChars="0" w:right="0"/>
              <w:jc w:val="center"/>
            </w:pPr>
            <w:r w:rsidRPr="00B40DC1">
              <w:t>67.20%</w:t>
            </w:r>
          </w:p>
        </w:tc>
        <w:tc>
          <w:tcPr>
            <w:tcW w:w="1549" w:type="dxa"/>
            <w:vAlign w:val="center"/>
          </w:tcPr>
          <w:p w:rsidR="0049577B" w:rsidRPr="00B40DC1" w:rsidRDefault="0049577B" w:rsidP="00A66DFC">
            <w:pPr>
              <w:spacing w:line="240" w:lineRule="auto"/>
              <w:ind w:leftChars="0" w:left="0" w:rightChars="0" w:right="0"/>
              <w:jc w:val="center"/>
            </w:pPr>
            <w:r w:rsidRPr="00B40DC1">
              <w:t>56.10%</w:t>
            </w:r>
          </w:p>
        </w:tc>
        <w:tc>
          <w:tcPr>
            <w:tcW w:w="2020" w:type="dxa"/>
            <w:vAlign w:val="center"/>
          </w:tcPr>
          <w:p w:rsidR="0049577B" w:rsidRPr="00B40DC1" w:rsidRDefault="0049577B" w:rsidP="00A66DFC">
            <w:pPr>
              <w:spacing w:line="240" w:lineRule="auto"/>
              <w:ind w:leftChars="0" w:left="0" w:rightChars="0" w:right="0"/>
              <w:jc w:val="center"/>
            </w:pPr>
            <w:r w:rsidRPr="00B40DC1">
              <w:t>65.90%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不太同意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6</w:t>
            </w:r>
          </w:p>
        </w:tc>
        <w:tc>
          <w:tcPr>
            <w:tcW w:w="1549" w:type="dxa"/>
            <w:vAlign w:val="center"/>
          </w:tcPr>
          <w:p w:rsidR="0049577B" w:rsidRPr="00B40DC1" w:rsidRDefault="0049577B" w:rsidP="00A66DFC">
            <w:pPr>
              <w:spacing w:line="240" w:lineRule="auto"/>
              <w:ind w:leftChars="0" w:left="0" w:rightChars="0" w:right="0"/>
              <w:jc w:val="center"/>
            </w:pPr>
            <w:r w:rsidRPr="00B40DC1">
              <w:t>39</w:t>
            </w:r>
          </w:p>
        </w:tc>
        <w:tc>
          <w:tcPr>
            <w:tcW w:w="1549" w:type="dxa"/>
            <w:vAlign w:val="center"/>
          </w:tcPr>
          <w:p w:rsidR="0049577B" w:rsidRPr="00B40DC1" w:rsidRDefault="0049577B" w:rsidP="00A66DFC">
            <w:pPr>
              <w:spacing w:line="240" w:lineRule="auto"/>
              <w:ind w:leftChars="0" w:left="0" w:rightChars="0" w:right="0"/>
              <w:jc w:val="center"/>
            </w:pPr>
            <w:r w:rsidRPr="00B40DC1">
              <w:t>3</w:t>
            </w:r>
          </w:p>
        </w:tc>
        <w:tc>
          <w:tcPr>
            <w:tcW w:w="2020" w:type="dxa"/>
            <w:vAlign w:val="center"/>
          </w:tcPr>
          <w:p w:rsidR="0049577B" w:rsidRPr="00B40DC1" w:rsidRDefault="0049577B" w:rsidP="00A66DFC">
            <w:pPr>
              <w:spacing w:line="240" w:lineRule="auto"/>
              <w:ind w:leftChars="0" w:left="0" w:rightChars="0" w:right="0"/>
              <w:jc w:val="center"/>
            </w:pPr>
            <w:r w:rsidRPr="00B40DC1">
              <w:t>48</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1.30%</w:t>
            </w:r>
          </w:p>
        </w:tc>
        <w:tc>
          <w:tcPr>
            <w:tcW w:w="1549" w:type="dxa"/>
            <w:vAlign w:val="center"/>
          </w:tcPr>
          <w:p w:rsidR="0049577B" w:rsidRPr="00B40DC1" w:rsidRDefault="0049577B" w:rsidP="00A66DFC">
            <w:pPr>
              <w:spacing w:line="240" w:lineRule="auto"/>
              <w:ind w:leftChars="0" w:left="0" w:rightChars="0" w:right="0"/>
              <w:jc w:val="center"/>
            </w:pPr>
            <w:r w:rsidRPr="00B40DC1">
              <w:t>4.20%</w:t>
            </w:r>
          </w:p>
        </w:tc>
        <w:tc>
          <w:tcPr>
            <w:tcW w:w="1549" w:type="dxa"/>
            <w:vAlign w:val="center"/>
          </w:tcPr>
          <w:p w:rsidR="0049577B" w:rsidRPr="00B40DC1" w:rsidRDefault="0049577B" w:rsidP="00A66DFC">
            <w:pPr>
              <w:spacing w:line="240" w:lineRule="auto"/>
              <w:ind w:leftChars="0" w:left="0" w:rightChars="0" w:right="0"/>
              <w:jc w:val="center"/>
            </w:pPr>
            <w:r w:rsidRPr="00B40DC1">
              <w:t>7.30%</w:t>
            </w:r>
          </w:p>
        </w:tc>
        <w:tc>
          <w:tcPr>
            <w:tcW w:w="2020" w:type="dxa"/>
            <w:vAlign w:val="center"/>
          </w:tcPr>
          <w:p w:rsidR="0049577B" w:rsidRPr="00B40DC1" w:rsidRDefault="0049577B" w:rsidP="00A66DFC">
            <w:pPr>
              <w:spacing w:line="240" w:lineRule="auto"/>
              <w:ind w:leftChars="0" w:left="0" w:rightChars="0" w:right="0"/>
              <w:jc w:val="center"/>
            </w:pPr>
            <w:r w:rsidRPr="00B40DC1">
              <w:t>3.40%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非常不同意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0</w:t>
            </w:r>
          </w:p>
        </w:tc>
        <w:tc>
          <w:tcPr>
            <w:tcW w:w="1549" w:type="dxa"/>
            <w:vAlign w:val="center"/>
          </w:tcPr>
          <w:p w:rsidR="0049577B" w:rsidRPr="00B40DC1" w:rsidRDefault="0049577B" w:rsidP="00A66DFC">
            <w:pPr>
              <w:spacing w:line="240" w:lineRule="auto"/>
              <w:ind w:leftChars="0" w:left="0" w:rightChars="0" w:right="0"/>
              <w:jc w:val="center"/>
            </w:pPr>
            <w:r w:rsidRPr="00B40DC1">
              <w:t>1</w:t>
            </w:r>
          </w:p>
        </w:tc>
        <w:tc>
          <w:tcPr>
            <w:tcW w:w="1549" w:type="dxa"/>
            <w:vAlign w:val="center"/>
          </w:tcPr>
          <w:p w:rsidR="0049577B" w:rsidRPr="00B40DC1" w:rsidRDefault="0049577B" w:rsidP="00A66DFC">
            <w:pPr>
              <w:spacing w:line="240" w:lineRule="auto"/>
              <w:ind w:leftChars="0" w:left="0" w:rightChars="0" w:right="0"/>
              <w:jc w:val="center"/>
            </w:pPr>
            <w:r w:rsidRPr="00B40DC1">
              <w:t>0</w:t>
            </w:r>
          </w:p>
        </w:tc>
        <w:tc>
          <w:tcPr>
            <w:tcW w:w="2020" w:type="dxa"/>
            <w:vAlign w:val="center"/>
          </w:tcPr>
          <w:p w:rsidR="0049577B" w:rsidRPr="00B40DC1" w:rsidRDefault="0049577B" w:rsidP="00A66DFC">
            <w:pPr>
              <w:spacing w:line="240" w:lineRule="auto"/>
              <w:ind w:leftChars="0" w:left="0" w:rightChars="0" w:right="0"/>
              <w:jc w:val="center"/>
            </w:pPr>
            <w:r w:rsidRPr="00B40DC1">
              <w:t>1</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0.00%</w:t>
            </w:r>
          </w:p>
        </w:tc>
        <w:tc>
          <w:tcPr>
            <w:tcW w:w="1549" w:type="dxa"/>
            <w:vAlign w:val="center"/>
          </w:tcPr>
          <w:p w:rsidR="0049577B" w:rsidRPr="00B40DC1" w:rsidRDefault="0049577B" w:rsidP="00A66DFC">
            <w:pPr>
              <w:spacing w:line="240" w:lineRule="auto"/>
              <w:ind w:leftChars="0" w:left="0" w:rightChars="0" w:right="0"/>
              <w:jc w:val="center"/>
            </w:pPr>
            <w:r w:rsidRPr="00B40DC1">
              <w:t>0.10%</w:t>
            </w:r>
          </w:p>
        </w:tc>
        <w:tc>
          <w:tcPr>
            <w:tcW w:w="1549" w:type="dxa"/>
            <w:vAlign w:val="center"/>
          </w:tcPr>
          <w:p w:rsidR="0049577B" w:rsidRPr="00B40DC1" w:rsidRDefault="0049577B" w:rsidP="00A66DFC">
            <w:pPr>
              <w:spacing w:line="240" w:lineRule="auto"/>
              <w:ind w:leftChars="0" w:left="0" w:rightChars="0" w:right="0"/>
              <w:jc w:val="center"/>
            </w:pPr>
            <w:r w:rsidRPr="00B40DC1">
              <w:t>0.00%</w:t>
            </w:r>
          </w:p>
        </w:tc>
        <w:tc>
          <w:tcPr>
            <w:tcW w:w="2020" w:type="dxa"/>
            <w:vAlign w:val="center"/>
          </w:tcPr>
          <w:p w:rsidR="0049577B" w:rsidRPr="00B40DC1" w:rsidRDefault="0049577B" w:rsidP="00A66DFC">
            <w:pPr>
              <w:spacing w:line="240" w:lineRule="auto"/>
              <w:ind w:leftChars="0" w:left="0" w:rightChars="0" w:right="0"/>
              <w:jc w:val="center"/>
            </w:pPr>
            <w:r w:rsidRPr="00B40DC1">
              <w:t>0.10%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總和</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450</w:t>
            </w:r>
          </w:p>
        </w:tc>
        <w:tc>
          <w:tcPr>
            <w:tcW w:w="1549" w:type="dxa"/>
            <w:vAlign w:val="center"/>
          </w:tcPr>
          <w:p w:rsidR="0049577B" w:rsidRPr="00B40DC1" w:rsidRDefault="0049577B" w:rsidP="00A66DFC">
            <w:pPr>
              <w:spacing w:line="240" w:lineRule="auto"/>
              <w:ind w:leftChars="0" w:left="0" w:rightChars="0" w:right="0"/>
              <w:jc w:val="center"/>
            </w:pPr>
            <w:r w:rsidRPr="00B40DC1">
              <w:t>925</w:t>
            </w:r>
          </w:p>
        </w:tc>
        <w:tc>
          <w:tcPr>
            <w:tcW w:w="1549" w:type="dxa"/>
            <w:vAlign w:val="center"/>
          </w:tcPr>
          <w:p w:rsidR="0049577B" w:rsidRPr="00B40DC1" w:rsidRDefault="0049577B" w:rsidP="00A66DFC">
            <w:pPr>
              <w:spacing w:line="240" w:lineRule="auto"/>
              <w:ind w:leftChars="0" w:left="0" w:rightChars="0" w:right="0"/>
              <w:jc w:val="center"/>
            </w:pPr>
            <w:r w:rsidRPr="00B40DC1">
              <w:t>41</w:t>
            </w:r>
          </w:p>
        </w:tc>
        <w:tc>
          <w:tcPr>
            <w:tcW w:w="2020"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rPr>
          <w:jc w:val="center"/>
        </w:trPr>
        <w:tc>
          <w:tcPr>
            <w:tcW w:w="1159" w:type="dxa"/>
            <w:vMerge/>
            <w:tcBorders>
              <w:bottom w:val="single" w:sz="8" w:space="0" w:color="auto"/>
            </w:tcBorders>
          </w:tcPr>
          <w:p w:rsidR="0049577B" w:rsidRPr="00B40DC1" w:rsidRDefault="0049577B" w:rsidP="00A66DFC">
            <w:pPr>
              <w:spacing w:line="240" w:lineRule="auto"/>
              <w:ind w:leftChars="0" w:left="0" w:rightChars="0" w:right="0"/>
            </w:pPr>
          </w:p>
        </w:tc>
        <w:tc>
          <w:tcPr>
            <w:tcW w:w="669" w:type="dxa"/>
            <w:vMerge/>
            <w:tcBorders>
              <w:bottom w:val="single" w:sz="8" w:space="0" w:color="auto"/>
            </w:tcBorders>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2020" w:type="dxa"/>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rPr>
          <w:jc w:val="center"/>
        </w:trPr>
        <w:tc>
          <w:tcPr>
            <w:tcW w:w="2957" w:type="dxa"/>
            <w:gridSpan w:val="3"/>
            <w:tcBorders>
              <w:bottom w:val="single" w:sz="8" w:space="0" w:color="auto"/>
            </w:tcBorders>
          </w:tcPr>
          <w:p w:rsidR="0049577B" w:rsidRPr="00B40DC1" w:rsidRDefault="0049577B" w:rsidP="00A66DFC">
            <w:pPr>
              <w:spacing w:line="240" w:lineRule="auto"/>
              <w:ind w:leftChars="0" w:left="0" w:rightChars="0" w:right="0"/>
            </w:pPr>
            <w:r w:rsidRPr="00B40DC1">
              <w:t>卡方值</w:t>
            </w:r>
          </w:p>
        </w:tc>
        <w:tc>
          <w:tcPr>
            <w:tcW w:w="6667" w:type="dxa"/>
            <w:gridSpan w:val="4"/>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χ</w:t>
            </w:r>
            <w:r w:rsidRPr="00B40DC1">
              <w:rPr>
                <w:vertAlign w:val="superscript"/>
              </w:rPr>
              <w:t>2</w:t>
            </w:r>
            <w:r w:rsidRPr="00B40DC1">
              <w:t>=15.30；df=6；p&lt;0.05</w:t>
            </w:r>
          </w:p>
        </w:tc>
      </w:tr>
      <w:tr w:rsidR="0049577B" w:rsidRPr="00B40DC1" w:rsidTr="00A66DFC">
        <w:trPr>
          <w:jc w:val="center"/>
        </w:trPr>
        <w:tc>
          <w:tcPr>
            <w:tcW w:w="115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居住台灣有良好醫療照顧</w:t>
            </w:r>
          </w:p>
        </w:tc>
        <w:tc>
          <w:tcPr>
            <w:tcW w:w="66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非常同意</w:t>
            </w:r>
          </w:p>
        </w:tc>
        <w:tc>
          <w:tcPr>
            <w:tcW w:w="1129" w:type="dxa"/>
            <w:tcBorders>
              <w:top w:val="single" w:sz="8" w:space="0" w:color="auto"/>
            </w:tcBorders>
            <w:vAlign w:val="center"/>
          </w:tcPr>
          <w:p w:rsidR="0049577B" w:rsidRPr="00B40DC1" w:rsidRDefault="0049577B" w:rsidP="00A66DFC">
            <w:pPr>
              <w:spacing w:line="240" w:lineRule="auto"/>
              <w:ind w:leftChars="0" w:left="0" w:rightChars="0" w:right="0"/>
            </w:pPr>
            <w:r w:rsidRPr="00B40DC1">
              <w:t>次數</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255</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387</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22</w:t>
            </w:r>
          </w:p>
        </w:tc>
        <w:tc>
          <w:tcPr>
            <w:tcW w:w="2020"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664</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56.70%</w:t>
            </w:r>
          </w:p>
        </w:tc>
        <w:tc>
          <w:tcPr>
            <w:tcW w:w="1549" w:type="dxa"/>
            <w:vAlign w:val="center"/>
          </w:tcPr>
          <w:p w:rsidR="0049577B" w:rsidRPr="00B40DC1" w:rsidRDefault="0049577B" w:rsidP="00A66DFC">
            <w:pPr>
              <w:spacing w:line="240" w:lineRule="auto"/>
              <w:ind w:leftChars="0" w:left="0" w:rightChars="0" w:right="0"/>
              <w:jc w:val="center"/>
            </w:pPr>
            <w:r w:rsidRPr="00B40DC1">
              <w:t>41.80%</w:t>
            </w:r>
          </w:p>
        </w:tc>
        <w:tc>
          <w:tcPr>
            <w:tcW w:w="1549" w:type="dxa"/>
            <w:vAlign w:val="center"/>
          </w:tcPr>
          <w:p w:rsidR="0049577B" w:rsidRPr="00B40DC1" w:rsidRDefault="0049577B" w:rsidP="00A66DFC">
            <w:pPr>
              <w:spacing w:line="240" w:lineRule="auto"/>
              <w:ind w:leftChars="0" w:left="0" w:rightChars="0" w:right="0"/>
              <w:jc w:val="center"/>
            </w:pPr>
            <w:r w:rsidRPr="00B40DC1">
              <w:t>53.70%</w:t>
            </w:r>
          </w:p>
        </w:tc>
        <w:tc>
          <w:tcPr>
            <w:tcW w:w="2020" w:type="dxa"/>
            <w:vAlign w:val="center"/>
          </w:tcPr>
          <w:p w:rsidR="0049577B" w:rsidRPr="00B40DC1" w:rsidRDefault="0049577B" w:rsidP="00A66DFC">
            <w:pPr>
              <w:spacing w:line="240" w:lineRule="auto"/>
              <w:ind w:leftChars="0" w:left="0" w:rightChars="0" w:right="0"/>
              <w:jc w:val="center"/>
            </w:pPr>
            <w:r w:rsidRPr="00B40DC1">
              <w:t>46.90%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192</w:t>
            </w:r>
          </w:p>
        </w:tc>
        <w:tc>
          <w:tcPr>
            <w:tcW w:w="1549" w:type="dxa"/>
            <w:vAlign w:val="center"/>
          </w:tcPr>
          <w:p w:rsidR="0049577B" w:rsidRPr="00B40DC1" w:rsidRDefault="0049577B" w:rsidP="00A66DFC">
            <w:pPr>
              <w:spacing w:line="240" w:lineRule="auto"/>
              <w:ind w:leftChars="0" w:left="0" w:rightChars="0" w:right="0"/>
              <w:jc w:val="center"/>
            </w:pPr>
            <w:r w:rsidRPr="00B40DC1">
              <w:t>510</w:t>
            </w:r>
          </w:p>
        </w:tc>
        <w:tc>
          <w:tcPr>
            <w:tcW w:w="1549" w:type="dxa"/>
            <w:vAlign w:val="center"/>
          </w:tcPr>
          <w:p w:rsidR="0049577B" w:rsidRPr="00B40DC1" w:rsidRDefault="0049577B" w:rsidP="00A66DFC">
            <w:pPr>
              <w:spacing w:line="240" w:lineRule="auto"/>
              <w:ind w:leftChars="0" w:left="0" w:rightChars="0" w:right="0"/>
              <w:jc w:val="center"/>
            </w:pPr>
            <w:r w:rsidRPr="00B40DC1">
              <w:t>18</w:t>
            </w:r>
          </w:p>
        </w:tc>
        <w:tc>
          <w:tcPr>
            <w:tcW w:w="2020" w:type="dxa"/>
            <w:vAlign w:val="center"/>
          </w:tcPr>
          <w:p w:rsidR="0049577B" w:rsidRPr="00B40DC1" w:rsidRDefault="0049577B" w:rsidP="00A66DFC">
            <w:pPr>
              <w:spacing w:line="240" w:lineRule="auto"/>
              <w:ind w:leftChars="0" w:left="0" w:rightChars="0" w:right="0"/>
              <w:jc w:val="center"/>
            </w:pPr>
            <w:r w:rsidRPr="00B40DC1">
              <w:t>720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42.70%</w:t>
            </w:r>
          </w:p>
        </w:tc>
        <w:tc>
          <w:tcPr>
            <w:tcW w:w="1549" w:type="dxa"/>
            <w:vAlign w:val="center"/>
          </w:tcPr>
          <w:p w:rsidR="0049577B" w:rsidRPr="00B40DC1" w:rsidRDefault="0049577B" w:rsidP="00A66DFC">
            <w:pPr>
              <w:spacing w:line="240" w:lineRule="auto"/>
              <w:ind w:leftChars="0" w:left="0" w:rightChars="0" w:right="0"/>
              <w:jc w:val="center"/>
            </w:pPr>
            <w:r w:rsidRPr="00B40DC1">
              <w:t>55.10%</w:t>
            </w:r>
          </w:p>
        </w:tc>
        <w:tc>
          <w:tcPr>
            <w:tcW w:w="1549" w:type="dxa"/>
            <w:vAlign w:val="center"/>
          </w:tcPr>
          <w:p w:rsidR="0049577B" w:rsidRPr="00B40DC1" w:rsidRDefault="0049577B" w:rsidP="00A66DFC">
            <w:pPr>
              <w:spacing w:line="240" w:lineRule="auto"/>
              <w:ind w:leftChars="0" w:left="0" w:rightChars="0" w:right="0"/>
              <w:jc w:val="center"/>
            </w:pPr>
            <w:r w:rsidRPr="00B40DC1">
              <w:t>43.90%</w:t>
            </w:r>
          </w:p>
        </w:tc>
        <w:tc>
          <w:tcPr>
            <w:tcW w:w="2020" w:type="dxa"/>
            <w:vAlign w:val="center"/>
          </w:tcPr>
          <w:p w:rsidR="0049577B" w:rsidRPr="00B40DC1" w:rsidRDefault="0049577B" w:rsidP="00A66DFC">
            <w:pPr>
              <w:spacing w:line="240" w:lineRule="auto"/>
              <w:ind w:leftChars="0" w:left="0" w:rightChars="0" w:right="0"/>
              <w:jc w:val="center"/>
            </w:pPr>
            <w:r w:rsidRPr="00B40DC1">
              <w:t>50.80%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不太同意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3</w:t>
            </w:r>
          </w:p>
        </w:tc>
        <w:tc>
          <w:tcPr>
            <w:tcW w:w="1549" w:type="dxa"/>
            <w:vAlign w:val="center"/>
          </w:tcPr>
          <w:p w:rsidR="0049577B" w:rsidRPr="00B40DC1" w:rsidRDefault="0049577B" w:rsidP="00A66DFC">
            <w:pPr>
              <w:spacing w:line="240" w:lineRule="auto"/>
              <w:ind w:leftChars="0" w:left="0" w:rightChars="0" w:right="0"/>
              <w:jc w:val="center"/>
            </w:pPr>
            <w:r w:rsidRPr="00B40DC1">
              <w:t>28</w:t>
            </w:r>
          </w:p>
        </w:tc>
        <w:tc>
          <w:tcPr>
            <w:tcW w:w="1549" w:type="dxa"/>
            <w:vAlign w:val="center"/>
          </w:tcPr>
          <w:p w:rsidR="0049577B" w:rsidRPr="00B40DC1" w:rsidRDefault="0049577B" w:rsidP="00A66DFC">
            <w:pPr>
              <w:spacing w:line="240" w:lineRule="auto"/>
              <w:ind w:leftChars="0" w:left="0" w:rightChars="0" w:right="0"/>
              <w:jc w:val="center"/>
            </w:pPr>
            <w:r w:rsidRPr="00B40DC1">
              <w:t>1</w:t>
            </w:r>
          </w:p>
        </w:tc>
        <w:tc>
          <w:tcPr>
            <w:tcW w:w="2020" w:type="dxa"/>
            <w:vAlign w:val="center"/>
          </w:tcPr>
          <w:p w:rsidR="0049577B" w:rsidRPr="00B40DC1" w:rsidRDefault="0049577B" w:rsidP="00A66DFC">
            <w:pPr>
              <w:spacing w:line="240" w:lineRule="auto"/>
              <w:ind w:leftChars="0" w:left="0" w:rightChars="0" w:right="0"/>
              <w:jc w:val="center"/>
            </w:pPr>
            <w:r w:rsidRPr="00B40DC1">
              <w:t>32</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0.70%</w:t>
            </w:r>
          </w:p>
        </w:tc>
        <w:tc>
          <w:tcPr>
            <w:tcW w:w="1549" w:type="dxa"/>
            <w:vAlign w:val="center"/>
          </w:tcPr>
          <w:p w:rsidR="0049577B" w:rsidRPr="00B40DC1" w:rsidRDefault="0049577B" w:rsidP="00A66DFC">
            <w:pPr>
              <w:spacing w:line="240" w:lineRule="auto"/>
              <w:ind w:leftChars="0" w:left="0" w:rightChars="0" w:right="0"/>
              <w:jc w:val="center"/>
            </w:pPr>
            <w:r w:rsidRPr="00B40DC1">
              <w:t>3.00%</w:t>
            </w:r>
          </w:p>
        </w:tc>
        <w:tc>
          <w:tcPr>
            <w:tcW w:w="1549" w:type="dxa"/>
            <w:vAlign w:val="center"/>
          </w:tcPr>
          <w:p w:rsidR="0049577B" w:rsidRPr="00B40DC1" w:rsidRDefault="0049577B" w:rsidP="00A66DFC">
            <w:pPr>
              <w:spacing w:line="240" w:lineRule="auto"/>
              <w:ind w:leftChars="0" w:left="0" w:rightChars="0" w:right="0"/>
              <w:jc w:val="center"/>
            </w:pPr>
            <w:r w:rsidRPr="00B40DC1">
              <w:t>2.40%</w:t>
            </w:r>
          </w:p>
        </w:tc>
        <w:tc>
          <w:tcPr>
            <w:tcW w:w="2020" w:type="dxa"/>
            <w:vAlign w:val="center"/>
          </w:tcPr>
          <w:p w:rsidR="0049577B" w:rsidRPr="00B40DC1" w:rsidRDefault="0049577B" w:rsidP="00A66DFC">
            <w:pPr>
              <w:spacing w:line="240" w:lineRule="auto"/>
              <w:ind w:leftChars="0" w:left="0" w:rightChars="0" w:right="0"/>
              <w:jc w:val="center"/>
            </w:pPr>
            <w:r w:rsidRPr="00B40DC1">
              <w:t>2.30%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非常不同意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450</w:t>
            </w:r>
          </w:p>
        </w:tc>
        <w:tc>
          <w:tcPr>
            <w:tcW w:w="1549" w:type="dxa"/>
            <w:vAlign w:val="center"/>
          </w:tcPr>
          <w:p w:rsidR="0049577B" w:rsidRPr="00B40DC1" w:rsidRDefault="0049577B" w:rsidP="00A66DFC">
            <w:pPr>
              <w:spacing w:line="240" w:lineRule="auto"/>
              <w:ind w:leftChars="0" w:left="0" w:rightChars="0" w:right="0"/>
              <w:jc w:val="center"/>
            </w:pPr>
            <w:r w:rsidRPr="00B40DC1">
              <w:t>925</w:t>
            </w:r>
          </w:p>
        </w:tc>
        <w:tc>
          <w:tcPr>
            <w:tcW w:w="1549" w:type="dxa"/>
            <w:vAlign w:val="center"/>
          </w:tcPr>
          <w:p w:rsidR="0049577B" w:rsidRPr="00B40DC1" w:rsidRDefault="0049577B" w:rsidP="00A66DFC">
            <w:pPr>
              <w:spacing w:line="240" w:lineRule="auto"/>
              <w:ind w:leftChars="0" w:left="0" w:rightChars="0" w:right="0"/>
              <w:jc w:val="center"/>
            </w:pPr>
            <w:r w:rsidRPr="00B40DC1">
              <w:t>41</w:t>
            </w:r>
          </w:p>
        </w:tc>
        <w:tc>
          <w:tcPr>
            <w:tcW w:w="2020"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2020" w:type="dxa"/>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總和</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255</w:t>
            </w:r>
          </w:p>
        </w:tc>
        <w:tc>
          <w:tcPr>
            <w:tcW w:w="1549" w:type="dxa"/>
            <w:vAlign w:val="center"/>
          </w:tcPr>
          <w:p w:rsidR="0049577B" w:rsidRPr="00B40DC1" w:rsidRDefault="0049577B" w:rsidP="00A66DFC">
            <w:pPr>
              <w:spacing w:line="240" w:lineRule="auto"/>
              <w:ind w:leftChars="0" w:left="0" w:rightChars="0" w:right="0"/>
              <w:jc w:val="center"/>
            </w:pPr>
            <w:r w:rsidRPr="00B40DC1">
              <w:t>387</w:t>
            </w:r>
          </w:p>
        </w:tc>
        <w:tc>
          <w:tcPr>
            <w:tcW w:w="1549" w:type="dxa"/>
            <w:vAlign w:val="center"/>
          </w:tcPr>
          <w:p w:rsidR="0049577B" w:rsidRPr="00B40DC1" w:rsidRDefault="0049577B" w:rsidP="00A66DFC">
            <w:pPr>
              <w:spacing w:line="240" w:lineRule="auto"/>
              <w:ind w:leftChars="0" w:left="0" w:rightChars="0" w:right="0"/>
              <w:jc w:val="center"/>
            </w:pPr>
            <w:r w:rsidRPr="00B40DC1">
              <w:t>22</w:t>
            </w:r>
          </w:p>
        </w:tc>
        <w:tc>
          <w:tcPr>
            <w:tcW w:w="2020" w:type="dxa"/>
            <w:vAlign w:val="center"/>
          </w:tcPr>
          <w:p w:rsidR="0049577B" w:rsidRPr="00B40DC1" w:rsidRDefault="0049577B" w:rsidP="00A66DFC">
            <w:pPr>
              <w:spacing w:line="240" w:lineRule="auto"/>
              <w:ind w:leftChars="0" w:left="0" w:rightChars="0" w:right="0"/>
              <w:jc w:val="center"/>
            </w:pPr>
            <w:r w:rsidRPr="00B40DC1">
              <w:t>664</w:t>
            </w:r>
          </w:p>
        </w:tc>
      </w:tr>
      <w:tr w:rsidR="0049577B" w:rsidRPr="00B40DC1" w:rsidTr="00A66DFC">
        <w:trPr>
          <w:jc w:val="center"/>
        </w:trPr>
        <w:tc>
          <w:tcPr>
            <w:tcW w:w="1159" w:type="dxa"/>
            <w:vMerge/>
            <w:tcBorders>
              <w:bottom w:val="single" w:sz="8" w:space="0" w:color="auto"/>
            </w:tcBorders>
          </w:tcPr>
          <w:p w:rsidR="0049577B" w:rsidRPr="00B40DC1" w:rsidRDefault="0049577B" w:rsidP="00A66DFC">
            <w:pPr>
              <w:spacing w:line="240" w:lineRule="auto"/>
              <w:ind w:leftChars="0" w:left="0" w:rightChars="0" w:right="0"/>
            </w:pPr>
          </w:p>
        </w:tc>
        <w:tc>
          <w:tcPr>
            <w:tcW w:w="669" w:type="dxa"/>
            <w:vMerge/>
            <w:tcBorders>
              <w:bottom w:val="single" w:sz="8" w:space="0" w:color="auto"/>
            </w:tcBorders>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56.70%</w:t>
            </w:r>
          </w:p>
        </w:tc>
        <w:tc>
          <w:tcPr>
            <w:tcW w:w="1549" w:type="dxa"/>
            <w:vAlign w:val="center"/>
          </w:tcPr>
          <w:p w:rsidR="0049577B" w:rsidRPr="00B40DC1" w:rsidRDefault="0049577B" w:rsidP="00A66DFC">
            <w:pPr>
              <w:spacing w:line="240" w:lineRule="auto"/>
              <w:ind w:leftChars="0" w:left="0" w:rightChars="0" w:right="0"/>
              <w:jc w:val="center"/>
            </w:pPr>
            <w:r w:rsidRPr="00B40DC1">
              <w:t>41.80%</w:t>
            </w:r>
          </w:p>
        </w:tc>
        <w:tc>
          <w:tcPr>
            <w:tcW w:w="1549" w:type="dxa"/>
            <w:vAlign w:val="center"/>
          </w:tcPr>
          <w:p w:rsidR="0049577B" w:rsidRPr="00B40DC1" w:rsidRDefault="0049577B" w:rsidP="00A66DFC">
            <w:pPr>
              <w:spacing w:line="240" w:lineRule="auto"/>
              <w:ind w:leftChars="0" w:left="0" w:rightChars="0" w:right="0"/>
              <w:jc w:val="center"/>
            </w:pPr>
            <w:r w:rsidRPr="00B40DC1">
              <w:t>53.70%</w:t>
            </w:r>
          </w:p>
        </w:tc>
        <w:tc>
          <w:tcPr>
            <w:tcW w:w="2020" w:type="dxa"/>
            <w:vAlign w:val="center"/>
          </w:tcPr>
          <w:p w:rsidR="0049577B" w:rsidRPr="00B40DC1" w:rsidRDefault="0049577B" w:rsidP="00A66DFC">
            <w:pPr>
              <w:spacing w:line="240" w:lineRule="auto"/>
              <w:ind w:leftChars="0" w:left="0" w:rightChars="0" w:right="0"/>
              <w:jc w:val="center"/>
            </w:pPr>
            <w:r w:rsidRPr="00B40DC1">
              <w:t>46.90%</w:t>
            </w:r>
          </w:p>
        </w:tc>
      </w:tr>
      <w:tr w:rsidR="0049577B" w:rsidRPr="00B40DC1" w:rsidTr="00A66DFC">
        <w:trPr>
          <w:jc w:val="center"/>
        </w:trPr>
        <w:tc>
          <w:tcPr>
            <w:tcW w:w="2957" w:type="dxa"/>
            <w:gridSpan w:val="3"/>
            <w:tcBorders>
              <w:bottom w:val="single" w:sz="8" w:space="0" w:color="auto"/>
            </w:tcBorders>
          </w:tcPr>
          <w:p w:rsidR="0049577B" w:rsidRPr="00B40DC1" w:rsidRDefault="0049577B" w:rsidP="00A66DFC">
            <w:pPr>
              <w:spacing w:line="240" w:lineRule="auto"/>
              <w:ind w:leftChars="0" w:left="0" w:rightChars="0" w:right="0"/>
            </w:pPr>
            <w:r w:rsidRPr="00B40DC1">
              <w:t>卡方值</w:t>
            </w:r>
          </w:p>
        </w:tc>
        <w:tc>
          <w:tcPr>
            <w:tcW w:w="6667" w:type="dxa"/>
            <w:gridSpan w:val="4"/>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χ</w:t>
            </w:r>
            <w:r w:rsidRPr="00B40DC1">
              <w:rPr>
                <w:vertAlign w:val="superscript"/>
              </w:rPr>
              <w:t>2</w:t>
            </w:r>
            <w:r w:rsidRPr="00B40DC1">
              <w:t>=31.73；df=4；p&lt;0.001</w:t>
            </w:r>
          </w:p>
        </w:tc>
      </w:tr>
      <w:tr w:rsidR="0049577B" w:rsidRPr="00B40DC1" w:rsidTr="00A66DFC">
        <w:trPr>
          <w:jc w:val="center"/>
        </w:trPr>
        <w:tc>
          <w:tcPr>
            <w:tcW w:w="115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居住臺灣生活很幸福</w:t>
            </w:r>
          </w:p>
        </w:tc>
        <w:tc>
          <w:tcPr>
            <w:tcW w:w="669" w:type="dxa"/>
            <w:vMerge w:val="restart"/>
            <w:tcBorders>
              <w:top w:val="single" w:sz="8" w:space="0" w:color="auto"/>
            </w:tcBorders>
            <w:vAlign w:val="center"/>
          </w:tcPr>
          <w:p w:rsidR="0049577B" w:rsidRPr="00B40DC1" w:rsidRDefault="0049577B" w:rsidP="00A66DFC">
            <w:pPr>
              <w:spacing w:line="240" w:lineRule="auto"/>
              <w:ind w:leftChars="0" w:left="0" w:rightChars="0" w:right="0"/>
            </w:pPr>
            <w:r w:rsidRPr="00B40DC1">
              <w:t>非常同意</w:t>
            </w:r>
          </w:p>
        </w:tc>
        <w:tc>
          <w:tcPr>
            <w:tcW w:w="1129" w:type="dxa"/>
            <w:tcBorders>
              <w:top w:val="single" w:sz="8" w:space="0" w:color="auto"/>
            </w:tcBorders>
            <w:vAlign w:val="center"/>
          </w:tcPr>
          <w:p w:rsidR="0049577B" w:rsidRPr="00B40DC1" w:rsidRDefault="0049577B" w:rsidP="00A66DFC">
            <w:pPr>
              <w:spacing w:line="240" w:lineRule="auto"/>
              <w:ind w:leftChars="0" w:left="0" w:rightChars="0" w:right="0"/>
            </w:pPr>
            <w:r w:rsidRPr="00B40DC1">
              <w:t>次數</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53</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94</w:t>
            </w:r>
          </w:p>
        </w:tc>
        <w:tc>
          <w:tcPr>
            <w:tcW w:w="1549"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4</w:t>
            </w:r>
          </w:p>
        </w:tc>
        <w:tc>
          <w:tcPr>
            <w:tcW w:w="2020" w:type="dxa"/>
            <w:tcBorders>
              <w:top w:val="single" w:sz="8" w:space="0" w:color="auto"/>
            </w:tcBorders>
            <w:vAlign w:val="center"/>
          </w:tcPr>
          <w:p w:rsidR="0049577B" w:rsidRPr="00B40DC1" w:rsidRDefault="0049577B" w:rsidP="00A66DFC">
            <w:pPr>
              <w:spacing w:line="240" w:lineRule="auto"/>
              <w:ind w:leftChars="0" w:left="0" w:rightChars="0" w:right="0"/>
              <w:jc w:val="center"/>
            </w:pPr>
            <w:r w:rsidRPr="00B40DC1">
              <w:t>151</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11.80%</w:t>
            </w:r>
          </w:p>
        </w:tc>
        <w:tc>
          <w:tcPr>
            <w:tcW w:w="1549" w:type="dxa"/>
            <w:vAlign w:val="center"/>
          </w:tcPr>
          <w:p w:rsidR="0049577B" w:rsidRPr="00B40DC1" w:rsidRDefault="0049577B" w:rsidP="00A66DFC">
            <w:pPr>
              <w:spacing w:line="240" w:lineRule="auto"/>
              <w:ind w:leftChars="0" w:left="0" w:rightChars="0" w:right="0"/>
              <w:jc w:val="center"/>
            </w:pPr>
            <w:r w:rsidRPr="00B40DC1">
              <w:t>10.20%</w:t>
            </w:r>
          </w:p>
        </w:tc>
        <w:tc>
          <w:tcPr>
            <w:tcW w:w="1549" w:type="dxa"/>
            <w:vAlign w:val="center"/>
          </w:tcPr>
          <w:p w:rsidR="0049577B" w:rsidRPr="00B40DC1" w:rsidRDefault="0049577B" w:rsidP="00A66DFC">
            <w:pPr>
              <w:spacing w:line="240" w:lineRule="auto"/>
              <w:ind w:leftChars="0" w:left="0" w:rightChars="0" w:right="0"/>
              <w:jc w:val="center"/>
            </w:pPr>
            <w:r w:rsidRPr="00B40DC1">
              <w:t>9.80%</w:t>
            </w:r>
          </w:p>
        </w:tc>
        <w:tc>
          <w:tcPr>
            <w:tcW w:w="2020" w:type="dxa"/>
            <w:vAlign w:val="center"/>
          </w:tcPr>
          <w:p w:rsidR="0049577B" w:rsidRPr="00B40DC1" w:rsidRDefault="0049577B" w:rsidP="00A66DFC">
            <w:pPr>
              <w:spacing w:line="240" w:lineRule="auto"/>
              <w:ind w:leftChars="0" w:left="0" w:rightChars="0" w:right="0"/>
              <w:jc w:val="center"/>
            </w:pPr>
            <w:r w:rsidRPr="00B40DC1">
              <w:t>10.70%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387</w:t>
            </w:r>
          </w:p>
        </w:tc>
        <w:tc>
          <w:tcPr>
            <w:tcW w:w="1549" w:type="dxa"/>
            <w:vAlign w:val="center"/>
          </w:tcPr>
          <w:p w:rsidR="0049577B" w:rsidRPr="00B40DC1" w:rsidRDefault="0049577B" w:rsidP="00A66DFC">
            <w:pPr>
              <w:spacing w:line="240" w:lineRule="auto"/>
              <w:ind w:leftChars="0" w:left="0" w:rightChars="0" w:right="0"/>
              <w:jc w:val="center"/>
            </w:pPr>
            <w:r w:rsidRPr="00B40DC1">
              <w:t>786</w:t>
            </w:r>
          </w:p>
        </w:tc>
        <w:tc>
          <w:tcPr>
            <w:tcW w:w="1549" w:type="dxa"/>
            <w:vAlign w:val="center"/>
          </w:tcPr>
          <w:p w:rsidR="0049577B" w:rsidRPr="00B40DC1" w:rsidRDefault="0049577B" w:rsidP="00A66DFC">
            <w:pPr>
              <w:spacing w:line="240" w:lineRule="auto"/>
              <w:ind w:leftChars="0" w:left="0" w:rightChars="0" w:right="0"/>
              <w:jc w:val="center"/>
            </w:pPr>
            <w:r w:rsidRPr="00B40DC1">
              <w:t>37</w:t>
            </w:r>
          </w:p>
        </w:tc>
        <w:tc>
          <w:tcPr>
            <w:tcW w:w="2020" w:type="dxa"/>
            <w:vAlign w:val="center"/>
          </w:tcPr>
          <w:p w:rsidR="0049577B" w:rsidRPr="00B40DC1" w:rsidRDefault="0049577B" w:rsidP="00A66DFC">
            <w:pPr>
              <w:spacing w:line="240" w:lineRule="auto"/>
              <w:ind w:leftChars="0" w:left="0" w:rightChars="0" w:right="0"/>
              <w:jc w:val="center"/>
            </w:pPr>
            <w:r w:rsidRPr="00B40DC1">
              <w:t>1210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86.00%</w:t>
            </w:r>
          </w:p>
        </w:tc>
        <w:tc>
          <w:tcPr>
            <w:tcW w:w="1549" w:type="dxa"/>
            <w:vAlign w:val="center"/>
          </w:tcPr>
          <w:p w:rsidR="0049577B" w:rsidRPr="00B40DC1" w:rsidRDefault="0049577B" w:rsidP="00A66DFC">
            <w:pPr>
              <w:spacing w:line="240" w:lineRule="auto"/>
              <w:ind w:leftChars="0" w:left="0" w:rightChars="0" w:right="0"/>
              <w:jc w:val="center"/>
            </w:pPr>
            <w:r w:rsidRPr="00B40DC1">
              <w:t>85.00%</w:t>
            </w:r>
          </w:p>
        </w:tc>
        <w:tc>
          <w:tcPr>
            <w:tcW w:w="1549" w:type="dxa"/>
            <w:vAlign w:val="center"/>
          </w:tcPr>
          <w:p w:rsidR="0049577B" w:rsidRPr="00B40DC1" w:rsidRDefault="0049577B" w:rsidP="00A66DFC">
            <w:pPr>
              <w:spacing w:line="240" w:lineRule="auto"/>
              <w:ind w:leftChars="0" w:left="0" w:rightChars="0" w:right="0"/>
              <w:jc w:val="center"/>
            </w:pPr>
            <w:r w:rsidRPr="00B40DC1">
              <w:t>90.20%</w:t>
            </w:r>
          </w:p>
        </w:tc>
        <w:tc>
          <w:tcPr>
            <w:tcW w:w="2020" w:type="dxa"/>
            <w:vAlign w:val="center"/>
          </w:tcPr>
          <w:p w:rsidR="0049577B" w:rsidRPr="00B40DC1" w:rsidRDefault="0049577B" w:rsidP="00A66DFC">
            <w:pPr>
              <w:spacing w:line="240" w:lineRule="auto"/>
              <w:ind w:leftChars="0" w:left="0" w:rightChars="0" w:right="0"/>
              <w:jc w:val="center"/>
            </w:pPr>
            <w:r w:rsidRPr="00B40DC1">
              <w:t>85.50%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不太同意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9</w:t>
            </w:r>
          </w:p>
        </w:tc>
        <w:tc>
          <w:tcPr>
            <w:tcW w:w="1549" w:type="dxa"/>
            <w:vAlign w:val="center"/>
          </w:tcPr>
          <w:p w:rsidR="0049577B" w:rsidRPr="00B40DC1" w:rsidRDefault="0049577B" w:rsidP="00A66DFC">
            <w:pPr>
              <w:spacing w:line="240" w:lineRule="auto"/>
              <w:ind w:leftChars="0" w:left="0" w:rightChars="0" w:right="0"/>
              <w:jc w:val="center"/>
            </w:pPr>
            <w:r w:rsidRPr="00B40DC1">
              <w:t>42</w:t>
            </w:r>
          </w:p>
        </w:tc>
        <w:tc>
          <w:tcPr>
            <w:tcW w:w="1549" w:type="dxa"/>
            <w:vAlign w:val="center"/>
          </w:tcPr>
          <w:p w:rsidR="0049577B" w:rsidRPr="00B40DC1" w:rsidRDefault="0049577B" w:rsidP="00A66DFC">
            <w:pPr>
              <w:spacing w:line="240" w:lineRule="auto"/>
              <w:ind w:leftChars="0" w:left="0" w:rightChars="0" w:right="0"/>
              <w:jc w:val="center"/>
            </w:pPr>
            <w:r w:rsidRPr="00B40DC1">
              <w:t>0</w:t>
            </w:r>
          </w:p>
        </w:tc>
        <w:tc>
          <w:tcPr>
            <w:tcW w:w="2020" w:type="dxa"/>
            <w:vAlign w:val="center"/>
          </w:tcPr>
          <w:p w:rsidR="0049577B" w:rsidRPr="00B40DC1" w:rsidRDefault="0049577B" w:rsidP="00A66DFC">
            <w:pPr>
              <w:spacing w:line="240" w:lineRule="auto"/>
              <w:ind w:leftChars="0" w:left="0" w:rightChars="0" w:right="0"/>
              <w:jc w:val="center"/>
            </w:pPr>
            <w:r w:rsidRPr="00B40DC1">
              <w:t>51</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2.00%</w:t>
            </w:r>
          </w:p>
        </w:tc>
        <w:tc>
          <w:tcPr>
            <w:tcW w:w="1549" w:type="dxa"/>
            <w:vAlign w:val="center"/>
          </w:tcPr>
          <w:p w:rsidR="0049577B" w:rsidRPr="00B40DC1" w:rsidRDefault="0049577B" w:rsidP="00A66DFC">
            <w:pPr>
              <w:spacing w:line="240" w:lineRule="auto"/>
              <w:ind w:leftChars="0" w:left="0" w:rightChars="0" w:right="0"/>
              <w:jc w:val="center"/>
            </w:pPr>
            <w:r w:rsidRPr="00B40DC1">
              <w:t>4.50%</w:t>
            </w:r>
          </w:p>
        </w:tc>
        <w:tc>
          <w:tcPr>
            <w:tcW w:w="1549" w:type="dxa"/>
            <w:vAlign w:val="center"/>
          </w:tcPr>
          <w:p w:rsidR="0049577B" w:rsidRPr="00B40DC1" w:rsidRDefault="0049577B" w:rsidP="00A66DFC">
            <w:pPr>
              <w:spacing w:line="240" w:lineRule="auto"/>
              <w:ind w:leftChars="0" w:left="0" w:rightChars="0" w:right="0"/>
              <w:jc w:val="center"/>
            </w:pPr>
            <w:r w:rsidRPr="00B40DC1">
              <w:t>0.00%</w:t>
            </w:r>
          </w:p>
        </w:tc>
        <w:tc>
          <w:tcPr>
            <w:tcW w:w="2020" w:type="dxa"/>
            <w:vAlign w:val="center"/>
          </w:tcPr>
          <w:p w:rsidR="0049577B" w:rsidRPr="00B40DC1" w:rsidRDefault="0049577B" w:rsidP="00A66DFC">
            <w:pPr>
              <w:spacing w:line="240" w:lineRule="auto"/>
              <w:ind w:leftChars="0" w:left="0" w:rightChars="0" w:right="0"/>
              <w:jc w:val="center"/>
            </w:pPr>
            <w:r w:rsidRPr="00B40DC1">
              <w:t>3.60%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非常不同意</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1</w:t>
            </w:r>
          </w:p>
        </w:tc>
        <w:tc>
          <w:tcPr>
            <w:tcW w:w="1549" w:type="dxa"/>
            <w:vAlign w:val="center"/>
          </w:tcPr>
          <w:p w:rsidR="0049577B" w:rsidRPr="00B40DC1" w:rsidRDefault="0049577B" w:rsidP="00A66DFC">
            <w:pPr>
              <w:spacing w:line="240" w:lineRule="auto"/>
              <w:ind w:leftChars="0" w:left="0" w:rightChars="0" w:right="0"/>
              <w:jc w:val="center"/>
            </w:pPr>
            <w:r w:rsidRPr="00B40DC1">
              <w:t>3</w:t>
            </w:r>
          </w:p>
        </w:tc>
        <w:tc>
          <w:tcPr>
            <w:tcW w:w="1549" w:type="dxa"/>
            <w:vAlign w:val="center"/>
          </w:tcPr>
          <w:p w:rsidR="0049577B" w:rsidRPr="00B40DC1" w:rsidRDefault="0049577B" w:rsidP="00A66DFC">
            <w:pPr>
              <w:spacing w:line="240" w:lineRule="auto"/>
              <w:ind w:leftChars="0" w:left="0" w:rightChars="0" w:right="0"/>
              <w:jc w:val="center"/>
            </w:pPr>
            <w:r w:rsidRPr="00B40DC1">
              <w:t>0</w:t>
            </w:r>
          </w:p>
        </w:tc>
        <w:tc>
          <w:tcPr>
            <w:tcW w:w="2020" w:type="dxa"/>
            <w:vAlign w:val="center"/>
          </w:tcPr>
          <w:p w:rsidR="0049577B" w:rsidRPr="00B40DC1" w:rsidRDefault="0049577B" w:rsidP="00A66DFC">
            <w:pPr>
              <w:spacing w:line="240" w:lineRule="auto"/>
              <w:ind w:leftChars="0" w:left="0" w:rightChars="0" w:right="0"/>
              <w:jc w:val="center"/>
            </w:pPr>
            <w:r w:rsidRPr="00B40DC1">
              <w:t>4</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ign w:val="center"/>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0.20%</w:t>
            </w:r>
          </w:p>
        </w:tc>
        <w:tc>
          <w:tcPr>
            <w:tcW w:w="1549" w:type="dxa"/>
            <w:vAlign w:val="center"/>
          </w:tcPr>
          <w:p w:rsidR="0049577B" w:rsidRPr="00B40DC1" w:rsidRDefault="0049577B" w:rsidP="00A66DFC">
            <w:pPr>
              <w:spacing w:line="240" w:lineRule="auto"/>
              <w:ind w:leftChars="0" w:left="0" w:rightChars="0" w:right="0"/>
              <w:jc w:val="center"/>
            </w:pPr>
            <w:r w:rsidRPr="00B40DC1">
              <w:t>0.30%</w:t>
            </w:r>
          </w:p>
        </w:tc>
        <w:tc>
          <w:tcPr>
            <w:tcW w:w="1549" w:type="dxa"/>
            <w:vAlign w:val="center"/>
          </w:tcPr>
          <w:p w:rsidR="0049577B" w:rsidRPr="00B40DC1" w:rsidRDefault="0049577B" w:rsidP="00A66DFC">
            <w:pPr>
              <w:spacing w:line="240" w:lineRule="auto"/>
              <w:ind w:leftChars="0" w:left="0" w:rightChars="0" w:right="0"/>
              <w:jc w:val="center"/>
            </w:pPr>
            <w:r w:rsidRPr="00B40DC1">
              <w:t>0.00%</w:t>
            </w:r>
          </w:p>
        </w:tc>
        <w:tc>
          <w:tcPr>
            <w:tcW w:w="2020" w:type="dxa"/>
            <w:vAlign w:val="center"/>
          </w:tcPr>
          <w:p w:rsidR="0049577B" w:rsidRPr="00B40DC1" w:rsidRDefault="0049577B" w:rsidP="00A66DFC">
            <w:pPr>
              <w:spacing w:line="240" w:lineRule="auto"/>
              <w:ind w:leftChars="0" w:left="0" w:rightChars="0" w:right="0"/>
              <w:jc w:val="center"/>
            </w:pPr>
            <w:r w:rsidRPr="00B40DC1">
              <w:t>0.30%</w:t>
            </w:r>
          </w:p>
        </w:tc>
      </w:tr>
      <w:tr w:rsidR="0049577B" w:rsidRPr="00B40DC1" w:rsidTr="00A66DFC">
        <w:trPr>
          <w:jc w:val="center"/>
        </w:trPr>
        <w:tc>
          <w:tcPr>
            <w:tcW w:w="1159" w:type="dxa"/>
            <w:vMerge/>
            <w:vAlign w:val="center"/>
          </w:tcPr>
          <w:p w:rsidR="0049577B" w:rsidRPr="00B40DC1" w:rsidRDefault="0049577B" w:rsidP="00A66DFC">
            <w:pPr>
              <w:spacing w:line="240" w:lineRule="auto"/>
              <w:ind w:leftChars="0" w:left="0" w:rightChars="0" w:right="0"/>
            </w:pPr>
          </w:p>
        </w:tc>
        <w:tc>
          <w:tcPr>
            <w:tcW w:w="669" w:type="dxa"/>
            <w:vMerge w:val="restart"/>
            <w:vAlign w:val="center"/>
          </w:tcPr>
          <w:p w:rsidR="0049577B" w:rsidRPr="00B40DC1" w:rsidRDefault="0049577B" w:rsidP="00A66DFC">
            <w:pPr>
              <w:spacing w:line="240" w:lineRule="auto"/>
              <w:ind w:leftChars="0" w:left="0" w:rightChars="0" w:right="0"/>
            </w:pPr>
            <w:r w:rsidRPr="00B40DC1">
              <w:t>總和</w:t>
            </w:r>
          </w:p>
        </w:tc>
        <w:tc>
          <w:tcPr>
            <w:tcW w:w="1129" w:type="dxa"/>
            <w:vAlign w:val="center"/>
          </w:tcPr>
          <w:p w:rsidR="0049577B" w:rsidRPr="00B40DC1" w:rsidRDefault="0049577B" w:rsidP="00A66DFC">
            <w:pPr>
              <w:spacing w:line="240" w:lineRule="auto"/>
              <w:ind w:leftChars="0" w:left="0" w:rightChars="0" w:right="0"/>
            </w:pPr>
            <w:r w:rsidRPr="00B40DC1">
              <w:t>次數</w:t>
            </w:r>
          </w:p>
        </w:tc>
        <w:tc>
          <w:tcPr>
            <w:tcW w:w="1549" w:type="dxa"/>
            <w:vAlign w:val="center"/>
          </w:tcPr>
          <w:p w:rsidR="0049577B" w:rsidRPr="00B40DC1" w:rsidRDefault="0049577B" w:rsidP="00A66DFC">
            <w:pPr>
              <w:spacing w:line="240" w:lineRule="auto"/>
              <w:ind w:leftChars="0" w:left="0" w:rightChars="0" w:right="0"/>
              <w:jc w:val="center"/>
            </w:pPr>
            <w:r w:rsidRPr="00B40DC1">
              <w:t>450</w:t>
            </w:r>
          </w:p>
        </w:tc>
        <w:tc>
          <w:tcPr>
            <w:tcW w:w="1549" w:type="dxa"/>
            <w:vAlign w:val="center"/>
          </w:tcPr>
          <w:p w:rsidR="0049577B" w:rsidRPr="00B40DC1" w:rsidRDefault="0049577B" w:rsidP="00A66DFC">
            <w:pPr>
              <w:spacing w:line="240" w:lineRule="auto"/>
              <w:ind w:leftChars="0" w:left="0" w:rightChars="0" w:right="0"/>
              <w:jc w:val="center"/>
            </w:pPr>
            <w:r w:rsidRPr="00B40DC1">
              <w:t>925</w:t>
            </w:r>
          </w:p>
        </w:tc>
        <w:tc>
          <w:tcPr>
            <w:tcW w:w="1549" w:type="dxa"/>
            <w:vAlign w:val="center"/>
          </w:tcPr>
          <w:p w:rsidR="0049577B" w:rsidRPr="00B40DC1" w:rsidRDefault="0049577B" w:rsidP="00A66DFC">
            <w:pPr>
              <w:spacing w:line="240" w:lineRule="auto"/>
              <w:ind w:leftChars="0" w:left="0" w:rightChars="0" w:right="0"/>
              <w:jc w:val="center"/>
            </w:pPr>
            <w:r w:rsidRPr="00B40DC1">
              <w:t>41</w:t>
            </w:r>
          </w:p>
        </w:tc>
        <w:tc>
          <w:tcPr>
            <w:tcW w:w="2020" w:type="dxa"/>
            <w:vAlign w:val="center"/>
          </w:tcPr>
          <w:p w:rsidR="0049577B" w:rsidRPr="00B40DC1" w:rsidRDefault="0049577B" w:rsidP="00A66DFC">
            <w:pPr>
              <w:spacing w:line="240" w:lineRule="auto"/>
              <w:ind w:leftChars="0" w:left="0" w:rightChars="0" w:right="0"/>
              <w:jc w:val="center"/>
            </w:pPr>
            <w:r w:rsidRPr="00B40DC1">
              <w:t>1416</w:t>
            </w:r>
          </w:p>
        </w:tc>
      </w:tr>
      <w:tr w:rsidR="0049577B" w:rsidRPr="00B40DC1" w:rsidTr="00A66DFC">
        <w:trPr>
          <w:jc w:val="center"/>
        </w:trPr>
        <w:tc>
          <w:tcPr>
            <w:tcW w:w="1159" w:type="dxa"/>
            <w:vMerge/>
            <w:tcBorders>
              <w:bottom w:val="single" w:sz="8" w:space="0" w:color="auto"/>
            </w:tcBorders>
          </w:tcPr>
          <w:p w:rsidR="0049577B" w:rsidRPr="00B40DC1" w:rsidRDefault="0049577B" w:rsidP="00A66DFC">
            <w:pPr>
              <w:spacing w:line="240" w:lineRule="auto"/>
              <w:ind w:leftChars="0" w:left="0" w:rightChars="0" w:right="0"/>
            </w:pPr>
          </w:p>
        </w:tc>
        <w:tc>
          <w:tcPr>
            <w:tcW w:w="669" w:type="dxa"/>
            <w:vMerge/>
            <w:tcBorders>
              <w:bottom w:val="single" w:sz="8" w:space="0" w:color="auto"/>
            </w:tcBorders>
          </w:tcPr>
          <w:p w:rsidR="0049577B" w:rsidRPr="00B40DC1" w:rsidRDefault="0049577B" w:rsidP="00A66DFC">
            <w:pPr>
              <w:spacing w:line="240" w:lineRule="auto"/>
              <w:ind w:leftChars="0" w:left="0" w:rightChars="0" w:right="0"/>
            </w:pPr>
          </w:p>
        </w:tc>
        <w:tc>
          <w:tcPr>
            <w:tcW w:w="1129" w:type="dxa"/>
            <w:vAlign w:val="center"/>
          </w:tcPr>
          <w:p w:rsidR="0049577B" w:rsidRPr="00B40DC1" w:rsidRDefault="0049577B" w:rsidP="00A66DFC">
            <w:pPr>
              <w:spacing w:line="240" w:lineRule="auto"/>
              <w:ind w:leftChars="0" w:left="0" w:rightChars="0" w:right="0"/>
            </w:pPr>
            <w:r w:rsidRPr="00B40DC1">
              <w:t>百分比</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1549" w:type="dxa"/>
            <w:vAlign w:val="center"/>
          </w:tcPr>
          <w:p w:rsidR="0049577B" w:rsidRPr="00B40DC1" w:rsidRDefault="0049577B" w:rsidP="00A66DFC">
            <w:pPr>
              <w:spacing w:line="240" w:lineRule="auto"/>
              <w:ind w:leftChars="0" w:left="0" w:rightChars="0" w:right="0"/>
              <w:jc w:val="center"/>
            </w:pPr>
            <w:r w:rsidRPr="00B40DC1">
              <w:t>100.00%</w:t>
            </w:r>
          </w:p>
        </w:tc>
        <w:tc>
          <w:tcPr>
            <w:tcW w:w="2020" w:type="dxa"/>
            <w:vAlign w:val="center"/>
          </w:tcPr>
          <w:p w:rsidR="0049577B" w:rsidRPr="00B40DC1" w:rsidRDefault="0049577B" w:rsidP="00A66DFC">
            <w:pPr>
              <w:spacing w:line="240" w:lineRule="auto"/>
              <w:ind w:leftChars="0" w:left="0" w:rightChars="0" w:right="0"/>
              <w:jc w:val="center"/>
            </w:pPr>
            <w:r w:rsidRPr="00B40DC1">
              <w:t>100.00%</w:t>
            </w:r>
          </w:p>
        </w:tc>
      </w:tr>
      <w:tr w:rsidR="0049577B" w:rsidRPr="00B40DC1" w:rsidTr="00A66DFC">
        <w:trPr>
          <w:jc w:val="center"/>
        </w:trPr>
        <w:tc>
          <w:tcPr>
            <w:tcW w:w="2957" w:type="dxa"/>
            <w:gridSpan w:val="3"/>
            <w:tcBorders>
              <w:bottom w:val="single" w:sz="8" w:space="0" w:color="auto"/>
            </w:tcBorders>
          </w:tcPr>
          <w:p w:rsidR="0049577B" w:rsidRPr="00B40DC1" w:rsidRDefault="0049577B" w:rsidP="00A66DFC">
            <w:pPr>
              <w:spacing w:line="240" w:lineRule="auto"/>
              <w:ind w:leftChars="0" w:left="0" w:rightChars="0" w:right="0"/>
            </w:pPr>
            <w:r w:rsidRPr="00B40DC1">
              <w:t>卡方值</w:t>
            </w:r>
          </w:p>
        </w:tc>
        <w:tc>
          <w:tcPr>
            <w:tcW w:w="6667" w:type="dxa"/>
            <w:gridSpan w:val="4"/>
            <w:tcBorders>
              <w:bottom w:val="single" w:sz="8" w:space="0" w:color="auto"/>
            </w:tcBorders>
            <w:vAlign w:val="center"/>
          </w:tcPr>
          <w:p w:rsidR="0049577B" w:rsidRPr="00B40DC1" w:rsidRDefault="0049577B" w:rsidP="00A66DFC">
            <w:pPr>
              <w:spacing w:line="240" w:lineRule="auto"/>
              <w:ind w:leftChars="0" w:left="0" w:rightChars="0" w:right="0"/>
              <w:jc w:val="center"/>
            </w:pPr>
            <w:r w:rsidRPr="00B40DC1">
              <w:t>χ</w:t>
            </w:r>
            <w:r w:rsidRPr="00B40DC1">
              <w:rPr>
                <w:vertAlign w:val="superscript"/>
              </w:rPr>
              <w:t>2</w:t>
            </w:r>
            <w:r w:rsidRPr="00B40DC1">
              <w:t>=8.10；df=6；p&gt;0.05</w:t>
            </w:r>
          </w:p>
        </w:tc>
      </w:tr>
    </w:tbl>
    <w:p w:rsidR="0049577B" w:rsidRPr="00B40DC1" w:rsidRDefault="00817A92" w:rsidP="00A66DFC">
      <w:pPr>
        <w:spacing w:line="240" w:lineRule="auto"/>
        <w:ind w:leftChars="0" w:left="0" w:rightChars="0" w:right="0"/>
      </w:pPr>
      <w:r>
        <w:t>【資料來源】</w:t>
      </w:r>
      <w:r w:rsidR="0049577B" w:rsidRPr="00B40DC1">
        <w:t>作者自行製作。</w:t>
      </w:r>
    </w:p>
    <w:p w:rsidR="0049577B" w:rsidRPr="00B40DC1" w:rsidRDefault="00DD52C8" w:rsidP="0091385C">
      <w:pPr>
        <w:jc w:val="right"/>
      </w:pPr>
      <w:r w:rsidRPr="00971E86">
        <w:rPr>
          <w:rFonts w:hint="eastAsia"/>
          <w:sz w:val="20"/>
        </w:rPr>
        <w:t>。。。。。。。。。。。。。。</w:t>
      </w:r>
      <w:hyperlink w:anchor="a4b5"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20" w:name="_伍、結論與建議_1"/>
      <w:bookmarkEnd w:id="120"/>
      <w:r w:rsidRPr="00B40DC1">
        <w:t>伍、結論與建議</w:t>
      </w:r>
    </w:p>
    <w:p w:rsidR="0049577B" w:rsidRPr="00B40DC1" w:rsidRDefault="004B5698" w:rsidP="003E18C8">
      <w:pPr>
        <w:spacing w:line="240" w:lineRule="auto"/>
        <w:ind w:leftChars="0" w:left="0" w:rightChars="0" w:right="0"/>
      </w:pPr>
      <w:r>
        <w:t xml:space="preserve">　　</w:t>
      </w:r>
      <w:r w:rsidR="0049577B" w:rsidRPr="00B40DC1">
        <w:t>針對桃園市新移民的生活適應與需求，本研究分成四大部分歸結研究主要發現並提出建議：</w:t>
      </w:r>
    </w:p>
    <w:p w:rsidR="0049577B" w:rsidRPr="00B40DC1" w:rsidRDefault="0049577B" w:rsidP="003E18C8">
      <w:pPr>
        <w:pStyle w:val="3"/>
        <w:rPr>
          <w:lang w:eastAsia="zh-TW"/>
        </w:rPr>
      </w:pPr>
      <w:bookmarkStart w:id="121" w:name="_一、家庭生活層面"/>
      <w:bookmarkEnd w:id="121"/>
      <w:r w:rsidRPr="00B40DC1">
        <w:rPr>
          <w:lang w:eastAsia="zh-TW"/>
        </w:rPr>
        <w:t>一、家庭生活層面</w:t>
      </w:r>
    </w:p>
    <w:p w:rsidR="0049577B" w:rsidRPr="00B40DC1" w:rsidRDefault="004B5698" w:rsidP="003E18C8">
      <w:pPr>
        <w:spacing w:line="240" w:lineRule="auto"/>
        <w:ind w:leftChars="0" w:left="0" w:rightChars="0" w:right="0"/>
      </w:pPr>
      <w:r>
        <w:t xml:space="preserve">　　</w:t>
      </w:r>
      <w:r w:rsidR="0049577B" w:rsidRPr="00B40DC1">
        <w:t>在三類國籍新移民當中，以其他國籍新移民的家庭收入最高、配偶教育程度最高、與配偶認識的方式多經由工作關係（婚前感情基礎較深）、與配偶結婚年數最長、離婚情形最少，顯示此類國籍新移民的家庭生活情形較佳。反觀東南亞籍新移民的家庭收入最低、配偶教育程度最低（高中職以下所占百分比最高）、與配偶認識的方式多經由婚姻介紹、與配偶結婚年數較低、離婚情形最多，顯示此類國籍新移民的家庭生活情形較不佳。東南亞籍新移民的家庭需要較多的照顧輔導資源，協助其提升家庭生活品質，強化其家庭功能。</w:t>
      </w:r>
    </w:p>
    <w:p w:rsidR="0049577B" w:rsidRDefault="004B5698" w:rsidP="003E18C8">
      <w:pPr>
        <w:spacing w:line="240" w:lineRule="auto"/>
        <w:ind w:leftChars="0" w:left="0" w:rightChars="0" w:right="0"/>
      </w:pPr>
      <w:r>
        <w:t xml:space="preserve">　　</w:t>
      </w:r>
      <w:r w:rsidR="0049577B" w:rsidRPr="00B40DC1">
        <w:t>大陸及港澳地區新移民不是首度結婚的比率最高、配偶不是首度結婚的比率最高、配偶健康狀況不良的比率也是最高，大陸及港澳地區新移民的家庭可能需要較多的醫療保健資源。而其他國籍新移民的生育子女數較多（2個及以上子女百分比最高）、期望子女的教育程度最高，大陸及港澳地區新移民沒有生育子女的百分比最高，東南亞籍新移民的生育子女數居中、期望子女的教育程度相對較低。顯然，不同國籍新移民家庭所需要的教育資源並不相同，此問題亟待後續研究澄析，以提供適切的教育資源。</w:t>
      </w:r>
    </w:p>
    <w:p w:rsidR="00DD52C8" w:rsidRPr="00B40DC1" w:rsidRDefault="00DD52C8" w:rsidP="00DD52C8">
      <w:pPr>
        <w:spacing w:line="240" w:lineRule="auto"/>
        <w:ind w:leftChars="0" w:left="0" w:rightChars="0" w:right="0"/>
        <w:jc w:val="right"/>
      </w:pPr>
      <w:r w:rsidRPr="00971E86">
        <w:rPr>
          <w:rFonts w:hint="eastAsia"/>
          <w:sz w:val="20"/>
        </w:rPr>
        <w:t>。。。。。。。。。。。。。。</w:t>
      </w:r>
      <w:hyperlink w:anchor="a4b5"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3E18C8">
      <w:pPr>
        <w:pStyle w:val="3"/>
        <w:rPr>
          <w:lang w:eastAsia="zh-TW"/>
        </w:rPr>
      </w:pPr>
      <w:bookmarkStart w:id="122" w:name="_二、就業層面"/>
      <w:bookmarkEnd w:id="122"/>
      <w:r w:rsidRPr="00B40DC1">
        <w:rPr>
          <w:lang w:eastAsia="zh-TW"/>
        </w:rPr>
        <w:t>二、就業層面</w:t>
      </w:r>
    </w:p>
    <w:p w:rsidR="0049577B" w:rsidRPr="00B40DC1" w:rsidRDefault="004B5698" w:rsidP="003E18C8">
      <w:pPr>
        <w:spacing w:line="240" w:lineRule="auto"/>
        <w:ind w:leftChars="0" w:left="0" w:rightChars="0" w:right="0"/>
      </w:pPr>
      <w:r>
        <w:t xml:space="preserve">　　</w:t>
      </w:r>
      <w:r w:rsidR="0049577B" w:rsidRPr="00B40DC1">
        <w:t>在三類國籍新移民當中，以東南亞籍新移民從事有報酬工作的百分比為最高，但平均月薪卻是最低，家庭收入亦是最低，顯見東南亞籍新移民有較強烈的就業意願和就業需求，對其提供適切的職業訓練、就業訊息及職業介紹與輔導，亟具重要性和急迫性。</w:t>
      </w:r>
    </w:p>
    <w:p w:rsidR="0049577B" w:rsidRPr="00B40DC1" w:rsidRDefault="003E18C8" w:rsidP="003E18C8">
      <w:pPr>
        <w:spacing w:line="240" w:lineRule="auto"/>
        <w:ind w:leftChars="0" w:left="0" w:rightChars="0" w:right="0"/>
      </w:pPr>
      <w:r>
        <w:t xml:space="preserve">　　</w:t>
      </w:r>
      <w:r w:rsidR="0049577B" w:rsidRPr="00B40DC1">
        <w:t>而大陸及港澳地區新移民可能因為非首度結婚比率最高、生育子女數最少、配偶健康不佳的比率最高（需較多時間照顧配偶）、年齡較年長，以致大陸及港澳地區新移民從事有報酬工作的百分比為最低。惟針對有就業意願和需求的大陸及港澳地區新移民，可考量其中文聽說讀寫能力均佳、文化和風俗習慣較相近等條件輔導其順利就業。</w:t>
      </w:r>
    </w:p>
    <w:p w:rsidR="0049577B" w:rsidRPr="00B40DC1" w:rsidRDefault="0049577B" w:rsidP="003E18C8">
      <w:pPr>
        <w:spacing w:line="240" w:lineRule="auto"/>
        <w:ind w:leftChars="0" w:left="0" w:rightChars="0" w:right="0"/>
      </w:pPr>
      <w:r w:rsidRPr="00B40DC1">
        <w:t>其他國籍新移民認識配偶的方式有相當高的比例是經由工作關係，換言之，許多其他國籍新移民在結婚前已從事工作，而且其配偶的教育程度也是三類國籍新移民配偶中最高者，顯見其他國籍新移民具有相對較優勢的就業條件。惟從國籍別與工作性質的關聯性分析中發現，三類國籍新移民所從事的工作性質並無顯著差異，顯示其他國新移民雖具較優勢的就業條件，但所從事的工作在性質上卻與東南籍和大陸籍新移民相似。未來針對其他國籍新移民的就業輔導內容宜著重開發其工作潛能，提升其原屬技能在臺運用的機會。</w:t>
      </w:r>
    </w:p>
    <w:p w:rsidR="0049577B" w:rsidRPr="00B40DC1" w:rsidRDefault="004B5698" w:rsidP="003E18C8">
      <w:pPr>
        <w:spacing w:line="240" w:lineRule="auto"/>
        <w:ind w:leftChars="0" w:left="0" w:rightChars="0" w:right="0"/>
      </w:pPr>
      <w:r>
        <w:t xml:space="preserve">　　</w:t>
      </w:r>
      <w:r w:rsidR="0049577B" w:rsidRPr="00B40DC1">
        <w:t>政府也應擬定相關政策，透過節稅、行政作業簡易化等措施，鼓勵事業單位聘僱新移民，積極創造新移民友善就業環境與氛圍。</w:t>
      </w:r>
    </w:p>
    <w:p w:rsidR="0049577B" w:rsidRPr="00B40DC1" w:rsidRDefault="00DD52C8" w:rsidP="00A66DFC">
      <w:pPr>
        <w:jc w:val="right"/>
      </w:pPr>
      <w:r w:rsidRPr="00971E86">
        <w:rPr>
          <w:rFonts w:hint="eastAsia"/>
          <w:sz w:val="20"/>
        </w:rPr>
        <w:t>。。。。。。。。。。。。。。</w:t>
      </w:r>
      <w:hyperlink w:anchor="a4b5" w:history="1">
        <w:r w:rsidRPr="00971E86">
          <w:rPr>
            <w:rStyle w:val="a7"/>
            <w:sz w:val="22"/>
            <w:lang w:eastAsia="zh-TW"/>
          </w:rPr>
          <w:t>回本章</w:t>
        </w:r>
      </w:hyperlink>
      <w:r w:rsidRPr="00971E86">
        <w:rPr>
          <w:color w:val="808000"/>
          <w:sz w:val="18"/>
        </w:rPr>
        <w:t>〉〉</w:t>
      </w:r>
      <w:hyperlink w:anchor="a目次4" w:history="1">
        <w:r w:rsidR="00E9715D">
          <w:rPr>
            <w:rStyle w:val="a7"/>
            <w:sz w:val="22"/>
            <w:lang w:eastAsia="zh-TW"/>
          </w:rPr>
          <w:t>回總目次</w:t>
        </w:r>
      </w:hyperlink>
      <w:r w:rsidR="00E9715D" w:rsidRPr="00D45AD2">
        <w:rPr>
          <w:color w:val="808000"/>
          <w:sz w:val="22"/>
        </w:rPr>
        <w:t>〉〉</w:t>
      </w:r>
    </w:p>
    <w:p w:rsidR="0049577B" w:rsidRPr="00B40DC1" w:rsidRDefault="0049577B" w:rsidP="003E18C8">
      <w:pPr>
        <w:pStyle w:val="3"/>
        <w:rPr>
          <w:lang w:eastAsia="zh-TW"/>
        </w:rPr>
      </w:pPr>
      <w:bookmarkStart w:id="123" w:name="_三、生活適應層面"/>
      <w:bookmarkEnd w:id="123"/>
      <w:r w:rsidRPr="00B40DC1">
        <w:rPr>
          <w:lang w:eastAsia="zh-TW"/>
        </w:rPr>
        <w:t>三、生活適應層面</w:t>
      </w:r>
    </w:p>
    <w:p w:rsidR="0049577B" w:rsidRPr="00B40DC1" w:rsidRDefault="004B5698" w:rsidP="003E18C8">
      <w:pPr>
        <w:spacing w:line="240" w:lineRule="auto"/>
        <w:ind w:leftChars="0" w:left="0" w:rightChars="0" w:right="0"/>
      </w:pPr>
      <w:r>
        <w:t xml:space="preserve">　　</w:t>
      </w:r>
      <w:r w:rsidR="0049577B" w:rsidRPr="00B40DC1">
        <w:t>超過80%的新移民均表示與家人溝通沒有困擾，而且三類新移民並無顯著差異。顯示不論是東南籍、大陸及港澳籍或其他國家籍新移民，平時與家人溝通並無困擾，大多數的臺灣家人對於新移民有相當程度的接受和包容。惟在中文溝通能力方面，除大陸及港澳籍新移民的聽說讀寫能力均佳之外，東南亞籍新移民的中文讀寫能力相對最差，其他國籍新移民的中文聽說能力相對最差。因此對於不同國籍新移民的生活適應輔導措施應有不同的內容，東南亞籍新移民可多加強中文讀寫課程，其他國籍新移民可多加強中文聽說課程，大陸及港澳籍新移民可多加強中文以外的課程（如健康照顧、婚姻經營、職業訓練等）。</w:t>
      </w:r>
    </w:p>
    <w:p w:rsidR="0049577B" w:rsidRPr="00B40DC1" w:rsidRDefault="004B5698" w:rsidP="00430875">
      <w:pPr>
        <w:spacing w:line="240" w:lineRule="auto"/>
        <w:ind w:leftChars="0" w:left="0" w:rightChars="0" w:right="0"/>
      </w:pPr>
      <w:r>
        <w:t xml:space="preserve">　　</w:t>
      </w:r>
      <w:r w:rsidR="0049577B" w:rsidRPr="00B40DC1">
        <w:t>有關新移民目前在臺生活的重大困擾問題，雖平均超過70%的新移民表示沒有重大困擾問題，但有較高百分比的東南亞籍和大陸港澳籍新移民表示有經濟問題，尤其是東南亞籍新移民。因此，對於經濟較弱勢的新移民實有必要提供適切的協助與輔導措施。</w:t>
      </w:r>
    </w:p>
    <w:p w:rsidR="0049577B" w:rsidRPr="00B40DC1" w:rsidRDefault="0049577B" w:rsidP="003276F8">
      <w:pPr>
        <w:pStyle w:val="3"/>
        <w:rPr>
          <w:lang w:eastAsia="zh-TW"/>
        </w:rPr>
      </w:pPr>
      <w:bookmarkStart w:id="124" w:name="_四、生活環境整體感受層面"/>
      <w:bookmarkEnd w:id="124"/>
      <w:r w:rsidRPr="00B40DC1">
        <w:rPr>
          <w:lang w:eastAsia="zh-TW"/>
        </w:rPr>
        <w:t>四、生活環境整體感受層面</w:t>
      </w:r>
    </w:p>
    <w:p w:rsidR="0049577B" w:rsidRPr="00B40DC1" w:rsidRDefault="004B5698" w:rsidP="003E18C8">
      <w:pPr>
        <w:spacing w:line="240" w:lineRule="auto"/>
        <w:ind w:leftChars="0" w:left="0" w:rightChars="0" w:right="0"/>
      </w:pPr>
      <w:r>
        <w:t xml:space="preserve">　　</w:t>
      </w:r>
      <w:r w:rsidR="0049577B" w:rsidRPr="00B40DC1">
        <w:t>不論原屬國是何國籍，超過90%的新移民均認為均住在臺灣很自由、很民主、很安全、教育環境良好、醫療照顧品質良好、生活很幸福。惟有幾點生活感受，值得注意與深思。</w:t>
      </w:r>
    </w:p>
    <w:p w:rsidR="0049577B" w:rsidRPr="00B40DC1" w:rsidRDefault="004B5698" w:rsidP="003E18C8">
      <w:pPr>
        <w:spacing w:line="240" w:lineRule="auto"/>
        <w:ind w:leftChars="0" w:left="0" w:rightChars="0" w:right="0"/>
      </w:pPr>
      <w:r>
        <w:t xml:space="preserve">　　</w:t>
      </w:r>
      <w:r w:rsidR="0049577B" w:rsidRPr="00B40DC1">
        <w:t>對於婚姻來臺的新移民，過去的政策思維大多聚焦在提供輔導、協助，使其能夠學習進而融入臺灣社會。然而隨著跨國婚姻夫妻雙方的素質愈趨接近，跨國婚姻所組成的家庭在結構和性質上出現了改變，過去所強調協助新移民融入臺灣社會，這樣的觀點面對目前和未來的跨國婚姻家庭以及多元化的臺灣社會，是否有其適當性，亟待研究。</w:t>
      </w:r>
    </w:p>
    <w:p w:rsidR="0049577B" w:rsidRPr="00B40DC1" w:rsidRDefault="003276F8" w:rsidP="003E18C8">
      <w:pPr>
        <w:spacing w:line="240" w:lineRule="auto"/>
        <w:ind w:leftChars="0" w:left="0" w:rightChars="0" w:right="0"/>
      </w:pPr>
      <w:r>
        <w:t xml:space="preserve">　　</w:t>
      </w:r>
      <w:r w:rsidR="0049577B" w:rsidRPr="00B40DC1">
        <w:t>在三類國籍新移民當中，統計顯示，顯然有較多的大陸及港澳籍新移民不同意臺灣是平等對待、具社會公益的地方，以及不同意居住臺灣有良好的醫療照顧。另外，顯然有較多的其他國籍新移民不同意居住臺灣有良好的教育環境。換言之，隨著新移民教育程度、原屬國社經背景的改變，跨國婚姻逐漸呈現不同以往的樣貌。不論是在意識形態上、醫療及教育資源分配上，須兼顧公平與合理。總之，未來建構臺灣成為一個真正多元文化、平等對待的社會，亟具重要性與急迫性。</w:t>
      </w:r>
    </w:p>
    <w:p w:rsidR="0049577B" w:rsidRDefault="0049577B"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Pr="00B40DC1" w:rsidRDefault="001A0B61" w:rsidP="000D26BB"/>
    <w:p w:rsidR="001A0B61" w:rsidRDefault="00D62154" w:rsidP="00D62154">
      <w:pPr>
        <w:jc w:val="right"/>
      </w:pPr>
      <w:r w:rsidRPr="00D45AD2">
        <w:rPr>
          <w:rFonts w:hint="eastAsia"/>
          <w:sz w:val="22"/>
        </w:rPr>
        <w:t>。。。。。。。。。。。。。。。。。。</w:t>
      </w:r>
      <w:hyperlink w:anchor="a目次5" w:history="1">
        <w:r>
          <w:rPr>
            <w:rStyle w:val="a7"/>
            <w:sz w:val="22"/>
            <w:lang w:eastAsia="zh-TW"/>
          </w:rPr>
          <w:t>回總目次</w:t>
        </w:r>
      </w:hyperlink>
      <w:r w:rsidRPr="00D45AD2">
        <w:rPr>
          <w:color w:val="808000"/>
          <w:sz w:val="22"/>
        </w:rPr>
        <w:t>〉〉</w:t>
      </w:r>
    </w:p>
    <w:p w:rsidR="0049577B" w:rsidRPr="00B40DC1" w:rsidRDefault="0049577B" w:rsidP="00B662A4">
      <w:pPr>
        <w:pStyle w:val="11"/>
      </w:pPr>
      <w:bookmarkStart w:id="125" w:name="_第五章、新住民配偶來臺之法令規範及生活權益平等權之探討：含實例分析"/>
      <w:bookmarkEnd w:id="125"/>
      <w:r w:rsidRPr="00B40DC1">
        <w:t>第五章</w:t>
      </w:r>
      <w:r w:rsidR="00AA03F8" w:rsidRPr="00AA03F8">
        <w:rPr>
          <w:rFonts w:hint="eastAsia"/>
        </w:rPr>
        <w:t>、</w:t>
      </w:r>
      <w:r w:rsidRPr="00B40DC1">
        <w:t>新住民配偶來臺之法令規範及生活權益平等權之探討：含實例分析</w:t>
      </w:r>
    </w:p>
    <w:p w:rsidR="0049577B" w:rsidRPr="003276F8" w:rsidRDefault="0049577B" w:rsidP="003276F8">
      <w:pPr>
        <w:jc w:val="center"/>
        <w:rPr>
          <w:b/>
        </w:rPr>
      </w:pPr>
      <w:r w:rsidRPr="003276F8">
        <w:rPr>
          <w:b/>
        </w:rPr>
        <w:t>柯雨瑞</w:t>
      </w:r>
      <w:r w:rsidRPr="003276F8">
        <w:rPr>
          <w:rStyle w:val="af7"/>
          <w:rFonts w:eastAsia="新細明體"/>
          <w:b/>
          <w:sz w:val="20"/>
        </w:rPr>
        <w:footnoteReference w:id="508"/>
      </w:r>
      <w:r w:rsidRPr="003276F8">
        <w:rPr>
          <w:b/>
        </w:rPr>
        <w:t xml:space="preserve">  Ko, Yui Rey蔡政杰</w:t>
      </w:r>
      <w:r w:rsidRPr="003276F8">
        <w:rPr>
          <w:rStyle w:val="af7"/>
          <w:rFonts w:eastAsia="新細明體"/>
          <w:b/>
          <w:sz w:val="20"/>
        </w:rPr>
        <w:footnoteReference w:id="509"/>
      </w:r>
      <w:r w:rsidRPr="003276F8">
        <w:rPr>
          <w:b/>
        </w:rPr>
        <w:t xml:space="preserve">  Tsai, Chen Chien</w:t>
      </w:r>
    </w:p>
    <w:p w:rsidR="0049577B" w:rsidRPr="00B40DC1" w:rsidRDefault="0049577B" w:rsidP="000D26BB"/>
    <w:tbl>
      <w:tblPr>
        <w:tblStyle w:val="af4"/>
        <w:tblW w:w="0" w:type="auto"/>
        <w:tblLook w:val="04A0" w:firstRow="1" w:lastRow="0" w:firstColumn="1" w:lastColumn="0" w:noHBand="0" w:noVBand="1"/>
      </w:tblPr>
      <w:tblGrid>
        <w:gridCol w:w="9776"/>
      </w:tblGrid>
      <w:tr w:rsidR="0049577B" w:rsidRPr="00B40DC1" w:rsidTr="003276F8">
        <w:tc>
          <w:tcPr>
            <w:tcW w:w="9776" w:type="dxa"/>
          </w:tcPr>
          <w:p w:rsidR="0049577B" w:rsidRDefault="0049577B" w:rsidP="004413BE">
            <w:pPr>
              <w:spacing w:line="240" w:lineRule="auto"/>
              <w:ind w:leftChars="0" w:left="0" w:rightChars="0" w:right="0"/>
              <w:rPr>
                <w:b/>
              </w:rPr>
            </w:pPr>
            <w:bookmarkStart w:id="126" w:name="a5"/>
            <w:bookmarkEnd w:id="126"/>
            <w:r w:rsidRPr="003276F8">
              <w:rPr>
                <w:b/>
              </w:rPr>
              <w:t>目錄</w:t>
            </w:r>
          </w:p>
          <w:p w:rsidR="0049577B" w:rsidRPr="00B40DC1" w:rsidRDefault="00E6315D" w:rsidP="003276F8">
            <w:pPr>
              <w:spacing w:line="240" w:lineRule="auto"/>
              <w:ind w:leftChars="0" w:left="142" w:rightChars="0" w:right="0"/>
            </w:pPr>
            <w:r w:rsidRPr="00496946">
              <w:rPr>
                <w:rFonts w:hint="eastAsia"/>
                <w:color w:val="990000"/>
                <w:kern w:val="36"/>
              </w:rPr>
              <w:t>壹、</w:t>
            </w:r>
            <w:hyperlink w:anchor="_壹、前言_2" w:history="1">
              <w:r w:rsidRPr="00857650">
                <w:rPr>
                  <w:rStyle w:val="a7"/>
                  <w:rFonts w:cs="Times New Roman" w:hint="eastAsia"/>
                  <w:kern w:val="36"/>
                  <w:lang w:eastAsia="zh-TW" w:bidi="ar-SA"/>
                </w:rPr>
                <w:t>前言</w:t>
              </w:r>
            </w:hyperlink>
          </w:p>
          <w:p w:rsidR="0049577B" w:rsidRPr="00B40DC1" w:rsidRDefault="00E6315D" w:rsidP="003276F8">
            <w:pPr>
              <w:spacing w:line="240" w:lineRule="auto"/>
              <w:ind w:leftChars="0" w:left="142" w:rightChars="0" w:right="0"/>
            </w:pPr>
            <w:r w:rsidRPr="00496946">
              <w:rPr>
                <w:rFonts w:hint="eastAsia"/>
                <w:color w:val="990000"/>
                <w:kern w:val="36"/>
              </w:rPr>
              <w:t>貳、</w:t>
            </w:r>
            <w:hyperlink w:anchor="_貳、新住民配偶來台之規範探討" w:history="1">
              <w:r w:rsidRPr="00857650">
                <w:rPr>
                  <w:rStyle w:val="a7"/>
                  <w:rFonts w:cs="Times New Roman" w:hint="eastAsia"/>
                  <w:kern w:val="36"/>
                  <w:lang w:eastAsia="zh-TW" w:bidi="ar-SA"/>
                </w:rPr>
                <w:t>新住民配偶來台之規範探討</w:t>
              </w:r>
            </w:hyperlink>
          </w:p>
          <w:p w:rsidR="0049577B" w:rsidRPr="00B40DC1" w:rsidRDefault="003F4661" w:rsidP="003276F8">
            <w:pPr>
              <w:spacing w:line="240" w:lineRule="auto"/>
              <w:ind w:leftChars="0" w:left="142" w:rightChars="0" w:right="0"/>
            </w:pPr>
            <w:r w:rsidRPr="003F4661">
              <w:rPr>
                <w:rFonts w:hint="eastAsia"/>
              </w:rPr>
              <w:t>》</w:t>
            </w:r>
            <w:r w:rsidR="0049577B" w:rsidRPr="00B40DC1">
              <w:t>一、</w:t>
            </w:r>
            <w:hyperlink w:anchor="_一、外籍配偶來臺之規範" w:history="1">
              <w:r w:rsidR="0049577B" w:rsidRPr="002B2476">
                <w:rPr>
                  <w:rStyle w:val="a7"/>
                  <w:rFonts w:cs="Times New Roman"/>
                  <w:lang w:eastAsia="zh-TW" w:bidi="ar-SA"/>
                </w:rPr>
                <w:t>外籍配偶來台之規範</w:t>
              </w:r>
            </w:hyperlink>
          </w:p>
          <w:p w:rsidR="0049577B" w:rsidRPr="00B40DC1" w:rsidRDefault="003F4661" w:rsidP="003276F8">
            <w:pPr>
              <w:spacing w:line="240" w:lineRule="auto"/>
              <w:ind w:leftChars="0" w:left="142" w:rightChars="0" w:right="0"/>
            </w:pPr>
            <w:r w:rsidRPr="003F4661">
              <w:rPr>
                <w:rFonts w:hint="eastAsia"/>
              </w:rPr>
              <w:t>》</w:t>
            </w:r>
            <w:r w:rsidR="0049577B" w:rsidRPr="00B40DC1">
              <w:t>二、</w:t>
            </w:r>
            <w:hyperlink w:anchor="_二、大陸配偶來臺之規範" w:history="1">
              <w:r w:rsidR="0049577B" w:rsidRPr="002B2476">
                <w:rPr>
                  <w:rStyle w:val="a7"/>
                  <w:rFonts w:cs="Times New Roman"/>
                  <w:lang w:eastAsia="zh-TW" w:bidi="ar-SA"/>
                </w:rPr>
                <w:t>大陸配偶來台之規範</w:t>
              </w:r>
            </w:hyperlink>
          </w:p>
          <w:p w:rsidR="0049577B" w:rsidRPr="00B40DC1" w:rsidRDefault="00E6315D" w:rsidP="003276F8">
            <w:pPr>
              <w:spacing w:line="240" w:lineRule="auto"/>
              <w:ind w:leftChars="0" w:left="142" w:rightChars="0" w:right="0"/>
            </w:pPr>
            <w:r w:rsidRPr="00496946">
              <w:rPr>
                <w:rFonts w:hint="eastAsia"/>
                <w:color w:val="990000"/>
                <w:kern w:val="36"/>
              </w:rPr>
              <w:t>參、</w:t>
            </w:r>
            <w:hyperlink w:anchor="_參、平等權之探討" w:history="1">
              <w:r w:rsidRPr="00857650">
                <w:rPr>
                  <w:rStyle w:val="a7"/>
                  <w:rFonts w:cs="Times New Roman" w:hint="eastAsia"/>
                  <w:kern w:val="36"/>
                  <w:lang w:eastAsia="zh-TW" w:bidi="ar-SA"/>
                </w:rPr>
                <w:t>平等權之探討</w:t>
              </w:r>
            </w:hyperlink>
          </w:p>
          <w:p w:rsidR="0049577B" w:rsidRPr="00B40DC1" w:rsidRDefault="00E6315D" w:rsidP="003276F8">
            <w:pPr>
              <w:spacing w:line="240" w:lineRule="auto"/>
              <w:ind w:leftChars="0" w:left="142" w:rightChars="0" w:right="0"/>
            </w:pPr>
            <w:r w:rsidRPr="00496946">
              <w:rPr>
                <w:rFonts w:hint="eastAsia"/>
                <w:color w:val="990000"/>
                <w:kern w:val="36"/>
              </w:rPr>
              <w:t>肆、</w:t>
            </w:r>
            <w:hyperlink w:anchor="_肆、新住民配偶來臺生活權益平等問題之實例探討" w:history="1">
              <w:r w:rsidRPr="00857650">
                <w:rPr>
                  <w:rStyle w:val="a7"/>
                  <w:rFonts w:cs="Times New Roman" w:hint="eastAsia"/>
                  <w:kern w:val="36"/>
                  <w:lang w:eastAsia="zh-TW" w:bidi="ar-SA"/>
                </w:rPr>
                <w:t>新住民配偶來臺生活權益平等問題之實例探討</w:t>
              </w:r>
            </w:hyperlink>
          </w:p>
          <w:p w:rsidR="0049577B" w:rsidRPr="00B40DC1" w:rsidRDefault="003F4661" w:rsidP="003276F8">
            <w:pPr>
              <w:spacing w:line="240" w:lineRule="auto"/>
              <w:ind w:leftChars="0" w:left="142" w:rightChars="0" w:right="0"/>
            </w:pPr>
            <w:r w:rsidRPr="003F4661">
              <w:rPr>
                <w:rFonts w:hint="eastAsia"/>
              </w:rPr>
              <w:t>》</w:t>
            </w:r>
            <w:r w:rsidR="0049577B" w:rsidRPr="00B40DC1">
              <w:t>一、</w:t>
            </w:r>
            <w:hyperlink w:anchor="_一、大陸子女無法來台照顧已在台設籍之大陸父母" w:history="1">
              <w:r w:rsidR="0049577B" w:rsidRPr="002B2476">
                <w:rPr>
                  <w:rStyle w:val="a7"/>
                  <w:rFonts w:cs="Times New Roman"/>
                  <w:lang w:eastAsia="zh-TW" w:bidi="ar-SA"/>
                </w:rPr>
                <w:t>大陸子女無法來台照顧已在台設籍之大陸父母</w:t>
              </w:r>
            </w:hyperlink>
          </w:p>
          <w:p w:rsidR="0049577B" w:rsidRDefault="003F4661" w:rsidP="003276F8">
            <w:pPr>
              <w:spacing w:line="240" w:lineRule="auto"/>
              <w:ind w:leftChars="0" w:left="142" w:rightChars="0" w:right="0"/>
            </w:pPr>
            <w:r w:rsidRPr="003F4661">
              <w:rPr>
                <w:rFonts w:hint="eastAsia"/>
              </w:rPr>
              <w:t>》</w:t>
            </w:r>
            <w:r w:rsidR="0049577B" w:rsidRPr="00B40DC1">
              <w:t>二、</w:t>
            </w:r>
            <w:hyperlink w:anchor="_二、敘利亞籍配偶無法來臺依親居留" w:history="1">
              <w:r w:rsidR="0049577B" w:rsidRPr="00865ADB">
                <w:rPr>
                  <w:rStyle w:val="a7"/>
                  <w:rFonts w:cs="Times New Roman"/>
                  <w:lang w:eastAsia="zh-TW" w:bidi="ar-SA"/>
                </w:rPr>
                <w:t>敘利亞籍配偶無法來台依親居留</w:t>
              </w:r>
            </w:hyperlink>
          </w:p>
          <w:p w:rsidR="002B2476" w:rsidRDefault="002B2476" w:rsidP="003276F8">
            <w:pPr>
              <w:spacing w:line="240" w:lineRule="auto"/>
              <w:ind w:leftChars="0" w:left="142" w:rightChars="0" w:right="0"/>
            </w:pPr>
            <w:r w:rsidRPr="003F4661">
              <w:rPr>
                <w:rFonts w:hint="eastAsia"/>
              </w:rPr>
              <w:t>》</w:t>
            </w:r>
            <w:r w:rsidRPr="002B2476">
              <w:rPr>
                <w:rFonts w:hint="eastAsia"/>
              </w:rPr>
              <w:t>三、</w:t>
            </w:r>
            <w:hyperlink w:anchor="_三、在臺從事違法行為之後續處置情形" w:history="1">
              <w:r w:rsidRPr="00865ADB">
                <w:rPr>
                  <w:rStyle w:val="a7"/>
                  <w:rFonts w:cs="Times New Roman" w:hint="eastAsia"/>
                  <w:lang w:eastAsia="zh-TW" w:bidi="ar-SA"/>
                </w:rPr>
                <w:t>在臺從事違法行為之後續處置情形</w:t>
              </w:r>
            </w:hyperlink>
          </w:p>
          <w:p w:rsidR="00865ADB" w:rsidRDefault="00865ADB" w:rsidP="003276F8">
            <w:pPr>
              <w:spacing w:line="240" w:lineRule="auto"/>
              <w:ind w:leftChars="0" w:left="142" w:rightChars="0" w:right="0"/>
            </w:pPr>
            <w:r w:rsidRPr="003F4661">
              <w:rPr>
                <w:rFonts w:hint="eastAsia"/>
              </w:rPr>
              <w:t>》</w:t>
            </w:r>
            <w:r w:rsidRPr="00865ADB">
              <w:rPr>
                <w:rFonts w:hint="eastAsia"/>
              </w:rPr>
              <w:t>四、</w:t>
            </w:r>
            <w:hyperlink w:anchor="_四、集會遊行及結社" w:history="1">
              <w:r w:rsidRPr="00865ADB">
                <w:rPr>
                  <w:rStyle w:val="a7"/>
                  <w:rFonts w:cs="Times New Roman" w:hint="eastAsia"/>
                  <w:lang w:eastAsia="zh-TW" w:bidi="ar-SA"/>
                </w:rPr>
                <w:t>集會遊行及結社</w:t>
              </w:r>
            </w:hyperlink>
          </w:p>
          <w:p w:rsidR="00865ADB" w:rsidRDefault="00865ADB" w:rsidP="003276F8">
            <w:pPr>
              <w:spacing w:line="240" w:lineRule="auto"/>
              <w:ind w:leftChars="0" w:left="142" w:rightChars="0" w:right="0"/>
            </w:pPr>
            <w:r w:rsidRPr="003F4661">
              <w:rPr>
                <w:rFonts w:hint="eastAsia"/>
              </w:rPr>
              <w:t>》</w:t>
            </w:r>
            <w:r w:rsidRPr="00865ADB">
              <w:rPr>
                <w:rFonts w:hint="eastAsia"/>
              </w:rPr>
              <w:t>五、</w:t>
            </w:r>
            <w:hyperlink w:anchor="_五、學歷認證及受教育權" w:history="1">
              <w:r w:rsidRPr="00865ADB">
                <w:rPr>
                  <w:rStyle w:val="a7"/>
                  <w:rFonts w:cs="Times New Roman" w:hint="eastAsia"/>
                  <w:lang w:eastAsia="zh-TW" w:bidi="ar-SA"/>
                </w:rPr>
                <w:t>學歷認證及受教育權</w:t>
              </w:r>
            </w:hyperlink>
          </w:p>
          <w:p w:rsidR="00865ADB" w:rsidRPr="002B2476" w:rsidRDefault="00865ADB" w:rsidP="003276F8">
            <w:pPr>
              <w:spacing w:line="240" w:lineRule="auto"/>
              <w:ind w:leftChars="0" w:left="142" w:rightChars="0" w:right="0"/>
            </w:pPr>
            <w:r w:rsidRPr="003F4661">
              <w:rPr>
                <w:rFonts w:hint="eastAsia"/>
              </w:rPr>
              <w:t>》</w:t>
            </w:r>
            <w:r w:rsidRPr="00865ADB">
              <w:rPr>
                <w:rFonts w:hint="eastAsia"/>
              </w:rPr>
              <w:t>六、</w:t>
            </w:r>
            <w:hyperlink w:anchor="_伍、結論與建議" w:history="1">
              <w:r w:rsidRPr="00865ADB">
                <w:rPr>
                  <w:rStyle w:val="a7"/>
                  <w:rFonts w:cs="Times New Roman" w:hint="eastAsia"/>
                  <w:lang w:eastAsia="zh-TW" w:bidi="ar-SA"/>
                </w:rPr>
                <w:t>小結</w:t>
              </w:r>
            </w:hyperlink>
          </w:p>
          <w:p w:rsidR="00E6315D" w:rsidRDefault="00E6315D" w:rsidP="003276F8">
            <w:pPr>
              <w:spacing w:line="240" w:lineRule="auto"/>
              <w:ind w:leftChars="0" w:left="142" w:rightChars="0" w:right="0"/>
              <w:rPr>
                <w:color w:val="990000"/>
                <w:kern w:val="36"/>
              </w:rPr>
            </w:pPr>
            <w:r w:rsidRPr="00496946">
              <w:rPr>
                <w:rFonts w:hint="eastAsia"/>
                <w:color w:val="990000"/>
                <w:kern w:val="36"/>
              </w:rPr>
              <w:t>伍、</w:t>
            </w:r>
            <w:hyperlink w:anchor="_伍、結論與建議" w:history="1">
              <w:r w:rsidRPr="00857650">
                <w:rPr>
                  <w:rStyle w:val="a7"/>
                  <w:rFonts w:cs="Times New Roman" w:hint="eastAsia"/>
                  <w:kern w:val="36"/>
                  <w:lang w:eastAsia="zh-TW" w:bidi="ar-SA"/>
                </w:rPr>
                <w:t>結論與建議</w:t>
              </w:r>
            </w:hyperlink>
          </w:p>
          <w:p w:rsidR="0049577B" w:rsidRPr="00B40DC1" w:rsidRDefault="003F4661" w:rsidP="003276F8">
            <w:pPr>
              <w:spacing w:line="240" w:lineRule="auto"/>
              <w:ind w:leftChars="0" w:left="142" w:rightChars="0" w:right="0"/>
            </w:pPr>
            <w:r w:rsidRPr="003F4661">
              <w:rPr>
                <w:rFonts w:hint="eastAsia"/>
              </w:rPr>
              <w:t>》</w:t>
            </w:r>
            <w:r w:rsidR="0049577B" w:rsidRPr="00B40DC1">
              <w:t>一、</w:t>
            </w:r>
            <w:hyperlink w:anchor="_一、外籍及大陸配偶之規範仍有再予衡平之空間" w:history="1">
              <w:r w:rsidR="0049577B" w:rsidRPr="00865ADB">
                <w:rPr>
                  <w:rStyle w:val="a7"/>
                  <w:rFonts w:cs="Times New Roman"/>
                  <w:lang w:eastAsia="zh-TW" w:bidi="ar-SA"/>
                </w:rPr>
                <w:t>外籍及大陸配偶之規範仍有再予衡平之空間</w:t>
              </w:r>
            </w:hyperlink>
          </w:p>
          <w:p w:rsidR="0049577B" w:rsidRPr="00B40DC1" w:rsidRDefault="003F4661" w:rsidP="003276F8">
            <w:pPr>
              <w:spacing w:line="240" w:lineRule="auto"/>
              <w:ind w:leftChars="0" w:left="142" w:rightChars="0" w:right="0"/>
            </w:pPr>
            <w:r w:rsidRPr="003F4661">
              <w:rPr>
                <w:rFonts w:hint="eastAsia"/>
              </w:rPr>
              <w:t>》</w:t>
            </w:r>
            <w:r w:rsidR="0049577B" w:rsidRPr="00B40DC1">
              <w:t>二、</w:t>
            </w:r>
            <w:hyperlink w:anchor="_二、修法以維護新住民配偶之家庭團聚權" w:history="1">
              <w:r w:rsidR="0049577B" w:rsidRPr="00865ADB">
                <w:rPr>
                  <w:rStyle w:val="a7"/>
                  <w:rFonts w:cs="Times New Roman"/>
                  <w:lang w:eastAsia="zh-TW" w:bidi="ar-SA"/>
                </w:rPr>
                <w:t>修法以維護新住民配偶之家庭團聚權</w:t>
              </w:r>
            </w:hyperlink>
          </w:p>
          <w:p w:rsidR="0049577B" w:rsidRPr="00B40DC1" w:rsidRDefault="003F4661" w:rsidP="003276F8">
            <w:pPr>
              <w:spacing w:line="240" w:lineRule="auto"/>
              <w:ind w:leftChars="0" w:left="142" w:rightChars="0" w:right="0"/>
              <w:rPr>
                <w:kern w:val="0"/>
              </w:rPr>
            </w:pPr>
            <w:r w:rsidRPr="003F4661">
              <w:rPr>
                <w:rFonts w:hint="eastAsia"/>
              </w:rPr>
              <w:t>》</w:t>
            </w:r>
            <w:r w:rsidR="0049577B" w:rsidRPr="00B40DC1">
              <w:t>三、</w:t>
            </w:r>
            <w:hyperlink w:anchor="_三、大陸配偶在台違法行為之處罰標準宜具有衡平性，並兼具考量其「家庭團聚" w:history="1">
              <w:r w:rsidR="0049577B" w:rsidRPr="00865ADB">
                <w:rPr>
                  <w:rStyle w:val="a7"/>
                  <w:rFonts w:cs="Times New Roman"/>
                  <w:lang w:eastAsia="zh-TW" w:bidi="ar-SA"/>
                </w:rPr>
                <w:t>大陸配偶在台違法行為之處罰標準宜具有衡平性，並兼具考量其「家庭團聚權」，應與外籍配偶趨於平等性與一致性</w:t>
              </w:r>
            </w:hyperlink>
          </w:p>
          <w:p w:rsidR="0049577B" w:rsidRPr="00B40DC1" w:rsidRDefault="003F4661" w:rsidP="003276F8">
            <w:pPr>
              <w:spacing w:line="240" w:lineRule="auto"/>
              <w:ind w:leftChars="0" w:left="142" w:rightChars="0" w:right="0"/>
            </w:pPr>
            <w:r w:rsidRPr="003F4661">
              <w:rPr>
                <w:rFonts w:hint="eastAsia"/>
              </w:rPr>
              <w:t>》</w:t>
            </w:r>
            <w:r w:rsidR="0049577B" w:rsidRPr="00B40DC1">
              <w:t>四、</w:t>
            </w:r>
            <w:hyperlink w:anchor="_四、宜保障大陸配偶之集會遊行與結社之權利" w:history="1">
              <w:r w:rsidR="0049577B" w:rsidRPr="00865ADB">
                <w:rPr>
                  <w:rStyle w:val="a7"/>
                  <w:rFonts w:cs="Times New Roman"/>
                  <w:lang w:eastAsia="zh-TW" w:bidi="ar-SA"/>
                </w:rPr>
                <w:t>宜保障大陸配偶之集會遊行與結社之權利</w:t>
              </w:r>
            </w:hyperlink>
          </w:p>
          <w:p w:rsidR="0049577B" w:rsidRPr="00B40DC1" w:rsidRDefault="003F4661" w:rsidP="003276F8">
            <w:pPr>
              <w:spacing w:line="240" w:lineRule="auto"/>
              <w:ind w:leftChars="0" w:left="142" w:rightChars="0" w:right="0"/>
              <w:rPr>
                <w:bCs/>
              </w:rPr>
            </w:pPr>
            <w:r w:rsidRPr="003F4661">
              <w:rPr>
                <w:rFonts w:hint="eastAsia"/>
              </w:rPr>
              <w:t>》</w:t>
            </w:r>
            <w:r w:rsidR="0049577B" w:rsidRPr="00B40DC1">
              <w:t>五、</w:t>
            </w:r>
            <w:hyperlink w:anchor="_五、大陸配偶之學歷認證標準應與外籍配偶逐步趨向一致" w:history="1">
              <w:r w:rsidR="0049577B" w:rsidRPr="00865ADB">
                <w:rPr>
                  <w:rStyle w:val="a7"/>
                  <w:rFonts w:cs="Times New Roman"/>
                  <w:lang w:eastAsia="zh-TW" w:bidi="ar-SA"/>
                </w:rPr>
                <w:t>大陸配偶之學歷認證標準應與外籍配偶逐步趨向一致</w:t>
              </w:r>
            </w:hyperlink>
          </w:p>
        </w:tc>
      </w:tr>
    </w:tbl>
    <w:p w:rsidR="0049577B" w:rsidRPr="00B40DC1" w:rsidRDefault="0049577B" w:rsidP="000D26BB"/>
    <w:tbl>
      <w:tblPr>
        <w:tblStyle w:val="af4"/>
        <w:tblW w:w="0" w:type="auto"/>
        <w:tblLook w:val="01E0" w:firstRow="1" w:lastRow="1" w:firstColumn="1" w:lastColumn="1" w:noHBand="0" w:noVBand="0"/>
      </w:tblPr>
      <w:tblGrid>
        <w:gridCol w:w="9776"/>
      </w:tblGrid>
      <w:tr w:rsidR="0049577B" w:rsidRPr="00B40DC1" w:rsidTr="00FD5837">
        <w:tc>
          <w:tcPr>
            <w:tcW w:w="9776" w:type="dxa"/>
          </w:tcPr>
          <w:p w:rsidR="0049577B" w:rsidRPr="004413BE" w:rsidRDefault="0049577B" w:rsidP="004413BE">
            <w:pPr>
              <w:spacing w:line="240" w:lineRule="auto"/>
              <w:ind w:leftChars="0" w:left="0" w:rightChars="0" w:right="0"/>
              <w:rPr>
                <w:b/>
              </w:rPr>
            </w:pPr>
            <w:r w:rsidRPr="004413BE">
              <w:rPr>
                <w:b/>
              </w:rPr>
              <w:t>中文摘要</w:t>
            </w:r>
          </w:p>
          <w:p w:rsidR="0049577B" w:rsidRPr="00B40DC1" w:rsidRDefault="004413BE" w:rsidP="004413BE">
            <w:pPr>
              <w:spacing w:line="240" w:lineRule="auto"/>
              <w:ind w:leftChars="0" w:left="0" w:rightChars="0" w:right="0"/>
            </w:pPr>
            <w:r>
              <w:t xml:space="preserve">　　</w:t>
            </w:r>
            <w:r w:rsidR="0049577B" w:rsidRPr="00B40DC1">
              <w:t>根據內政部入出國及移民署之業務統計資料，自76年1月起至101年8月止，我國外籍配偶人數計有15萬2,823人，其中女性占91%，計有13萬9,399人，又以越南女性配偶8萬6,947人為最多；而大陸配偶計有30萬3,119人，與外籍配偶合計共有45萬5,942人，占我國總人口數接近2%，已具有一定之人口規模，不容忽視她（他）們在臺之生活權益及需求，再者，依其身分別，又均為我國國民之配偶，與我國家庭社會關係密不可分，國家確實有責任主動關懷大陸及外籍配偶在臺生活之相關問題。</w:t>
            </w:r>
          </w:p>
          <w:p w:rsidR="0049577B" w:rsidRPr="00B40DC1" w:rsidRDefault="004413BE" w:rsidP="004413BE">
            <w:pPr>
              <w:spacing w:line="240" w:lineRule="auto"/>
              <w:ind w:leftChars="0" w:left="0" w:rightChars="0" w:right="0"/>
            </w:pPr>
            <w:r>
              <w:t xml:space="preserve">　　</w:t>
            </w:r>
            <w:r w:rsidR="0049577B" w:rsidRPr="00B40DC1">
              <w:t>再者，截至2018年，新住民配偶在臺人數合計已逾50萬人，與台灣原住民人數55萬餘人之數量相當，然而行政院設有原住民委員會，專責處理原住民相關事務；但針對新住民部分，僅設有新住民事務協調會報，作為整合新住民事務之單位，其效能並不十分充足，對於新住民配偶權益之照顧，亦無法達到平等；因此，政府應該更進一步關心新住民配偶之權益。</w:t>
            </w:r>
          </w:p>
          <w:p w:rsidR="0049577B" w:rsidRPr="00B40DC1" w:rsidRDefault="004413BE" w:rsidP="004413BE">
            <w:pPr>
              <w:spacing w:line="240" w:lineRule="auto"/>
              <w:ind w:leftChars="0" w:left="0" w:rightChars="0" w:right="0"/>
            </w:pPr>
            <w:r>
              <w:t xml:space="preserve">　　</w:t>
            </w:r>
            <w:r w:rsidR="0049577B" w:rsidRPr="00B40DC1">
              <w:t>大陸與外籍配偶結婚來臺後，由於兩者身分區別因素，其在臺生活權益亦有所差異，且申請來臺之法令依據亦不同。大陸配偶申請來臺，所適用之法律為</w:t>
            </w:r>
            <w:hyperlink r:id="rId434" w:history="1">
              <w:r w:rsidR="00FD5837" w:rsidRPr="00FD5837">
                <w:rPr>
                  <w:rStyle w:val="a7"/>
                  <w:rFonts w:cs="Times New Roman"/>
                  <w:lang w:eastAsia="zh-TW" w:bidi="ar-SA"/>
                </w:rPr>
                <w:t>臺灣地區與大陸地區人民關係條例</w:t>
              </w:r>
            </w:hyperlink>
            <w:r w:rsidR="0049577B" w:rsidRPr="00B40DC1">
              <w:t>及其相關辦法，而外籍配偶則適用</w:t>
            </w:r>
            <w:hyperlink r:id="rId435" w:history="1">
              <w:r w:rsidR="004B3637" w:rsidRPr="004B3637">
                <w:rPr>
                  <w:rStyle w:val="a7"/>
                  <w:rFonts w:cs="Times New Roman"/>
                  <w:lang w:eastAsia="zh-TW" w:bidi="ar-SA"/>
                </w:rPr>
                <w:t>入出國及移民法</w:t>
              </w:r>
            </w:hyperlink>
            <w:r w:rsidR="0049577B" w:rsidRPr="00B40DC1">
              <w:t>及</w:t>
            </w:r>
            <w:hyperlink r:id="rId436" w:history="1">
              <w:r w:rsidR="004B3637" w:rsidRPr="004B3637">
                <w:rPr>
                  <w:rStyle w:val="a7"/>
                  <w:rFonts w:cs="Times New Roman"/>
                  <w:lang w:eastAsia="zh-TW" w:bidi="ar-SA"/>
                </w:rPr>
                <w:t>國籍法</w:t>
              </w:r>
            </w:hyperlink>
            <w:r w:rsidR="0049577B" w:rsidRPr="00B40DC1">
              <w:t>，雖然在法令規定有其差異性，惟不論是大陸地區人民或外國人，既然同為國人配偶，在家庭生活之權益方面，理應是沒有分別，然而本文在探討大陸與外籍配偶在臺生活權益之現況後，發現兩者之間之法制面與實務執行層面，確實存在著相當大之差異性，其中最為人詬病者，即是大陸配偶與外籍配偶申請在臺入籍之規定並未趨一致，且從結婚來臺至取得我國身分證之年限亦不相同，因而常被人權團體等輿論抨擊，的確有其改善之空間。</w:t>
            </w:r>
          </w:p>
          <w:p w:rsidR="0049577B" w:rsidRPr="00B40DC1" w:rsidRDefault="004413BE" w:rsidP="004413BE">
            <w:pPr>
              <w:spacing w:line="240" w:lineRule="auto"/>
              <w:ind w:leftChars="0" w:left="0" w:rightChars="0" w:right="0"/>
            </w:pPr>
            <w:r>
              <w:t xml:space="preserve">　　</w:t>
            </w:r>
            <w:r w:rsidR="0049577B" w:rsidRPr="00B40DC1">
              <w:t>除了入籍年限不同之外，大陸與外籍配偶在臺生活權益較受爭議之部分，尚包括有工作權、應考試服公職權、教育權（含子女教育）、集會結社權、財產繼承權、特殊原因居留權及因違法後之處分權…等，而這些問題均需要政府機關各部門跨域協調，各盡其職責協助解決，因此所牽涉之法令規定及社會資源甚廣，然而，政府機關在嘗試處理大陸及外籍配偶入籍與生活權益衡平問題之餘，仍須考量整體外來人口在臺生活之社會資源分配問題，不能僅顧及具有配偶身分之外來人口，對於其他在臺居留之外來人口之權益，仍應給予相當之重視。基於諸多層面之考量，欲達到大陸與外籍配偶在臺生活權益趨近全面性之衡平，仍有相當大之努力空間，恐難收立竿見影之效；再者，兩者權益是否有全面衡平之必要性，亦尚需再予研究討論。</w:t>
            </w:r>
          </w:p>
          <w:p w:rsidR="0049577B" w:rsidRPr="00B40DC1" w:rsidRDefault="004413BE" w:rsidP="004413BE">
            <w:pPr>
              <w:spacing w:line="240" w:lineRule="auto"/>
              <w:ind w:leftChars="0" w:left="0" w:rightChars="0" w:right="0"/>
            </w:pPr>
            <w:r>
              <w:t xml:space="preserve">　　</w:t>
            </w:r>
            <w:r w:rsidR="0049577B" w:rsidRPr="00B40DC1">
              <w:t>新住民配偶依現行法令之區分，主要含括大陸配偶、外籍配偶、港澳配偶，其中以大陸配偶最多，外籍配偶次之，港澳配偶之人數比例則偏低，因此，本文主要在於探討外籍配偶與大陸配偶來台之規範，再從平等權之觀點予以分析，並以大陸配偶及敘利亞籍配偶之家庭團聚權為例，從國際人權公約及國內法之相關規定，探討其權益未臻平等之問題，並提出以下五點建議：</w:t>
            </w:r>
          </w:p>
          <w:p w:rsidR="0049577B" w:rsidRPr="00B40DC1" w:rsidRDefault="004413BE" w:rsidP="004413BE">
            <w:pPr>
              <w:spacing w:line="240" w:lineRule="auto"/>
              <w:ind w:leftChars="0" w:left="0" w:rightChars="0" w:right="0"/>
            </w:pPr>
            <w:r>
              <w:t xml:space="preserve">　　</w:t>
            </w:r>
            <w:r w:rsidR="0049577B" w:rsidRPr="00B40DC1">
              <w:t>一、外籍及大陸配偶之規範仍有再予衡平之空間</w:t>
            </w:r>
          </w:p>
          <w:p w:rsidR="0049577B" w:rsidRPr="00B40DC1" w:rsidRDefault="004413BE" w:rsidP="004413BE">
            <w:pPr>
              <w:spacing w:line="240" w:lineRule="auto"/>
              <w:ind w:leftChars="0" w:left="0" w:rightChars="0" w:right="0"/>
            </w:pPr>
            <w:r>
              <w:t xml:space="preserve">　　</w:t>
            </w:r>
            <w:r w:rsidR="0049577B" w:rsidRPr="00B40DC1">
              <w:t>二、修法以維護新住民配偶之家庭團聚權</w:t>
            </w:r>
          </w:p>
          <w:p w:rsidR="0049577B" w:rsidRPr="00B40DC1" w:rsidRDefault="004413BE" w:rsidP="004413BE">
            <w:pPr>
              <w:spacing w:line="240" w:lineRule="auto"/>
              <w:ind w:leftChars="0" w:left="0" w:rightChars="0" w:right="0"/>
            </w:pPr>
            <w:r>
              <w:t xml:space="preserve">　　</w:t>
            </w:r>
            <w:r w:rsidR="0049577B" w:rsidRPr="00B40DC1">
              <w:t>三、大陸配偶在台違法行為之處罰標準宜具有衡平性，並兼具考量其「家庭團聚權」，應與外籍配偶趨於平等性與一致性；</w:t>
            </w:r>
          </w:p>
          <w:p w:rsidR="0049577B" w:rsidRPr="00B40DC1" w:rsidRDefault="004413BE" w:rsidP="004413BE">
            <w:pPr>
              <w:spacing w:line="240" w:lineRule="auto"/>
              <w:ind w:leftChars="0" w:left="0" w:rightChars="0" w:right="0"/>
            </w:pPr>
            <w:r>
              <w:t xml:space="preserve">　　</w:t>
            </w:r>
            <w:r w:rsidR="0049577B" w:rsidRPr="00B40DC1">
              <w:t>四、宜保障大陸配偶之集會遊行與結社之權利；</w:t>
            </w:r>
          </w:p>
          <w:p w:rsidR="0049577B" w:rsidRPr="00B40DC1" w:rsidRDefault="004413BE" w:rsidP="004413BE">
            <w:pPr>
              <w:spacing w:line="240" w:lineRule="auto"/>
              <w:ind w:leftChars="0" w:left="0" w:rightChars="0" w:right="0"/>
            </w:pPr>
            <w:r>
              <w:t xml:space="preserve">　　</w:t>
            </w:r>
            <w:r w:rsidR="0049577B" w:rsidRPr="00B40DC1">
              <w:t>五、大陸配偶之學歷認證標準應與外籍配偶逐步趨向一致。</w:t>
            </w:r>
          </w:p>
          <w:p w:rsidR="0049577B" w:rsidRPr="00B40DC1" w:rsidRDefault="004413BE" w:rsidP="004413BE">
            <w:pPr>
              <w:spacing w:line="240" w:lineRule="auto"/>
              <w:ind w:leftChars="0" w:left="0" w:rightChars="0" w:right="0"/>
            </w:pPr>
            <w:r>
              <w:t xml:space="preserve">　　</w:t>
            </w:r>
            <w:r w:rsidR="0049577B" w:rsidRPr="00B40DC1">
              <w:t>本文</w:t>
            </w:r>
            <w:r w:rsidR="0049577B" w:rsidRPr="00B40DC1">
              <w:rPr>
                <w:lang w:bidi="ta-IN"/>
              </w:rPr>
              <w:t>並對於以上建議方向，進一步提出具體之作為及因應措施，希望能提供政府在處理大陸及外籍配偶之權益衡平問題上之政策規劃之參考，亦能對於新住民配偶在臺生活權益有其正面之助益。</w:t>
            </w:r>
          </w:p>
        </w:tc>
      </w:tr>
    </w:tbl>
    <w:p w:rsidR="003C1792" w:rsidRDefault="001B6AED" w:rsidP="004413BE">
      <w:pPr>
        <w:spacing w:line="240" w:lineRule="auto"/>
        <w:ind w:leftChars="0" w:left="0" w:rightChars="0" w:right="0"/>
      </w:pPr>
      <w:r>
        <w:t>【關鍵詞】</w:t>
      </w:r>
      <w:r w:rsidR="0049577B" w:rsidRPr="00B40DC1">
        <w:t>大陸配偶、外籍配偶、入籍、新住民配偶、權益衡平、平等權</w:t>
      </w:r>
    </w:p>
    <w:p w:rsidR="0049577B" w:rsidRPr="00621AE2" w:rsidRDefault="00621AE2" w:rsidP="00621AE2">
      <w:pPr>
        <w:jc w:val="right"/>
        <w:rPr>
          <w:sz w:val="22"/>
          <w:szCs w:val="22"/>
        </w:rPr>
      </w:pPr>
      <w:r w:rsidRPr="00621AE2">
        <w:rPr>
          <w:rFonts w:hint="eastAsia"/>
          <w:sz w:val="22"/>
          <w:szCs w:val="22"/>
        </w:rPr>
        <w:t>。。。。。。。。。。。。。。</w:t>
      </w:r>
      <w:hyperlink w:anchor="a5" w:history="1">
        <w:r w:rsidRPr="00621AE2">
          <w:rPr>
            <w:rStyle w:val="a7"/>
            <w:sz w:val="22"/>
            <w:szCs w:val="22"/>
            <w:lang w:eastAsia="zh-TW"/>
          </w:rPr>
          <w:t>回本章</w:t>
        </w:r>
      </w:hyperlink>
      <w:r w:rsidRPr="00621AE2">
        <w:rPr>
          <w:color w:val="808000"/>
          <w:sz w:val="22"/>
          <w:szCs w:val="22"/>
        </w:rPr>
        <w:t>〉〉</w:t>
      </w:r>
      <w:hyperlink w:anchor="a目次5" w:history="1">
        <w:r w:rsidR="00E9715D">
          <w:rPr>
            <w:rStyle w:val="a7"/>
            <w:sz w:val="22"/>
            <w:lang w:eastAsia="zh-TW"/>
          </w:rPr>
          <w:t>回總目次</w:t>
        </w:r>
      </w:hyperlink>
      <w:r w:rsidR="00E9715D" w:rsidRPr="00D45AD2">
        <w:rPr>
          <w:color w:val="808000"/>
          <w:sz w:val="22"/>
        </w:rPr>
        <w:t>〉〉</w:t>
      </w:r>
    </w:p>
    <w:p w:rsidR="003C1792" w:rsidRDefault="0049577B" w:rsidP="002F19DE">
      <w:pPr>
        <w:pStyle w:val="2"/>
      </w:pPr>
      <w:bookmarkStart w:id="127" w:name="_壹、前言_2"/>
      <w:bookmarkEnd w:id="127"/>
      <w:r w:rsidRPr="00B40DC1">
        <w:t>壹、前言</w:t>
      </w:r>
    </w:p>
    <w:p w:rsidR="0049577B" w:rsidRPr="00B40DC1" w:rsidRDefault="0049577B" w:rsidP="004413BE">
      <w:pPr>
        <w:spacing w:line="240" w:lineRule="auto"/>
        <w:ind w:leftChars="0" w:left="0" w:rightChars="0" w:right="0"/>
      </w:pPr>
      <w:r w:rsidRPr="00B40DC1">
        <w:t xml:space="preserve">　　 倘若以新住民配偶申請來臺之法令規範作為區分指標，可依「</w:t>
      </w:r>
      <w:hyperlink r:id="rId437" w:history="1">
        <w:r w:rsidR="004B3637" w:rsidRPr="004B3637">
          <w:rPr>
            <w:rStyle w:val="a7"/>
            <w:rFonts w:cs="Times New Roman"/>
            <w:lang w:eastAsia="zh-TW" w:bidi="ar-SA"/>
          </w:rPr>
          <w:t>入出國及移民法</w:t>
        </w:r>
      </w:hyperlink>
      <w:r w:rsidRPr="00B40DC1">
        <w:t>」（以下簡稱</w:t>
      </w:r>
      <w:hyperlink r:id="rId438" w:history="1">
        <w:r w:rsidR="00E06828" w:rsidRPr="00461F58">
          <w:rPr>
            <w:rStyle w:val="a7"/>
            <w:rFonts w:cs="Times New Roman"/>
            <w:lang w:eastAsia="zh-TW" w:bidi="ar-SA"/>
          </w:rPr>
          <w:t>移民法</w:t>
        </w:r>
      </w:hyperlink>
      <w:r w:rsidRPr="00B40DC1">
        <w:t>）、「</w:t>
      </w:r>
      <w:hyperlink r:id="rId439" w:history="1">
        <w:r w:rsidR="00FD5837" w:rsidRPr="00FD5837">
          <w:rPr>
            <w:rStyle w:val="a7"/>
            <w:rFonts w:cs="Times New Roman"/>
            <w:lang w:eastAsia="zh-TW" w:bidi="ar-SA"/>
          </w:rPr>
          <w:t>臺灣地區與大陸地區人民關係條例</w:t>
        </w:r>
      </w:hyperlink>
      <w:r w:rsidRPr="00B40DC1">
        <w:t>」（以下簡稱兩岸條例）及「</w:t>
      </w:r>
      <w:hyperlink r:id="rId440" w:history="1">
        <w:r w:rsidRPr="008C4623">
          <w:rPr>
            <w:rStyle w:val="a7"/>
            <w:rFonts w:cs="Times New Roman"/>
            <w:lang w:eastAsia="zh-TW" w:bidi="ar-SA"/>
          </w:rPr>
          <w:t>香港澳門居民關係條例</w:t>
        </w:r>
      </w:hyperlink>
      <w:r w:rsidRPr="00B40DC1">
        <w:t>」（以下簡稱港澳條例）等法規，將新住民配偶區分為外籍配偶、大陸配偶及港澳配偶，依其在臺人數比例，大陸配偶在臺人數最多，約有35萬3千</w:t>
      </w:r>
      <w:r w:rsidRPr="00B40DC1">
        <w:rPr>
          <w:lang w:eastAsia="zh-HK"/>
        </w:rPr>
        <w:t>餘</w:t>
      </w:r>
      <w:r w:rsidRPr="00B40DC1">
        <w:t>人，外籍配偶在人數次之，約</w:t>
      </w:r>
      <w:r w:rsidRPr="00B40DC1">
        <w:rPr>
          <w:lang w:eastAsia="zh-HK"/>
        </w:rPr>
        <w:t>接近18</w:t>
      </w:r>
      <w:r w:rsidRPr="00B40DC1">
        <w:t>萬人，港澳配偶在臺人數較少，約有1萬5千</w:t>
      </w:r>
      <w:r w:rsidRPr="00B40DC1">
        <w:rPr>
          <w:lang w:eastAsia="zh-HK"/>
        </w:rPr>
        <w:t>餘</w:t>
      </w:r>
      <w:r w:rsidRPr="00B40DC1">
        <w:t>人</w:t>
      </w:r>
      <w:r w:rsidRPr="00430875">
        <w:rPr>
          <w:rStyle w:val="af7"/>
          <w:rFonts w:eastAsia="新細明體"/>
          <w:sz w:val="20"/>
        </w:rPr>
        <w:footnoteReference w:id="510"/>
      </w:r>
      <w:r w:rsidRPr="00B40DC1">
        <w:t>，由於新住民配偶在臺人數合計已超過50萬人，中央和地方政府亦均逐漸重視新住民生活權益。</w:t>
      </w:r>
    </w:p>
    <w:p w:rsidR="0049577B" w:rsidRPr="00B40DC1" w:rsidRDefault="00E6315D" w:rsidP="004413BE">
      <w:pPr>
        <w:spacing w:line="240" w:lineRule="auto"/>
        <w:ind w:leftChars="0" w:left="0" w:rightChars="0" w:right="0"/>
      </w:pPr>
      <w:r>
        <w:t xml:space="preserve">　　</w:t>
      </w:r>
      <w:r w:rsidR="0049577B" w:rsidRPr="00B40DC1">
        <w:t>政府為全面照顧新住民配偶，內政部自2005年起設立外籍配偶照顧輔導基金，依行政院新住民事務協調會報2015年8月4日第1次會議決議延續，並自2016年1月1日起更名為新住民發展基金，每年維持10億元之運作規模；另中國國民黨於2016年推薦柬埔寨籍配偶林麗嬋擔任不分區立法委員，成為我國第一位新住民立法委員；又桃園市長鄭文燦也在2016年12月11日桃園市政府舉辦國際移民日活動時宣布，桃園市政府將於社會局下設新住民事務委員會，協助居住於桃園市的新住民安居樂業</w:t>
      </w:r>
      <w:r w:rsidR="0049577B" w:rsidRPr="00E6315D">
        <w:rPr>
          <w:rStyle w:val="af7"/>
          <w:rFonts w:eastAsia="新細明體"/>
          <w:sz w:val="20"/>
        </w:rPr>
        <w:footnoteReference w:id="511"/>
      </w:r>
      <w:r w:rsidR="0049577B" w:rsidRPr="00B40DC1">
        <w:t>；</w:t>
      </w:r>
      <w:r w:rsidR="0049577B" w:rsidRPr="00B40DC1">
        <w:rPr>
          <w:lang w:eastAsia="zh-HK"/>
        </w:rPr>
        <w:t>另立法委員林麗嬋也已於</w:t>
      </w:r>
      <w:r w:rsidR="0049577B" w:rsidRPr="00B40DC1">
        <w:t>2</w:t>
      </w:r>
      <w:r w:rsidR="0049577B" w:rsidRPr="00B40DC1">
        <w:rPr>
          <w:lang w:eastAsia="zh-HK"/>
        </w:rPr>
        <w:t>018年在立法院提案修「新住民基本法」，強調政府應正面思考完善移民政策，勿只以防堵性的預防犯罪思維來處理移民政策</w:t>
      </w:r>
      <w:r w:rsidR="0049577B" w:rsidRPr="00E6315D">
        <w:rPr>
          <w:rStyle w:val="af7"/>
          <w:rFonts w:eastAsia="新細明體"/>
          <w:sz w:val="20"/>
          <w:lang w:eastAsia="zh-HK"/>
        </w:rPr>
        <w:footnoteReference w:id="512"/>
      </w:r>
      <w:r w:rsidR="0049577B" w:rsidRPr="00B40DC1">
        <w:rPr>
          <w:lang w:eastAsia="zh-HK"/>
        </w:rPr>
        <w:t>，以善盡照顧新住民之政府責任。</w:t>
      </w:r>
      <w:r w:rsidR="0049577B" w:rsidRPr="00B40DC1">
        <w:t>由此可看出不論是中央或地方政府，對於新住民事務的推動及相關權益，也日益重視。</w:t>
      </w:r>
    </w:p>
    <w:p w:rsidR="0049577B" w:rsidRPr="00B40DC1" w:rsidRDefault="0049577B" w:rsidP="004413BE">
      <w:pPr>
        <w:spacing w:line="240" w:lineRule="auto"/>
        <w:ind w:leftChars="0" w:left="0" w:rightChars="0" w:right="0"/>
      </w:pPr>
      <w:r w:rsidRPr="00B40DC1">
        <w:t>雖然，中央和地方政府都相當關注新住民配偶在臺之生活權益，也投入相當的資源來照顧在臺生活之新住民配偶，然而，想讓新住民配偶融入台灣社會生活並不是一件容易的事，除了社會資源的挹注外，環境是否友善？法令是否完備？文化是否融合？權益是否平等？都是同時要關注的問題。</w:t>
      </w:r>
    </w:p>
    <w:p w:rsidR="0049577B" w:rsidRPr="00B40DC1" w:rsidRDefault="00E6315D" w:rsidP="004413BE">
      <w:pPr>
        <w:spacing w:line="240" w:lineRule="auto"/>
        <w:ind w:leftChars="0" w:left="0" w:rightChars="0" w:right="0"/>
      </w:pPr>
      <w:r>
        <w:t xml:space="preserve">　　</w:t>
      </w:r>
      <w:r w:rsidR="0049577B" w:rsidRPr="00B40DC1">
        <w:t>本文所探討之大陸及外籍配偶之「生活權益」，係指國家與人民間之權益關係，即為國家可賦予居住於該國境內人民之權益，然而，居住在同一國境內之人民涵蓋對象甚多，包括具有該國國籍之國民、具有該國參政權之公民、因就學或就業等因素居住該國之居民、因婚姻或親屬關係移居該國之新住民……等，究竟對於國內不同身分之人民，應賦予何種權益及考量彼此間之衡平性，仍屬平等權之範疇。我國憲</w:t>
      </w:r>
      <w:r w:rsidR="000E2576">
        <w:rPr>
          <w:rFonts w:hint="eastAsia"/>
        </w:rPr>
        <w:t>法</w:t>
      </w:r>
      <w:hyperlink r:id="rId441"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t>規定：「中華民國人民，無分男女、宗教、種族、階級、黨派，在法律上一律平等。」其規範之對象，為中華民國人民，而非國民、公民，即泛指居住在中華民國領域之人民皆屬之，也就是一般常言道「法律之前，人人平等」之觀念</w:t>
      </w:r>
      <w:r w:rsidR="0049577B" w:rsidRPr="00E6315D">
        <w:rPr>
          <w:rStyle w:val="af7"/>
          <w:rFonts w:eastAsia="新細明體"/>
          <w:sz w:val="20"/>
        </w:rPr>
        <w:footnoteReference w:id="513"/>
      </w:r>
      <w:r w:rsidR="0049577B" w:rsidRPr="00B40DC1">
        <w:t>。</w:t>
      </w:r>
    </w:p>
    <w:p w:rsidR="0049577B" w:rsidRPr="00B40DC1" w:rsidRDefault="008B0F5E" w:rsidP="004413BE">
      <w:pPr>
        <w:spacing w:line="240" w:lineRule="auto"/>
        <w:ind w:leftChars="0" w:left="0" w:rightChars="0" w:right="0"/>
        <w:rPr>
          <w:kern w:val="0"/>
          <w:lang w:bidi="ta-IN"/>
        </w:rPr>
      </w:pPr>
      <w:r>
        <w:t xml:space="preserve">　　</w:t>
      </w:r>
      <w:r w:rsidR="0049577B" w:rsidRPr="00B40DC1">
        <w:t>本文將從新住民配偶申請來臺的相關法令及權益著手研究，並就個案分析新住民配偶來臺生活所遭遇之問題，再從平等權之觀點，論述新住民配偶在臺生活權益之不平等問題，最後，嚐試提出具體之建議，作為未來中央與地方政府推動新住民相關政策之參考。</w:t>
      </w:r>
    </w:p>
    <w:p w:rsidR="0049577B" w:rsidRPr="008452E7" w:rsidRDefault="00A66DFC" w:rsidP="00A66DFC">
      <w:pPr>
        <w:jc w:val="right"/>
        <w:rPr>
          <w:sz w:val="22"/>
          <w:szCs w:val="22"/>
          <w:lang w:bidi="ta-IN"/>
        </w:rPr>
      </w:pPr>
      <w:r w:rsidRPr="008452E7">
        <w:rPr>
          <w:rFonts w:hint="eastAsia"/>
          <w:sz w:val="22"/>
          <w:szCs w:val="22"/>
        </w:rPr>
        <w:t>。。。。。。。。。。。。。。</w:t>
      </w:r>
      <w:hyperlink w:anchor="a5" w:history="1">
        <w:r w:rsidRPr="008452E7">
          <w:rPr>
            <w:rStyle w:val="a7"/>
            <w:sz w:val="22"/>
            <w:szCs w:val="22"/>
            <w:lang w:eastAsia="zh-TW"/>
          </w:rPr>
          <w:t>回本章</w:t>
        </w:r>
      </w:hyperlink>
      <w:r w:rsidRPr="008452E7">
        <w:rPr>
          <w:color w:val="808000"/>
          <w:sz w:val="22"/>
          <w:szCs w:val="22"/>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28" w:name="_貳、新住民配偶來台之規範探討"/>
      <w:bookmarkEnd w:id="128"/>
      <w:r w:rsidRPr="00B40DC1">
        <w:t>貳、新住民配偶來台之規範探討</w:t>
      </w:r>
    </w:p>
    <w:p w:rsidR="0049577B" w:rsidRPr="00B40DC1" w:rsidRDefault="0049577B" w:rsidP="004413BE">
      <w:pPr>
        <w:pStyle w:val="3"/>
        <w:rPr>
          <w:lang w:eastAsia="zh-TW"/>
        </w:rPr>
      </w:pPr>
      <w:bookmarkStart w:id="129" w:name="_一、外籍配偶來臺之規範"/>
      <w:bookmarkEnd w:id="129"/>
      <w:r w:rsidRPr="00B40DC1">
        <w:rPr>
          <w:lang w:eastAsia="zh-TW"/>
        </w:rPr>
        <w:t>一、外籍配偶來臺之規範</w:t>
      </w:r>
    </w:p>
    <w:p w:rsidR="0049577B" w:rsidRPr="00B40DC1" w:rsidRDefault="0049577B" w:rsidP="004413BE">
      <w:pPr>
        <w:spacing w:line="240" w:lineRule="auto"/>
        <w:ind w:leftChars="0" w:left="0" w:rightChars="0" w:right="0"/>
      </w:pPr>
      <w:r w:rsidRPr="00B40DC1">
        <w:t xml:space="preserve">　　外國人與我國設有戶籍之國民結婚且符合一定條件時，即可按部就班申請在臺定居並入籍（取得我國身分證），依其申請程序區分，外籍配偶從結婚至入籍並取得我國身分證，大致可分為外僑居留、歸化國籍、無戶籍國民居留及定居、入籍等階段，茲就各階段所依據之法令規範及申請程序逐一探討之。</w:t>
      </w:r>
    </w:p>
    <w:p w:rsidR="0049577B" w:rsidRPr="00B40DC1" w:rsidRDefault="00E6315D" w:rsidP="004413BE">
      <w:pPr>
        <w:spacing w:line="240" w:lineRule="auto"/>
        <w:ind w:leftChars="0" w:left="0" w:rightChars="0" w:right="0"/>
      </w:pPr>
      <w:r>
        <w:t xml:space="preserve">　　</w:t>
      </w:r>
      <w:r w:rsidR="0049577B" w:rsidRPr="00B40DC1">
        <w:t>（一）外僑居留</w:t>
      </w:r>
    </w:p>
    <w:p w:rsidR="0049577B" w:rsidRPr="00B40DC1" w:rsidRDefault="0049577B" w:rsidP="004413BE">
      <w:pPr>
        <w:spacing w:line="240" w:lineRule="auto"/>
        <w:ind w:leftChars="0" w:left="0" w:rightChars="0" w:right="0"/>
      </w:pPr>
      <w:r w:rsidRPr="00B40DC1">
        <w:t xml:space="preserve">　　外國人與本國人結婚後，欲隨國人來臺居住者，必須先向我國駐外使領館、代表處、辦事處或其他外交部授權機構（以下簡稱駐外館處）申辦居留簽證或停留期限在60日以上之停留簽證，始可入境來臺；持居留簽證者，經移民署查驗入國後，即取得居留許可，應於入國後15日內向移民署申辦外僑居留證</w:t>
      </w:r>
      <w:r w:rsidRPr="00E6315D">
        <w:rPr>
          <w:rStyle w:val="af7"/>
          <w:rFonts w:eastAsia="新細明體"/>
          <w:sz w:val="20"/>
        </w:rPr>
        <w:footnoteReference w:id="514"/>
      </w:r>
      <w:r w:rsidRPr="00B40DC1">
        <w:t>；另持停留期限在60日以上之停留簽證者，且未經簽證核發機關加註限制不准延期或其他限制之有效簽證入國者，僅需其配偶為現於臺灣地區居住且設有戶籍或獲准居留之我國國民者，即得向移民署申請居留，經許可者，同樣發給外僑居留證</w:t>
      </w:r>
      <w:r w:rsidRPr="00E6315D">
        <w:rPr>
          <w:rStyle w:val="af7"/>
          <w:rFonts w:eastAsia="新細明體"/>
          <w:sz w:val="20"/>
        </w:rPr>
        <w:footnoteReference w:id="515"/>
      </w:r>
      <w:r w:rsidRPr="00B40DC1">
        <w:t>。就以上法令規定加以分析，外籍配偶僅須取得合法簽證，且未被其他條件限制者，即可申請在臺居留，經移民署審核許可後，發給最長效期為3年之外僑居留證</w:t>
      </w:r>
      <w:r w:rsidRPr="00E6315D">
        <w:rPr>
          <w:rStyle w:val="af7"/>
          <w:rFonts w:eastAsia="新細明體"/>
          <w:sz w:val="20"/>
        </w:rPr>
        <w:footnoteReference w:id="516"/>
      </w:r>
      <w:r w:rsidRPr="00B40DC1">
        <w:t>，且於居留效期屆滿前，若有繼續居留之必要，可向內政部移民署申請延期，最長不得逾3年</w:t>
      </w:r>
      <w:r w:rsidRPr="00E6315D">
        <w:rPr>
          <w:rStyle w:val="af7"/>
          <w:rFonts w:eastAsia="新細明體"/>
          <w:sz w:val="20"/>
        </w:rPr>
        <w:footnoteReference w:id="517"/>
      </w:r>
      <w:r w:rsidRPr="00B40DC1">
        <w:t>。</w:t>
      </w:r>
    </w:p>
    <w:p w:rsidR="0049577B" w:rsidRDefault="0049577B" w:rsidP="004413BE">
      <w:pPr>
        <w:spacing w:line="240" w:lineRule="auto"/>
        <w:ind w:leftChars="0" w:left="0" w:rightChars="0" w:right="0"/>
      </w:pPr>
      <w:r w:rsidRPr="00B40DC1">
        <w:t xml:space="preserve">　　外籍配偶申請在臺居留之程序，必須自停留簽證期限屆滿前30日，準備：1.申請書、2.護照及停留簽證、3.其他證明（如婚姻關係證明）等文件，向內政部移民署提出申請，經許可者，由移民署發給外僑居留證</w:t>
      </w:r>
      <w:r w:rsidRPr="00E6315D">
        <w:rPr>
          <w:rStyle w:val="af7"/>
          <w:rFonts w:eastAsia="新細明體"/>
          <w:sz w:val="20"/>
        </w:rPr>
        <w:footnoteReference w:id="518"/>
      </w:r>
      <w:r w:rsidRPr="00B40DC1">
        <w:t>。但若有以下情形之一者，移民署得不予許可其申請案</w:t>
      </w:r>
      <w:r w:rsidRPr="00430875">
        <w:rPr>
          <w:rStyle w:val="af7"/>
          <w:rFonts w:eastAsia="新細明體"/>
          <w:sz w:val="20"/>
        </w:rPr>
        <w:footnoteReference w:id="519"/>
      </w:r>
      <w:r w:rsidRPr="00B40DC1">
        <w:t>：</w:t>
      </w:r>
    </w:p>
    <w:p w:rsidR="005D4AAC" w:rsidRDefault="005D4AAC" w:rsidP="005D4AAC">
      <w:pPr>
        <w:spacing w:line="240" w:lineRule="auto"/>
        <w:ind w:leftChars="0" w:left="0" w:rightChars="0" w:right="0"/>
      </w:pPr>
      <w:r>
        <w:rPr>
          <w:rFonts w:hint="eastAsia"/>
        </w:rPr>
        <w:t xml:space="preserve">　　</w:t>
      </w:r>
      <w:r>
        <w:t>1.有危害我國利益、公共安全、公共秩序之虞。</w:t>
      </w:r>
    </w:p>
    <w:p w:rsidR="005D4AAC" w:rsidRDefault="005D4AAC" w:rsidP="005D4AAC">
      <w:pPr>
        <w:spacing w:line="240" w:lineRule="auto"/>
        <w:ind w:leftChars="0" w:left="0" w:rightChars="0" w:right="0"/>
      </w:pPr>
      <w:r>
        <w:rPr>
          <w:rFonts w:hint="eastAsia"/>
        </w:rPr>
        <w:t xml:space="preserve">　　</w:t>
      </w:r>
      <w:r>
        <w:t>2.有從事恐怖活動之虞。</w:t>
      </w:r>
    </w:p>
    <w:p w:rsidR="005D4AAC" w:rsidRDefault="005D4AAC" w:rsidP="005D4AAC">
      <w:pPr>
        <w:spacing w:line="240" w:lineRule="auto"/>
        <w:ind w:leftChars="0" w:left="0" w:rightChars="0" w:right="0"/>
      </w:pPr>
      <w:r>
        <w:rPr>
          <w:rFonts w:hint="eastAsia"/>
        </w:rPr>
        <w:t xml:space="preserve">　　</w:t>
      </w:r>
      <w:r>
        <w:t>3.曾有犯罪紀錄或曾遭拒絕入國、限令出國或驅逐出國。</w:t>
      </w:r>
    </w:p>
    <w:p w:rsidR="005D4AAC" w:rsidRDefault="005D4AAC" w:rsidP="005D4AAC">
      <w:pPr>
        <w:spacing w:line="240" w:lineRule="auto"/>
        <w:ind w:leftChars="0" w:left="0" w:rightChars="0" w:right="0"/>
      </w:pPr>
      <w:r>
        <w:rPr>
          <w:rFonts w:hint="eastAsia"/>
        </w:rPr>
        <w:t xml:space="preserve">　　</w:t>
      </w:r>
      <w:r>
        <w:t>4.曾非法入國。</w:t>
      </w:r>
    </w:p>
    <w:p w:rsidR="005D4AAC" w:rsidRDefault="005D4AAC" w:rsidP="005D4AAC">
      <w:pPr>
        <w:spacing w:line="240" w:lineRule="auto"/>
        <w:ind w:leftChars="0" w:left="0" w:rightChars="0" w:right="0"/>
      </w:pPr>
      <w:r>
        <w:rPr>
          <w:rFonts w:hint="eastAsia"/>
        </w:rPr>
        <w:t xml:space="preserve">　　</w:t>
      </w:r>
      <w:r>
        <w:t>5.冒用身分或以不法取得、偽造、變造之證件申請。</w:t>
      </w:r>
    </w:p>
    <w:p w:rsidR="005D4AAC" w:rsidRDefault="005D4AAC" w:rsidP="005D4AAC">
      <w:pPr>
        <w:spacing w:line="240" w:lineRule="auto"/>
        <w:ind w:leftChars="0" w:left="0" w:rightChars="0" w:right="0"/>
      </w:pPr>
      <w:r>
        <w:rPr>
          <w:rFonts w:hint="eastAsia"/>
        </w:rPr>
        <w:t xml:space="preserve">　　</w:t>
      </w:r>
      <w:r>
        <w:t>6.曾經協助他人非法入出國或提供身分證件予他人持以非法入出國。</w:t>
      </w:r>
    </w:p>
    <w:p w:rsidR="005D4AAC" w:rsidRDefault="005D4AAC" w:rsidP="005D4AAC">
      <w:pPr>
        <w:spacing w:line="240" w:lineRule="auto"/>
        <w:ind w:leftChars="0" w:left="0" w:rightChars="0" w:right="0"/>
      </w:pPr>
      <w:r>
        <w:rPr>
          <w:rFonts w:hint="eastAsia"/>
        </w:rPr>
        <w:t xml:space="preserve">　　</w:t>
      </w:r>
      <w:r>
        <w:t>7.有事實足認其係通謀而為虛偽之結婚或收養。</w:t>
      </w:r>
    </w:p>
    <w:p w:rsidR="005D4AAC" w:rsidRDefault="005D4AAC" w:rsidP="005D4AAC">
      <w:pPr>
        <w:spacing w:line="240" w:lineRule="auto"/>
        <w:ind w:leftChars="0" w:left="0" w:rightChars="0" w:right="0"/>
      </w:pPr>
      <w:r>
        <w:rPr>
          <w:rFonts w:hint="eastAsia"/>
        </w:rPr>
        <w:t xml:space="preserve">　　</w:t>
      </w:r>
      <w:r>
        <w:t>8.中央衛生主管機關指定健康檢查項目不合格。</w:t>
      </w:r>
    </w:p>
    <w:p w:rsidR="005D4AAC" w:rsidRDefault="005D4AAC" w:rsidP="005D4AAC">
      <w:pPr>
        <w:spacing w:line="240" w:lineRule="auto"/>
        <w:ind w:leftChars="0" w:left="0" w:rightChars="0" w:right="0"/>
      </w:pPr>
      <w:r>
        <w:rPr>
          <w:rFonts w:hint="eastAsia"/>
        </w:rPr>
        <w:t xml:space="preserve">　　</w:t>
      </w:r>
      <w:r>
        <w:t>9.所持護照失效或其外國人身分不為我國承認或接受。</w:t>
      </w:r>
    </w:p>
    <w:p w:rsidR="005D4AAC" w:rsidRDefault="005D4AAC" w:rsidP="005D4AAC">
      <w:pPr>
        <w:spacing w:line="240" w:lineRule="auto"/>
        <w:ind w:leftChars="0" w:left="0" w:rightChars="0" w:right="0"/>
      </w:pPr>
      <w:r>
        <w:rPr>
          <w:rFonts w:hint="eastAsia"/>
        </w:rPr>
        <w:t xml:space="preserve">　　</w:t>
      </w:r>
      <w:r>
        <w:t>10.曾經逾期停留、逾期居留。</w:t>
      </w:r>
    </w:p>
    <w:p w:rsidR="005D4AAC" w:rsidRDefault="005D4AAC" w:rsidP="005D4AAC">
      <w:pPr>
        <w:spacing w:line="240" w:lineRule="auto"/>
        <w:ind w:leftChars="0" w:left="0" w:rightChars="0" w:right="0"/>
      </w:pPr>
      <w:r>
        <w:rPr>
          <w:rFonts w:hint="eastAsia"/>
        </w:rPr>
        <w:t xml:space="preserve">　　</w:t>
      </w:r>
      <w:r>
        <w:t>11.曾經在我國從事與許可原因不符之活動或工作。</w:t>
      </w:r>
    </w:p>
    <w:p w:rsidR="005D4AAC" w:rsidRDefault="005D4AAC" w:rsidP="005D4AAC">
      <w:pPr>
        <w:spacing w:line="240" w:lineRule="auto"/>
        <w:ind w:leftChars="0" w:left="0" w:rightChars="0" w:right="0"/>
      </w:pPr>
      <w:r>
        <w:rPr>
          <w:rFonts w:hint="eastAsia"/>
        </w:rPr>
        <w:t xml:space="preserve">　　</w:t>
      </w:r>
      <w:r>
        <w:t>12.妨害善良風俗之行為。</w:t>
      </w:r>
    </w:p>
    <w:p w:rsidR="005D4AAC" w:rsidRDefault="005D4AAC" w:rsidP="005D4AAC">
      <w:pPr>
        <w:spacing w:line="240" w:lineRule="auto"/>
        <w:ind w:leftChars="0" w:left="0" w:rightChars="0" w:right="0"/>
      </w:pPr>
      <w:r>
        <w:rPr>
          <w:rFonts w:hint="eastAsia"/>
        </w:rPr>
        <w:t xml:space="preserve">　　</w:t>
      </w:r>
      <w:r>
        <w:t>13.經合法通知，無正當理由拒絕到場面談。</w:t>
      </w:r>
    </w:p>
    <w:p w:rsidR="005D4AAC" w:rsidRDefault="005D4AAC" w:rsidP="005D4AAC">
      <w:pPr>
        <w:spacing w:line="240" w:lineRule="auto"/>
        <w:ind w:leftChars="0" w:left="0" w:rightChars="0" w:right="0"/>
      </w:pPr>
      <w:r>
        <w:rPr>
          <w:rFonts w:hint="eastAsia"/>
        </w:rPr>
        <w:t xml:space="preserve">　　</w:t>
      </w:r>
      <w:r>
        <w:t>14.無正當理由規避、妨礙或拒絕接受入出國及移民法</w:t>
      </w:r>
      <w:hyperlink r:id="rId442" w:anchor="b70" w:history="1">
        <w:r w:rsidRPr="008B0F5E">
          <w:rPr>
            <w:rStyle w:val="a7"/>
            <w:rFonts w:cs="Times New Roman"/>
            <w:lang w:eastAsia="zh-TW" w:bidi="ar-SA"/>
          </w:rPr>
          <w:t>第70條</w:t>
        </w:r>
      </w:hyperlink>
      <w:r>
        <w:t>之查察。</w:t>
      </w:r>
    </w:p>
    <w:p w:rsidR="005D4AAC" w:rsidRDefault="005D4AAC" w:rsidP="005D4AAC">
      <w:pPr>
        <w:spacing w:line="240" w:lineRule="auto"/>
        <w:ind w:leftChars="0" w:left="0" w:rightChars="0" w:right="0"/>
      </w:pPr>
      <w:r>
        <w:rPr>
          <w:rFonts w:hint="eastAsia"/>
        </w:rPr>
        <w:t xml:space="preserve">　　</w:t>
      </w:r>
      <w:r>
        <w:t>15.曾為居住臺灣地區設有戶籍國民其戶籍未辦妥遷出登記，或年滿15歲之翌年1月1日起至屆滿36歲之年12月31日止，尚未履行兵役義務之接近役齡男子或役齡男子。</w:t>
      </w:r>
    </w:p>
    <w:p w:rsidR="005D4AAC" w:rsidRPr="00B40DC1" w:rsidRDefault="005D4AAC" w:rsidP="005D4AAC">
      <w:pPr>
        <w:spacing w:line="240" w:lineRule="auto"/>
        <w:ind w:leftChars="0" w:left="0" w:rightChars="0" w:right="0"/>
      </w:pPr>
      <w:r>
        <w:rPr>
          <w:rFonts w:hint="eastAsia"/>
        </w:rPr>
        <w:t xml:space="preserve">　　</w:t>
      </w:r>
      <w:r>
        <w:t>16.其他經主管機關認定公告者。</w:t>
      </w:r>
    </w:p>
    <w:p w:rsidR="0049577B" w:rsidRPr="00B40DC1" w:rsidRDefault="004413BE" w:rsidP="005D4AAC">
      <w:pPr>
        <w:spacing w:line="240" w:lineRule="auto"/>
        <w:ind w:leftChars="0" w:left="0" w:rightChars="0" w:right="0"/>
      </w:pPr>
      <w:r>
        <w:t xml:space="preserve">　　</w:t>
      </w:r>
      <w:r w:rsidR="0049577B" w:rsidRPr="00B40DC1">
        <w:t>外籍配偶初次以結婚依親事由申請在臺居留經核准後，移民署會核給1年效期之外僑居留證，若欲申請延期居留者，則須檢附1.申請書、2.護照及外僑居留證、3.其他證明（居留原因仍然存在之證明）、4.相片一張等文件資料，於居留期限屆滿前30日內，向移民署提出申請</w:t>
      </w:r>
      <w:r w:rsidR="0049577B" w:rsidRPr="005D4AAC">
        <w:rPr>
          <w:rStyle w:val="af7"/>
          <w:rFonts w:eastAsia="新細明體"/>
          <w:sz w:val="20"/>
        </w:rPr>
        <w:footnoteReference w:id="520"/>
      </w:r>
      <w:r w:rsidR="0049577B" w:rsidRPr="00B40DC1">
        <w:t>，經許可後，即可延長最長3年之居留效期。</w:t>
      </w:r>
    </w:p>
    <w:p w:rsidR="0049577B" w:rsidRPr="00B40DC1" w:rsidRDefault="0049577B" w:rsidP="008B0F5E">
      <w:pPr>
        <w:spacing w:line="240" w:lineRule="auto"/>
        <w:ind w:leftChars="0" w:left="0" w:rightChars="0" w:right="0"/>
        <w:jc w:val="left"/>
      </w:pPr>
      <w:r w:rsidRPr="00B40DC1">
        <w:t xml:space="preserve">　　綜上，外籍配偶申請在臺居留之法規及程序，與下節所探討之大陸配偶之申請程序相較之下並不算複雜，且以我國法令之規定，可謂頗為重視外籍配偶在臺之家庭權益，除有明確之違法事實移民署不予許可其居留申請案之外，外籍配偶申請在臺居留並無其他特別之限制或要求，因此，僅需是正常婚姻之外籍配偶欲申請在臺居留，外籍配偶並無困難度可言。</w:t>
      </w:r>
    </w:p>
    <w:p w:rsidR="0049577B" w:rsidRPr="00B40DC1" w:rsidRDefault="005D4AAC" w:rsidP="005D4AAC">
      <w:pPr>
        <w:spacing w:line="240" w:lineRule="auto"/>
        <w:ind w:leftChars="0" w:left="0" w:rightChars="0" w:right="0"/>
      </w:pPr>
      <w:r>
        <w:t xml:space="preserve">　　</w:t>
      </w:r>
      <w:r w:rsidR="0049577B" w:rsidRPr="00B40DC1">
        <w:t>（二）歸化國籍</w:t>
      </w:r>
    </w:p>
    <w:p w:rsidR="0049577B" w:rsidRPr="00B40DC1" w:rsidRDefault="0049577B" w:rsidP="005D4AAC">
      <w:pPr>
        <w:spacing w:line="240" w:lineRule="auto"/>
        <w:ind w:leftChars="0" w:left="0" w:rightChars="0" w:right="0"/>
      </w:pPr>
      <w:r w:rsidRPr="00B40DC1">
        <w:t xml:space="preserve">　　外籍配偶經許可在臺居留後，僅需在我國領域內有其住所，並具備以下要件者，且在我國領域內，每年合計有183日以上合法居留之事實</w:t>
      </w:r>
      <w:r w:rsidRPr="005D4AAC">
        <w:rPr>
          <w:rStyle w:val="af7"/>
          <w:rFonts w:eastAsia="新細明體"/>
          <w:sz w:val="20"/>
        </w:rPr>
        <w:footnoteReference w:id="521"/>
      </w:r>
      <w:r w:rsidRPr="00B40DC1">
        <w:t>繼續3年以上者，即可申請歸化我國國籍</w:t>
      </w:r>
      <w:r w:rsidRPr="005D4AAC">
        <w:rPr>
          <w:rStyle w:val="af7"/>
          <w:rFonts w:eastAsia="新細明體"/>
          <w:sz w:val="20"/>
        </w:rPr>
        <w:footnoteReference w:id="522"/>
      </w:r>
      <w:r w:rsidRPr="00B40DC1">
        <w:t>：</w:t>
      </w:r>
    </w:p>
    <w:p w:rsidR="005D4AAC" w:rsidRPr="005D4AAC" w:rsidRDefault="005D4AAC" w:rsidP="005D4AAC">
      <w:pPr>
        <w:spacing w:line="240" w:lineRule="auto"/>
        <w:ind w:leftChars="0" w:left="0" w:rightChars="0" w:right="0"/>
      </w:pPr>
      <w:r w:rsidRPr="005D4AAC">
        <w:rPr>
          <w:rFonts w:hint="eastAsia"/>
        </w:rPr>
        <w:t xml:space="preserve">　　</w:t>
      </w:r>
      <w:r w:rsidRPr="005D4AAC">
        <w:t>1.年滿20歲並依中華民國法律及其本國法均有行為能力。</w:t>
      </w:r>
    </w:p>
    <w:p w:rsidR="005D4AAC" w:rsidRPr="005D4AAC" w:rsidRDefault="005D4AAC" w:rsidP="005D4AAC">
      <w:pPr>
        <w:spacing w:line="240" w:lineRule="auto"/>
        <w:ind w:leftChars="0" w:left="0" w:rightChars="0" w:right="0"/>
      </w:pPr>
      <w:r w:rsidRPr="005D4AAC">
        <w:rPr>
          <w:rFonts w:hint="eastAsia"/>
        </w:rPr>
        <w:t xml:space="preserve">　　</w:t>
      </w:r>
      <w:r w:rsidRPr="005D4AAC">
        <w:t>2.無不良素行，且無警察刑事紀錄證明之刑事案件紀錄。</w:t>
      </w:r>
    </w:p>
    <w:p w:rsidR="005D4AAC" w:rsidRPr="005D4AAC" w:rsidRDefault="005D4AAC" w:rsidP="005D4AAC">
      <w:pPr>
        <w:spacing w:line="240" w:lineRule="auto"/>
        <w:ind w:leftChars="0" w:left="0" w:rightChars="0" w:right="0"/>
      </w:pPr>
      <w:r w:rsidRPr="005D4AAC">
        <w:rPr>
          <w:rFonts w:hint="eastAsia"/>
        </w:rPr>
        <w:t xml:space="preserve">　　</w:t>
      </w:r>
      <w:r w:rsidRPr="005D4AAC">
        <w:t>3.具備我國基本語言能力及國民權利義務基本常識。</w:t>
      </w:r>
    </w:p>
    <w:p w:rsidR="0049577B" w:rsidRPr="00B40DC1" w:rsidRDefault="0049577B" w:rsidP="005D4AAC">
      <w:pPr>
        <w:spacing w:line="240" w:lineRule="auto"/>
        <w:ind w:leftChars="0" w:left="0" w:rightChars="0" w:right="0"/>
      </w:pPr>
      <w:r w:rsidRPr="00B40DC1">
        <w:t xml:space="preserve">　　所謂在我國領域內有住所者，是指以久住之意思，亦即是住於我國領域之內，且持有有效之外僑居留證或外僑永久居留證者</w:t>
      </w:r>
      <w:r w:rsidRPr="005D4AAC">
        <w:rPr>
          <w:rStyle w:val="af7"/>
          <w:rFonts w:eastAsia="新細明體"/>
          <w:sz w:val="20"/>
        </w:rPr>
        <w:footnoteReference w:id="523"/>
      </w:r>
      <w:r w:rsidRPr="00B40DC1">
        <w:t>，始屬於久住之對象；另合法居留之事實繼續3年以上，其計算方式是指其居留期間自申請歸化時，往前推算3年之期間，應為連續不中斷，且該期間內每年合計合法居留183日以上。但於該期間內，因逾期居留，不符合法居留之要件，致居留期間中斷，其逾期居留期間未達30日者，視為居留期間連續不中斷。惟逾期居留期間，不列入合法居留183日之計算</w:t>
      </w:r>
      <w:r w:rsidRPr="005D4AAC">
        <w:rPr>
          <w:rStyle w:val="af7"/>
          <w:rFonts w:eastAsia="新細明體"/>
          <w:sz w:val="20"/>
        </w:rPr>
        <w:footnoteReference w:id="524"/>
      </w:r>
      <w:r w:rsidRPr="00B40DC1">
        <w:t>。</w:t>
      </w:r>
    </w:p>
    <w:p w:rsidR="0049577B" w:rsidRPr="00B40DC1" w:rsidRDefault="0049577B" w:rsidP="005D4AAC">
      <w:pPr>
        <w:spacing w:line="240" w:lineRule="auto"/>
        <w:ind w:leftChars="0" w:left="0" w:rightChars="0" w:right="0"/>
        <w:rPr>
          <w:lang w:eastAsia="zh-HK"/>
        </w:rPr>
      </w:pPr>
      <w:r w:rsidRPr="00B40DC1">
        <w:t xml:space="preserve">　　</w:t>
      </w:r>
      <w:r w:rsidRPr="00B40DC1">
        <w:rPr>
          <w:lang w:eastAsia="zh-HK"/>
        </w:rPr>
        <w:t>外籍配偶應向內政部申請歸化，自許可之日起，取得我國國籍，並依規定提出喪失國籍證明</w:t>
      </w:r>
      <w:r w:rsidRPr="005D4AAC">
        <w:rPr>
          <w:rStyle w:val="af7"/>
          <w:rFonts w:eastAsia="新細明體"/>
          <w:sz w:val="20"/>
          <w:lang w:eastAsia="zh-HK"/>
        </w:rPr>
        <w:footnoteReference w:id="525"/>
      </w:r>
      <w:r w:rsidRPr="00B40DC1">
        <w:rPr>
          <w:lang w:eastAsia="zh-HK"/>
        </w:rPr>
        <w:t>，在還沒提出喪失國籍證明前，不得許可定居；但是若有以下條件者，則免提出喪失原有國籍之證明：</w:t>
      </w:r>
    </w:p>
    <w:p w:rsidR="005D4AAC" w:rsidRDefault="005D4AAC" w:rsidP="005D4AAC">
      <w:pPr>
        <w:spacing w:line="240" w:lineRule="auto"/>
        <w:ind w:leftChars="0" w:left="0" w:rightChars="0" w:right="0"/>
      </w:pPr>
      <w:r>
        <w:rPr>
          <w:rFonts w:hint="eastAsia"/>
        </w:rPr>
        <w:t xml:space="preserve">　　</w:t>
      </w:r>
      <w:r>
        <w:t>1.依第六條規定申請歸</w:t>
      </w:r>
      <w:r w:rsidRPr="00B40DC1">
        <w:rPr>
          <w:lang w:eastAsia="zh-HK"/>
        </w:rPr>
        <w:t>化</w:t>
      </w:r>
      <w:r w:rsidRPr="005D4AAC">
        <w:rPr>
          <w:rStyle w:val="af7"/>
          <w:rFonts w:eastAsia="新細明體"/>
          <w:sz w:val="20"/>
          <w:lang w:eastAsia="zh-HK"/>
        </w:rPr>
        <w:footnoteReference w:id="526"/>
      </w:r>
      <w:r w:rsidRPr="00B40DC1">
        <w:rPr>
          <w:lang w:eastAsia="zh-HK"/>
        </w:rPr>
        <w:t>。</w:t>
      </w:r>
    </w:p>
    <w:p w:rsidR="005D4AAC" w:rsidRDefault="005D4AAC" w:rsidP="005D4AAC">
      <w:pPr>
        <w:spacing w:line="240" w:lineRule="auto"/>
        <w:ind w:leftChars="0" w:left="0" w:rightChars="0" w:right="0"/>
      </w:pPr>
      <w:r>
        <w:rPr>
          <w:rFonts w:hint="eastAsia"/>
        </w:rPr>
        <w:t xml:space="preserve">　　</w:t>
      </w:r>
      <w:r>
        <w:t>2.由中央目的事業主管機關推薦科技、經濟、教育、文化、藝術、體育及其他領域之高級專業人才，有助中華民國利益，並經內政部邀請社會公正人士及相關機關共同審核通過。</w:t>
      </w:r>
    </w:p>
    <w:p w:rsidR="005D4AAC" w:rsidRPr="00B40DC1" w:rsidRDefault="005D4AAC" w:rsidP="005D4AAC">
      <w:pPr>
        <w:spacing w:line="240" w:lineRule="auto"/>
        <w:ind w:leftChars="0" w:left="0" w:rightChars="0" w:right="0"/>
      </w:pPr>
      <w:r>
        <w:rPr>
          <w:rFonts w:hint="eastAsia"/>
        </w:rPr>
        <w:t xml:space="preserve">　　</w:t>
      </w:r>
      <w:r>
        <w:t>3.因非可歸責於當事人之事由，致無法取得喪失原有國籍證明。</w:t>
      </w:r>
    </w:p>
    <w:p w:rsidR="0049577B" w:rsidRPr="00B40DC1" w:rsidRDefault="005D4AAC" w:rsidP="005D4AAC">
      <w:pPr>
        <w:spacing w:line="240" w:lineRule="auto"/>
        <w:ind w:leftChars="0" w:left="0" w:rightChars="0" w:right="0"/>
      </w:pPr>
      <w:r>
        <w:t xml:space="preserve">　　</w:t>
      </w:r>
      <w:r w:rsidR="0049577B" w:rsidRPr="00B40DC1">
        <w:t>（三）無戶籍國民居留及定居</w:t>
      </w:r>
    </w:p>
    <w:p w:rsidR="0049577B" w:rsidRPr="00B40DC1" w:rsidRDefault="0049577B" w:rsidP="005D4AAC">
      <w:pPr>
        <w:spacing w:line="240" w:lineRule="auto"/>
        <w:ind w:leftChars="0" w:left="0" w:rightChars="0" w:right="0"/>
      </w:pPr>
      <w:r w:rsidRPr="00B40DC1">
        <w:t xml:space="preserve">　　外籍配偶經歸化且已取得中華民國國籍後，其身分即轉換為臺灣地區無戶籍國民</w:t>
      </w:r>
      <w:r w:rsidRPr="005D4AAC">
        <w:rPr>
          <w:rStyle w:val="af7"/>
          <w:rFonts w:eastAsia="新細明體"/>
          <w:sz w:val="20"/>
        </w:rPr>
        <w:footnoteReference w:id="527"/>
      </w:r>
      <w:r w:rsidRPr="00B40DC1">
        <w:t>，必須先依「入出國及移民法」</w:t>
      </w:r>
      <w:hyperlink r:id="rId443" w:anchor="b9" w:history="1">
        <w:r w:rsidRPr="00196F1E">
          <w:rPr>
            <w:rStyle w:val="a7"/>
            <w:rFonts w:cs="Times New Roman"/>
            <w:lang w:eastAsia="zh-TW" w:bidi="ar-SA"/>
          </w:rPr>
          <w:t>第9條</w:t>
        </w:r>
      </w:hyperlink>
      <w:r w:rsidRPr="00B40DC1">
        <w:t>第1項規定，檢附申請書及相關證明文件，向移民署申請在臺居留，經許可後，取得臺灣地區居留證，之後則需以無戶籍國民之身分在臺灣地區連續居住1年，或居留滿2年且每年居住270日以上，或居留滿5年且每年居住183日以上，始可再向移民署申請在臺定居。</w:t>
      </w:r>
    </w:p>
    <w:p w:rsidR="0049577B" w:rsidRPr="00B40DC1" w:rsidRDefault="005D4AAC" w:rsidP="005D4AAC">
      <w:pPr>
        <w:spacing w:line="240" w:lineRule="auto"/>
        <w:ind w:leftChars="0" w:left="0" w:rightChars="0" w:right="0"/>
      </w:pPr>
      <w:r>
        <w:t xml:space="preserve">　　</w:t>
      </w:r>
      <w:r w:rsidR="0049577B" w:rsidRPr="00B40DC1">
        <w:t>無戶籍國民申請在臺定居者，須檢附1.申請書、2.中央衛生主管機關指定醫院出具之健康檢查合格證明、3.臺灣地區居留證、4.其他相關證明等文件，向移民署提出申請，經許可者，發給臺灣地區定居證；外籍配偶於取得定居證後，應於30日內檢附照片，向預定申報戶籍地之戶政事務所辦理戶籍登記，即可在臺設籍並領取我國國民身分證，完成入籍程序，但若逾期未辦理戶籍登記者，移民署得廢止其定居許可。</w:t>
      </w:r>
    </w:p>
    <w:p w:rsidR="0049577B" w:rsidRPr="00B40DC1" w:rsidRDefault="0049577B" w:rsidP="005D4AAC">
      <w:pPr>
        <w:spacing w:line="240" w:lineRule="auto"/>
        <w:ind w:leftChars="0" w:left="0" w:rightChars="0" w:right="0"/>
      </w:pPr>
      <w:r w:rsidRPr="00B40DC1">
        <w:t xml:space="preserve">　　綜上，外籍配偶以外僑居留身分在臺居住3年且符合規定之條件，即可申請歸化國籍，之後繼續在臺連續居住1年，或居留滿2年且每年居住270日以上，或居留滿5年且每年居住183日以上者，則可申請定居入籍；因此，且不論外籍配偶申請歸化程序及取得我國基本語言能力認證所需耗費之時間，單就法令上而言，外籍配偶從結婚來臺至定居入籍，若長期居住臺灣地區均無入出國情形，則最快可於4年期間在臺入籍並取得我國身分證；惟若外籍配偶在臺居住期間陸續有入出國之情形，則需視其在臺實際居住之日數，於5年至8年期間始能完成在臺入籍之程序。</w:t>
      </w:r>
    </w:p>
    <w:p w:rsidR="0049577B" w:rsidRPr="00B40DC1" w:rsidRDefault="00430875" w:rsidP="00430875">
      <w:pPr>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5D4AAC">
      <w:pPr>
        <w:pStyle w:val="3"/>
        <w:rPr>
          <w:lang w:eastAsia="zh-TW"/>
        </w:rPr>
      </w:pPr>
      <w:bookmarkStart w:id="130" w:name="_二、大陸配偶來臺之規範"/>
      <w:bookmarkEnd w:id="130"/>
      <w:r w:rsidRPr="00B40DC1">
        <w:rPr>
          <w:lang w:eastAsia="zh-TW"/>
        </w:rPr>
        <w:t>二、大陸配偶來臺之規範</w:t>
      </w:r>
    </w:p>
    <w:p w:rsidR="0049577B" w:rsidRPr="00B40DC1" w:rsidRDefault="0049577B" w:rsidP="005D4AAC">
      <w:pPr>
        <w:spacing w:line="240" w:lineRule="auto"/>
        <w:ind w:leftChars="0" w:left="0" w:rightChars="0" w:right="0"/>
      </w:pPr>
      <w:r w:rsidRPr="00B40DC1">
        <w:t xml:space="preserve">　　由於我國與大陸地區之間歷史背景及政治關係所致，在官方交流或法令規範上，彼此之間並不以國與國之地位相待，而是以地區對地區之特殊關係處置，亦因此我國國民與大陸居民之間通婚之相關規定，亦無法以「</w:t>
      </w:r>
      <w:hyperlink r:id="rId444" w:history="1">
        <w:r w:rsidR="004B3637" w:rsidRPr="004B3637">
          <w:rPr>
            <w:rStyle w:val="a7"/>
            <w:rFonts w:cs="Times New Roman"/>
            <w:lang w:eastAsia="zh-TW" w:bidi="ar-SA"/>
          </w:rPr>
          <w:t>入出國及移民法</w:t>
        </w:r>
      </w:hyperlink>
      <w:r w:rsidRPr="00B40DC1">
        <w:t>」及「</w:t>
      </w:r>
      <w:hyperlink r:id="rId445" w:history="1">
        <w:r w:rsidR="004B3637" w:rsidRPr="004B3637">
          <w:rPr>
            <w:rStyle w:val="a7"/>
            <w:rFonts w:cs="Times New Roman"/>
            <w:lang w:eastAsia="zh-TW" w:bidi="ar-SA"/>
          </w:rPr>
          <w:t>國籍法</w:t>
        </w:r>
      </w:hyperlink>
      <w:r w:rsidRPr="00B40DC1">
        <w:t>」等主權地位鮮明之法律規範之，而是以兩岸人民關係條例及其相關子法規範之。相較於外國人申請來臺簽證之程序，大陸地區人民申請來臺程序可謂相當繁雜，略可分為五大類計53種事由</w:t>
      </w:r>
      <w:r w:rsidRPr="005D4AAC">
        <w:rPr>
          <w:rStyle w:val="af7"/>
          <w:rFonts w:eastAsia="新細明體"/>
          <w:sz w:val="20"/>
        </w:rPr>
        <w:footnoteReference w:id="528"/>
      </w:r>
      <w:r w:rsidRPr="00B40DC1">
        <w:t>，僅就大陸配偶從結婚來臺至定居設籍而論，牽涉之法令，即有兩岸人民關係條例、「</w:t>
      </w:r>
      <w:hyperlink r:id="rId446" w:history="1">
        <w:r w:rsidRPr="00196F1E">
          <w:rPr>
            <w:rStyle w:val="a7"/>
            <w:rFonts w:cs="Times New Roman"/>
            <w:lang w:eastAsia="zh-TW" w:bidi="ar-SA"/>
          </w:rPr>
          <w:t>大陸地區人民進入臺灣地區許可辦法</w:t>
        </w:r>
      </w:hyperlink>
      <w:r w:rsidRPr="00B40DC1">
        <w:t>」（以下簡稱進入許可辦法）及「</w:t>
      </w:r>
      <w:hyperlink r:id="rId447" w:history="1">
        <w:r w:rsidRPr="00196F1E">
          <w:rPr>
            <w:rStyle w:val="a7"/>
            <w:rFonts w:cs="Times New Roman"/>
            <w:lang w:eastAsia="zh-TW" w:bidi="ar-SA"/>
          </w:rPr>
          <w:t>大陸地區人民在臺灣地區依親居留長期居留或定居許可辦法</w:t>
        </w:r>
      </w:hyperlink>
      <w:r w:rsidRPr="00B40DC1">
        <w:t>」（以下簡稱居留許可辦法）等，其申請事由則可分為團聚、依親居留、長期居留及定居等四個階段，以下將逐一探討各階段之相關法令規範及申辦程序。</w:t>
      </w:r>
    </w:p>
    <w:p w:rsidR="0049577B" w:rsidRPr="00B40DC1" w:rsidRDefault="005D4AAC" w:rsidP="005D4AAC">
      <w:pPr>
        <w:spacing w:line="240" w:lineRule="auto"/>
        <w:ind w:leftChars="0" w:left="0" w:rightChars="0" w:right="0"/>
      </w:pPr>
      <w:r>
        <w:t xml:space="preserve">　　</w:t>
      </w:r>
      <w:r w:rsidR="0049577B" w:rsidRPr="00B40DC1">
        <w:t>（一）團聚</w:t>
      </w:r>
    </w:p>
    <w:p w:rsidR="0049577B" w:rsidRPr="00B40DC1" w:rsidRDefault="0049577B" w:rsidP="005D4AAC">
      <w:pPr>
        <w:spacing w:line="240" w:lineRule="auto"/>
        <w:ind w:leftChars="0" w:left="0" w:rightChars="0" w:right="0"/>
      </w:pPr>
      <w:r w:rsidRPr="00B40DC1">
        <w:t xml:space="preserve">　　兩岸人民關係條例是規範兩岸人民往來事務之母法，該條例</w:t>
      </w:r>
      <w:hyperlink r:id="rId448" w:anchor="b10" w:history="1">
        <w:r w:rsidRPr="008B0F5E">
          <w:rPr>
            <w:rStyle w:val="a7"/>
            <w:rFonts w:cs="Times New Roman"/>
            <w:lang w:eastAsia="zh-TW" w:bidi="ar-SA"/>
          </w:rPr>
          <w:t>第10條</w:t>
        </w:r>
      </w:hyperlink>
      <w:r w:rsidRPr="00B40DC1">
        <w:t>即明文揭櫫大陸地區人民來臺係採許可制</w:t>
      </w:r>
      <w:r w:rsidRPr="005D4AAC">
        <w:rPr>
          <w:rStyle w:val="af7"/>
          <w:rFonts w:eastAsia="新細明體"/>
          <w:sz w:val="20"/>
        </w:rPr>
        <w:footnoteReference w:id="529"/>
      </w:r>
      <w:r w:rsidRPr="00B40DC1">
        <w:t>，因此，大陸配偶雖與我國國民已有婚姻關係存在，受家庭團聚權利保障</w:t>
      </w:r>
      <w:r w:rsidRPr="005D4AAC">
        <w:rPr>
          <w:rStyle w:val="af7"/>
          <w:rFonts w:eastAsia="新細明體"/>
          <w:sz w:val="20"/>
        </w:rPr>
        <w:footnoteReference w:id="530"/>
      </w:r>
      <w:r w:rsidRPr="00B40DC1">
        <w:t>，但仍應依</w:t>
      </w:r>
      <w:hyperlink r:id="rId449" w:history="1">
        <w:r w:rsidRPr="008B0F5E">
          <w:rPr>
            <w:rStyle w:val="a7"/>
            <w:rFonts w:cs="Times New Roman"/>
            <w:lang w:eastAsia="zh-TW" w:bidi="ar-SA"/>
          </w:rPr>
          <w:t>兩岸人民關係條例</w:t>
        </w:r>
      </w:hyperlink>
      <w:r w:rsidRPr="00B40DC1">
        <w:t>及相關辦法規定申請來臺。大陸配偶與我國國民在大陸地區結婚後，初次必須以團聚事由申請來臺，由在臺之代申請人向臺灣配偶戶籍所在地之移民署服務站提出申請來臺團聚，經審核許可後，發給限制停留效期為1個月之單次入出境許可證，俟大陸配偶入境時，與國人配偶同時在機場國境線上接受面談並通過後，由移民署將其1個月效期之入出境許可證恢復為原有效期6個月</w:t>
      </w:r>
      <w:r w:rsidRPr="005D4AAC">
        <w:rPr>
          <w:rStyle w:val="af7"/>
          <w:rFonts w:eastAsia="新細明體"/>
          <w:sz w:val="20"/>
        </w:rPr>
        <w:footnoteReference w:id="531"/>
      </w:r>
      <w:r w:rsidRPr="00B40DC1">
        <w:t>，俟其入境後，再至戶籍所在地之戶政機關完成結婚戶籍登記，始完備結婚之程序。其申請時主要之應備文件如下：1.申請書（含照片）。2.大陸地區居民身分證明文件。3.保證書。4.經驗證之結婚公證書</w:t>
      </w:r>
      <w:r w:rsidRPr="005D4AAC">
        <w:rPr>
          <w:rStyle w:val="af7"/>
          <w:rFonts w:eastAsia="新細明體"/>
          <w:sz w:val="20"/>
        </w:rPr>
        <w:footnoteReference w:id="532"/>
      </w:r>
      <w:r w:rsidRPr="00B40DC1">
        <w:t>。</w:t>
      </w:r>
    </w:p>
    <w:p w:rsidR="0049577B" w:rsidRPr="00B40DC1" w:rsidRDefault="0049577B" w:rsidP="005D4AAC">
      <w:pPr>
        <w:spacing w:line="240" w:lineRule="auto"/>
        <w:ind w:leftChars="0" w:left="0" w:rightChars="0" w:right="0"/>
      </w:pPr>
      <w:r w:rsidRPr="00B40DC1">
        <w:t xml:space="preserve">　　如大陸配偶於團聚入境後，未取得在臺依親居留許可即出境，俟再次來臺時，需再重新以團聚事由提出申請案，並提供以下應備文件，惟免再次接受面談：1.申請書（含照片）。2.六個月以上效期之大陸居民往來臺灣通行證影本。3.保證書。4.已辦妥結婚戶籍登記之證明文件。</w:t>
      </w:r>
    </w:p>
    <w:p w:rsidR="0049577B" w:rsidRPr="00B40DC1" w:rsidRDefault="005D4AAC" w:rsidP="005D4AAC">
      <w:pPr>
        <w:spacing w:line="240" w:lineRule="auto"/>
        <w:ind w:leftChars="0" w:left="0" w:rightChars="0" w:right="0"/>
      </w:pPr>
      <w:r>
        <w:t xml:space="preserve">　　</w:t>
      </w:r>
      <w:r w:rsidR="0049577B" w:rsidRPr="00B40DC1">
        <w:t>（二）依親居留</w:t>
      </w:r>
    </w:p>
    <w:p w:rsidR="0049577B" w:rsidRPr="00B40DC1" w:rsidRDefault="0049577B" w:rsidP="005D4AAC">
      <w:pPr>
        <w:spacing w:line="240" w:lineRule="auto"/>
        <w:ind w:leftChars="0" w:left="0" w:rightChars="0" w:right="0"/>
      </w:pPr>
      <w:r w:rsidRPr="00B40DC1">
        <w:t xml:space="preserve">　　在2009年之前，大陸配偶經許可來臺團聚後，須與我國國民結婚滿2年或已生產子女者，始得申請在臺依親居留，但因考量大陸配偶與外籍配偶之權益衡平性，行政院大陸委員會（以下簡稱陸委會）爰於2009年7月1日修正兩岸人民關係條</w:t>
      </w:r>
      <w:r w:rsidR="00FD79D3" w:rsidRPr="005D4AAC">
        <w:t>例</w:t>
      </w:r>
      <w:hyperlink r:id="rId450" w:anchor="b17" w:history="1">
        <w:r w:rsidR="00FD79D3" w:rsidRPr="00FD79D3">
          <w:rPr>
            <w:rStyle w:val="a7"/>
            <w:rFonts w:cs="Times New Roman"/>
            <w:lang w:eastAsia="zh-TW" w:bidi="ar-SA"/>
          </w:rPr>
          <w:t>第17條</w:t>
        </w:r>
      </w:hyperlink>
      <w:r w:rsidRPr="00B40DC1">
        <w:t>，並於同年8月14日發布施行，將大陸配偶來臺團聚須與我國國民結婚滿2年或已產子女者始得申請依親居留之規定刪除，修正為僅需大陸配偶經許可來臺團聚後，即可申請依親居留。此次法令之修正也顯現出我國政府已將大陸配偶團聚來臺停留之觀念視同外籍配偶取得停留簽證來臺之觀念，歸類為申請居留權之前之短暫過度期，因而刪除須結婚滿2年，始能申請依親居留之規定，在2009年修法以後之時期，即為大陸配偶取得身分證之年限，由8年改成6年之時期。</w:t>
      </w:r>
    </w:p>
    <w:p w:rsidR="0049577B" w:rsidRPr="00B40DC1" w:rsidRDefault="0049577B" w:rsidP="005D4AAC">
      <w:pPr>
        <w:spacing w:line="240" w:lineRule="auto"/>
        <w:ind w:leftChars="0" w:left="0" w:rightChars="0" w:right="0"/>
      </w:pPr>
      <w:r w:rsidRPr="00B40DC1">
        <w:t xml:space="preserve">　　大陸配偶一經面談通過取得團聚許可並完成結婚戶籍登記後，可檢附以下文件，由大陸配偶本人親自向移民署服務站提出申請</w:t>
      </w:r>
      <w:r w:rsidRPr="005D4AAC">
        <w:rPr>
          <w:rStyle w:val="af7"/>
          <w:rFonts w:eastAsia="新細明體"/>
          <w:sz w:val="20"/>
        </w:rPr>
        <w:footnoteReference w:id="533"/>
      </w:r>
      <w:r w:rsidRPr="00B40DC1">
        <w:t>，其每年申請並無數額限制：</w:t>
      </w:r>
    </w:p>
    <w:p w:rsidR="005D4AAC" w:rsidRPr="005D4AAC" w:rsidRDefault="005D4AAC" w:rsidP="005D4AAC">
      <w:pPr>
        <w:spacing w:line="240" w:lineRule="auto"/>
        <w:ind w:leftChars="0" w:left="0" w:rightChars="0" w:right="0"/>
      </w:pPr>
      <w:r w:rsidRPr="005D4AAC">
        <w:rPr>
          <w:rFonts w:hint="eastAsia"/>
        </w:rPr>
        <w:t xml:space="preserve">　　</w:t>
      </w:r>
      <w:r w:rsidRPr="005D4AAC">
        <w:t>1.依親居留申請書。</w:t>
      </w:r>
    </w:p>
    <w:p w:rsidR="005D4AAC" w:rsidRPr="005D4AAC" w:rsidRDefault="005D4AAC" w:rsidP="005D4AAC">
      <w:pPr>
        <w:spacing w:line="240" w:lineRule="auto"/>
        <w:ind w:leftChars="0" w:left="0" w:rightChars="0" w:right="0"/>
      </w:pPr>
      <w:r w:rsidRPr="005D4AAC">
        <w:rPr>
          <w:rFonts w:hint="eastAsia"/>
        </w:rPr>
        <w:t xml:space="preserve">　　</w:t>
      </w:r>
      <w:r w:rsidRPr="005D4AAC">
        <w:t>2.臺灣地區入出境許可證。</w:t>
      </w:r>
    </w:p>
    <w:p w:rsidR="005D4AAC" w:rsidRPr="005D4AAC" w:rsidRDefault="005D4AAC" w:rsidP="005D4AAC">
      <w:pPr>
        <w:spacing w:line="240" w:lineRule="auto"/>
        <w:ind w:leftChars="0" w:left="0" w:rightChars="0" w:right="0"/>
      </w:pPr>
      <w:r w:rsidRPr="005D4AAC">
        <w:rPr>
          <w:rFonts w:hint="eastAsia"/>
        </w:rPr>
        <w:t xml:space="preserve">　　</w:t>
      </w:r>
      <w:r w:rsidRPr="005D4AAC">
        <w:t>3.三個月內核發經驗證之刑事紀錄證明公證書。</w:t>
      </w:r>
    </w:p>
    <w:p w:rsidR="005D4AAC" w:rsidRPr="005D4AAC" w:rsidRDefault="005D4AAC" w:rsidP="005D4AAC">
      <w:pPr>
        <w:spacing w:line="240" w:lineRule="auto"/>
        <w:ind w:leftChars="0" w:left="0" w:rightChars="0" w:right="0"/>
      </w:pPr>
      <w:r w:rsidRPr="005D4AAC">
        <w:rPr>
          <w:rFonts w:hint="eastAsia"/>
        </w:rPr>
        <w:t xml:space="preserve">　　</w:t>
      </w:r>
      <w:r w:rsidRPr="005D4AAC">
        <w:t>4.中央衛生主管機關指定醫院出具之三個月內健康檢查合格證明。</w:t>
      </w:r>
    </w:p>
    <w:p w:rsidR="005D4AAC" w:rsidRPr="005D4AAC" w:rsidRDefault="005D4AAC" w:rsidP="005D4AAC">
      <w:pPr>
        <w:spacing w:line="240" w:lineRule="auto"/>
        <w:ind w:leftChars="0" w:left="0" w:rightChars="0" w:right="0"/>
      </w:pPr>
      <w:r w:rsidRPr="005D4AAC">
        <w:rPr>
          <w:rFonts w:hint="eastAsia"/>
        </w:rPr>
        <w:t xml:space="preserve">　　</w:t>
      </w:r>
      <w:r w:rsidRPr="005D4AAC">
        <w:t>5.申請時剩餘效期一個月以上之大陸地區護照或通行證（以下簡稱大陸地區證照）、居民身分證或其他足資證明其大陸地區人民身分之文件影本。</w:t>
      </w:r>
    </w:p>
    <w:p w:rsidR="005D4AAC" w:rsidRPr="005D4AAC" w:rsidRDefault="005D4AAC" w:rsidP="005D4AAC">
      <w:pPr>
        <w:spacing w:line="240" w:lineRule="auto"/>
        <w:ind w:leftChars="0" w:left="0" w:rightChars="0" w:right="0"/>
      </w:pPr>
      <w:r w:rsidRPr="005D4AAC">
        <w:rPr>
          <w:rFonts w:hint="eastAsia"/>
        </w:rPr>
        <w:t xml:space="preserve">　　</w:t>
      </w:r>
      <w:r w:rsidRPr="005D4AAC">
        <w:t>6.載有與依親對象結婚登記之證明文件。</w:t>
      </w:r>
    </w:p>
    <w:p w:rsidR="005D4AAC" w:rsidRPr="005D4AAC" w:rsidRDefault="005D4AAC" w:rsidP="005D4AAC">
      <w:pPr>
        <w:spacing w:line="240" w:lineRule="auto"/>
        <w:ind w:leftChars="0" w:left="0" w:rightChars="0" w:right="0"/>
      </w:pPr>
      <w:r w:rsidRPr="005D4AAC">
        <w:rPr>
          <w:rFonts w:hint="eastAsia"/>
        </w:rPr>
        <w:t xml:space="preserve">　　</w:t>
      </w:r>
      <w:r w:rsidRPr="005D4AAC">
        <w:t>7.其他相關證明文件。</w:t>
      </w:r>
    </w:p>
    <w:p w:rsidR="0049577B" w:rsidRPr="00B40DC1" w:rsidRDefault="005D4AAC" w:rsidP="005D4AAC">
      <w:pPr>
        <w:spacing w:line="240" w:lineRule="auto"/>
        <w:ind w:leftChars="0" w:left="0" w:rightChars="0" w:right="0"/>
      </w:pPr>
      <w:r w:rsidRPr="005D4AAC">
        <w:rPr>
          <w:rFonts w:asciiTheme="minorHAnsi" w:eastAsiaTheme="minorEastAsia" w:hAnsiTheme="minorHAnsi" w:cstheme="minorBidi" w:hint="eastAsia"/>
          <w:sz w:val="24"/>
          <w:szCs w:val="22"/>
        </w:rPr>
        <w:t xml:space="preserve">　　</w:t>
      </w:r>
      <w:r w:rsidR="0049577B" w:rsidRPr="00B40DC1">
        <w:t>大陸配偶若於來臺團聚前，已在大陸地區備妥申請在臺依親居留之相關證明文件，一經許可來臺團聚並完成在臺結婚戶籍登記後，便可立即提出依親居留申請案，從許可在臺團聚至申請依親居留，並無時程上之限制，惟因申請在臺依親居留應檢附文件中必須有臺灣中央衛生主管機關指定醫院所出具之健康檢查合格證明健康檢查，而一般醫院完成健康檢查證明需耗時10~14日，且移民署審核依親居留申請案件需5個工作天，因此，實務上大陸配偶自取得團聚許可至依親居留許可期間，最快需15~19日，與外籍配偶依規定需在15日內辦理外僑居留證之期間已相當接近，相較之下，兩者在辦理居留權之期程，並無太大之差異性。</w:t>
      </w:r>
    </w:p>
    <w:p w:rsidR="0049577B" w:rsidRPr="00B40DC1" w:rsidRDefault="0049577B" w:rsidP="005D4AAC">
      <w:pPr>
        <w:spacing w:line="240" w:lineRule="auto"/>
        <w:ind w:leftChars="0" w:left="0" w:rightChars="0" w:right="0"/>
      </w:pPr>
      <w:r w:rsidRPr="00B40DC1">
        <w:t xml:space="preserve">　　早期我國政府並未十分重視大陸配偶在臺居留之權利，若大陸配偶在臺居留期間，其依親對象死亡者，則視為在臺居留原因消失，須撤銷或廢止其在臺依親居留許可，並註銷居留許可證，因此造成許多已取得居留權之大陸配偶被強迫返回大陸地區，無法繼續在臺居住</w:t>
      </w:r>
      <w:r w:rsidRPr="005D4AAC">
        <w:rPr>
          <w:rStyle w:val="af7"/>
          <w:rFonts w:eastAsia="新細明體"/>
          <w:sz w:val="20"/>
        </w:rPr>
        <w:footnoteReference w:id="534"/>
      </w:r>
      <w:r w:rsidRPr="00B40DC1">
        <w:t>；反觀外籍配偶在臺若已取得居留權，其依親對象死亡者，得准予繼續居留</w:t>
      </w:r>
      <w:r w:rsidRPr="005D4AAC">
        <w:rPr>
          <w:rStyle w:val="af7"/>
          <w:rFonts w:eastAsia="新細明體"/>
          <w:sz w:val="20"/>
        </w:rPr>
        <w:footnoteReference w:id="535"/>
      </w:r>
      <w:r w:rsidRPr="00B40DC1">
        <w:t>，兩者之待遇可謂天壤之別，對於大陸配偶在臺居留權益影響甚鉅；因此，內政部在2009年8月14日時所修正發布之居留許可辦法</w:t>
      </w:r>
      <w:hyperlink r:id="rId451" w:anchor="a13" w:history="1">
        <w:r w:rsidRPr="00FD79D3">
          <w:rPr>
            <w:rStyle w:val="a7"/>
            <w:rFonts w:cs="Times New Roman"/>
            <w:lang w:eastAsia="zh-TW" w:bidi="ar-SA"/>
          </w:rPr>
          <w:t>第13條</w:t>
        </w:r>
      </w:hyperlink>
      <w:r w:rsidRPr="00B40DC1">
        <w:t>規定，如大陸配偶已在臺取得依親居留許可，但有1.依親對象死亡；2.於離婚後十日內與原依親對象再婚；3.離婚後經確定判決取得、離婚後十日內經協議取得其在臺灣地區已設有戶籍未成年親生子女權利義務之行使或負擔；4.因遭受家庭暴力經法院判決離婚，且有在臺灣地區設有戶籍之未成年親生子女…等情形者，不撤銷或廢止其依親居留許可，且對於依親對象死亡之大陸配偶，可溯及既往，凡於2004年3月1日後，已許可在臺灣地區依親居留，因依親對象死亡而被廢止依親居留許可，且未曾再婚者，不視為依親居留原因消失，於2009年8月14日居留定居許可辦法修正生效後，得依該辦法規定再申請依親居留許可</w:t>
      </w:r>
      <w:r w:rsidRPr="005D4AAC">
        <w:rPr>
          <w:rStyle w:val="af7"/>
          <w:rFonts w:eastAsia="新細明體"/>
          <w:sz w:val="20"/>
        </w:rPr>
        <w:footnoteReference w:id="536"/>
      </w:r>
      <w:r w:rsidRPr="00B40DC1">
        <w:t>；在2009年時，此一法令之修正，已展現我國政府對於大陸配偶與外籍配偶權益衡平已逐漸重視，而依此規定申請來臺依親居留者，免由本人親至移民署申請，可委託其在臺灣地區之二親等內親屬、配偶或其等委託移民業務機構、甲種以上旅行社代向移民署申請即可，經移民署審查許可後，發給入境許可暨依親居留證副本，交由代申請人轉發至在大陸地區之大陸配偶，俟大陸配偶入境後，再換發依親居留證。</w:t>
      </w:r>
    </w:p>
    <w:p w:rsidR="0049577B" w:rsidRPr="00B40DC1" w:rsidRDefault="0049577B" w:rsidP="005D4AAC">
      <w:pPr>
        <w:spacing w:line="240" w:lineRule="auto"/>
        <w:ind w:leftChars="0" w:left="0" w:rightChars="0" w:right="0"/>
      </w:pPr>
      <w:r w:rsidRPr="00B40DC1">
        <w:t xml:space="preserve">　　（三）長期居留</w:t>
      </w:r>
    </w:p>
    <w:p w:rsidR="0049577B" w:rsidRPr="00B40DC1" w:rsidRDefault="0049577B" w:rsidP="005D4AAC">
      <w:pPr>
        <w:spacing w:line="240" w:lineRule="auto"/>
        <w:ind w:leftChars="0" w:left="0" w:rightChars="0" w:right="0"/>
      </w:pPr>
      <w:r w:rsidRPr="00B40DC1">
        <w:t xml:space="preserve">　　依現行法令規定，大陸地區人民申請在臺長期居留可區婚姻性長期居留及專案長期居留</w:t>
      </w:r>
      <w:r w:rsidRPr="005D4AAC">
        <w:rPr>
          <w:rStyle w:val="af7"/>
          <w:rFonts w:eastAsia="新細明體"/>
          <w:sz w:val="20"/>
        </w:rPr>
        <w:footnoteReference w:id="537"/>
      </w:r>
      <w:r w:rsidRPr="00B40DC1">
        <w:t>，由於本文主要探討之對象為大陸配偶，因此將不著墨於專案長期居留之相關規範。</w:t>
      </w:r>
    </w:p>
    <w:p w:rsidR="0049577B" w:rsidRPr="00B40DC1" w:rsidRDefault="0049577B" w:rsidP="005D4AAC">
      <w:pPr>
        <w:spacing w:line="240" w:lineRule="auto"/>
        <w:ind w:leftChars="0" w:left="0" w:rightChars="0" w:right="0"/>
      </w:pPr>
      <w:r w:rsidRPr="00B40DC1">
        <w:t xml:space="preserve">　　大陸配偶依兩岸人民關係條</w:t>
      </w:r>
      <w:r w:rsidR="00FD79D3" w:rsidRPr="005D4AAC">
        <w:t>例</w:t>
      </w:r>
      <w:hyperlink r:id="rId452" w:anchor="b17" w:history="1">
        <w:r w:rsidR="00FD79D3" w:rsidRPr="00FD79D3">
          <w:rPr>
            <w:rStyle w:val="a7"/>
            <w:rFonts w:cs="Times New Roman"/>
            <w:lang w:eastAsia="zh-TW" w:bidi="ar-SA"/>
          </w:rPr>
          <w:t>第17條</w:t>
        </w:r>
      </w:hyperlink>
      <w:r w:rsidRPr="00B40DC1">
        <w:t>第3項規定，經許可在臺灣地區依親居留滿4年，且每年在臺灣地區合法居留期間逾183日者，得申請長期居留，經核准後，其居留期間完全無限制。其申請之方式，應由大陸配偶本人親自向移民署申請，其每年申請數額限制為1萬5千人</w:t>
      </w:r>
      <w:r w:rsidRPr="005D4AAC">
        <w:rPr>
          <w:rStyle w:val="af7"/>
          <w:rFonts w:eastAsia="新細明體"/>
          <w:sz w:val="20"/>
        </w:rPr>
        <w:footnoteReference w:id="538"/>
      </w:r>
      <w:r w:rsidRPr="00B40DC1">
        <w:t>，其申請時之應備文件如下</w:t>
      </w:r>
      <w:r w:rsidRPr="005D4AAC">
        <w:rPr>
          <w:rStyle w:val="af7"/>
          <w:rFonts w:eastAsia="新細明體"/>
          <w:sz w:val="20"/>
        </w:rPr>
        <w:footnoteReference w:id="539"/>
      </w:r>
      <w:r w:rsidRPr="00B40DC1">
        <w:t>：</w:t>
      </w:r>
    </w:p>
    <w:p w:rsidR="005D4AAC" w:rsidRPr="005D4AAC" w:rsidRDefault="005D4AAC" w:rsidP="005D4AAC">
      <w:pPr>
        <w:spacing w:line="240" w:lineRule="auto"/>
        <w:ind w:leftChars="0" w:left="0" w:rightChars="0" w:right="0"/>
      </w:pPr>
      <w:r w:rsidRPr="005D4AAC">
        <w:rPr>
          <w:rFonts w:hint="eastAsia"/>
        </w:rPr>
        <w:t xml:space="preserve">　　</w:t>
      </w:r>
      <w:r w:rsidRPr="005D4AAC">
        <w:t>1.長期居留申請書。</w:t>
      </w:r>
    </w:p>
    <w:p w:rsidR="005D4AAC" w:rsidRPr="005D4AAC" w:rsidRDefault="005D4AAC" w:rsidP="005D4AAC">
      <w:pPr>
        <w:spacing w:line="240" w:lineRule="auto"/>
        <w:ind w:leftChars="0" w:left="0" w:rightChars="0" w:right="0"/>
      </w:pPr>
      <w:r w:rsidRPr="005D4AAC">
        <w:rPr>
          <w:rFonts w:hint="eastAsia"/>
        </w:rPr>
        <w:t xml:space="preserve">　　</w:t>
      </w:r>
      <w:r w:rsidRPr="005D4AAC">
        <w:t>2.臺灣地區入出境許可證。</w:t>
      </w:r>
    </w:p>
    <w:p w:rsidR="005D4AAC" w:rsidRPr="005D4AAC" w:rsidRDefault="005D4AAC" w:rsidP="005D4AAC">
      <w:pPr>
        <w:spacing w:line="240" w:lineRule="auto"/>
        <w:ind w:leftChars="0" w:left="0" w:rightChars="0" w:right="0"/>
      </w:pPr>
      <w:r w:rsidRPr="005D4AAC">
        <w:rPr>
          <w:rFonts w:hint="eastAsia"/>
        </w:rPr>
        <w:t xml:space="preserve">　　</w:t>
      </w:r>
      <w:r w:rsidRPr="005D4AAC">
        <w:t>3.三個月內核發經驗證之刑事紀錄證明公證書。</w:t>
      </w:r>
    </w:p>
    <w:p w:rsidR="005D4AAC" w:rsidRPr="005D4AAC" w:rsidRDefault="005D4AAC" w:rsidP="005D4AAC">
      <w:pPr>
        <w:spacing w:line="240" w:lineRule="auto"/>
        <w:ind w:leftChars="0" w:left="0" w:rightChars="0" w:right="0"/>
      </w:pPr>
      <w:r w:rsidRPr="005D4AAC">
        <w:rPr>
          <w:rFonts w:hint="eastAsia"/>
        </w:rPr>
        <w:t xml:space="preserve">　　</w:t>
      </w:r>
      <w:r w:rsidRPr="005D4AAC">
        <w:t>4.中央衛生主管機關指定醫院出具之三個月內健康檢查合格證明。</w:t>
      </w:r>
    </w:p>
    <w:p w:rsidR="005D4AAC" w:rsidRPr="005D4AAC" w:rsidRDefault="005D4AAC" w:rsidP="005D4AAC">
      <w:pPr>
        <w:spacing w:line="240" w:lineRule="auto"/>
        <w:ind w:leftChars="0" w:left="0" w:rightChars="0" w:right="0"/>
      </w:pPr>
      <w:r w:rsidRPr="005D4AAC">
        <w:rPr>
          <w:rFonts w:hint="eastAsia"/>
        </w:rPr>
        <w:t xml:space="preserve">　　</w:t>
      </w:r>
      <w:r w:rsidRPr="005D4AAC">
        <w:t>5.申請時剩餘效期一個月以上之大陸地區證照、居民身分證或其他足資證明其大陸地區人民身分之文件影本。</w:t>
      </w:r>
    </w:p>
    <w:p w:rsidR="005D4AAC" w:rsidRPr="005D4AAC" w:rsidRDefault="005D4AAC" w:rsidP="005D4AAC">
      <w:pPr>
        <w:spacing w:line="240" w:lineRule="auto"/>
        <w:ind w:leftChars="0" w:left="0" w:rightChars="0" w:right="0"/>
      </w:pPr>
      <w:r w:rsidRPr="005D4AAC">
        <w:rPr>
          <w:rFonts w:hint="eastAsia"/>
        </w:rPr>
        <w:t xml:space="preserve">　　</w:t>
      </w:r>
      <w:r w:rsidRPr="005D4AAC">
        <w:t>6.與依親對象婚姻存續中、依親對象死亡，或離婚後取得在臺灣地區設有戶籍之未成年親生子女權利義務行使或負擔之證明。</w:t>
      </w:r>
    </w:p>
    <w:p w:rsidR="0049577B" w:rsidRPr="005D4AAC" w:rsidRDefault="005D4AAC" w:rsidP="005D4AAC">
      <w:pPr>
        <w:spacing w:line="240" w:lineRule="auto"/>
        <w:ind w:leftChars="0" w:left="0" w:rightChars="0" w:right="0"/>
      </w:pPr>
      <w:r w:rsidRPr="005D4AAC">
        <w:rPr>
          <w:rFonts w:hint="eastAsia"/>
        </w:rPr>
        <w:t xml:space="preserve">　　</w:t>
      </w:r>
      <w:r w:rsidRPr="005D4AAC">
        <w:t>7.其他相關證明文件。</w:t>
      </w:r>
    </w:p>
    <w:p w:rsidR="0049577B" w:rsidRPr="005D4AAC" w:rsidRDefault="004B5698" w:rsidP="005D4AAC">
      <w:pPr>
        <w:spacing w:line="240" w:lineRule="auto"/>
        <w:ind w:leftChars="0" w:left="0" w:rightChars="0" w:right="0"/>
      </w:pPr>
      <w:r w:rsidRPr="005D4AAC">
        <w:t xml:space="preserve">　　</w:t>
      </w:r>
      <w:r w:rsidR="0049577B" w:rsidRPr="005D4AAC">
        <w:t>（四）定居</w:t>
      </w:r>
    </w:p>
    <w:p w:rsidR="0049577B" w:rsidRPr="005D4AAC" w:rsidRDefault="0049577B" w:rsidP="005D4AAC">
      <w:pPr>
        <w:spacing w:line="240" w:lineRule="auto"/>
        <w:ind w:leftChars="0" w:left="0" w:rightChars="0" w:right="0"/>
      </w:pPr>
      <w:r w:rsidRPr="005D4AAC">
        <w:t xml:space="preserve">　　以現行法令規範，大陸地區人民申請來臺定居事由甚多，主要係依據兩岸人民關係條例</w:t>
      </w:r>
      <w:hyperlink r:id="rId453" w:anchor="b16" w:history="1">
        <w:r w:rsidRPr="00FD79D3">
          <w:rPr>
            <w:rStyle w:val="a7"/>
            <w:rFonts w:cs="Times New Roman"/>
            <w:lang w:eastAsia="zh-TW" w:bidi="ar-SA"/>
          </w:rPr>
          <w:t>第16條</w:t>
        </w:r>
      </w:hyperlink>
      <w:r w:rsidRPr="005D4AAC">
        <w:t>第2項規定，分為以下六款定居事由：</w:t>
      </w:r>
    </w:p>
    <w:p w:rsidR="005D4AAC" w:rsidRPr="005D4AAC" w:rsidRDefault="005D4AAC" w:rsidP="005D4AAC">
      <w:pPr>
        <w:spacing w:line="240" w:lineRule="auto"/>
        <w:ind w:leftChars="0" w:left="0" w:rightChars="0" w:right="0"/>
      </w:pPr>
      <w:r w:rsidRPr="005D4AAC">
        <w:rPr>
          <w:rFonts w:hint="eastAsia"/>
        </w:rPr>
        <w:t xml:space="preserve">　　</w:t>
      </w:r>
      <w:r w:rsidRPr="005D4AAC">
        <w:t>1.臺灣地區人民之直系血親及配偶，年齡在七十歲以上、十二歲以下者。</w:t>
      </w:r>
    </w:p>
    <w:p w:rsidR="005D4AAC" w:rsidRPr="005D4AAC" w:rsidRDefault="005D4AAC" w:rsidP="005D4AAC">
      <w:pPr>
        <w:spacing w:line="240" w:lineRule="auto"/>
        <w:ind w:leftChars="0" w:left="0" w:rightChars="0" w:right="0"/>
      </w:pPr>
      <w:r w:rsidRPr="005D4AAC">
        <w:rPr>
          <w:rFonts w:hint="eastAsia"/>
        </w:rPr>
        <w:t xml:space="preserve">　　</w:t>
      </w:r>
      <w:r w:rsidRPr="005D4AAC">
        <w:t>2.其臺灣地區之配偶死亡，須在臺灣地區照顧未成年之親生子女者。</w:t>
      </w:r>
    </w:p>
    <w:p w:rsidR="005D4AAC" w:rsidRPr="005D4AAC" w:rsidRDefault="005D4AAC" w:rsidP="005D4AAC">
      <w:pPr>
        <w:spacing w:line="240" w:lineRule="auto"/>
        <w:ind w:leftChars="0" w:left="0" w:rightChars="0" w:right="0"/>
      </w:pPr>
      <w:r w:rsidRPr="005D4AAC">
        <w:rPr>
          <w:rFonts w:hint="eastAsia"/>
        </w:rPr>
        <w:t xml:space="preserve">　　</w:t>
      </w:r>
      <w:r w:rsidRPr="005D4AAC">
        <w:t>3.民國三十四年後，因兵役關係滯留大陸地區之臺籍軍人及其配偶。</w:t>
      </w:r>
    </w:p>
    <w:p w:rsidR="005D4AAC" w:rsidRPr="005D4AAC" w:rsidRDefault="005D4AAC" w:rsidP="005D4AAC">
      <w:pPr>
        <w:spacing w:line="240" w:lineRule="auto"/>
        <w:ind w:leftChars="0" w:left="0" w:rightChars="0" w:right="0"/>
      </w:pPr>
      <w:r w:rsidRPr="005D4AAC">
        <w:rPr>
          <w:rFonts w:hint="eastAsia"/>
        </w:rPr>
        <w:t xml:space="preserve">　　</w:t>
      </w:r>
      <w:r w:rsidRPr="005D4AAC">
        <w:t>4.民國三十八年政府遷臺後，因作戰或執行特種任務被俘之前國軍官兵及其配偶。</w:t>
      </w:r>
    </w:p>
    <w:p w:rsidR="005D4AAC" w:rsidRPr="005D4AAC" w:rsidRDefault="005D4AAC" w:rsidP="005D4AAC">
      <w:pPr>
        <w:spacing w:line="240" w:lineRule="auto"/>
        <w:ind w:leftChars="0" w:left="0" w:rightChars="0" w:right="0"/>
      </w:pPr>
      <w:r w:rsidRPr="005D4AAC">
        <w:rPr>
          <w:rFonts w:hint="eastAsia"/>
        </w:rPr>
        <w:t xml:space="preserve">　　</w:t>
      </w:r>
      <w:r w:rsidRPr="005D4AAC">
        <w:t>5.民國三十八年政府遷臺前，以公費派赴大陸地區求學人員及其配偶。</w:t>
      </w:r>
    </w:p>
    <w:p w:rsidR="005D4AAC" w:rsidRPr="005D4AAC" w:rsidRDefault="005D4AAC" w:rsidP="005D4AAC">
      <w:pPr>
        <w:spacing w:line="240" w:lineRule="auto"/>
        <w:ind w:leftChars="0" w:left="0" w:rightChars="0" w:right="0"/>
      </w:pPr>
      <w:r w:rsidRPr="005D4AAC">
        <w:rPr>
          <w:rFonts w:hint="eastAsia"/>
        </w:rPr>
        <w:t xml:space="preserve">　　</w:t>
      </w:r>
      <w:r w:rsidRPr="005D4AAC">
        <w:t>6.民國七十六年十一月一日前，因船舶故障、海難或其他不可抗力之事由滯留大陸地區，且在臺灣地區原有戶籍之漁民或船員。</w:t>
      </w:r>
    </w:p>
    <w:p w:rsidR="0049577B" w:rsidRPr="005D4AAC" w:rsidRDefault="005D4AAC" w:rsidP="005D4AAC">
      <w:pPr>
        <w:spacing w:line="240" w:lineRule="auto"/>
        <w:ind w:leftChars="0" w:left="0" w:rightChars="0" w:right="0"/>
      </w:pPr>
      <w:r w:rsidRPr="005D4AAC">
        <w:t xml:space="preserve">　　</w:t>
      </w:r>
      <w:r w:rsidR="0049577B" w:rsidRPr="005D4AAC">
        <w:t>至於大陸配偶在臺定居之規範，則是依據兩岸人民關係條例</w:t>
      </w:r>
      <w:hyperlink r:id="rId454" w:anchor="b17" w:history="1">
        <w:r w:rsidR="0049577B" w:rsidRPr="00FD79D3">
          <w:rPr>
            <w:rStyle w:val="a7"/>
            <w:rFonts w:cs="Times New Roman"/>
            <w:lang w:eastAsia="zh-TW" w:bidi="ar-SA"/>
          </w:rPr>
          <w:t>第17條</w:t>
        </w:r>
      </w:hyperlink>
      <w:r w:rsidR="0049577B" w:rsidRPr="005D4AAC">
        <w:t>第5項規定，大陸配偶須具備以下條件者，始得申請在臺定居：</w:t>
      </w:r>
    </w:p>
    <w:p w:rsidR="005D4AAC" w:rsidRPr="005D4AAC" w:rsidRDefault="005D4AAC" w:rsidP="005D4AAC">
      <w:pPr>
        <w:spacing w:line="240" w:lineRule="auto"/>
        <w:ind w:leftChars="0" w:left="0" w:rightChars="0" w:right="0"/>
      </w:pPr>
      <w:r w:rsidRPr="005D4AAC">
        <w:rPr>
          <w:rFonts w:hint="eastAsia"/>
        </w:rPr>
        <w:t xml:space="preserve">　　</w:t>
      </w:r>
      <w:r w:rsidRPr="005D4AAC">
        <w:t>1.在臺灣地區合法居留連續二年且每年居住逾一百八十三日。</w:t>
      </w:r>
    </w:p>
    <w:p w:rsidR="005D4AAC" w:rsidRPr="005D4AAC" w:rsidRDefault="005D4AAC" w:rsidP="005D4AAC">
      <w:pPr>
        <w:spacing w:line="240" w:lineRule="auto"/>
        <w:ind w:leftChars="0" w:left="0" w:rightChars="0" w:right="0"/>
      </w:pPr>
      <w:r w:rsidRPr="005D4AAC">
        <w:rPr>
          <w:rFonts w:hint="eastAsia"/>
        </w:rPr>
        <w:t xml:space="preserve">　　</w:t>
      </w:r>
      <w:r w:rsidRPr="005D4AAC">
        <w:t>2.品行端正，無犯罪紀錄。</w:t>
      </w:r>
    </w:p>
    <w:p w:rsidR="005D4AAC" w:rsidRPr="005D4AAC" w:rsidRDefault="005D4AAC" w:rsidP="005D4AAC">
      <w:pPr>
        <w:spacing w:line="240" w:lineRule="auto"/>
        <w:ind w:leftChars="0" w:left="0" w:rightChars="0" w:right="0"/>
      </w:pPr>
      <w:r w:rsidRPr="005D4AAC">
        <w:rPr>
          <w:rFonts w:hint="eastAsia"/>
        </w:rPr>
        <w:t xml:space="preserve">　　</w:t>
      </w:r>
      <w:r w:rsidRPr="005D4AAC">
        <w:t>3.提出喪失原籍證明。</w:t>
      </w:r>
    </w:p>
    <w:p w:rsidR="005D4AAC" w:rsidRPr="005D4AAC" w:rsidRDefault="005D4AAC" w:rsidP="005D4AAC">
      <w:pPr>
        <w:spacing w:line="240" w:lineRule="auto"/>
        <w:ind w:leftChars="0" w:left="0" w:rightChars="0" w:right="0"/>
      </w:pPr>
      <w:r w:rsidRPr="005D4AAC">
        <w:rPr>
          <w:rFonts w:hint="eastAsia"/>
        </w:rPr>
        <w:t xml:space="preserve">　　</w:t>
      </w:r>
      <w:r w:rsidRPr="005D4AAC">
        <w:t>4.符合國家利益。</w:t>
      </w:r>
    </w:p>
    <w:p w:rsidR="0049577B" w:rsidRPr="005D4AAC" w:rsidRDefault="0049577B" w:rsidP="005D4AAC">
      <w:pPr>
        <w:spacing w:line="240" w:lineRule="auto"/>
        <w:ind w:leftChars="0" w:left="0" w:rightChars="0" w:right="0"/>
      </w:pPr>
      <w:r w:rsidRPr="005D4AAC">
        <w:t xml:space="preserve">　　另外，除符合以上條件後，並須檢附以下文件，向移民署提出定居申請，經審核者，發給定居證</w:t>
      </w:r>
      <w:r w:rsidRPr="00430875">
        <w:rPr>
          <w:rFonts w:ascii="Arial Unicode MS" w:eastAsia="新細明體" w:hAnsi="Arial Unicode MS"/>
          <w:color w:val="FF6600"/>
          <w:sz w:val="20"/>
        </w:rPr>
        <w:footnoteReference w:id="540"/>
      </w:r>
      <w:r w:rsidRPr="005D4AAC">
        <w:t>：</w:t>
      </w:r>
    </w:p>
    <w:p w:rsidR="005D4AAC" w:rsidRPr="005D4AAC" w:rsidRDefault="005D4AAC" w:rsidP="005D4AAC">
      <w:pPr>
        <w:spacing w:line="240" w:lineRule="auto"/>
        <w:ind w:leftChars="0" w:left="0" w:rightChars="0" w:right="0"/>
      </w:pPr>
      <w:r w:rsidRPr="005D4AAC">
        <w:rPr>
          <w:rFonts w:hint="eastAsia"/>
        </w:rPr>
        <w:t xml:space="preserve">　　</w:t>
      </w:r>
      <w:r w:rsidRPr="005D4AAC">
        <w:t>1.定居申請書。</w:t>
      </w:r>
    </w:p>
    <w:p w:rsidR="005D4AAC" w:rsidRPr="005D4AAC" w:rsidRDefault="005D4AAC" w:rsidP="005D4AAC">
      <w:pPr>
        <w:spacing w:line="240" w:lineRule="auto"/>
        <w:ind w:leftChars="0" w:left="0" w:rightChars="0" w:right="0"/>
      </w:pPr>
      <w:r w:rsidRPr="005D4AAC">
        <w:rPr>
          <w:rFonts w:hint="eastAsia"/>
        </w:rPr>
        <w:t xml:space="preserve">　　</w:t>
      </w:r>
      <w:r w:rsidRPr="005D4AAC">
        <w:t>2.臺灣地區入出境許可證。</w:t>
      </w:r>
    </w:p>
    <w:p w:rsidR="005D4AAC" w:rsidRPr="005D4AAC" w:rsidRDefault="005D4AAC" w:rsidP="005D4AAC">
      <w:pPr>
        <w:spacing w:line="240" w:lineRule="auto"/>
        <w:ind w:leftChars="0" w:left="0" w:rightChars="0" w:right="0"/>
      </w:pPr>
      <w:r w:rsidRPr="005D4AAC">
        <w:rPr>
          <w:rFonts w:hint="eastAsia"/>
        </w:rPr>
        <w:t xml:space="preserve">　　</w:t>
      </w:r>
      <w:r w:rsidRPr="005D4AAC">
        <w:t>3.三個月內核發經驗證之刑事紀錄證明公證書。但申請人未成年者，免附。</w:t>
      </w:r>
    </w:p>
    <w:p w:rsidR="005D4AAC" w:rsidRPr="005D4AAC" w:rsidRDefault="005D4AAC" w:rsidP="005D4AAC">
      <w:pPr>
        <w:spacing w:line="240" w:lineRule="auto"/>
        <w:ind w:leftChars="0" w:left="0" w:rightChars="0" w:right="0"/>
      </w:pPr>
      <w:r w:rsidRPr="005D4AAC">
        <w:rPr>
          <w:rFonts w:hint="eastAsia"/>
        </w:rPr>
        <w:t xml:space="preserve">　　</w:t>
      </w:r>
      <w:r w:rsidRPr="005D4AAC">
        <w:t>4.中央衛生主管機關指定醫院出具三個月內之健康檢查合格證明。</w:t>
      </w:r>
    </w:p>
    <w:p w:rsidR="005D4AAC" w:rsidRPr="005D4AAC" w:rsidRDefault="005D4AAC" w:rsidP="005D4AAC">
      <w:pPr>
        <w:spacing w:line="240" w:lineRule="auto"/>
        <w:ind w:leftChars="0" w:left="0" w:rightChars="0" w:right="0"/>
      </w:pPr>
      <w:r w:rsidRPr="005D4AAC">
        <w:rPr>
          <w:rFonts w:hint="eastAsia"/>
        </w:rPr>
        <w:t xml:space="preserve">　　</w:t>
      </w:r>
      <w:r w:rsidRPr="005D4AAC">
        <w:t>5.申請時剩餘效期一個月以上效期之大陸地區證照影本、居民身分證或其他足資證明居民身分之文件影本。</w:t>
      </w:r>
    </w:p>
    <w:p w:rsidR="005D4AAC" w:rsidRPr="005D4AAC" w:rsidRDefault="005D4AAC" w:rsidP="005D4AAC">
      <w:pPr>
        <w:spacing w:line="240" w:lineRule="auto"/>
        <w:ind w:leftChars="0" w:left="0" w:rightChars="0" w:right="0"/>
      </w:pPr>
      <w:r w:rsidRPr="005D4AAC">
        <w:rPr>
          <w:rFonts w:hint="eastAsia"/>
        </w:rPr>
        <w:t xml:space="preserve">　　</w:t>
      </w:r>
      <w:r w:rsidRPr="005D4AAC">
        <w:t>6.喪失原籍證明之公證書。</w:t>
      </w:r>
    </w:p>
    <w:p w:rsidR="005D4AAC" w:rsidRPr="005D4AAC" w:rsidRDefault="005D4AAC" w:rsidP="005D4AAC">
      <w:pPr>
        <w:spacing w:line="240" w:lineRule="auto"/>
        <w:ind w:leftChars="0" w:left="0" w:rightChars="0" w:right="0"/>
      </w:pPr>
      <w:r w:rsidRPr="005D4AAC">
        <w:rPr>
          <w:rFonts w:hint="eastAsia"/>
        </w:rPr>
        <w:t xml:space="preserve">　　</w:t>
      </w:r>
      <w:r w:rsidRPr="005D4AAC">
        <w:t>7.記載出生地及父母姓名之公證書。</w:t>
      </w:r>
    </w:p>
    <w:p w:rsidR="005D4AAC" w:rsidRPr="005D4AAC" w:rsidRDefault="005D4AAC" w:rsidP="005D4AAC">
      <w:pPr>
        <w:spacing w:line="240" w:lineRule="auto"/>
        <w:ind w:leftChars="0" w:left="0" w:rightChars="0" w:right="0"/>
      </w:pPr>
      <w:r w:rsidRPr="005D4AAC">
        <w:rPr>
          <w:rFonts w:hint="eastAsia"/>
        </w:rPr>
        <w:t xml:space="preserve">　　</w:t>
      </w:r>
      <w:r w:rsidRPr="005D4AAC">
        <w:t>8.與依親對象婚姻存續中、依親對象死亡或離婚後取得在臺灣地區設有戶籍之未成年親生子女權利義務行使或負擔之證明。但專案許可長期居留者，免附。</w:t>
      </w:r>
    </w:p>
    <w:p w:rsidR="005D4AAC" w:rsidRPr="005D4AAC" w:rsidRDefault="005D4AAC" w:rsidP="005D4AAC">
      <w:pPr>
        <w:spacing w:line="240" w:lineRule="auto"/>
        <w:ind w:leftChars="0" w:left="0" w:rightChars="0" w:right="0"/>
      </w:pPr>
      <w:r w:rsidRPr="005D4AAC">
        <w:rPr>
          <w:rFonts w:hint="eastAsia"/>
        </w:rPr>
        <w:t xml:space="preserve">　　</w:t>
      </w:r>
      <w:r w:rsidRPr="005D4AAC">
        <w:t>9.中央目的事業主管機關加註同意定居意見之證明。但非專案許可長期居留者，免附。</w:t>
      </w:r>
    </w:p>
    <w:p w:rsidR="005D4AAC" w:rsidRPr="005D4AAC" w:rsidRDefault="005D4AAC" w:rsidP="005D4AAC">
      <w:pPr>
        <w:spacing w:line="240" w:lineRule="auto"/>
        <w:ind w:leftChars="0" w:left="0" w:rightChars="0" w:right="0"/>
      </w:pPr>
      <w:r w:rsidRPr="005D4AAC">
        <w:rPr>
          <w:rFonts w:hint="eastAsia"/>
        </w:rPr>
        <w:t xml:space="preserve">　　</w:t>
      </w:r>
      <w:r w:rsidRPr="005D4AAC">
        <w:t>10.其他相關證明文件。</w:t>
      </w:r>
    </w:p>
    <w:p w:rsidR="0049577B" w:rsidRPr="00B40DC1" w:rsidRDefault="0049577B" w:rsidP="005D4AAC">
      <w:pPr>
        <w:spacing w:line="240" w:lineRule="auto"/>
        <w:ind w:leftChars="0" w:left="0" w:rightChars="0" w:right="0"/>
      </w:pPr>
      <w:r w:rsidRPr="005D4AAC">
        <w:t xml:space="preserve">　　移民署於核發定居證給大陸配偶之同時，將會發函通知大陸配偶居留地之戶政事</w:t>
      </w:r>
      <w:r w:rsidRPr="00B40DC1">
        <w:t>務所，大陸配偶須持憑定居證至指定之戶政事務所辦理初設戶籍，並於繳交照片後，即可申領中華民國身分證。惟依據上開辦理定居許可應附文件第七款所稱，辦理定居證需檢附喪失原籍證明之公證書，但大陸地區部分省市在辦理喪失原籍證明之公證書時，卻需繳附在臺已設籍證明，始得辦理，造成兩方辦理程序上之矛盾。因此為照顧大陸配偶在臺生活之權益，移民署在受理定居申請案時，同意大陸配偶先以具結方式聲明願意放棄大陸地區戶籍，俟已在臺設籍後，再請其於3個月內補送喪失原籍證明之公證書，若逾期未補送者，移民署將註銷其定居證，並通知戶政事務所註銷其戶籍登記，使之恢復大陸地區人民身分</w:t>
      </w:r>
      <w:r w:rsidRPr="005D4AAC">
        <w:rPr>
          <w:rStyle w:val="af7"/>
          <w:rFonts w:eastAsia="新細明體"/>
          <w:sz w:val="20"/>
        </w:rPr>
        <w:footnoteReference w:id="541"/>
      </w:r>
      <w:r w:rsidRPr="00B40DC1">
        <w:t>。</w:t>
      </w:r>
    </w:p>
    <w:p w:rsidR="0049577B" w:rsidRPr="00B40DC1" w:rsidRDefault="00430875" w:rsidP="00430875">
      <w:pPr>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31" w:name="_參、平等權之探討"/>
      <w:bookmarkEnd w:id="131"/>
      <w:r w:rsidRPr="00B40DC1">
        <w:t>參、平等權之探討</w:t>
      </w:r>
    </w:p>
    <w:p w:rsidR="0049577B" w:rsidRPr="00B40DC1" w:rsidRDefault="004B5698" w:rsidP="005D4AAC">
      <w:pPr>
        <w:spacing w:line="240" w:lineRule="auto"/>
        <w:ind w:leftChars="0" w:left="0" w:rightChars="0" w:right="0"/>
      </w:pPr>
      <w:r>
        <w:t xml:space="preserve">　　</w:t>
      </w:r>
      <w:r w:rsidR="0049577B" w:rsidRPr="00B40DC1">
        <w:t>依據</w:t>
      </w:r>
      <w:r w:rsidR="0049577B" w:rsidRPr="00A67DD0">
        <w:rPr>
          <w:bCs/>
          <w:iCs/>
        </w:rPr>
        <w:t>公民及政治權利國際公約</w:t>
      </w:r>
      <w:r w:rsidR="0049577B" w:rsidRPr="00B40DC1">
        <w:t>(the International Covenant on Civil and Political Rights，簡稱為ICCPR)</w:t>
      </w:r>
      <w:hyperlink r:id="rId455" w:anchor="a2" w:history="1">
        <w:r w:rsidR="0049577B" w:rsidRPr="00A67DD0">
          <w:rPr>
            <w:rStyle w:val="a7"/>
            <w:rFonts w:cs="Times New Roman"/>
            <w:lang w:eastAsia="zh-TW" w:bidi="ar-SA"/>
          </w:rPr>
          <w:t>第2條</w:t>
        </w:r>
      </w:hyperlink>
      <w:r w:rsidR="0049577B" w:rsidRPr="00B40DC1">
        <w:t>第1項之規定，「本公約締約國承允尊重並確保所有境內受其管轄之人，無分種族、膚色、性別、語言、宗教、政見或其他主張、民族本源、社會階級、財產、出生或其他身分等等，一律享受本公約所確認之權利。」在上述之規定中，特別重視於個人所享有本公約之權利之保障之方式，係以一種無差別待遇之形式加以實踐。亦即，禁止針對於種族、膚色、性別、語言、宗教、政見或其他主張、民族本源、社會階級、財產、出生或其他身分等等之因素，作出任何之區別待遇。</w:t>
      </w:r>
    </w:p>
    <w:p w:rsidR="0049577B" w:rsidRPr="00B40DC1" w:rsidRDefault="00531F2F" w:rsidP="005D4AAC">
      <w:pPr>
        <w:spacing w:line="240" w:lineRule="auto"/>
        <w:ind w:leftChars="0" w:left="0" w:rightChars="0" w:right="0"/>
      </w:pPr>
      <w:r>
        <w:t xml:space="preserve">　　</w:t>
      </w:r>
      <w:r w:rsidR="0049577B" w:rsidRPr="00B40DC1">
        <w:t>儘管上開世界人權宣言</w:t>
      </w:r>
      <w:hyperlink r:id="rId456" w:anchor="a2" w:history="1">
        <w:r w:rsidR="00A67DD0" w:rsidRPr="00A67DD0">
          <w:rPr>
            <w:rStyle w:val="a7"/>
            <w:rFonts w:cs="Times New Roman"/>
            <w:lang w:eastAsia="zh-TW" w:bidi="ar-SA"/>
          </w:rPr>
          <w:t>第2條</w:t>
        </w:r>
      </w:hyperlink>
      <w:r w:rsidR="0049577B" w:rsidRPr="00B40DC1">
        <w:t>及公民及政治權利國際公約</w:t>
      </w:r>
      <w:hyperlink r:id="rId457" w:anchor="a2" w:history="1">
        <w:r w:rsidR="0049577B" w:rsidRPr="00A67DD0">
          <w:rPr>
            <w:rStyle w:val="a7"/>
            <w:rFonts w:cs="Times New Roman"/>
            <w:lang w:eastAsia="zh-TW" w:bidi="ar-SA"/>
          </w:rPr>
          <w:t>第2條</w:t>
        </w:r>
      </w:hyperlink>
      <w:r w:rsidR="0049577B" w:rsidRPr="00B40DC1">
        <w:t>第1項均明文規定，禁止就個人所享有之一切權利及自由，作出任何差別式之對待。然而，並非所有針對於不同之人別與群體所作出之區別處遇，均可被視為差別對待。事實上，針對人別所作出之差別待遇，如其擬欲追求客觀及合法之目的，且在手段之運用上，上述之區別手法(手段)，具有合理性；換言之，係採用合理化之手段，此時，上述之人別差別待遇，可被加以正當化</w:t>
      </w:r>
      <w:r w:rsidR="0049577B" w:rsidRPr="00430875">
        <w:rPr>
          <w:rStyle w:val="af7"/>
          <w:rFonts w:eastAsia="新細明體"/>
          <w:sz w:val="20"/>
        </w:rPr>
        <w:footnoteReference w:id="542"/>
      </w:r>
      <w:r w:rsidR="0049577B" w:rsidRPr="00B40DC1">
        <w:t>。</w:t>
      </w:r>
    </w:p>
    <w:p w:rsidR="0049577B" w:rsidRPr="00B40DC1" w:rsidRDefault="00531F2F" w:rsidP="005D4AAC">
      <w:pPr>
        <w:spacing w:line="240" w:lineRule="auto"/>
        <w:ind w:leftChars="0" w:left="0" w:rightChars="0" w:right="0"/>
      </w:pPr>
      <w:r>
        <w:t xml:space="preserve">　　</w:t>
      </w:r>
      <w:r w:rsidR="0049577B" w:rsidRPr="00B40DC1">
        <w:t>另外，公民及政治權利國際公約人權（事務）委員會（the Human Right Committee, 簡稱HRC）認為任何人站在平等之基石上，所享有之權利或自由之意含，並不意味著對於每一個個案(情境)而論，均需採取相同之對待(處置)( does not mean identical treatment in every instance)。HRC並以ICCPR</w:t>
      </w:r>
      <w:hyperlink r:id="rId458" w:anchor="a6" w:history="1">
        <w:r w:rsidR="0049577B" w:rsidRPr="00A67DD0">
          <w:rPr>
            <w:rStyle w:val="a7"/>
            <w:rFonts w:cs="Times New Roman"/>
            <w:lang w:eastAsia="zh-TW" w:bidi="ar-SA"/>
          </w:rPr>
          <w:t>第6條</w:t>
        </w:r>
      </w:hyperlink>
      <w:r w:rsidR="0049577B" w:rsidRPr="00B40DC1">
        <w:t>第5項為例，闡釋上述之法理。根據ICCP</w:t>
      </w:r>
      <w:r w:rsidR="00A67DD0" w:rsidRPr="00B40DC1">
        <w:t>R</w:t>
      </w:r>
      <w:hyperlink r:id="rId459" w:anchor="a6" w:history="1">
        <w:r w:rsidR="00A67DD0" w:rsidRPr="00A67DD0">
          <w:rPr>
            <w:rStyle w:val="a7"/>
            <w:rFonts w:cs="Times New Roman"/>
            <w:lang w:eastAsia="zh-TW" w:bidi="ar-SA"/>
          </w:rPr>
          <w:t>第6條</w:t>
        </w:r>
      </w:hyperlink>
      <w:r w:rsidR="0049577B" w:rsidRPr="00B40DC1">
        <w:t>第5項之規定，「未滿十八歲之人犯罪，不得判處死刑；懷胎婦女被判死刑，不得執行其刑。」上述之規範，即是採用一種不同方式之對待(處置)。然而，即使ICCP</w:t>
      </w:r>
      <w:r w:rsidR="00A67DD0" w:rsidRPr="00B40DC1">
        <w:t>R</w:t>
      </w:r>
      <w:hyperlink r:id="rId460" w:anchor="a6" w:history="1">
        <w:r w:rsidR="00A67DD0" w:rsidRPr="00A67DD0">
          <w:rPr>
            <w:rStyle w:val="a7"/>
            <w:rFonts w:cs="Times New Roman"/>
            <w:lang w:eastAsia="zh-TW" w:bidi="ar-SA"/>
          </w:rPr>
          <w:t>第6條</w:t>
        </w:r>
      </w:hyperlink>
      <w:r w:rsidR="0049577B" w:rsidRPr="00B40DC1">
        <w:t>第5項採取不同方式之對待(處置)，仍是屬於合法之作法，並未違法。由此，亦可發現，針對於不同個案之案情，採取不同方式之對待(處置)，仍是符合世界人權宣</w:t>
      </w:r>
      <w:r w:rsidR="00A67DD0" w:rsidRPr="00B40DC1">
        <w:t>言</w:t>
      </w:r>
      <w:hyperlink r:id="rId461" w:anchor="a2" w:history="1">
        <w:r w:rsidR="00A67DD0" w:rsidRPr="00A67DD0">
          <w:rPr>
            <w:rStyle w:val="a7"/>
            <w:rFonts w:cs="Times New Roman"/>
            <w:lang w:eastAsia="zh-TW" w:bidi="ar-SA"/>
          </w:rPr>
          <w:t>第2條</w:t>
        </w:r>
      </w:hyperlink>
      <w:r w:rsidR="00A67DD0" w:rsidRPr="00B40DC1">
        <w:t>及公民及政治權利國際公約</w:t>
      </w:r>
      <w:hyperlink r:id="rId462" w:anchor="a2" w:history="1">
        <w:r w:rsidR="00A67DD0" w:rsidRPr="00A67DD0">
          <w:rPr>
            <w:rStyle w:val="a7"/>
            <w:rFonts w:cs="Times New Roman"/>
            <w:lang w:eastAsia="zh-TW" w:bidi="ar-SA"/>
          </w:rPr>
          <w:t>第2條</w:t>
        </w:r>
      </w:hyperlink>
      <w:r w:rsidR="0049577B" w:rsidRPr="00B40DC1">
        <w:t>第1項之要求</w:t>
      </w:r>
      <w:r w:rsidR="0049577B" w:rsidRPr="00430875">
        <w:rPr>
          <w:rStyle w:val="af7"/>
          <w:rFonts w:eastAsia="新細明體"/>
          <w:sz w:val="20"/>
        </w:rPr>
        <w:footnoteReference w:id="543"/>
      </w:r>
      <w:r w:rsidR="0049577B" w:rsidRPr="00B40DC1">
        <w:t>。</w:t>
      </w:r>
    </w:p>
    <w:p w:rsidR="0049577B" w:rsidRPr="00B40DC1" w:rsidRDefault="0049577B" w:rsidP="005D4AAC">
      <w:pPr>
        <w:spacing w:line="240" w:lineRule="auto"/>
        <w:ind w:leftChars="0" w:left="0" w:rightChars="0" w:right="0"/>
      </w:pPr>
      <w:r w:rsidRPr="00B40DC1">
        <w:t xml:space="preserve">　　站在ICCPR締約國之立場，締約國為了保障平等權之實踐，有時，須針對於會產生或有助於造成被ICCPR所禁止之永久性差別（區別）待遇之情境，採取主動援助弱勢族群行動（to take affirmative action，或稱為反歧視行動、平權行動）之作法，俾利於削減或消除上述之不利條件之發生(in order to diminish or eliminate conditions)。舉例而言，假若於某一個締約國之境內，對於特定之人口族群而言，存在著共通性之情境(the general conditions of a certain part of the population)，此種之情境會妨礙或損傷該特定人口族群對於人權之享有(prevent or impair their enjoyment of human rights)；此時，主權國家須採取特定性之行動，以利矯正上述之情境。主權國家為了達到矯正上述不利之情境(to correct those conditions)，有可能會針對上述特定之人口族群，在一定之時程之內，就特定之事項部分，採取特定處遇之作為(the State should take specific action)；而此種特定處遇之作為，若與其他人口族群相較，則具有特定優先處置（遇）之性質。假若主權國家係基於為了矯正特定之人口族群遭受歧視之問題，所採取上述必需之特定優先處置（遇）之措施，則在ICCPR之法律規範下，此係屬於合法之差別處遇作為</w:t>
      </w:r>
      <w:r w:rsidRPr="005D4AAC">
        <w:rPr>
          <w:rStyle w:val="af7"/>
          <w:rFonts w:eastAsia="新細明體"/>
          <w:sz w:val="20"/>
        </w:rPr>
        <w:footnoteReference w:id="544"/>
      </w:r>
      <w:r w:rsidRPr="00B40DC1">
        <w:t>。</w:t>
      </w:r>
    </w:p>
    <w:p w:rsidR="0049577B" w:rsidRPr="00B40DC1" w:rsidRDefault="0049577B" w:rsidP="005D4AAC">
      <w:pPr>
        <w:spacing w:line="240" w:lineRule="auto"/>
        <w:ind w:leftChars="0" w:left="0" w:rightChars="0" w:right="0"/>
      </w:pPr>
      <w:r w:rsidRPr="00B40DC1">
        <w:t xml:space="preserve">　　再者，ICCPR</w:t>
      </w:r>
      <w:hyperlink r:id="rId463" w:anchor="a26" w:history="1">
        <w:r w:rsidRPr="00A67DD0">
          <w:rPr>
            <w:rStyle w:val="a7"/>
            <w:rFonts w:cs="Times New Roman"/>
            <w:lang w:eastAsia="zh-TW" w:bidi="ar-SA"/>
          </w:rPr>
          <w:t>第26條</w:t>
        </w:r>
      </w:hyperlink>
      <w:r w:rsidRPr="00B40DC1">
        <w:t>就有關於平等權涵義之規定方面，亦作出相對應之規範。根據ICCP</w:t>
      </w:r>
      <w:r w:rsidR="00A67DD0" w:rsidRPr="00B40DC1">
        <w:t>R</w:t>
      </w:r>
      <w:hyperlink r:id="rId464" w:anchor="a26" w:history="1">
        <w:r w:rsidR="00A67DD0" w:rsidRPr="00A67DD0">
          <w:rPr>
            <w:rStyle w:val="a7"/>
            <w:rFonts w:cs="Times New Roman"/>
            <w:lang w:eastAsia="zh-TW" w:bidi="ar-SA"/>
          </w:rPr>
          <w:t>第26條</w:t>
        </w:r>
      </w:hyperlink>
      <w:r w:rsidRPr="00B40DC1">
        <w:t>之規定，「人人在法律上一律平等，且應受法律平等保護，無所歧視。在此方面，法律應禁止任何歧視，並保證人人享受平等而有效之保護，以防因種族、膚色、性別、語言、宗教、政治見解或其他主張、民族本源或社會階級、財產、出生或其他身分而生之歧視。」依據上述ICCP</w:t>
      </w:r>
      <w:r w:rsidR="00A67DD0" w:rsidRPr="00B40DC1">
        <w:t>R</w:t>
      </w:r>
      <w:hyperlink r:id="rId465" w:anchor="a26" w:history="1">
        <w:r w:rsidR="00A67DD0" w:rsidRPr="00A67DD0">
          <w:rPr>
            <w:rStyle w:val="a7"/>
            <w:rFonts w:cs="Times New Roman"/>
            <w:lang w:eastAsia="zh-TW" w:bidi="ar-SA"/>
          </w:rPr>
          <w:t>第26條</w:t>
        </w:r>
      </w:hyperlink>
      <w:r w:rsidRPr="00B40DC1">
        <w:t>之規定，人人均有權享有法律上之平等權利，且此種之平等權，不受任何之歧視，並受平等之保障。根據HRC審理個人(受害人)控訴加害國違反ICCP</w:t>
      </w:r>
      <w:r w:rsidR="00A67DD0" w:rsidRPr="00B40DC1">
        <w:t>R</w:t>
      </w:r>
      <w:hyperlink r:id="rId466" w:anchor="a26" w:history="1">
        <w:r w:rsidR="00A67DD0" w:rsidRPr="00A67DD0">
          <w:rPr>
            <w:rStyle w:val="a7"/>
            <w:rFonts w:cs="Times New Roman"/>
            <w:lang w:eastAsia="zh-TW" w:bidi="ar-SA"/>
          </w:rPr>
          <w:t>第26條</w:t>
        </w:r>
      </w:hyperlink>
      <w:r w:rsidRPr="00B40DC1">
        <w:t>相關案件之意見與看法，HRC認為所謂之「人人在法律上一律平等(the right to equality before the law)，且應受法律平等保護(and equal protection of the law)，無所歧視」(without any discrimination)之真實性意義，乃在於其與國家採取之差異性處置(措施)(treatment discriminatory)之間，並非具有完全之差異性(does not make all differences )；亦即，兩者之間，並非完全之不同。換言之，兩者有可能具有部分之相同性。在ICCP</w:t>
      </w:r>
      <w:r w:rsidR="00A67DD0" w:rsidRPr="00B40DC1">
        <w:t>R</w:t>
      </w:r>
      <w:hyperlink r:id="rId467" w:anchor="a26" w:history="1">
        <w:r w:rsidR="00A67DD0" w:rsidRPr="00A67DD0">
          <w:rPr>
            <w:rStyle w:val="a7"/>
            <w:rFonts w:cs="Times New Roman"/>
            <w:lang w:eastAsia="zh-TW" w:bidi="ar-SA"/>
          </w:rPr>
          <w:t>第26條</w:t>
        </w:r>
      </w:hyperlink>
      <w:r w:rsidRPr="00B40DC1">
        <w:t>之法律意涵之下，植基於合理化與客觀化之標準(reasonable and objective criteria)，所採取之差異性措施(作為)(differentiation)，並不等同於ICCP</w:t>
      </w:r>
      <w:r w:rsidR="00A67DD0" w:rsidRPr="00B40DC1">
        <w:t>R</w:t>
      </w:r>
      <w:hyperlink r:id="rId468" w:anchor="a26" w:history="1">
        <w:r w:rsidR="00A67DD0" w:rsidRPr="00A67DD0">
          <w:rPr>
            <w:rStyle w:val="a7"/>
            <w:rFonts w:cs="Times New Roman"/>
            <w:lang w:eastAsia="zh-TW" w:bidi="ar-SA"/>
          </w:rPr>
          <w:t>第26條</w:t>
        </w:r>
      </w:hyperlink>
      <w:r w:rsidRPr="00B40DC1">
        <w:t>所禁止之任何差別化歧視(does not amount to prohibited discrimination)。而HRC之任務，即在於審查締約國所採取之上述差異性措施(作為)，是否符合合理化與客觀化之標準</w:t>
      </w:r>
      <w:r w:rsidRPr="005D4AAC">
        <w:rPr>
          <w:rStyle w:val="af7"/>
          <w:rFonts w:eastAsia="新細明體"/>
          <w:sz w:val="20"/>
        </w:rPr>
        <w:footnoteReference w:id="545"/>
      </w:r>
      <w:r w:rsidRPr="00B40DC1">
        <w:t>。假若上述之差異性(區別性)措施，符合合理化與客觀化之標準，則此種差異性(區別性)措施，並未違反ICCP</w:t>
      </w:r>
      <w:r w:rsidR="00A67DD0" w:rsidRPr="00B40DC1">
        <w:t>R</w:t>
      </w:r>
      <w:hyperlink r:id="rId469" w:anchor="a26" w:history="1">
        <w:r w:rsidR="00A67DD0" w:rsidRPr="00A67DD0">
          <w:rPr>
            <w:rStyle w:val="a7"/>
            <w:rFonts w:cs="Times New Roman"/>
            <w:lang w:eastAsia="zh-TW" w:bidi="ar-SA"/>
          </w:rPr>
          <w:t>第26條</w:t>
        </w:r>
      </w:hyperlink>
      <w:r w:rsidRPr="00B40DC1">
        <w:t>所禁止之任何差別化歧視之規定。反之，假若上述之差異性(區別性)措施，未符合合理化與客觀化之標準，則此種差異性(區別性)之措施，業已明顯地違反ICCP</w:t>
      </w:r>
      <w:r w:rsidR="00A67DD0" w:rsidRPr="00B40DC1">
        <w:t>R</w:t>
      </w:r>
      <w:hyperlink r:id="rId470" w:anchor="a26" w:history="1">
        <w:r w:rsidR="00A67DD0" w:rsidRPr="00A67DD0">
          <w:rPr>
            <w:rStyle w:val="a7"/>
            <w:rFonts w:cs="Times New Roman"/>
            <w:lang w:eastAsia="zh-TW" w:bidi="ar-SA"/>
          </w:rPr>
          <w:t>第26條</w:t>
        </w:r>
      </w:hyperlink>
      <w:r w:rsidRPr="00B40DC1">
        <w:t>所禁止之任何差別化歧視之規定。</w:t>
      </w:r>
    </w:p>
    <w:p w:rsidR="0049577B" w:rsidRPr="00B40DC1" w:rsidRDefault="0049577B" w:rsidP="005D4AAC">
      <w:pPr>
        <w:spacing w:line="240" w:lineRule="auto"/>
        <w:ind w:leftChars="0" w:left="0" w:rightChars="0" w:right="0"/>
      </w:pPr>
      <w:r w:rsidRPr="00B40DC1">
        <w:t xml:space="preserve">　　此外，「非洲人權和民族權憲章」（African Charter on Human and Peoples' Rights）亦有關於平等權及禁止歧視之規定；根據上述憲章第2條之規範，「人人均有權享有本憲章所確認和保障的各項權利和自由</w:t>
      </w:r>
      <w:r w:rsidRPr="005D4AAC">
        <w:rPr>
          <w:rStyle w:val="af7"/>
          <w:rFonts w:eastAsia="新細明體"/>
          <w:sz w:val="20"/>
        </w:rPr>
        <w:footnoteReference w:id="546"/>
      </w:r>
      <w:r w:rsidRPr="00B40DC1">
        <w:t>，不因種族、族群、膚色、性別、語言、宗教、政治見解或其他主張、國籍或社會出身、財產、出生或其他身份等等而受到歧視。」第2條所指之各項權利，包括第3條之平等權。有關於平等權之規定，係規定於非洲人權和民族權憲章第3條之中，依據同憲章第3條之規範，「一、法律面前人人平等。二、人人有權享有法律的平等保護。」</w:t>
      </w:r>
    </w:p>
    <w:p w:rsidR="0049577B" w:rsidRPr="00B40DC1" w:rsidRDefault="005D4AAC" w:rsidP="005D4AAC">
      <w:pPr>
        <w:spacing w:line="240" w:lineRule="auto"/>
        <w:ind w:leftChars="0" w:left="0" w:rightChars="0" w:right="0"/>
      </w:pPr>
      <w:r>
        <w:t xml:space="preserve">　　</w:t>
      </w:r>
      <w:r w:rsidR="0049577B" w:rsidRPr="00B40DC1">
        <w:t>在美洲地區，有關於平等權之法律保障(Right to Equal Protection)法制方面，係受到美洲人權公約</w:t>
      </w:r>
      <w:r w:rsidR="0049577B" w:rsidRPr="005D4AAC">
        <w:rPr>
          <w:rStyle w:val="af7"/>
          <w:rFonts w:eastAsia="新細明體"/>
          <w:sz w:val="20"/>
        </w:rPr>
        <w:footnoteReference w:id="547"/>
      </w:r>
      <w:r w:rsidR="0049577B" w:rsidRPr="005D4AAC">
        <w:rPr>
          <w:rFonts w:ascii="Arial Unicode MS" w:eastAsia="新細明體" w:hAnsi="Arial Unicode MS"/>
          <w:color w:val="FF6600"/>
          <w:sz w:val="20"/>
        </w:rPr>
        <w:t>(</w:t>
      </w:r>
      <w:r w:rsidR="0049577B" w:rsidRPr="00B40DC1">
        <w:t>American Convention on Human Rights，簡稱為ACHR)</w:t>
      </w:r>
      <w:r w:rsidR="0049577B" w:rsidRPr="005D4AAC">
        <w:rPr>
          <w:rStyle w:val="af7"/>
          <w:rFonts w:eastAsia="新細明體"/>
          <w:sz w:val="20"/>
        </w:rPr>
        <w:footnoteReference w:id="548"/>
      </w:r>
      <w:r w:rsidR="0049577B" w:rsidRPr="00B40DC1">
        <w:t>第1條及第24條之保障(平等保護之權利)。依據上述ACHR第1條</w:t>
      </w:r>
      <w:r w:rsidR="0049577B" w:rsidRPr="005D4AAC">
        <w:rPr>
          <w:rStyle w:val="af7"/>
          <w:rFonts w:eastAsia="新細明體"/>
          <w:sz w:val="20"/>
        </w:rPr>
        <w:footnoteReference w:id="549"/>
      </w:r>
      <w:r w:rsidR="0049577B" w:rsidRPr="00B40DC1">
        <w:t>第1款之規定，「本公約各締約國承允尊重本公約所承認之各項權利和自由(The States Parties to this Convention undertake to respect the rights and freedoms recognized herein)，並保證在它們管轄下之所有之人，都能自由地、全部地行使這些權利和自由(to ensure to all persons subject to their jurisdiction the free and full exercise of those rights and freedoms)，不因種族、膚色、性別、語言、宗教、政治見解或其他主張、民族或社會出身、經濟地位、出生或其他任何社會條件(for reasons of race, color, sex, language, religion, political or other opinion, national or social origin, economic status, birth, or any other social condition)而受到任何歧視(without any discrimination)。」依據上述ACHR第1條第1款之規定，個人在行使ACHR所承認之各項權利和自由時，不會受到任何之歧視。因ACHR第1條第1款所指之各項權利和自由，實已包含第24條之平等權。再者，ACHR第1條第1款亦特別強調個人在行使各項權利和自由之際，不受到任何之歧視。綜上，在ACHR第1條第1款之中，似已包括某種程度之平等權意含</w:t>
      </w:r>
      <w:r w:rsidR="0049577B" w:rsidRPr="005D4AAC">
        <w:rPr>
          <w:rStyle w:val="af7"/>
          <w:rFonts w:eastAsia="新細明體"/>
          <w:sz w:val="20"/>
        </w:rPr>
        <w:footnoteReference w:id="550"/>
      </w:r>
      <w:r w:rsidR="0049577B" w:rsidRPr="00B40DC1">
        <w:t>。</w:t>
      </w:r>
    </w:p>
    <w:p w:rsidR="0049577B" w:rsidRPr="00B40DC1" w:rsidRDefault="005D4AAC" w:rsidP="005D4AAC">
      <w:pPr>
        <w:spacing w:line="240" w:lineRule="auto"/>
        <w:ind w:leftChars="0" w:left="0" w:rightChars="0" w:right="0"/>
      </w:pPr>
      <w:r>
        <w:t xml:space="preserve">　　</w:t>
      </w:r>
      <w:r w:rsidR="0049577B" w:rsidRPr="00B40DC1">
        <w:t>另外，依據上述ACHR第24條之規定，「在法律面前人人平等。因此，他們有權不受歧視地享有法律之平等保護。」ACHR第24條之中，所謂平等權之概念，係指在法律面前，人人平等。此處之平等權，特別重視於「法律之前」(before the law)，人人平等。而所謂之「法律之前」，乃指受到法律之平等保護(to equal protection of the law)；ACHR第24條為了再次突顯個人受到法律之平等保護，故明文規範係以「不受歧視」(without discrimination)之方式，受到法律之平等保護。</w:t>
      </w:r>
    </w:p>
    <w:p w:rsidR="0049577B" w:rsidRPr="00B40DC1" w:rsidRDefault="005D4AAC" w:rsidP="005D4AAC">
      <w:pPr>
        <w:spacing w:line="240" w:lineRule="auto"/>
        <w:ind w:leftChars="0" w:left="0" w:rightChars="0" w:right="0"/>
      </w:pPr>
      <w:r>
        <w:t xml:space="preserve">　　</w:t>
      </w:r>
      <w:r w:rsidR="0049577B" w:rsidRPr="00B40DC1">
        <w:t>「美洲國家間人權法院」(the Inter-American Court of Human Rights，簡稱為IACHR)對於ACHR第24條平等權之真實意涵，作出(表達)以下之看法</w:t>
      </w:r>
      <w:r w:rsidR="0049577B" w:rsidRPr="005D4AAC">
        <w:rPr>
          <w:rStyle w:val="af7"/>
          <w:rFonts w:eastAsia="新細明體"/>
          <w:sz w:val="20"/>
        </w:rPr>
        <w:footnoteReference w:id="551"/>
      </w:r>
      <w:r w:rsidR="0049577B" w:rsidRPr="00B40DC1">
        <w:t>；首先，在概念上，ACHR第24條平等權之意涵，並不完全地等同於ACHR第1條，兩者之規範體系及內容，不盡相同。但，就某種程度而論，ACHR第24條平等權之規範重申ACHR第1條之規定。IACHR為何作出如此之見解，因ACHR第24條之重點，在於保障平等權之概念，而所謂之平等權，係指「在法律面前，人人平等」。它禁止所有源自於法律上之規制(範)，而採取差異化(區別化)之待遇。</w:t>
      </w:r>
    </w:p>
    <w:p w:rsidR="0049577B" w:rsidRPr="00B40DC1" w:rsidRDefault="005D4AAC" w:rsidP="005D4AAC">
      <w:pPr>
        <w:spacing w:line="240" w:lineRule="auto"/>
        <w:ind w:leftChars="0" w:left="0" w:rightChars="0" w:right="0"/>
      </w:pPr>
      <w:r>
        <w:t xml:space="preserve">　　</w:t>
      </w:r>
      <w:r w:rsidR="0049577B" w:rsidRPr="00B40DC1">
        <w:t>IACHR指出「平等」之概念，係直接源自於人類家庭之完整性(單一性、統一性)(springs directly from the oneness of the human family)，同時，「平等」概念被連結至個人之基本尊嚴(is linked to the essential dignity of the individual)。「平等原則」與「特權原則」是無法妥協(cannot be reconciled with)；所謂之「特權原則」，乃指某一個群體自恃(覺)具有優越感(perceived superiority)，遂主張其擁有受到特殊處遇之特權權利(the right to privileged treatment)。此種之「特權原則」，無法與「平等原則」相容。「平等原則」與「特權原則」之間，兩者具有互斥性。「平等原則」亦無法與「次等化(劣等化)原則」進行調和，而所謂之「次等化(劣等化)原則」，乃指將某一群體標示為「次等化(劣等化)」人口(characterize a group as inferior)；與其他正常之一般人相較，係屬於較低劣之人口，因其具有「次等化(劣等化)」之屬性，故對其所應享有之權利，以一種具有敵意性或差異化之方式，加以對待。亦即，以敵意或區別化之手段，對待上述已被標示為「次等化(劣等化)」之人口。如以違背個人所具有之獨特性及同源性之人類屬性，對其施以差異化(區別化)之處遇，則此種差異化(區別化)之對待方式，是不被許可，業已違反ACHR第1條及第24條之規定。上述之「特權原則」與「次等化(劣等化)原則」，均同時違反ACHR第1條及第24條之規定</w:t>
      </w:r>
      <w:r w:rsidR="0049577B" w:rsidRPr="005D4AAC">
        <w:rPr>
          <w:rStyle w:val="af7"/>
          <w:rFonts w:eastAsia="新細明體"/>
          <w:sz w:val="20"/>
        </w:rPr>
        <w:footnoteReference w:id="552"/>
      </w:r>
      <w:r w:rsidR="0049577B" w:rsidRPr="00B40DC1">
        <w:t>。</w:t>
      </w:r>
    </w:p>
    <w:p w:rsidR="0049577B" w:rsidRPr="00B40DC1" w:rsidRDefault="005D4AAC" w:rsidP="005D4AAC">
      <w:pPr>
        <w:spacing w:line="240" w:lineRule="auto"/>
        <w:ind w:leftChars="0" w:left="0" w:rightChars="0" w:right="0"/>
      </w:pPr>
      <w:r>
        <w:t xml:space="preserve">　　</w:t>
      </w:r>
      <w:r w:rsidR="0049577B" w:rsidRPr="00B40DC1">
        <w:t>有關於平等原則及禁止差別待遇原則(equality and nondiscrimination)之起源方面，兩者均是與生俱來地源自於人類全體所共有之尊嚴及價值之完整性(單一性、統一性)</w:t>
      </w:r>
      <w:r w:rsidR="003C1792">
        <w:t>(</w:t>
      </w:r>
      <w:r w:rsidR="0049577B" w:rsidRPr="00B40DC1">
        <w:t>the oneness in dignity and worth of all human beings)。IACHR認為並非所有在法律層級上之差異化(差別化)處遇(對待)，均構成差別對待(not all differences in legal treatment are discriminatory)；亦即，並非所有差異化(差別化)之處遇(對待)(for not all differences in treatment)，均會違犯人性尊嚴(are in themselves offensive to human dignity)。IACHR並轉引歐洲人權法院(簡稱為ECHR)之見解，即從大多數民主法治國家之法律實務運作之經驗中，可抽取出以下若干之原則，假若差異化(差別化)之處遇(對待)方式(difference in treatment)，手段本身未具有客觀化與合理化之正當性(has no objective and reasonable justification)，此時，差異化(差別化)之處遇(對待)，即會具有歧視性(is only discriminatory)，違反禁止歧視原則。ECHR認為就事實上之不平等而論，為了解決事實上之不平等(certain factual inequalities)，在法律層級上所採取之差異化處遇措施，所造成之不平等，有可能會被加以合法化(legitimately give rise to inequalities in legal treatment)，且並未違反正義(公正)原則(do not violate principles of justice)。上述於法律層級上所採取之差異化處遇(措施)，其本身之屬性，具有工具化之性質(may in fact be instrumental)，亦即，它是一種工具，亦是一種手段，並非最終極之目的；真正最終極之目的，係在於達到正義(公正)(in achieving justice)，或保護處於脆弱之法律地位之人口(or in protecting those who find themselves in a weak legal position)。為了達到上述之目的，在手段上，有可能會使用上述法律層級上之差異化處遇(措施)。於上述之情形下，差異化之處遇(措施)未違反正義(公正)原則。ECHR並指出，對於缺乏足夠能力，以保護其本身利益之青少年，或心智有缺陷之人，基於法律上之要求，所施加之限制，無法被視為係基於年齡或社會地位之理由，而加以歧視。雖然，上述之限制措施，是屬於差異化之處遇(措施)，但因真正最終極之目的，係在保護上述處於脆弱之法律地位之人口。故，上述之限制措施，未違反正義(公正)原則，它已被合法化</w:t>
      </w:r>
      <w:r w:rsidR="0049577B" w:rsidRPr="005D4AAC">
        <w:rPr>
          <w:rStyle w:val="af7"/>
          <w:rFonts w:eastAsia="新細明體"/>
          <w:sz w:val="20"/>
        </w:rPr>
        <w:footnoteReference w:id="553"/>
      </w:r>
      <w:r w:rsidR="0049577B" w:rsidRPr="00B40DC1">
        <w:t>。</w:t>
      </w:r>
    </w:p>
    <w:p w:rsidR="0049577B" w:rsidRPr="00B40DC1" w:rsidRDefault="00683889" w:rsidP="005D4AAC">
      <w:pPr>
        <w:spacing w:line="240" w:lineRule="auto"/>
        <w:ind w:leftChars="0" w:left="0" w:rightChars="0" w:right="0"/>
      </w:pPr>
      <w:r>
        <w:t xml:space="preserve">　　</w:t>
      </w:r>
      <w:r w:rsidR="0049577B" w:rsidRPr="00B40DC1">
        <w:t>根據IACHR之見解，假若差異化處遇(措施)具有一個合法化之目的(the difference in treatment has a legitimate purpose)，且採取差異化處遇(措施)，並未導致發生違犯正義(公正)</w:t>
      </w:r>
      <w:r w:rsidR="003C1792">
        <w:t>(</w:t>
      </w:r>
      <w:r w:rsidR="0049577B" w:rsidRPr="00B40DC1">
        <w:t>it does not lead to situations which are contrary to justice)、情理(reason)與事務之本質之情事(the nature of things)，此時，上述之差異化處遇(措施)，並非屬於一種差別歧視作為，不構成歧視(no discrimination exists)。</w:t>
      </w:r>
    </w:p>
    <w:p w:rsidR="0049577B" w:rsidRPr="00B40DC1" w:rsidRDefault="00683889" w:rsidP="005D4AAC">
      <w:pPr>
        <w:spacing w:line="240" w:lineRule="auto"/>
        <w:ind w:leftChars="0" w:left="0" w:rightChars="0" w:right="0"/>
      </w:pPr>
      <w:r>
        <w:t xml:space="preserve">　　</w:t>
      </w:r>
      <w:r w:rsidR="0049577B" w:rsidRPr="00B40DC1">
        <w:t>以大陸與外籍配偶入籍之規範為例，外籍配偶歸化國籍需通過我國語文能力之測驗，陸配辦理定居則無需相關語文能力測驗，其主要原因係大陸地區人民原與我同文同種，在我國生活並無語文溝通之障礙，但為使外籍配偶在我國生活無虞，則必須確定其對我國語文有基本之認識，此即所謂之合法化之目的，且未違反公義之情形。</w:t>
      </w:r>
    </w:p>
    <w:p w:rsidR="0049577B" w:rsidRPr="00B40DC1" w:rsidRDefault="0049577B" w:rsidP="005D4AAC">
      <w:pPr>
        <w:spacing w:line="240" w:lineRule="auto"/>
        <w:ind w:leftChars="0" w:left="0" w:rightChars="0" w:right="0"/>
      </w:pPr>
      <w:r w:rsidRPr="00B40DC1">
        <w:t xml:space="preserve">　　國家對於個人所施加之差異化處遇(措施)，在符合一定之要件(條件)下，並不構成歧視之要件。上述所言及之一定要件(條件)，乃指國家係基於實質上及事實上之差異性之故(are based on substantial factual differences)，而運用差異化處遇(措施)；且國家所欲追逐之法律上目的(the aims)，與差異化處遇(措施)之手段(these differences)，兩者之間，存有合理化之比例關係(there exists a reasonable relationship of proportionality)。國家所欲追逐之法律上目的，不應具有不正義(不公正)</w:t>
      </w:r>
      <w:r w:rsidR="003C1792">
        <w:t>(</w:t>
      </w:r>
      <w:r w:rsidRPr="00B40DC1">
        <w:t>These aims may not be unjust)、不合理(unreasonable)、恣意獨斷、任意善變、暴虐專橫之情形，或有背於人類之基本完整性與尊嚴(they may not be arbitrary, capricious, despotic or in conflict with the essential oneness and dignity of humankind)。根據IACHR之上述見解，國家基於合法化之目的，對於特定人口所採行之差異化處遇</w:t>
      </w:r>
      <w:r w:rsidRPr="005D4AAC">
        <w:rPr>
          <w:rStyle w:val="af7"/>
          <w:rFonts w:eastAsia="新細明體"/>
          <w:sz w:val="20"/>
        </w:rPr>
        <w:footnoteReference w:id="554"/>
      </w:r>
      <w:r w:rsidRPr="00B40DC1">
        <w:t>，兩者之間，如存有合理化之比例關係，則對於個人所施加之差異化之處遇(措施)，不應被視為是一種歧視性作為。IACHR於審查某一個案是否符合平等權之要求時，係以比例原則作為審查之重大標準。如國家所採取差異化之處遇(措施)符合比例原則，則未違背平等原則；反之，如國家所採取差異化之處遇(措施)，並未符合比例原則，則違背平等原則</w:t>
      </w:r>
      <w:r w:rsidRPr="005D4AAC">
        <w:rPr>
          <w:rStyle w:val="af7"/>
          <w:rFonts w:eastAsia="新細明體"/>
          <w:sz w:val="20"/>
        </w:rPr>
        <w:footnoteReference w:id="555"/>
      </w:r>
      <w:r w:rsidRPr="00B40DC1">
        <w:t>。</w:t>
      </w:r>
    </w:p>
    <w:p w:rsidR="0049577B" w:rsidRPr="00B40DC1" w:rsidRDefault="005D4AAC" w:rsidP="005D4AAC">
      <w:pPr>
        <w:spacing w:line="240" w:lineRule="auto"/>
        <w:ind w:leftChars="0" w:left="0" w:rightChars="0" w:right="0"/>
      </w:pPr>
      <w:r>
        <w:t xml:space="preserve">　　</w:t>
      </w:r>
      <w:r w:rsidR="0049577B" w:rsidRPr="00B40DC1">
        <w:t>在台灣司法院釋字</w:t>
      </w:r>
      <w:hyperlink r:id="rId471" w:anchor="r701" w:history="1">
        <w:r w:rsidR="000E2576" w:rsidRPr="008839A6">
          <w:rPr>
            <w:rStyle w:val="a7"/>
            <w:rFonts w:cs="Times New Roman"/>
            <w:lang w:eastAsia="zh-TW" w:bidi="ar-SA"/>
          </w:rPr>
          <w:t>第701號</w:t>
        </w:r>
      </w:hyperlink>
      <w:r w:rsidR="0049577B" w:rsidRPr="00B40DC1">
        <w:t>解釋文</w:t>
      </w:r>
      <w:r w:rsidR="0049577B" w:rsidRPr="005D4AAC">
        <w:rPr>
          <w:rStyle w:val="af7"/>
          <w:rFonts w:eastAsia="新細明體"/>
          <w:sz w:val="20"/>
        </w:rPr>
        <w:footnoteReference w:id="556"/>
      </w:r>
      <w:r w:rsidR="0049577B" w:rsidRPr="00B40DC1">
        <w:t>之中，亦有針對於平等權之說明(解釋)內容</w:t>
      </w:r>
      <w:r w:rsidR="0049577B" w:rsidRPr="005D4AAC">
        <w:rPr>
          <w:rStyle w:val="af7"/>
          <w:rFonts w:eastAsia="新細明體"/>
          <w:sz w:val="20"/>
        </w:rPr>
        <w:footnoteReference w:id="557"/>
      </w:r>
      <w:r w:rsidR="0049577B" w:rsidRPr="00B40DC1">
        <w:t>。大法官指出，憲法</w:t>
      </w:r>
      <w:hyperlink r:id="rId472" w:anchor="a7" w:history="1">
        <w:r w:rsidR="0049577B" w:rsidRPr="00683889">
          <w:rPr>
            <w:rStyle w:val="a7"/>
            <w:rFonts w:cs="Times New Roman"/>
            <w:lang w:eastAsia="zh-TW" w:bidi="ar-SA"/>
          </w:rPr>
          <w:t>第七條</w:t>
        </w:r>
      </w:hyperlink>
      <w:r w:rsidR="0049577B" w:rsidRPr="00B40DC1">
        <w:t>規定人民之平等權，其法規範是否符合平等權保障之要求，判斷之基準，應取決於該法規範所以為差別待遇之目的是否合憲，其所採取之分類與規範目的之達成之間，是否存有一定程度之關聯性而定。如將台灣司法院釋字</w:t>
      </w:r>
      <w:hyperlink r:id="rId473" w:anchor="r701" w:history="1">
        <w:r w:rsidR="000E2576" w:rsidRPr="008839A6">
          <w:rPr>
            <w:rStyle w:val="a7"/>
            <w:rFonts w:cs="Times New Roman"/>
            <w:lang w:eastAsia="zh-TW" w:bidi="ar-SA"/>
          </w:rPr>
          <w:t>第701號</w:t>
        </w:r>
      </w:hyperlink>
      <w:r w:rsidR="0049577B" w:rsidRPr="00B40DC1">
        <w:t>解釋文與上述IACHR有關平等權之見解，相互進行比較，可發現台灣強調差別待遇之手段(工具)與規範目的之達成之間，須存有一定程度之關聯性(或稱為實質關聯性)；亦即，兩者具有一定程度(實質化)之相關性。相對而言，IACHR則強調合法化之目的，與差異化處遇(手段)之間，須存有合理化之比例關係，以上兩者具有異曲同工之妙。</w:t>
      </w:r>
    </w:p>
    <w:p w:rsidR="0049577B" w:rsidRPr="00B40DC1" w:rsidRDefault="005D4AAC" w:rsidP="005D4AAC">
      <w:pPr>
        <w:spacing w:line="240" w:lineRule="auto"/>
        <w:ind w:leftChars="0" w:left="0" w:rightChars="0" w:right="0"/>
      </w:pPr>
      <w:r>
        <w:t xml:space="preserve">　　</w:t>
      </w:r>
      <w:r w:rsidR="0049577B" w:rsidRPr="00B40DC1">
        <w:t>不過，IACHR考量實際之現實狀況，亦即，任何政府有可能會面臨頗為特殊之情境，在此種狀況下，IACHR對於平等權之審查標準，採取較為寬鬆之態度。上述之特殊情境，國家因基於公眾福祉之考量(considerations of public welfare)與需求，所採取差異化之處遇(措施)，或多或少地偏離上述IACHR建構之標準(departures to a greater or lesser degree from the standards)；換言之，國家基於合法化之目的，所採取之差異化處遇手段，目的與手段兩者之間，或多或少地偏離合理化之比例關係，此時，究竟是否仍符合平等權之原則？IACHR主張在上述之情境下，基於公眾福址之考量因素，可加以正當化(合法化)</w:t>
      </w:r>
      <w:r w:rsidR="003C1792">
        <w:t>(</w:t>
      </w:r>
      <w:r w:rsidR="0049577B" w:rsidRPr="00B40DC1">
        <w:t>may justify)</w:t>
      </w:r>
      <w:r w:rsidR="0049577B" w:rsidRPr="005D4AAC">
        <w:rPr>
          <w:rStyle w:val="af7"/>
          <w:rFonts w:eastAsia="新細明體"/>
          <w:sz w:val="20"/>
        </w:rPr>
        <w:footnoteReference w:id="558"/>
      </w:r>
      <w:r w:rsidR="0049577B" w:rsidRPr="00B40DC1">
        <w:t>。</w:t>
      </w:r>
    </w:p>
    <w:p w:rsidR="0049577B" w:rsidRPr="00B40DC1" w:rsidRDefault="005D4AAC" w:rsidP="005D4AAC">
      <w:pPr>
        <w:spacing w:line="240" w:lineRule="auto"/>
        <w:ind w:leftChars="0" w:left="0" w:rightChars="0" w:right="0"/>
      </w:pPr>
      <w:r>
        <w:t xml:space="preserve">　　</w:t>
      </w:r>
      <w:r w:rsidR="0049577B" w:rsidRPr="00B40DC1">
        <w:t>此處，所處理之議題，係為一種「價值」(dealing with values)之課題；亦即，國家在面對真實之情境下，須採取具體之面向(take on concrete dimensions)，俾利處理所面臨之問題；就每一個個案而論，國家採取之差異化處遇(措施)之手段，究竟是否仍符合平等權之真義？存在著某種程度之「判斷餘地」(a certain margin of appreciation)。假若國家係基於公眾福祉之考量與需求，即使採取之差異化處遇(措施)，業已偏離上述IACHR所建構之審查標準(departures from the standards)，仍可加以正當化(合法化)。然而，究竟偏離至何種之幅度，始未構成正當化(合法化)？此即為上述「判斷餘地」之課題。基本上，IACHR承認上述「判斷餘地」之存在，並容許由國家加以自行表述。以上，係國家在處置較為特殊化之情境時，IACHR對於平等權之審查標準，容許採取較為寬鬆之態度</w:t>
      </w:r>
      <w:r w:rsidR="0049577B" w:rsidRPr="005D4AAC">
        <w:rPr>
          <w:rStyle w:val="af7"/>
          <w:rFonts w:eastAsia="新細明體"/>
          <w:sz w:val="20"/>
        </w:rPr>
        <w:footnoteReference w:id="559"/>
      </w:r>
      <w:r w:rsidR="0049577B" w:rsidRPr="00B40DC1">
        <w:t>。</w:t>
      </w:r>
    </w:p>
    <w:p w:rsidR="0049577B" w:rsidRPr="00B40DC1" w:rsidRDefault="005D4AAC" w:rsidP="005D4AAC">
      <w:pPr>
        <w:spacing w:line="240" w:lineRule="auto"/>
        <w:ind w:leftChars="0" w:left="0" w:rightChars="0" w:right="0"/>
      </w:pPr>
      <w:r>
        <w:t xml:space="preserve">　　</w:t>
      </w:r>
      <w:r w:rsidR="0049577B" w:rsidRPr="00B40DC1">
        <w:t>在歐洲方面，根據歐洲人權公約(European Convention on Human Rights；本公約亦有稱為Convention for the Protection of Human Rights and Fundamental Freedoms)第14條之規範，「人人對本公約列舉之權利與自由之享受(The enjoyment of the rights and freedoms set forth in this Convention)，應予保證，不得因性別、種族、膚色、語言、宗教、政治見解或其他主張、民族或社會的出身、同少數民族之聯繫、財產、出生或其他地位而有所歧視(shall be secured without discrimination on any ground such as sex, race, colour, language, religion, political or other opinion, national or social origin, association with a national minority, property, birth or other status)。」上述歐洲人權公約第14條之規範重點，在於禁止歧視(Prohibition of discrimination)。</w:t>
      </w:r>
    </w:p>
    <w:p w:rsidR="0049577B" w:rsidRPr="00B40DC1" w:rsidRDefault="005D4AAC" w:rsidP="005D4AAC">
      <w:pPr>
        <w:spacing w:line="240" w:lineRule="auto"/>
        <w:ind w:leftChars="0" w:left="0" w:rightChars="0" w:right="0"/>
      </w:pPr>
      <w:r>
        <w:t xml:space="preserve">　　</w:t>
      </w:r>
      <w:r w:rsidR="0049577B" w:rsidRPr="00B40DC1">
        <w:t>歐洲人權法院(the European Court of Human Rights，簡稱為ECHR)認為假若差異化處遇(措施)</w:t>
      </w:r>
      <w:r w:rsidR="003C1792">
        <w:t>(</w:t>
      </w:r>
      <w:r w:rsidR="0049577B" w:rsidRPr="00B40DC1">
        <w:t>the distinction)未具有客觀化與合理化之正當性(合法性)</w:t>
      </w:r>
      <w:r w:rsidR="003C1792">
        <w:t>(</w:t>
      </w:r>
      <w:r w:rsidR="0049577B" w:rsidRPr="00B40DC1">
        <w:t>has no objective and reasonable justification)，此時，則違反平等對待之原則。如何評量上述是否存在正當性(合法性)？ECHR指出評估之方法，係考量在民主國家中所普遍施行之原則(the principles which normally prevail in democratic societies)，即須考慮目的與差異化處遇(措施)效果之關聯性(in relation to the aim and effects of the measure under consideration)，換言之，須考量目的與差異化手段所產生之效果之關聯性。如擬對於上述歐洲人權公約所揭示之諸多權利，進行差異化之處遇(措施)，不應被限制為僅是追求合法化之目的，尚須進一步考量目的與差異化手段之比例性關係；假若所採用差異化處遇(措施)之手段，與欲被加以實踐之目的(the aim sought to be realized)，兩者之間，未具有合理化之比例性(there is no reasonable relationship of proportionality)，則很有可能會違犯上述歐洲人權公約第14條禁止歧視(Prohibition of discrimination)之規範。亦即，違反平等地對待之原則(the principle of equality of treatment is violated)</w:t>
      </w:r>
      <w:r w:rsidR="0049577B" w:rsidRPr="005D4AAC">
        <w:rPr>
          <w:rStyle w:val="af7"/>
          <w:rFonts w:eastAsia="新細明體"/>
          <w:sz w:val="20"/>
        </w:rPr>
        <w:footnoteReference w:id="560"/>
      </w:r>
      <w:r w:rsidR="0049577B" w:rsidRPr="00B40DC1">
        <w:t>。</w:t>
      </w:r>
    </w:p>
    <w:p w:rsidR="0049577B" w:rsidRPr="00B40DC1" w:rsidRDefault="0049577B" w:rsidP="005D4AAC">
      <w:pPr>
        <w:spacing w:line="240" w:lineRule="auto"/>
        <w:ind w:leftChars="0" w:left="0" w:rightChars="0" w:right="0"/>
      </w:pPr>
      <w:r w:rsidRPr="00B40DC1">
        <w:t xml:space="preserve">　　上開ECHR之見解，在我國司法院釋字</w:t>
      </w:r>
      <w:r w:rsidR="00683889" w:rsidRPr="007010AD">
        <w:t>第</w:t>
      </w:r>
      <w:hyperlink r:id="rId474" w:anchor="r694" w:history="1">
        <w:r w:rsidR="00683889" w:rsidRPr="00683889">
          <w:rPr>
            <w:rStyle w:val="a7"/>
            <w:rFonts w:cs="Times New Roman"/>
            <w:lang w:eastAsia="zh-TW" w:bidi="ar-SA"/>
          </w:rPr>
          <w:t>六九四</w:t>
        </w:r>
      </w:hyperlink>
      <w:r w:rsidR="00683889" w:rsidRPr="007010AD">
        <w:t>號</w:t>
      </w:r>
      <w:r w:rsidRPr="00B40DC1">
        <w:t>之解釋文中，亦有相類似之意旨。根據台灣司法院釋字</w:t>
      </w:r>
      <w:r w:rsidR="00683889" w:rsidRPr="007010AD">
        <w:t>第</w:t>
      </w:r>
      <w:hyperlink r:id="rId475" w:anchor="r694" w:history="1">
        <w:r w:rsidR="00683889" w:rsidRPr="00683889">
          <w:rPr>
            <w:rStyle w:val="a7"/>
            <w:rFonts w:cs="Times New Roman"/>
            <w:lang w:eastAsia="zh-TW" w:bidi="ar-SA"/>
          </w:rPr>
          <w:t>六九四</w:t>
        </w:r>
      </w:hyperlink>
      <w:r w:rsidRPr="00B40DC1">
        <w:t>號解釋文之內容，憲</w:t>
      </w:r>
      <w:r w:rsidR="00683889" w:rsidRPr="00B40DC1">
        <w:t>法</w:t>
      </w:r>
      <w:hyperlink r:id="rId476" w:anchor="a7" w:history="1">
        <w:r w:rsidR="00683889" w:rsidRPr="00683889">
          <w:rPr>
            <w:rStyle w:val="a7"/>
            <w:rFonts w:cs="Times New Roman"/>
            <w:lang w:eastAsia="zh-TW" w:bidi="ar-SA"/>
          </w:rPr>
          <w:t>第七條</w:t>
        </w:r>
      </w:hyperlink>
      <w:r w:rsidRPr="00B40DC1">
        <w:t>所揭示之平等原則非指絕對、機械之形式上平等，而係保障人民在法律上地位之實質平等，要求本質上相同之事物應為相同之處理，不得恣意為無正當理由之差別待遇。法規範是否符合平等權保障之要求，其判斷應取決於該法規範所以為差別待遇之目的是否合憲，其所採取之分類與規範目的之達成之間，是否存有一定程度之關聯性而定(司法院釋字第</w:t>
      </w:r>
      <w:hyperlink r:id="rId477" w:anchor="r547" w:history="1">
        <w:r w:rsidRPr="00FA221B">
          <w:rPr>
            <w:rStyle w:val="a7"/>
            <w:rFonts w:cs="Times New Roman"/>
            <w:lang w:eastAsia="zh-TW" w:bidi="ar-SA"/>
          </w:rPr>
          <w:t>五四七</w:t>
        </w:r>
      </w:hyperlink>
      <w:r w:rsidRPr="00B40DC1">
        <w:t>號、第</w:t>
      </w:r>
      <w:hyperlink r:id="rId478" w:anchor="r584" w:history="1">
        <w:r w:rsidRPr="00C776C5">
          <w:rPr>
            <w:rStyle w:val="a7"/>
            <w:rFonts w:cs="Times New Roman"/>
            <w:lang w:eastAsia="zh-TW" w:bidi="ar-SA"/>
          </w:rPr>
          <w:t>五八四</w:t>
        </w:r>
      </w:hyperlink>
      <w:r w:rsidRPr="00B40DC1">
        <w:t>號、第</w:t>
      </w:r>
      <w:hyperlink r:id="rId479" w:anchor="r596" w:history="1">
        <w:r w:rsidRPr="00C776C5">
          <w:rPr>
            <w:rStyle w:val="a7"/>
            <w:rFonts w:cs="Times New Roman"/>
            <w:lang w:eastAsia="zh-TW" w:bidi="ar-SA"/>
          </w:rPr>
          <w:t>五九六</w:t>
        </w:r>
      </w:hyperlink>
      <w:r w:rsidRPr="00B40DC1">
        <w:t>號、第</w:t>
      </w:r>
      <w:hyperlink r:id="rId480" w:anchor="r605" w:history="1">
        <w:r w:rsidRPr="00C776C5">
          <w:rPr>
            <w:rStyle w:val="a7"/>
            <w:rFonts w:cs="Times New Roman"/>
            <w:lang w:eastAsia="zh-TW" w:bidi="ar-SA"/>
          </w:rPr>
          <w:t>六○五</w:t>
        </w:r>
      </w:hyperlink>
      <w:r w:rsidRPr="00B40DC1">
        <w:t>號、第</w:t>
      </w:r>
      <w:hyperlink r:id="rId481" w:anchor="r614" w:history="1">
        <w:r w:rsidRPr="00C776C5">
          <w:rPr>
            <w:rStyle w:val="a7"/>
            <w:rFonts w:cs="Times New Roman"/>
            <w:lang w:eastAsia="zh-TW" w:bidi="ar-SA"/>
          </w:rPr>
          <w:t>六一四</w:t>
        </w:r>
      </w:hyperlink>
      <w:r w:rsidRPr="00B40DC1">
        <w:t>號、第</w:t>
      </w:r>
      <w:hyperlink r:id="rId482" w:anchor="r647" w:history="1">
        <w:r w:rsidRPr="00C776C5">
          <w:rPr>
            <w:rStyle w:val="a7"/>
            <w:rFonts w:cs="Times New Roman"/>
            <w:lang w:eastAsia="zh-TW" w:bidi="ar-SA"/>
          </w:rPr>
          <w:t>六四七</w:t>
        </w:r>
      </w:hyperlink>
      <w:r w:rsidRPr="00B40DC1">
        <w:t>號、第</w:t>
      </w:r>
      <w:hyperlink r:id="rId483" w:anchor="r648" w:history="1">
        <w:r w:rsidRPr="00C776C5">
          <w:rPr>
            <w:rStyle w:val="a7"/>
            <w:rFonts w:cs="Times New Roman"/>
            <w:lang w:eastAsia="zh-TW" w:bidi="ar-SA"/>
          </w:rPr>
          <w:t>六四八</w:t>
        </w:r>
      </w:hyperlink>
      <w:r w:rsidRPr="00B40DC1">
        <w:t>號、第</w:t>
      </w:r>
      <w:hyperlink r:id="rId484" w:anchor="r666" w:history="1">
        <w:r w:rsidRPr="00C776C5">
          <w:rPr>
            <w:rStyle w:val="a7"/>
            <w:rFonts w:cs="Times New Roman"/>
            <w:lang w:eastAsia="zh-TW" w:bidi="ar-SA"/>
          </w:rPr>
          <w:t>六六六</w:t>
        </w:r>
      </w:hyperlink>
      <w:r w:rsidRPr="00B40DC1">
        <w:t>號、第</w:t>
      </w:r>
      <w:hyperlink r:id="rId485" w:anchor="r682" w:history="1">
        <w:r w:rsidRPr="00C776C5">
          <w:rPr>
            <w:rStyle w:val="a7"/>
            <w:rFonts w:cs="Times New Roman"/>
            <w:lang w:eastAsia="zh-TW" w:bidi="ar-SA"/>
          </w:rPr>
          <w:t>六八二</w:t>
        </w:r>
      </w:hyperlink>
      <w:r w:rsidRPr="00B40DC1">
        <w:t>號及第</w:t>
      </w:r>
      <w:hyperlink r:id="rId486" w:anchor="r694" w:history="1">
        <w:r w:rsidRPr="00C776C5">
          <w:rPr>
            <w:rStyle w:val="a7"/>
            <w:rFonts w:cs="Times New Roman"/>
            <w:lang w:eastAsia="zh-TW" w:bidi="ar-SA"/>
          </w:rPr>
          <w:t>六九四</w:t>
        </w:r>
      </w:hyperlink>
      <w:r w:rsidRPr="00B40DC1">
        <w:t>號，均有相類似之規定)。上述ECHR所指稱須考慮「目的」與「差異化處遇(措施)效果」之關聯性，約略近似於我國大法官所闡釋之以下論理，即採取差別待遇之分類(手段)與規範目的之達成之間，須存有一定程度之關聯性(實質關聯性)。</w:t>
      </w:r>
    </w:p>
    <w:p w:rsidR="0049577B" w:rsidRPr="00B40DC1" w:rsidRDefault="005D4AAC" w:rsidP="005D4AAC">
      <w:pPr>
        <w:spacing w:line="240" w:lineRule="auto"/>
        <w:ind w:leftChars="0" w:left="0" w:rightChars="0" w:right="0"/>
      </w:pPr>
      <w:r>
        <w:t xml:space="preserve">　　</w:t>
      </w:r>
      <w:r w:rsidR="0049577B" w:rsidRPr="00B40DC1">
        <w:t>對於歐洲人權公約所規範之諸多事項與範疇，ECHR認為國家機關仍保有選擇措施(手段)之裁量自由(remain free to choose the measures)；如國家機關認為對於上述之事項與範疇，選用某種之措施(手段)，係屬於適當(which they consider appropriate)，則國家機關擁有自由之權限，決定選用何種之措施(手段)。ECHR於審理個案之案情時，係聚焦於國家機關所選擇之措施(手段)，與歐洲人權公約所規範之法律構成要件之間，是否具有一致性(the conformity of those measures with the requirements of the Convention)。亦即，ECHR審查上述之措施(手段)，是否符合歐洲人權公約所規範之法律構成要件</w:t>
      </w:r>
      <w:r w:rsidR="0049577B" w:rsidRPr="005D4AAC">
        <w:rPr>
          <w:rStyle w:val="af7"/>
          <w:rFonts w:eastAsia="新細明體"/>
          <w:sz w:val="20"/>
        </w:rPr>
        <w:footnoteReference w:id="561"/>
      </w:r>
      <w:r w:rsidR="0049577B" w:rsidRPr="00B40DC1">
        <w:t>。</w:t>
      </w:r>
    </w:p>
    <w:p w:rsidR="0049577B" w:rsidRPr="00B40DC1" w:rsidRDefault="005D4AAC" w:rsidP="005D4AAC">
      <w:pPr>
        <w:spacing w:line="240" w:lineRule="auto"/>
        <w:ind w:leftChars="0" w:left="0" w:rightChars="0" w:right="0"/>
      </w:pPr>
      <w:r>
        <w:t xml:space="preserve">　　</w:t>
      </w:r>
      <w:r w:rsidR="0049577B" w:rsidRPr="00B40DC1">
        <w:t>承上所述，ECHR所指稱之國家機關保有選擇措施(手段)之裁量自由部分，在台灣司法院釋</w:t>
      </w:r>
      <w:r w:rsidR="00A63349" w:rsidRPr="00B40DC1">
        <w:t>字</w:t>
      </w:r>
      <w:hyperlink r:id="rId487" w:anchor="r697" w:history="1">
        <w:r w:rsidR="00A63349" w:rsidRPr="00C776C5">
          <w:rPr>
            <w:rStyle w:val="a7"/>
            <w:rFonts w:cs="Times New Roman"/>
            <w:lang w:eastAsia="zh-TW" w:bidi="ar-SA"/>
          </w:rPr>
          <w:t>第697號</w:t>
        </w:r>
      </w:hyperlink>
      <w:r w:rsidR="0049577B" w:rsidRPr="00B40DC1">
        <w:t>及</w:t>
      </w:r>
      <w:hyperlink r:id="rId488" w:anchor="r698" w:history="1">
        <w:r w:rsidR="0049577B" w:rsidRPr="00C776C5">
          <w:rPr>
            <w:rStyle w:val="a7"/>
            <w:rFonts w:cs="Times New Roman"/>
            <w:lang w:eastAsia="zh-TW" w:bidi="ar-SA"/>
          </w:rPr>
          <w:t>第698號</w:t>
        </w:r>
      </w:hyperlink>
      <w:r w:rsidR="0049577B" w:rsidRPr="00B40DC1">
        <w:t>之中，亦有相類似之規定。於釋字</w:t>
      </w:r>
      <w:hyperlink r:id="rId489" w:anchor="r697" w:history="1">
        <w:r w:rsidR="0049577B" w:rsidRPr="00C776C5">
          <w:rPr>
            <w:rStyle w:val="a7"/>
            <w:rFonts w:cs="Times New Roman"/>
            <w:lang w:eastAsia="zh-TW" w:bidi="ar-SA"/>
          </w:rPr>
          <w:t>第697號</w:t>
        </w:r>
      </w:hyperlink>
      <w:r w:rsidR="0049577B" w:rsidRPr="00B40DC1">
        <w:t>之理由書中，大法官認為貨物稅之課徵，乃立法者針對國內產製或自國外輸入特定類別貨物所課徵之一種單一階段銷售稅，原則上以設廠集中生產、產量較大與標準化生產為課徵對象。立法者選擇設廠機製之清涼飲料品課稅，係基於國家經濟、財政政策之考量，自非恣意。是本條</w:t>
      </w:r>
      <w:r w:rsidR="00112EF1">
        <w:rPr>
          <w:rFonts w:ascii="Arial Unicode MS" w:hAnsi="Arial Unicode MS" w:hint="eastAsia"/>
        </w:rPr>
        <w:t>例</w:t>
      </w:r>
      <w:hyperlink r:id="rId490" w:anchor="a8" w:history="1">
        <w:r w:rsidR="00112EF1">
          <w:rPr>
            <w:rStyle w:val="a7"/>
            <w:rFonts w:ascii="Arial Unicode MS" w:hAnsi="Arial Unicode MS" w:hint="eastAsia"/>
            <w:lang w:eastAsia="zh-TW"/>
          </w:rPr>
          <w:t>第八條</w:t>
        </w:r>
      </w:hyperlink>
      <w:r w:rsidR="0049577B" w:rsidRPr="00B40DC1">
        <w:t>僅對設廠機製之清涼飲料品課徵貨物稅，而未對非設廠機製者課徵貨物稅，屬於立法裁量之範圍，並不違反憲</w:t>
      </w:r>
      <w:r w:rsidR="00683889" w:rsidRPr="00B40DC1">
        <w:t>法</w:t>
      </w:r>
      <w:hyperlink r:id="rId491" w:anchor="a7" w:history="1">
        <w:r w:rsidR="00683889" w:rsidRPr="00683889">
          <w:rPr>
            <w:rStyle w:val="a7"/>
            <w:rFonts w:cs="Times New Roman"/>
            <w:lang w:eastAsia="zh-TW" w:bidi="ar-SA"/>
          </w:rPr>
          <w:t>第七條</w:t>
        </w:r>
      </w:hyperlink>
      <w:r w:rsidR="0049577B" w:rsidRPr="00B40DC1">
        <w:t>之平等原則。</w:t>
      </w:r>
    </w:p>
    <w:p w:rsidR="0049577B" w:rsidRPr="00B40DC1" w:rsidRDefault="0049577B" w:rsidP="005D4AAC">
      <w:pPr>
        <w:spacing w:line="240" w:lineRule="auto"/>
        <w:ind w:leftChars="0" w:left="0" w:rightChars="0" w:right="0"/>
      </w:pPr>
      <w:r w:rsidRPr="00B40DC1">
        <w:t xml:space="preserve">　　於司法院釋字</w:t>
      </w:r>
      <w:hyperlink r:id="rId492" w:anchor="r698" w:history="1">
        <w:r w:rsidRPr="00C776C5">
          <w:rPr>
            <w:rStyle w:val="a7"/>
            <w:rFonts w:cs="Times New Roman"/>
            <w:lang w:eastAsia="zh-TW" w:bidi="ar-SA"/>
          </w:rPr>
          <w:t>第698號</w:t>
        </w:r>
      </w:hyperlink>
      <w:r w:rsidRPr="00B40DC1">
        <w:t>之中，大法官指出彩色電視機可分為顯示器及電視調諧器二大主要部分，倘顯示器未標示電視字樣，二者亦未併同出廠，即非屬彩色電視機之範圍，免於出廠時課徵貨物稅。財政部</w:t>
      </w:r>
      <w:smartTag w:uri="urn:schemas-microsoft-com:office:smarttags" w:element="chsdate">
        <w:smartTagPr>
          <w:attr w:name="IsROCDate" w:val="True"/>
          <w:attr w:name="IsLunarDate" w:val="False"/>
          <w:attr w:name="Day" w:val="14"/>
          <w:attr w:name="Month" w:val="6"/>
          <w:attr w:name="Year" w:val="2007"/>
        </w:smartTagPr>
        <w:r w:rsidRPr="00B40DC1">
          <w:t>中華民國九十六年六月十四日</w:t>
        </w:r>
      </w:smartTag>
      <w:r w:rsidRPr="00B40DC1">
        <w:t>台財稅字第○九六○四五○一八七○號令解釋</w:t>
      </w:r>
      <w:r w:rsidRPr="005D4AAC">
        <w:rPr>
          <w:rStyle w:val="af7"/>
          <w:rFonts w:eastAsia="新細明體"/>
          <w:sz w:val="20"/>
        </w:rPr>
        <w:footnoteReference w:id="562"/>
      </w:r>
      <w:r w:rsidRPr="00B40DC1">
        <w:t>既未不當擴張應稅貨物之定義，又未對其他情形造成差別待遇，應不違反租稅法律主義及平等原則。大法官另外亦指出，貨物稅條例第</w:t>
      </w:r>
      <w:hyperlink r:id="rId493" w:anchor="a11" w:history="1">
        <w:r w:rsidRPr="00112EF1">
          <w:rPr>
            <w:rStyle w:val="a7"/>
            <w:rFonts w:cs="Times New Roman"/>
            <w:lang w:eastAsia="zh-TW" w:bidi="ar-SA"/>
          </w:rPr>
          <w:t>十一</w:t>
        </w:r>
      </w:hyperlink>
      <w:r w:rsidRPr="00B40DC1">
        <w:t>條第一項第二款規定：「電器類之課稅項目及稅率如左：……二、彩色電視機：從價徵收百分之十三。」查立法者選擇對彩色電視機課徵貨物稅，而未對其他具有彩色收視功能之電器產品課徵貨物稅，原寓有國家稅收、產業政策、節約能源等多種考量，並未逾越立法裁量之範圍，尚難謂為恣意，與憲法平等原則無違。</w:t>
      </w:r>
    </w:p>
    <w:p w:rsidR="0049577B" w:rsidRPr="00B40DC1" w:rsidRDefault="005D4AAC" w:rsidP="005D4AAC">
      <w:pPr>
        <w:spacing w:line="240" w:lineRule="auto"/>
        <w:ind w:leftChars="0" w:left="0" w:rightChars="0" w:right="0"/>
      </w:pPr>
      <w:r>
        <w:t xml:space="preserve">　　</w:t>
      </w:r>
      <w:r w:rsidR="0049577B" w:rsidRPr="00B40DC1">
        <w:t>根據上述司法院釋字</w:t>
      </w:r>
      <w:hyperlink r:id="rId494" w:anchor="r698" w:history="1">
        <w:r w:rsidR="0049577B" w:rsidRPr="00531F2F">
          <w:rPr>
            <w:rStyle w:val="a7"/>
            <w:rFonts w:cs="Times New Roman"/>
            <w:lang w:eastAsia="zh-TW" w:bidi="ar-SA"/>
          </w:rPr>
          <w:t>第698號</w:t>
        </w:r>
      </w:hyperlink>
      <w:r w:rsidR="0049577B" w:rsidRPr="00B40DC1">
        <w:t>之意旨，立法者選擇對彩色電視機課徵貨物稅，而未對其他具有彩色收視功能之電器產品課徵貨物稅，係屬於立法裁量之範圍，立法裁量並非恣意。上述司法院釋</w:t>
      </w:r>
      <w:r w:rsidR="00A63349" w:rsidRPr="00B40DC1">
        <w:t>字</w:t>
      </w:r>
      <w:hyperlink r:id="rId495" w:anchor="r697" w:history="1">
        <w:r w:rsidR="00A63349" w:rsidRPr="00C776C5">
          <w:rPr>
            <w:rStyle w:val="a7"/>
            <w:rFonts w:cs="Times New Roman"/>
            <w:lang w:eastAsia="zh-TW" w:bidi="ar-SA"/>
          </w:rPr>
          <w:t>第697號</w:t>
        </w:r>
      </w:hyperlink>
      <w:r w:rsidR="0049577B" w:rsidRPr="00B40DC1">
        <w:t>及</w:t>
      </w:r>
      <w:hyperlink r:id="rId496" w:anchor="r698" w:history="1">
        <w:r w:rsidR="00A63349" w:rsidRPr="00531F2F">
          <w:rPr>
            <w:rStyle w:val="a7"/>
            <w:rFonts w:cs="Times New Roman"/>
            <w:lang w:eastAsia="zh-TW" w:bidi="ar-SA"/>
          </w:rPr>
          <w:t>第698號</w:t>
        </w:r>
      </w:hyperlink>
      <w:r w:rsidR="0049577B" w:rsidRPr="00B40DC1">
        <w:t>所指立法裁量之自由，此即為ECHR所指稱之國家機關對於差異化處遇(措施)手段之選擇，係具有裁量自由。國家機關擁有自由之權限，可自由決定選用何種之差異化處遇(措施)手段，尚難謂為恣意，並不違反平等原則。</w:t>
      </w:r>
    </w:p>
    <w:p w:rsidR="0049577B" w:rsidRPr="00B40DC1" w:rsidRDefault="0049577B" w:rsidP="005D4AAC">
      <w:pPr>
        <w:spacing w:line="240" w:lineRule="auto"/>
        <w:ind w:leftChars="0" w:left="0" w:rightChars="0" w:right="0"/>
      </w:pPr>
      <w:r w:rsidRPr="00B40DC1">
        <w:t xml:space="preserve">　　ECHR對於歐洲人權公約第14條禁止歧視之規範內容，業已發展出更進一步之審查標準。亦即，針對於具有重大差異性之情境(情事)(whose situations are significantly different)，國家須採用差異化處遇(措施)之手段加以回應；如國家未採用差異化之處遇(措施)</w:t>
      </w:r>
      <w:r w:rsidR="003C1792">
        <w:t>(</w:t>
      </w:r>
      <w:r w:rsidRPr="00B40DC1">
        <w:t>fail to treat differently persons)，則須符合具有客觀化與合理化之正當性(合法性)之要件。如未具有客觀化與合理化之正當性(合法性)(without objective and reasonable justification)，在此種狀況下，國家未採用差異化處遇(措施)之消極性不作為(fail to treat differently persons)，已違反歐洲人權公約第14條禁止歧視(Prohibition of discrimination)之規範。依據ECHR上述之見解，針對於具有重大差異性之事項，國家有義務採行差異化處遇(措施)加以回應。假若國家採行消極性之不作為，則須舉證具有客觀化與合理化之正當性(合法性)之存在，俾利於將上述消極性之不作為，加以正當化(合法化)</w:t>
      </w:r>
      <w:r w:rsidRPr="005D4AAC">
        <w:rPr>
          <w:rStyle w:val="af7"/>
          <w:rFonts w:eastAsia="新細明體"/>
          <w:sz w:val="20"/>
        </w:rPr>
        <w:footnoteReference w:id="563"/>
      </w:r>
      <w:r w:rsidRPr="00B40DC1">
        <w:t>。</w:t>
      </w:r>
    </w:p>
    <w:p w:rsidR="0049577B" w:rsidRPr="00B40DC1" w:rsidRDefault="005D4AAC" w:rsidP="005D4AAC">
      <w:pPr>
        <w:spacing w:line="240" w:lineRule="auto"/>
        <w:ind w:leftChars="0" w:left="0" w:rightChars="0" w:right="0"/>
      </w:pPr>
      <w:r>
        <w:t xml:space="preserve">　　</w:t>
      </w:r>
      <w:r w:rsidR="0049577B" w:rsidRPr="00B40DC1">
        <w:t>在「判斷餘地」之領域，ECHR亦與IACHR之見解，具有若干之相似性；ECHR亦承認締約國擁有一定程度之「判斷餘地」。在其他方面具有相似性之情境之下，究竟可否將國家採取之某一種差異化之處遇(措施)，加以正當化(合法化)？及上述之正當化(合法化)，本身可容許何種程度範圍之變異性(whether and to what extent differences)？ECHR認為締約國擁有「判斷餘地」。此處所欲處理之問題，係聚焦於將差異化之處遇(措施)，加以正當化(合法化)之課題。在此一課題之上，國家擁有「判斷餘地」</w:t>
      </w:r>
      <w:r w:rsidR="0049577B" w:rsidRPr="005D4AAC">
        <w:rPr>
          <w:rStyle w:val="af7"/>
          <w:rFonts w:eastAsia="新細明體"/>
          <w:sz w:val="20"/>
        </w:rPr>
        <w:footnoteReference w:id="564"/>
      </w:r>
      <w:r w:rsidR="0049577B" w:rsidRPr="00B40DC1">
        <w:t>。</w:t>
      </w:r>
    </w:p>
    <w:p w:rsidR="0049577B" w:rsidRPr="00B40DC1" w:rsidRDefault="0049577B" w:rsidP="005D4AAC">
      <w:pPr>
        <w:spacing w:line="240" w:lineRule="auto"/>
        <w:ind w:leftChars="0" w:left="0" w:rightChars="0" w:right="0"/>
      </w:pPr>
      <w:r w:rsidRPr="00B40DC1">
        <w:t xml:space="preserve">　　一旦權利受損害個人質疑上述之差異化處遇(措施)之合法性，並將案件提交於ECHR；如被控告國家有意圖擬說服ECHR，將其所實施之差異化處遇(措施)( a difference in treatment)，特別是以排他性之作法，基於性別或源自於婚姻之出生別(particularly if it was based exclusively on gender or birth out of wedlock)之差別性措施，視為符合歐洲人權公約第14條所要求之合法化之差別性作為(as a legitimate differentiation under article 14)。此時，被控告國家有法律上之義務，須提交具有非常重大性之理由(very weighty reasons)至ECHR，用以證明其所實施之差異化處遇(措施)，具有正當性(合法性)</w:t>
      </w:r>
      <w:r w:rsidRPr="005D4AAC">
        <w:rPr>
          <w:rStyle w:val="af7"/>
          <w:rFonts w:eastAsia="新細明體"/>
          <w:sz w:val="20"/>
        </w:rPr>
        <w:footnoteReference w:id="565"/>
      </w:r>
      <w:r w:rsidRPr="00B40DC1">
        <w:t>。</w:t>
      </w:r>
    </w:p>
    <w:p w:rsidR="0049577B" w:rsidRPr="00B40DC1" w:rsidRDefault="0049577B" w:rsidP="005D4AAC">
      <w:pPr>
        <w:spacing w:line="240" w:lineRule="auto"/>
        <w:ind w:leftChars="0" w:left="0" w:rightChars="0" w:right="0"/>
      </w:pPr>
      <w:r w:rsidRPr="00B40DC1">
        <w:t xml:space="preserve">　　此外，根據聯合國人權事務高級專員辦事處(簡稱為高專辦，亦有譯為委員長辦公室，Office of the High Commissioner for Human Rights，簡稱為OHCHR)之見解，平等對待及禁止歧視原則具有以下重要之特性</w:t>
      </w:r>
      <w:r w:rsidRPr="005D4AAC">
        <w:rPr>
          <w:rStyle w:val="af7"/>
          <w:rFonts w:eastAsia="新細明體"/>
          <w:sz w:val="20"/>
        </w:rPr>
        <w:footnoteReference w:id="566"/>
      </w:r>
      <w:r w:rsidRPr="00B40DC1">
        <w:t>：</w:t>
      </w:r>
    </w:p>
    <w:p w:rsidR="0049577B" w:rsidRPr="00B40DC1" w:rsidRDefault="004413BE" w:rsidP="005D4AAC">
      <w:pPr>
        <w:spacing w:line="240" w:lineRule="auto"/>
        <w:ind w:leftChars="0" w:left="0" w:rightChars="0" w:right="0"/>
      </w:pPr>
      <w:r>
        <w:t xml:space="preserve">　　</w:t>
      </w:r>
      <w:r w:rsidR="0049577B" w:rsidRPr="00B40DC1">
        <w:t>一、所謂之平等對待及禁止歧視之原則(The principle of equality and non-discrimination)，在國際法體系下之意義，並非指施加於人類身上之所有差異性(差別性)之措施(does not mean that all distinctions between people)，均構成非法(are illegal)；</w:t>
      </w:r>
    </w:p>
    <w:p w:rsidR="0049577B" w:rsidRPr="00B40DC1" w:rsidRDefault="004413BE" w:rsidP="005D4AAC">
      <w:pPr>
        <w:spacing w:line="240" w:lineRule="auto"/>
        <w:ind w:leftChars="0" w:left="0" w:rightChars="0" w:right="0"/>
      </w:pPr>
      <w:r>
        <w:t xml:space="preserve">　　</w:t>
      </w:r>
      <w:r w:rsidR="0049577B" w:rsidRPr="00B40DC1">
        <w:t>二、施加於人類身上之差異化處遇(措施)，如符合以下之構成要件，即屬於合法(Differentiations are legitimate)：(1)國家透由追逐一項合法化之目的(pursue a legitimate aim)，諸如採行主動援助弱勢族群之行動(或稱為機會均等行動、平權法案之行動)</w:t>
      </w:r>
      <w:r w:rsidR="003C1792">
        <w:t>(</w:t>
      </w:r>
      <w:r w:rsidR="0049577B" w:rsidRPr="00B40DC1">
        <w:t>affirmative action)，俾利於處理事實上已存在之不平等情事(to deal with factual inequalities)；(2</w:t>
      </w:r>
      <w:r w:rsidR="00587200">
        <w:t>)</w:t>
      </w:r>
      <w:r w:rsidR="0049577B" w:rsidRPr="00B40DC1">
        <w:t>就目的而言，是合理的(are reasonable in the light of their legitimate aim)；</w:t>
      </w:r>
    </w:p>
    <w:p w:rsidR="0049577B" w:rsidRPr="00B40DC1" w:rsidRDefault="004413BE" w:rsidP="005D4AAC">
      <w:pPr>
        <w:spacing w:line="240" w:lineRule="auto"/>
        <w:ind w:leftChars="0" w:left="0" w:rightChars="0" w:right="0"/>
      </w:pPr>
      <w:r>
        <w:t xml:space="preserve">　　</w:t>
      </w:r>
      <w:r w:rsidR="0049577B" w:rsidRPr="00B40DC1">
        <w:t>三、在國際人權法之體系下，國家所採行之差異化處遇(措施)，如符合以下之情形，則屬於非法之性質，且與國際人權法之規範有所衝突：(1)被聲稱採行差異化處遇(措施)之目的(purposes for differential treatment)，無法以客觀化之方式，將目的加以正當化(合法化)</w:t>
      </w:r>
      <w:r w:rsidR="003C1792">
        <w:t>(</w:t>
      </w:r>
      <w:r w:rsidR="0049577B" w:rsidRPr="00B40DC1">
        <w:t>that cannot be objectively justified)；(2)國家為了達到合法化之目的(to the attainment of a legitimate aim)，所採行差異化之措施，目的與手段兩者之間，未具有比例性(不符合比例性)(measures that are disproportionate)；</w:t>
      </w:r>
    </w:p>
    <w:p w:rsidR="0049577B" w:rsidRPr="00B40DC1" w:rsidRDefault="004413BE" w:rsidP="005D4AAC">
      <w:pPr>
        <w:spacing w:line="240" w:lineRule="auto"/>
        <w:ind w:leftChars="0" w:left="0" w:rightChars="0" w:right="0"/>
      </w:pPr>
      <w:r>
        <w:t xml:space="preserve">　　</w:t>
      </w:r>
      <w:r w:rsidR="0049577B" w:rsidRPr="00B40DC1">
        <w:t>四、國家為了保障人民之平等權(To ensure the right to equality)，針對於具有重大差異性之情境(情事)</w:t>
      </w:r>
      <w:r w:rsidR="003C1792">
        <w:t>(</w:t>
      </w:r>
      <w:r w:rsidR="0049577B" w:rsidRPr="00B40DC1">
        <w:t>whose situations are significantly different)，容許國家機關以差異化處遇(措施)之方式對待民眾(States may have to treat differently persons)。</w:t>
      </w:r>
    </w:p>
    <w:p w:rsidR="0049577B" w:rsidRPr="00B40DC1" w:rsidRDefault="00E33C4C" w:rsidP="005D4AAC">
      <w:pPr>
        <w:spacing w:line="240" w:lineRule="auto"/>
        <w:ind w:leftChars="0" w:left="0" w:rightChars="0" w:right="0"/>
      </w:pPr>
      <w:r>
        <w:t xml:space="preserve">　　</w:t>
      </w:r>
      <w:r w:rsidR="0049577B" w:rsidRPr="00B40DC1">
        <w:t>復次，本書擬進一步探討我</w:t>
      </w:r>
      <w:r w:rsidR="002D4379" w:rsidRPr="00B40DC1">
        <w:t>國</w:t>
      </w:r>
      <w:hyperlink r:id="rId497" w:history="1">
        <w:r w:rsidR="002D4379" w:rsidRPr="002D4379">
          <w:rPr>
            <w:rStyle w:val="a7"/>
            <w:rFonts w:cs="Times New Roman" w:hint="eastAsia"/>
            <w:lang w:eastAsia="zh-TW" w:bidi="ar-SA"/>
          </w:rPr>
          <w:t>憲法</w:t>
        </w:r>
      </w:hyperlink>
      <w:r w:rsidR="0049577B" w:rsidRPr="00B40DC1">
        <w:t>之中，有關於涉及平等權保障之相關規定，詳如下表---</w:t>
      </w:r>
      <w:hyperlink r:id="rId498" w:history="1">
        <w:r w:rsidR="00A63349" w:rsidRPr="002D4379">
          <w:rPr>
            <w:rStyle w:val="a7"/>
            <w:rFonts w:cs="Times New Roman" w:hint="eastAsia"/>
            <w:lang w:eastAsia="zh-TW" w:bidi="ar-SA"/>
          </w:rPr>
          <w:t>憲法</w:t>
        </w:r>
      </w:hyperlink>
      <w:r w:rsidR="0049577B" w:rsidRPr="00B40DC1">
        <w:t>本文與歷年來之司法院大法官會議解釋文涉及平等權之規範</w:t>
      </w:r>
      <w:r w:rsidR="0049577B" w:rsidRPr="00B40DC1">
        <w:rPr>
          <w:kern w:val="0"/>
        </w:rPr>
        <w:t>內涵分析一覽表中</w:t>
      </w:r>
      <w:r w:rsidR="0049577B" w:rsidRPr="00B40DC1">
        <w:t>所述。</w:t>
      </w:r>
    </w:p>
    <w:p w:rsidR="0049577B" w:rsidRPr="00B40DC1" w:rsidRDefault="00430875" w:rsidP="00430875">
      <w:pPr>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E33C4C">
      <w:pPr>
        <w:pStyle w:val="4"/>
        <w:rPr>
          <w:lang w:eastAsia="zh-TW"/>
        </w:rPr>
      </w:pPr>
      <w:r w:rsidRPr="00B40DC1">
        <w:rPr>
          <w:lang w:eastAsia="zh-TW"/>
        </w:rPr>
        <w:t>表1、憲法本文與歷年來司法院大法官會議解釋文涉及平等權之規範</w:t>
      </w:r>
      <w:r w:rsidRPr="00B40DC1">
        <w:rPr>
          <w:kern w:val="0"/>
          <w:lang w:eastAsia="zh-TW"/>
        </w:rPr>
        <w:t>內涵分析一覽表</w:t>
      </w:r>
    </w:p>
    <w:tbl>
      <w:tblPr>
        <w:tblW w:w="484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8306"/>
      </w:tblGrid>
      <w:tr w:rsidR="0049577B" w:rsidRPr="00B40DC1" w:rsidTr="00FD5837">
        <w:trPr>
          <w:tblHeader/>
        </w:trPr>
        <w:tc>
          <w:tcPr>
            <w:tcW w:w="679" w:type="pct"/>
            <w:shd w:val="clear" w:color="auto" w:fill="EFFDFF"/>
          </w:tcPr>
          <w:p w:rsidR="0049577B" w:rsidRPr="00B40DC1" w:rsidRDefault="0049577B" w:rsidP="00E33C4C">
            <w:pPr>
              <w:spacing w:line="240" w:lineRule="auto"/>
              <w:ind w:leftChars="0" w:left="0" w:rightChars="0" w:right="0"/>
              <w:jc w:val="center"/>
            </w:pPr>
            <w:r w:rsidRPr="00B40DC1">
              <w:t>解釋文號</w:t>
            </w:r>
          </w:p>
        </w:tc>
        <w:tc>
          <w:tcPr>
            <w:tcW w:w="4321" w:type="pct"/>
            <w:shd w:val="clear" w:color="auto" w:fill="EFFDFF"/>
            <w:vAlign w:val="center"/>
          </w:tcPr>
          <w:p w:rsidR="0049577B" w:rsidRPr="00B40DC1" w:rsidRDefault="0049577B" w:rsidP="00E33C4C">
            <w:pPr>
              <w:spacing w:line="240" w:lineRule="auto"/>
              <w:ind w:leftChars="0" w:left="0" w:rightChars="0" w:right="0"/>
              <w:jc w:val="center"/>
            </w:pPr>
            <w:r w:rsidRPr="00B40DC1">
              <w:t>內涵</w:t>
            </w:r>
          </w:p>
        </w:tc>
      </w:tr>
      <w:tr w:rsidR="0049577B" w:rsidRPr="00B40DC1" w:rsidTr="00FD5837">
        <w:tc>
          <w:tcPr>
            <w:tcW w:w="679" w:type="pct"/>
            <w:shd w:val="clear" w:color="auto" w:fill="auto"/>
            <w:vAlign w:val="center"/>
          </w:tcPr>
          <w:p w:rsidR="0049577B" w:rsidRPr="00B40DC1" w:rsidRDefault="0049577B" w:rsidP="00E33C4C">
            <w:pPr>
              <w:spacing w:line="240" w:lineRule="auto"/>
              <w:ind w:leftChars="0" w:left="0" w:rightChars="0" w:right="0"/>
            </w:pPr>
            <w:r w:rsidRPr="00B40DC1">
              <w:t>憲法本文</w:t>
            </w:r>
            <w:hyperlink r:id="rId499" w:anchor="a7" w:history="1">
              <w:r w:rsidRPr="003631B6">
                <w:rPr>
                  <w:rStyle w:val="a7"/>
                  <w:rFonts w:cs="Times New Roman"/>
                  <w:lang w:eastAsia="zh-TW" w:bidi="ar-SA"/>
                </w:rPr>
                <w:t>第7條</w:t>
              </w:r>
            </w:hyperlink>
          </w:p>
        </w:tc>
        <w:tc>
          <w:tcPr>
            <w:tcW w:w="4321" w:type="pct"/>
            <w:shd w:val="clear" w:color="auto" w:fill="auto"/>
            <w:vAlign w:val="center"/>
          </w:tcPr>
          <w:p w:rsidR="0049577B" w:rsidRPr="00B40DC1" w:rsidRDefault="0049577B" w:rsidP="00E33C4C">
            <w:pPr>
              <w:spacing w:line="240" w:lineRule="auto"/>
              <w:ind w:leftChars="0" w:left="0" w:rightChars="0" w:right="0"/>
            </w:pPr>
            <w:r w:rsidRPr="00B40DC1">
              <w:t>中華民國人民，無分男女、宗教、種族、階級、黨派，在法律上一律平等。</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00" w:anchor="r593" w:history="1">
              <w:r w:rsidRPr="00570587">
                <w:rPr>
                  <w:rStyle w:val="a7"/>
                  <w:rFonts w:cs="Times New Roman"/>
                  <w:lang w:eastAsia="zh-TW" w:bidi="ar-SA"/>
                </w:rPr>
                <w:t>593</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汽燃費徵配辦法徵收對象、方式等規定違憲？</w:t>
            </w:r>
          </w:p>
          <w:p w:rsidR="0049577B" w:rsidRPr="00B40DC1" w:rsidRDefault="00AE1031" w:rsidP="00E33C4C">
            <w:pPr>
              <w:spacing w:line="240" w:lineRule="auto"/>
              <w:ind w:leftChars="0" w:left="0" w:rightChars="0" w:right="0"/>
            </w:pPr>
            <w:r>
              <w:t>【解釋文】</w:t>
            </w:r>
            <w:r w:rsidR="0049577B" w:rsidRPr="00B40DC1">
              <w:t>國家基於一定之公益目的，對特定人民課予繳納租稅以外之金錢義務，涉及人民受憲法第十五條保障之財產權，其課徵目的、對象、額度應以法律定之，或以法律具體明確之授權，由主管機關於授權範圍內以命令為必要之規範。該法律或命令規定之課徵對象，如係斟酌事物性質不同所為之合目的性選擇，其所規定之課徵方式及額度如與目的之達成具有合理之關聯性，即未牴觸憲法所規定之平等原則與比例原則。</w:t>
            </w:r>
          </w:p>
          <w:p w:rsidR="0049577B" w:rsidRPr="00B40DC1" w:rsidRDefault="0049577B" w:rsidP="00E33C4C">
            <w:pPr>
              <w:spacing w:line="240" w:lineRule="auto"/>
              <w:ind w:leftChars="0" w:left="0" w:rightChars="0" w:right="0"/>
            </w:pPr>
            <w:r w:rsidRPr="00B40DC1">
              <w:t xml:space="preserve">　　中華民國七十三年一月二十三日修正公布之公路法第二十七條第一項規定：「公路主管機關，為公路養護、修建及安全管理所需經費，得徵收汽車燃料使用費；其徵收費率，不得超過燃料進口或出廠價格百分之五十」，已就汽車燃料使用費之徵收目的、對象及額度上限予以明定；同條第二項並具體明確授權交通部會商財政部，訂定汽車燃料使用費徵收及分配辦法，其授權之目的、範圍及內容均有明確之規定，與授權明確性原則並無不合。主管機關基於上開授權於八十六年九月二十六日修正發布汽車燃料使用費徵收及分配辦法，其第二條規定：「凡行駛公路或市區道路之各型汽車，除第四條規定免徵之車輛，均依本辦法之規定，徵收汽車燃料使用費」。第三條規定：「汽車燃料使用費按各型汽車每月耗油量，依附表費額，由交通部或委託省（市）分別代徵之。其費率如下：一、汽油每公升新台幣二點五元。二、柴油每公升新台幣一點五元（第一項）。前項耗油量，按各型汽車之汽缸總排氣量、行駛里程及使用效率計算之（第二項）。」均未逾越公路法之授權範圍，符合憲法第</w:t>
            </w:r>
            <w:hyperlink r:id="rId501" w:anchor="a23" w:history="1">
              <w:r w:rsidRPr="00FD5837">
                <w:rPr>
                  <w:rStyle w:val="a7"/>
                  <w:rFonts w:cs="Times New Roman"/>
                  <w:lang w:eastAsia="zh-TW" w:bidi="ar-SA"/>
                </w:rPr>
                <w:t>二十三</w:t>
              </w:r>
            </w:hyperlink>
            <w:r w:rsidRPr="00B40DC1">
              <w:t>條法律保留原則之要求。</w:t>
            </w:r>
            <w:r w:rsidRPr="00B40DC1">
              <w:rPr>
                <w:u w:val="single"/>
              </w:rPr>
              <w:t>上開辦法第二條所定之徵收對象、第三條所定之徵收方式，並未牴觸憲法</w:t>
            </w:r>
            <w:hyperlink r:id="rId502" w:anchor="a7" w:history="1">
              <w:r w:rsidRPr="00FD5837">
                <w:rPr>
                  <w:rStyle w:val="a7"/>
                  <w:rFonts w:cs="Times New Roman"/>
                  <w:lang w:eastAsia="zh-TW" w:bidi="ar-SA"/>
                </w:rPr>
                <w:t>第七條</w:t>
              </w:r>
            </w:hyperlink>
            <w:r w:rsidRPr="00B40DC1">
              <w:rPr>
                <w:u w:val="single"/>
              </w:rPr>
              <w:t>之平等原則與第二十三條之比例原則。</w:t>
            </w:r>
            <w:r w:rsidRPr="00B40DC1">
              <w:t>汽車燃料使用費與使用牌照稅之徵收亦不生雙重課稅之問題。</w:t>
            </w:r>
          </w:p>
          <w:p w:rsidR="0049577B" w:rsidRPr="00B40DC1" w:rsidRDefault="00E063B6" w:rsidP="00E33C4C">
            <w:pPr>
              <w:spacing w:line="240" w:lineRule="auto"/>
              <w:ind w:leftChars="0" w:left="0" w:rightChars="0" w:right="0"/>
            </w:pPr>
            <w:r>
              <w:t>【理由書】</w:t>
            </w:r>
            <w:r w:rsidR="0049577B" w:rsidRPr="00B40DC1">
              <w:t>國家基於一定之公益目的，對特定人民課予繳納租稅以外之金錢義務，涉及人民受憲法第</w:t>
            </w:r>
            <w:hyperlink r:id="rId503" w:anchor="a15" w:history="1">
              <w:r w:rsidR="0049577B" w:rsidRPr="00FD5837">
                <w:rPr>
                  <w:rStyle w:val="a7"/>
                  <w:rFonts w:cs="Times New Roman"/>
                  <w:lang w:eastAsia="zh-TW" w:bidi="ar-SA"/>
                </w:rPr>
                <w:t>十五</w:t>
              </w:r>
            </w:hyperlink>
            <w:r w:rsidR="0049577B" w:rsidRPr="00B40DC1">
              <w:t>條保障之財產權，其課徵之目的、對象、額度應以法律定之，或依法律具體明確授權，由主管機關以命令為必要之規範。而有關繳納金錢之義務，則應本於正當之立法目的，在必要範圍內對適當之對象以合理之方式、額度予以課徵，以符合憲法所規定之平等原則與比例原則。</w:t>
            </w:r>
          </w:p>
          <w:p w:rsidR="0049577B" w:rsidRPr="00B40DC1" w:rsidRDefault="00E33C4C" w:rsidP="00E33C4C">
            <w:pPr>
              <w:spacing w:line="240" w:lineRule="auto"/>
              <w:ind w:leftChars="0" w:left="0" w:rightChars="0" w:right="0"/>
            </w:pPr>
            <w:r>
              <w:t xml:space="preserve">　　</w:t>
            </w:r>
            <w:r w:rsidR="0049577B" w:rsidRPr="00B40DC1">
              <w:t>按等者等之，不等者不等之，為憲法平等原則之基本意涵。是如對相同事物為差別待遇而無正當理由，或對於不同事物未為合理之差別待遇，均屬違反平等原則。法規範是否符合平等原則之要求，其判斷應取決於該法規範所以為差別待遇之目的是否合憲，其所採取之分類與規範目的之達成之間，是否存有一定程度的關聯性，以及該關聯性應及於何種程度而定。本件汽車燃料使用費徵收及分配辦法第二條規定，向各型汽車所有人課徵汽車燃料使用費，其主要目的係為籌措上開公路法第二十七條第一項規定之公路養護、修建及安全管理所需經費，已屬合憲之重大公益目的。雖汽車所有人未必完全等同於公路使用人，惟駕駛汽車實為使用公路之主要態樣。欲使享有汽車所有權之利益能獲得最大之發揮，須以完善、安全、四通八達的公路網絡為前提，無論汽車所有人是否自為駕駛，均直接、間接享受此等利益。再者，主管機關所徵得之汽車燃料使用費分配各中央、地方機關後，均由受分配機關採取收支並列方式，專用於汽車燃料使用費之稽徵、道路交通安全管理、道路養護與修建，故實際上汽車所有人亦相當程度得享用徵收汽車燃料使用費後之利益。是系爭規定以主要享用公路養護等利益之汽車所有人為對象，課徵專用於公路養護等目的之汽車燃料使用費，而未及於所有使用公路之人，固對汽車所有人有差別待遇，惟以汽車所有人為課徵對象，並非恣意選擇，符合國家基於達成公路養護等之立法目的，對特定人民課予繳納租稅以外金錢義務之意旨，與憲法第七條之平等原則尚無牴觸。又汽車燃料使用費徵收及分配辦法第三條，雖未對使用汽油之汽車所有人，依其使用九二無鉛汽油、九五無鉛汽油或九八無鉛汽油之不同，規定不同之計算費率，惟主管機關係基於稽徵成本、行政效率及其他公共政策之考量，尚難認係恣意或不合理；且對所有使用汽油之汽車所有人採取相同之計算費率，與目的之達成亦有合理之關聯性，故與平等原則亦尚無牴觸。</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04" w:anchor="r618" w:history="1">
              <w:r w:rsidRPr="00570587">
                <w:rPr>
                  <w:rStyle w:val="a7"/>
                  <w:rFonts w:cs="Times New Roman"/>
                  <w:lang w:eastAsia="zh-TW" w:bidi="ar-SA"/>
                </w:rPr>
                <w:t>618</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兩岸關係條例</w:t>
            </w:r>
            <w:hyperlink r:id="rId505" w:anchor="b21" w:history="1">
              <w:r w:rsidR="0049577B" w:rsidRPr="00A0752E">
                <w:rPr>
                  <w:rStyle w:val="a7"/>
                  <w:rFonts w:cs="Times New Roman"/>
                  <w:lang w:eastAsia="zh-TW" w:bidi="ar-SA"/>
                </w:rPr>
                <w:t>第21條</w:t>
              </w:r>
            </w:hyperlink>
            <w:r w:rsidR="0049577B" w:rsidRPr="00B40DC1">
              <w:t>第1項前段規定違憲？</w:t>
            </w:r>
          </w:p>
          <w:p w:rsidR="0049577B" w:rsidRPr="00B40DC1" w:rsidRDefault="00AE1031" w:rsidP="00E33C4C">
            <w:pPr>
              <w:spacing w:line="240" w:lineRule="auto"/>
              <w:ind w:leftChars="0" w:left="0" w:rightChars="0" w:right="0"/>
            </w:pPr>
            <w:r>
              <w:t>【解釋文】</w:t>
            </w:r>
            <w:r w:rsidR="0049577B" w:rsidRPr="00B40DC1">
              <w:t>中華民國人民，無分男女、宗教、種族、階級、黨派，在法律上一律平等，為憲法第七條所明定。其依同法第十八條應考試服公職之權，在法律上自亦應一律平等。惟此所謂平等，係指實質上之平等而言，立法機關基於憲法之價值體系，自得斟酌規範事物性質之差異而為合理之區別對待，本院釋字第二０五號解釋理由書足資參照。且其基於合理之區別對待而以法律對人民基本權利所為之限制，亦應符合憲法第二十三條規定比例原則之要求。</w:t>
            </w:r>
          </w:p>
          <w:p w:rsidR="0049577B" w:rsidRPr="00B40DC1" w:rsidRDefault="0049577B" w:rsidP="00E33C4C">
            <w:pPr>
              <w:spacing w:line="240" w:lineRule="auto"/>
              <w:ind w:leftChars="0" w:left="0" w:rightChars="0" w:right="0"/>
            </w:pPr>
            <w:r w:rsidRPr="00B40DC1">
              <w:t xml:space="preserve">　　八十九年十二月二十日修正公布之兩岸關係條例第二十一條第一項前段規定，大陸地區人民經許可進入臺灣地區者，非在臺灣地區設有戶籍滿十年，不得擔任公務人員部分，乃係基於公務人員經國家任用後，即與國家發生公法上職務關係及忠誠義務，其職務之行使，涉及國家之公權力，不僅應遵守法令，更應積極考量國家整體利益，採取一切有利於國家之行為與決策；並鑒於兩岸目前仍處於分治與對立之狀態，且政治、經濟與社會等體制具有重大之本質差異，為確保臺灣地區安全、民眾福祉暨維護自由民主之憲政秩序，所為之特別規定，其目的洵屬合理正當。基於原設籍大陸地區人民設籍臺灣地區未滿十年者，對自由民主憲政體制認識與其他臺灣地區人民容有差異，故對其擔任公務人員之資格與其他臺灣地區人民予以區別對待，亦屬合理，與憲法第七條之平等原則及憲法增修條文第十一條之意旨尚無違背。</w:t>
            </w:r>
          </w:p>
          <w:p w:rsidR="0049577B" w:rsidRPr="00B40DC1" w:rsidRDefault="00E063B6" w:rsidP="00E33C4C">
            <w:pPr>
              <w:spacing w:line="240" w:lineRule="auto"/>
              <w:ind w:leftChars="0" w:left="0" w:rightChars="0" w:right="0"/>
            </w:pPr>
            <w:r>
              <w:t>【理由書】</w:t>
            </w:r>
            <w:r w:rsidR="0049577B" w:rsidRPr="00B40DC1">
              <w:t>中華民國人民，無分男女、宗教、種族、階級、黨派，在法律上一律平等，為憲法第七條所明定。其依同法第十八條應考試服公職之權，在法律上自亦應一律平等。惟此所謂平等，係指實質上之平等而言，立法機關基於憲法之價值體系，自得斟酌規範事物性質之差異而為合理之區別對待，本院釋字第二０五號解釋理由書足資參照。且其基於合理之區別對待而以法律對人民基本權利所為之限制，亦應符合憲法第二十三條規定比例原則之要求。惟兩岸關係事務，涉及政治、經濟與社會等諸多因素之考量與判斷，對於代表多元民意及掌握充分資訊之立法機關就此所為之決定，如非具有明顯之重大瑕疵，職司法律違憲審查之釋憲機關即宜予以尊重。</w:t>
            </w:r>
          </w:p>
          <w:p w:rsidR="0049577B" w:rsidRPr="00B40DC1" w:rsidRDefault="0049577B" w:rsidP="00E33C4C">
            <w:pPr>
              <w:spacing w:line="240" w:lineRule="auto"/>
              <w:ind w:leftChars="0" w:left="0" w:rightChars="0" w:right="0"/>
            </w:pPr>
            <w:r w:rsidRPr="00B40DC1">
              <w:t xml:space="preserve">　　八十年五月一日制定公布之憲法增修條文第十條（八十六年七月二十一日修正公布改列為第十一條）規定：「自由地區與大陸地區間人民權利義務關係及其他事務之處理，得以法律為特別之規定。」八十一年七月三十一日公布之</w:t>
            </w:r>
            <w:hyperlink r:id="rId506" w:history="1">
              <w:r w:rsidR="00FD5837" w:rsidRPr="00FD5837">
                <w:rPr>
                  <w:rStyle w:val="a7"/>
                  <w:rFonts w:cs="Times New Roman"/>
                  <w:lang w:eastAsia="zh-TW" w:bidi="ar-SA"/>
                </w:rPr>
                <w:t>臺灣地區與大陸地區人民關係條例</w:t>
              </w:r>
            </w:hyperlink>
            <w:r w:rsidRPr="00B40DC1">
              <w:t>即係依據上開憲法增修條文之意旨所制定，為國家統一前規範臺灣地區與大陸地區間人民權利義務關係及其他事務處理之特別立法。八十九年十二月二十日修正公布之該條例第二十一條第一項前段規定，大陸地區人民經許可進入臺灣地區者，非在臺灣地區設有戶籍滿十年，不得擔任公務人員部分（與八十一年七月三十一日制定公布之第二十一條規定相同），</w:t>
            </w:r>
            <w:r w:rsidRPr="00B40DC1">
              <w:rPr>
                <w:u w:val="single"/>
              </w:rPr>
              <w:t>乃係基於公務人員經國家任用後，即與國家發生公法上職務關係及忠誠義務，其職務之行使，涉及國家之公權力，不僅應遵守法令，更應積極考量國家整體利益，採取一切有利於國家之行為與決策，並鑒於兩岸目前仍處於分治與對立之狀態，且政治、經濟與社會等體制具有重大之本質差異，為確保臺灣地區安全、民眾福祉暨維護自由民主之憲政秩序，所為之特別規定，其目的洵屬合理正當。基於原設籍大陸地區人民設籍臺灣地區未滿十年者，對自由民主憲政體制認識與其他臺灣地區人民容有差異，故對其擔任公務人員之資格與其他臺灣地區人民予以區別對待，亦屬合理，與憲法第七條之平等原則及憲法增修條文第十一條之意旨尚無違背。</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07" w:anchor="r624" w:history="1">
              <w:r w:rsidRPr="00570587">
                <w:rPr>
                  <w:rStyle w:val="a7"/>
                  <w:rFonts w:cs="Times New Roman"/>
                  <w:lang w:eastAsia="zh-TW" w:bidi="ar-SA"/>
                </w:rPr>
                <w:t>624</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軍事審判的冤獄不賠償 , 違背平等原則 ?</w:t>
            </w:r>
          </w:p>
          <w:p w:rsidR="0049577B" w:rsidRPr="00B40DC1" w:rsidRDefault="00AE1031" w:rsidP="00E33C4C">
            <w:pPr>
              <w:spacing w:line="240" w:lineRule="auto"/>
              <w:ind w:leftChars="0" w:left="0" w:rightChars="0" w:right="0"/>
            </w:pPr>
            <w:r>
              <w:t>【解釋文】</w:t>
            </w:r>
            <w:r w:rsidR="0049577B" w:rsidRPr="00B40DC1">
              <w:t>憲法第七條規定，人民在法律上一律平等。立法機關制定冤獄賠償法，對於人民犯罪案件，經國家實施刑事程序，符合該法第一條所定要件者，賦予身體自由、生命或財產權受損害之人民，向國家請求賠償之權利。凡自由、權利遭受同等損害者，應受平等之保障，始符憲法第七條規定之意旨。</w:t>
            </w:r>
          </w:p>
          <w:p w:rsidR="0049577B" w:rsidRPr="00B40DC1" w:rsidRDefault="0049577B" w:rsidP="00E33C4C">
            <w:pPr>
              <w:spacing w:line="240" w:lineRule="auto"/>
              <w:ind w:leftChars="0" w:left="0" w:rightChars="0" w:right="0"/>
            </w:pPr>
            <w:r w:rsidRPr="00B40DC1">
              <w:t xml:space="preserve">　　冤獄賠償法第一條規定，就國家對犯罪案件實施刑事程序致人民身體自由、生命或財產權遭受損害而得請求國家賠償者，依立法者明示之適用範圍及立法計畫，僅限於司法機關依刑事訴訟法令受理案件所致上開自由、權利受損害之人民，未包括軍事機關依軍事審判法令受理案件所致該等自由、權利受同等損害之人民，係對上開自由、權利遭受同等損害，應享有冤獄賠償請求權之人民，未具正當理由而為差別待遇，若仍令依軍事審判法令受理案件遭受上開冤獄之受害人，不能依冤獄賠償法行使賠償請求權，足以延續該等人民在法律上之不平等，自與憲法第七條之本旨有所牴觸。司法院與行政院會同訂定發布之辦理冤獄賠償事件應行注意事項（下稱注意事項）第二點規定，雖符合冤獄賠償法第一條之意旨，但依其規定內容，使依軍事審判法令受理案件遭受冤獄之人民不能依冤獄賠償法行使賠償請求權，同屬不符平等原則之要求。</w:t>
            </w:r>
          </w:p>
          <w:p w:rsidR="0049577B" w:rsidRPr="00B40DC1" w:rsidRDefault="00E063B6" w:rsidP="00E33C4C">
            <w:pPr>
              <w:spacing w:line="240" w:lineRule="auto"/>
              <w:ind w:leftChars="0" w:left="0" w:rightChars="0" w:right="0"/>
            </w:pPr>
            <w:r>
              <w:t>【理由書】</w:t>
            </w:r>
            <w:r w:rsidR="0049577B" w:rsidRPr="00B40DC1">
              <w:t>憲法第七條規定：「中華民國人民，無分男女、宗教、種族、階級、黨派，在法律上一律平等」。立法機關制定冤獄賠償法，對於人民犯罪案件，經國家實施追訴、審判及刑罰執行等刑事程序，符合該法第一條所定要件者，賦予身體自由、生命或財產權受損害之人民，向國家請求賠償之權利。凡自由、權利遭受同等損害者，應受平等之保障，始符憲法第七條規定之意旨。</w:t>
            </w:r>
          </w:p>
          <w:p w:rsidR="0049577B" w:rsidRPr="00B40DC1" w:rsidRDefault="0049577B" w:rsidP="00E33C4C">
            <w:pPr>
              <w:spacing w:line="240" w:lineRule="auto"/>
              <w:ind w:leftChars="0" w:left="0" w:rightChars="0" w:right="0"/>
            </w:pPr>
            <w:r w:rsidRPr="00B40DC1">
              <w:t xml:space="preserve">　　---是則司法審判與軍事審判兩種刑事訴訟程序，在本質上並無不同，人民之自由、權利於該等程序中所受之損害，自不因受害人係屬依刑事訴訟法令或依軍事審判法令受理之案件而有異，均得依法向國家請求賠償，方符憲法上平等原則之意旨。</w:t>
            </w:r>
          </w:p>
          <w:p w:rsidR="0049577B" w:rsidRPr="00B40DC1" w:rsidRDefault="0049577B" w:rsidP="00E33C4C">
            <w:pPr>
              <w:spacing w:line="240" w:lineRule="auto"/>
              <w:ind w:leftChars="0" w:left="0" w:rightChars="0" w:right="0"/>
            </w:pPr>
            <w:r w:rsidRPr="00B40DC1">
              <w:t xml:space="preserve">　　---足見冤獄賠償法第一條所規定冤獄賠償之範圍，不包括軍事機關依軍事審判法令受理案件所致冤獄之受害人。惟人民包括非軍人與軍人，刑事冤獄包括司法審判與軍事審判之冤獄，除有正當理由外，對冤獄予以賠償，本應平等對待，且戒嚴時期軍事審判機關審理之刑事案件，因其適用之程序與一般刑事案件所適用者有別，救濟功能不足，保障人民身體自由，未若正常狀態下司法程序之周全（本院釋字第四七七號解釋參照），對於其致生之冤獄受害人，更無不賦予賠償請求權之理。是根據冤獄賠償制度之目的，立法者若對依軍事審判法令受理案件所致身體自由、生命或財產權，遭受與依刑事訴訟法令受理案件所致同類自由、權利同等損害之人民，未賦予冤獄賠償請求權，難謂有正當理由，即與憲法平等原則有違。</w:t>
            </w:r>
          </w:p>
          <w:p w:rsidR="0049577B" w:rsidRPr="00B40DC1" w:rsidRDefault="0049577B" w:rsidP="00E33C4C">
            <w:pPr>
              <w:spacing w:line="240" w:lineRule="auto"/>
              <w:ind w:leftChars="0" w:left="0" w:rightChars="0" w:right="0"/>
            </w:pPr>
            <w:r w:rsidRPr="00B40DC1">
              <w:t xml:space="preserve">　　查規範軍事審判所致冤獄賠償之法律，迄今仍未制定，致使遭受該等冤獄之軍人或非軍人，自冤獄賠償法於四十八年九月一日施行後，至七十年六月三十日，全無法律得據以請求國家賠償，迨同年七月一日之後，雖得依國家賠償法第十三條：「有審判或追訴職務之公務員，因執行職務侵害人民自由或權利，就其參與審判或追訴案件犯職務上之罪，經判決有罪確定者，適用本法規定」之規定，請求國家賠償；但該條規定之請求賠償要件，顯較冤獄賠償法第一條嚴格，以致依軍事審判法令受理案件遭受冤獄之人民，極難請求國家賠償，其與依刑事訴訟法令受理案件遭受冤獄之人民相較，仍屬未具正當理由之顯著差別待遇，若仍令因依軍事審判法令受理案件遭受冤獄之受害人，不能依冤獄賠償法行使賠償請求權，益足延續人民在法律上之不平等，就此而言，自與憲法第七條之本旨有所牴觸。至於司法院與行政院會同訂定發布之前開注意事項，乃主管機關為適用冤獄賠償法，依職權訂定之解釋性行政規則，其第二點規定：「本法第一條第一項所稱受害人，指司法機關依刑事訴訟法令執行羈押之被告，或裁判確定後之受刑人，具有該項第一款或第二款之情形者而言。第二項所稱受害人，指非依刑事訴訟法令所拘禁之人而言。但仍以法院就其案件有審判權者為限」，雖符合冤獄賠償法第一條規定之意旨，但依其規定內容，使依軍事審判法令受理案件遭受冤獄之受害人，不能依冤獄賠償法行使賠償請求權，同屬不符平等原則之要求。</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08" w:anchor="r626" w:history="1">
              <w:r w:rsidRPr="00570587">
                <w:rPr>
                  <w:rStyle w:val="a7"/>
                  <w:rFonts w:cs="Times New Roman"/>
                  <w:lang w:eastAsia="zh-TW" w:bidi="ar-SA"/>
                </w:rPr>
                <w:t>626</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中央警大碩士班招生簡章拒色盲者入學之規定違憲？</w:t>
            </w:r>
          </w:p>
          <w:p w:rsidR="0049577B" w:rsidRPr="00B40DC1" w:rsidRDefault="00AE1031" w:rsidP="00E33C4C">
            <w:pPr>
              <w:spacing w:line="240" w:lineRule="auto"/>
              <w:ind w:leftChars="0" w:left="0" w:rightChars="0" w:right="0"/>
            </w:pPr>
            <w:r>
              <w:t>【解釋文】</w:t>
            </w:r>
            <w:r w:rsidR="0049577B" w:rsidRPr="00B40DC1">
              <w:t>憲法第七條規定，人民在法律上一律平等；第一百五十九條復規定：「國民受教育之機會，一律平等。」旨在確保人民享有接受各階段教育之公平機會。中央警察大學九十一學年度研究所碩士班入學考試招生簡章第七點第二款及第八點第二款，以有無色盲決定能否取得入學資格之規定，係為培養理論與實務兼備之警察專門人才，並求教育資源之有效運用，藉以提升警政之素質，促進法治國家之發展，其欲達成之目的洵屬重要公共利益；因警察工作之範圍廣泛、內容繁雜，職務常須輪調，隨時可能發生判斷顏色之需要，色盲者因此確有不適合擔任警察之正當理由，是上開招生簡章之規定與其目的間尚非無實質關聯，與憲法第七條及第一百五十九條規定並無牴觸。</w:t>
            </w:r>
          </w:p>
          <w:p w:rsidR="0049577B" w:rsidRPr="00B40DC1" w:rsidRDefault="00E063B6" w:rsidP="00E33C4C">
            <w:pPr>
              <w:spacing w:line="240" w:lineRule="auto"/>
              <w:ind w:leftChars="0" w:left="0" w:rightChars="0" w:right="0"/>
            </w:pPr>
            <w:r>
              <w:t>【理由書】</w:t>
            </w:r>
            <w:r w:rsidR="0049577B" w:rsidRPr="00B40DC1">
              <w:t>系爭「中央警察大學九十一學年度研究所碩士班入學考試招生簡章」乃警大為訂定入學資格條件所訂定之自治規章，在不違背自治權範圍內，固不生違反法律保留原則之問題，但仍受憲法所規定基本權之拘束。系爭招生簡章第七點第二款：「2.複試項目：含口試與體格檢查二項……」及第八點第二款：「其他人員：須通過下列檢查，不合格者，不予錄取。……3.考生有左項情形之一者，為體檢不合格：……辨色力—色盲（但刑事警察研究所及鑑識科學研究所，色弱者亦不錄取）……」之規定，</w:t>
            </w:r>
            <w:r w:rsidR="0049577B" w:rsidRPr="00B40DC1">
              <w:rPr>
                <w:u w:val="single"/>
              </w:rPr>
              <w:t>因以色盲之有無決定能否取得入學資格，使色盲之考生因此不得進入警大接受教育，而涉有違反受教育權與平等權保障之虞，是否違憲，須受進一步之檢驗。</w:t>
            </w:r>
          </w:p>
          <w:p w:rsidR="0049577B" w:rsidRPr="00B40DC1" w:rsidRDefault="0049577B" w:rsidP="00E33C4C">
            <w:pPr>
              <w:spacing w:line="240" w:lineRule="auto"/>
              <w:ind w:leftChars="0" w:left="0" w:rightChars="0" w:right="0"/>
            </w:pPr>
            <w:r w:rsidRPr="00B40DC1">
              <w:t xml:space="preserve">　　按人民受教育之權利，依其憲法規範基礎之不同，可區分為「受國民教育之權利」及「受國民教育以外教育之權利」。前者明定於憲法第二十一條，旨在使人民得請求國家提供以國民教育為內容之給付，國家亦有履行該項給付之義務。至於人民受國民教育以外教育之權利，固為憲法第二十二條所保障（本院釋字第三八二號解釋參照），惟鑑於教育資源有限，所保障者係以學生在校接受教育之權利不受國家恣意限制或剝奪為主要內容，並不包括賦予人民請求給予入學許可、提供特定教育給付之權利。是國民教育學校以外之各級各類學校訂定特定之入學資格，排除資格不符之考生入學就讀，例如系爭招生簡章排除色盲之考生進入警大就讀，尚不得謂已侵害該考生受憲法保障之受教育權。除非相關入學資格條件違反憲法第七條人民在法律上一律平等暨第一百五十九條國民受教育之機會一律平等之規定，而不當限制或剝奪人民受教育之公平機會，否則即不生牴觸憲法之問題。</w:t>
            </w:r>
          </w:p>
          <w:p w:rsidR="0049577B" w:rsidRPr="00B40DC1" w:rsidRDefault="0049577B" w:rsidP="00E33C4C">
            <w:pPr>
              <w:spacing w:line="240" w:lineRule="auto"/>
              <w:ind w:leftChars="0" w:left="0" w:rightChars="0" w:right="0"/>
            </w:pPr>
            <w:r w:rsidRPr="00B40DC1">
              <w:t xml:space="preserve">　　至於系爭招生簡章規定以色盲為差別待遇之分類標準，使色盲之考生無從取得入學資格，是否侵害人民接受教育之公平機會，而違反平等權保障之問題，鑑於色盲非屬人力所得控制之生理缺陷，且此一差別對待涉及平等接受教育之機會，為憲法明文保障之事項，而教育對於個人日後工作之選擇、生涯之規劃及人格之健全發展影響深遠，甚至與社會地位及國家資源之分配息息相關，系爭規定自應受較為嚴格之審查。故系爭招生簡章之規定是否違反平等權之保障，應視其所欲達成之目的是否屬重要公共利益，且所採取分類標準及差別待遇之手段與目的之達成是否具有實質關聯而定。</w:t>
            </w:r>
          </w:p>
          <w:p w:rsidR="0049577B" w:rsidRPr="00B40DC1" w:rsidRDefault="0049577B" w:rsidP="00531F2F">
            <w:pPr>
              <w:spacing w:line="240" w:lineRule="auto"/>
              <w:ind w:leftChars="0" w:left="0" w:rightChars="0" w:right="0"/>
            </w:pPr>
            <w:r w:rsidRPr="00B40DC1">
              <w:t xml:space="preserve">　　警大因兼負培養警察專門人才與研究高深警察學術之雙重任務，期其學生畢業後均能投入警界，為國家社會治安投注心力，並在警察工作中運用所學，將理論與實務結合；若學生入學接受警察教育，卻未能勝任警察、治安等實務工作，將與警大設校宗旨不符。為求上開設校宗旨之達成及教育資源之有效運用，乃以無色盲為入學條件之一，預先排除不適合擔任警察之人。是項目的之達成，有助於警政素質之提升，並使社會治安、人權保障、警察形象及執法威信得以維持或改善，進而促進法治國家之發展，自屬重要公共利益。</w:t>
            </w:r>
            <w:r w:rsidRPr="00B40DC1">
              <w:rPr>
                <w:u w:val="single"/>
              </w:rPr>
              <w:t>因警察工作之範圍廣泛、內容繁雜，職務常須輪調，隨時可能發生判斷顏色之需要，色盲者因此確有不適合擔任警察之正當理由。是系爭招生簡章規定排除色盲者之入學資格，集中有限教育資源於培育適合擔任警察之學生，自難謂與其所欲達成之目的間欠缺實質關聯。</w:t>
            </w:r>
            <w:r w:rsidRPr="00B40DC1">
              <w:t>雖在現行制度下，警大畢業之一般生仍須另行參加警察特考，經考試及格後始取得警察任用資格而得擔任警察；且其於在校期間不享公費，亦不負有畢業後從事警察工作之義務，以致警大並不保障亦不強制所有一般生畢業後均從事警察工作。</w:t>
            </w:r>
            <w:r w:rsidRPr="00B40DC1">
              <w:rPr>
                <w:u w:val="single"/>
              </w:rPr>
              <w:t>然此仍不妨礙警大在其所得決策之範圍內，儘可能追求符合設校宗旨及有效運用教育資源之目的，況所採排除色盲者入學之手段，亦確有助於前開目的之有效達成。是系爭招生簡章之規定與該目的間之實質關聯性，並不因此而受影響，與憲法第七條及第一百五十九條規定並無牴觸。</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09" w:anchor="r635" w:history="1">
              <w:r w:rsidRPr="00A0752E">
                <w:rPr>
                  <w:rStyle w:val="a7"/>
                  <w:rFonts w:cs="Times New Roman"/>
                  <w:lang w:eastAsia="zh-TW" w:bidi="ar-SA"/>
                </w:rPr>
                <w:t>635</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非自行耕作者以農民名義購農業用地應補徵土地增值稅之財政部函釋違憲？</w:t>
            </w:r>
          </w:p>
          <w:p w:rsidR="0049577B" w:rsidRPr="00B40DC1" w:rsidRDefault="00AE1031" w:rsidP="00E33C4C">
            <w:pPr>
              <w:spacing w:line="240" w:lineRule="auto"/>
              <w:ind w:leftChars="0" w:left="0" w:rightChars="0" w:right="0"/>
            </w:pPr>
            <w:r>
              <w:t>【解釋文】</w:t>
            </w:r>
            <w:r w:rsidR="0049577B" w:rsidRPr="00B40DC1">
              <w:t>中華民國七十八年十月三十日修正公布之土地稅法第三十九條之二第一項規定所為租稅之差別對待，符合憲法平等原則之要求。又財政部八十二年十月七日臺財稅第八二一四九八七九一號函，係主管機關依其法定職權就上開規定所為之闡釋，符合立法意旨及國家農業與租稅政策，並未逾越對人民正當合理之稅課範圍，與法律明確性原則及憲法第七條、第十九條之規定，均無牴觸，亦未侵害人民受憲法第十五條保障之財產權。</w:t>
            </w:r>
          </w:p>
          <w:p w:rsidR="0049577B" w:rsidRPr="00B40DC1" w:rsidRDefault="00E063B6" w:rsidP="00E33C4C">
            <w:pPr>
              <w:spacing w:line="240" w:lineRule="auto"/>
              <w:ind w:leftChars="0" w:left="0" w:rightChars="0" w:right="0"/>
            </w:pPr>
            <w:r>
              <w:t>【理由書】</w:t>
            </w:r>
            <w:r w:rsidR="0049577B" w:rsidRPr="00B40DC1">
              <w:t>憲法第十九條規定，人民有依法律納稅之義務，係指國家課人民以繳納稅捐之義務或給予人民減免稅捐之優惠時，應就租稅主體、租稅客體、稅基、稅率等租稅構成要件，以法律定之，惟法律之規定不能鉅細靡遺，有關課稅之技術性及細節性事項，尚非不得以行政命令為必要之釋示。故主管機關於職權範圍內適用之法律條文發生疑義者，本於法定職權就相關規定予以闡釋，如係秉持相關憲法原則，無違於一般法律解釋方法，且符合各該法律之立法目的、租稅之經濟意義，即與租稅法律主義、租稅公平原則無違（本院釋字第四二０號、第四六０號、第四九六號、第五一九號、第五九七號、第六０七號、第六二二號、第六二五號解釋參照）。</w:t>
            </w:r>
            <w:r w:rsidR="0049577B" w:rsidRPr="00B40DC1">
              <w:rPr>
                <w:u w:val="single"/>
              </w:rPr>
              <w:t>又納稅義務人固應按其實質稅負能力，負擔應負之稅捐，惟為增進公共利益，以法律或其明確授權之命令，設例外或特別規定，給予特定範圍納稅義務人減輕或免除租稅之優惠措施，而為有正當理由之差別待遇者，尚非憲法第七條規定所不許（本院釋字第五六五號解釋參照）。</w:t>
            </w:r>
          </w:p>
          <w:p w:rsidR="0049577B" w:rsidRPr="00B40DC1" w:rsidRDefault="0049577B" w:rsidP="00E33C4C">
            <w:pPr>
              <w:spacing w:line="240" w:lineRule="auto"/>
              <w:ind w:leftChars="0" w:left="0" w:rightChars="0" w:right="0"/>
              <w:rPr>
                <w:u w:val="single"/>
              </w:rPr>
            </w:pPr>
            <w:r w:rsidRPr="00B40DC1">
              <w:t xml:space="preserve">　　憲法第一百四十三條第三項規定：「土地價值非因施以勞力資本而增加者，應由國家徵收土地增值稅，歸人民共享之。」故土地稅法第二十八條前段規定：「已規定地價之土地，於土地所有權移轉時，應按其土地漲價總數額徵收土地增值稅。」惟國家對於土地之分配與整理，應以扶植自耕農及自行使用土地人為原則，憲法第一百四十三條第四項定有明文，是七十二年八月一日修正公布之農業發展條例第二十七條規定：「農業用地在依法作農業使用期間，移轉與自行耕作之農民繼續耕作者，免徵土地增值稅。」為資配合，七十八年十月三十日修正公布之土地稅法第三十九條之二第一項爰明定：「農業用地在依法作農業使用時，移轉與自行耕作之農民繼續耕作者，免徵土地增值稅。」可知此係就自行耕作之農民取得農業用地者，予以免徵土地增值稅之獎勵。此乃立法者為確保農業之永續發展，促進農地合理利用與調整農業產業結構所為之租稅優惠措施，其租稅優惠之目的甚為明確，亦有助於實現憲法第一百四十三條第四項規定之意旨。</w:t>
            </w:r>
            <w:r w:rsidRPr="00B40DC1">
              <w:rPr>
                <w:u w:val="single"/>
              </w:rPr>
              <w:t>立法者就自行耕作之農民取得農業用地，與非自行耕作者取得農業用地間，為租稅之差別對待，具有正當理由，與目的之達成並有合理關聯，符合憲法平等原則之要求。</w:t>
            </w:r>
          </w:p>
          <w:p w:rsidR="0049577B" w:rsidRPr="00B40DC1" w:rsidRDefault="0049577B" w:rsidP="00531F2F">
            <w:pPr>
              <w:spacing w:line="240" w:lineRule="auto"/>
              <w:ind w:leftChars="0" w:left="0" w:rightChars="0" w:right="0"/>
            </w:pPr>
            <w:r w:rsidRPr="00B40DC1">
              <w:t xml:space="preserve">　　農業用地在依法作農業使用時，移轉於非自行耕作之人，而以自行耕作之農民名義為所有權移轉登記者，不符土地稅法第三十九條之二第一項之上開立法意旨，自應依憲法第一百四十三條第三項及土地稅法第二十八條前段規定，於土地所有權移轉時，按其土地漲價總數額徵收土地增值稅。</w:t>
            </w:r>
            <w:r w:rsidRPr="00B40DC1">
              <w:rPr>
                <w:u w:val="single"/>
              </w:rPr>
              <w:t>財政部八十二年十月七日臺財稅第八二一四九八七九一號函略謂：「取得免徵土地增值稅之農業用地，如經查明係第三者利用農民名義購買，應按該宗土地原免徵之土地增值稅額補稅。」乃主管機關本於法定職權，就土地稅法第三十九條之二第一項規定所為具體明確之解釋性行政規則，該函釋認依上開規定得免徵土地增值稅者，係以農業用地所有權移轉於自行耕作之農民為限，符合前述農業發展條例第二十七條、土地稅法第三十九條之二第一項之立法意旨及國家之農業與租稅政策，並未逾越對人民正當合理之稅課範圍，與法律明確性原則及憲法第七條、第十九條之規定，均無牴觸，亦未侵害人民受憲法第十五條保障之財產權。</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10" w:anchor="r639" w:history="1">
              <w:r w:rsidRPr="00531F2F">
                <w:rPr>
                  <w:rStyle w:val="a7"/>
                  <w:rFonts w:cs="Times New Roman"/>
                  <w:lang w:eastAsia="zh-TW" w:bidi="ar-SA"/>
                </w:rPr>
                <w:t>639</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Pr="00A0752E">
              <w:t>】</w:t>
            </w:r>
            <w:r w:rsidR="00A0752E" w:rsidRPr="00A0752E">
              <w:rPr>
                <w:rFonts w:hint="eastAsia"/>
              </w:rPr>
              <w:t>刑訴法</w:t>
            </w:r>
            <w:hyperlink r:id="rId511" w:anchor="a416" w:history="1">
              <w:r w:rsidR="00A0752E" w:rsidRPr="00A0752E">
                <w:rPr>
                  <w:rStyle w:val="a7"/>
                  <w:rFonts w:hint="eastAsia"/>
                  <w:lang w:eastAsia="zh-TW"/>
                </w:rPr>
                <w:t>第416條</w:t>
              </w:r>
            </w:hyperlink>
            <w:r w:rsidR="00A0752E" w:rsidRPr="00A0752E">
              <w:rPr>
                <w:rFonts w:hint="eastAsia"/>
              </w:rPr>
              <w:t>第1項第1款及</w:t>
            </w:r>
            <w:hyperlink r:id="rId512" w:anchor="a418" w:history="1">
              <w:r w:rsidR="00A0752E" w:rsidRPr="00A0752E">
                <w:rPr>
                  <w:rStyle w:val="a7"/>
                  <w:rFonts w:hint="eastAsia"/>
                  <w:lang w:eastAsia="zh-TW"/>
                </w:rPr>
                <w:t>第418條</w:t>
              </w:r>
            </w:hyperlink>
            <w:r w:rsidR="00A0752E" w:rsidRPr="00A0752E">
              <w:rPr>
                <w:rFonts w:hint="eastAsia"/>
              </w:rPr>
              <w:t>違憲？</w:t>
            </w:r>
          </w:p>
          <w:p w:rsidR="0049577B" w:rsidRPr="00B40DC1" w:rsidRDefault="00AE1031" w:rsidP="00E33C4C">
            <w:pPr>
              <w:spacing w:line="240" w:lineRule="auto"/>
              <w:ind w:leftChars="0" w:left="0" w:rightChars="0" w:right="0"/>
            </w:pPr>
            <w:r>
              <w:t>【解釋文】</w:t>
            </w:r>
            <w:r w:rsidR="0049577B" w:rsidRPr="00B40DC1">
              <w:t>憲法第八條所定之法院，包括依法獨立行使審判權之法官。刑事訴訟法第四百十六條第一項第一款就審判長、受命法官或受託法官所為羈押處分之規定，與憲法第八條並無牴觸。</w:t>
            </w:r>
            <w:r w:rsidR="0049577B" w:rsidRPr="00B40DC1">
              <w:rPr>
                <w:u w:val="single"/>
              </w:rPr>
              <w:t>刑事訴訟法第四百十六條第一項第一款及第四百十八條使羈押之被告僅得向原法院聲請撤銷或變更該處分，不得提起抗告之審級救濟，為立法機關基於訴訟迅速進行之考量所為合理之限制，未逾立法裁量之範疇，與憲法第十六條、第二十三條尚無違背。</w:t>
            </w:r>
            <w:r w:rsidR="0049577B" w:rsidRPr="00B40DC1">
              <w:t>且因向原法院聲請撤銷或變更處分之救濟仍係由依法獨立行使職權之審判機關作成決定，故已賦予人身自由遭羈押處分限制者合理之程序保障，尚不違反憲法第八條之正當法律程序。</w:t>
            </w:r>
            <w:r w:rsidR="0049577B" w:rsidRPr="00B40DC1">
              <w:rPr>
                <w:u w:val="single"/>
              </w:rPr>
              <w:t>至於刑事訴訟法第四百零三條、第四百零四條第二款、第四百十六條第一項第一款與第四百十八條之規定，使羈押被告之決定，得以裁定或處分之方式作成，並因而形成羈押之被告得否抗告之差別待遇，與憲法第七條保障之平等權尚無牴觸。</w:t>
            </w:r>
          </w:p>
          <w:p w:rsidR="0049577B" w:rsidRPr="00B40DC1" w:rsidRDefault="00E063B6" w:rsidP="00531F2F">
            <w:pPr>
              <w:spacing w:line="240" w:lineRule="auto"/>
              <w:ind w:leftChars="0" w:left="0" w:rightChars="0" w:right="0"/>
            </w:pPr>
            <w:r>
              <w:t>【理由書】</w:t>
            </w:r>
            <w:r w:rsidR="0049577B" w:rsidRPr="00B40DC1">
              <w:t>至於刑事訴訟法第四百零三條、第四百零四條第二款及同法第四百十六條第一項第一款與第四百十八條之規定，使羈押被告之決定，得以裁定或處分之方式作成，並因而形成羈押之被告向上級法院抗告或向原所屬法院另組合議庭聲請撤銷或變更之差別待遇，是否違反憲法第七條保障之平等權而違憲之問題。</w:t>
            </w:r>
            <w:r w:rsidR="0049577B" w:rsidRPr="00B40DC1">
              <w:rPr>
                <w:u w:val="single"/>
              </w:rPr>
              <w:t>按行合議審判之案件，由審判長、受命法官或受託法官一人作成之羈押決定為「處分」，其餘偵查中聲請羈押之案件，由輪值法官一人或三人，及審判中由獨任法官一人或合議庭法官三人作成之羈押決定，均屬「裁定」，是刑事訴訟法第四百十六條第一項係以決定方式之不同，作為不同救濟途徑之分類標準。系爭不同救濟制度之差別待遇固涉及限制人身自由之訴訟救濟，然因審級制度尚非訴訟權保障之核心內容，且由上級法院或原所屬法院之另一合議庭管轄羈押救濟程序，其在訴訟救濟功能上均由職司獨立審判之法院為之，實質差異亦甚為有限，故無採取較嚴格審查之必要。查系爭規定僅賦予羈押之被告向原所屬法院之另一合議庭聲請撤銷或變更，而不許向上級法院抗告，乃立法者基於訴訟經濟及維繫訴訟體系一致性之考量，目的洵屬正當。且上開分類標準暨差別待遇之手段與該目的之間亦有合理關聯。是刑事訴訟法第四百十六條第一項第一款與第四百十八條之規定，未逾越立法裁量之範疇，與憲法第七條尚無牴觸。</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13" w:anchor="r647" w:history="1">
              <w:r w:rsidRPr="00531F2F">
                <w:rPr>
                  <w:rStyle w:val="a7"/>
                  <w:rFonts w:cs="Times New Roman"/>
                  <w:lang w:eastAsia="zh-TW" w:bidi="ar-SA"/>
                </w:rPr>
                <w:t>647</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遺贈法</w:t>
            </w:r>
            <w:hyperlink r:id="rId514" w:anchor="a20" w:history="1">
              <w:r w:rsidR="0049577B" w:rsidRPr="00A0752E">
                <w:rPr>
                  <w:rStyle w:val="a7"/>
                  <w:rFonts w:cs="Times New Roman"/>
                  <w:lang w:eastAsia="zh-TW" w:bidi="ar-SA"/>
                </w:rPr>
                <w:t>第20條</w:t>
              </w:r>
            </w:hyperlink>
            <w:r w:rsidR="0049577B" w:rsidRPr="00B40DC1">
              <w:t>限配偶間贈與免稅違平等原則?</w:t>
            </w:r>
          </w:p>
          <w:p w:rsidR="0049577B" w:rsidRPr="00B40DC1" w:rsidRDefault="00AE1031" w:rsidP="00E33C4C">
            <w:pPr>
              <w:spacing w:line="240" w:lineRule="auto"/>
              <w:ind w:leftChars="0" w:left="0" w:rightChars="0" w:right="0"/>
            </w:pPr>
            <w:r>
              <w:t>【解釋文】</w:t>
            </w:r>
            <w:r w:rsidR="0049577B" w:rsidRPr="00B40DC1">
              <w:t>遺產及贈與稅法第二十條第一項第六款規定，配偶相互贈與之財產不計入贈與總額，乃係對有法律上婚姻關係之配偶間相互贈與，免徵贈與稅之規定。至因欠缺婚姻之法定要件，而未成立法律上婚姻關係之異性伴侶未能享有相同之待遇，係因首揭規定為維護法律上婚姻關係之考量，目的正當，手段並有助於婚姻制度之維護，自難認與憲法第七條之平等原則有違。</w:t>
            </w:r>
          </w:p>
          <w:p w:rsidR="0049577B" w:rsidRPr="00B40DC1" w:rsidRDefault="00E063B6" w:rsidP="00E33C4C">
            <w:pPr>
              <w:spacing w:line="240" w:lineRule="auto"/>
              <w:ind w:leftChars="0" w:left="0" w:rightChars="0" w:right="0"/>
            </w:pPr>
            <w:r>
              <w:t>【理由書】</w:t>
            </w:r>
            <w:r w:rsidR="0049577B" w:rsidRPr="00B40DC1">
              <w:t>憲法第七條揭示之平等原則非指絕對、機械之形式上平等，而係保障人民在法律上地位之實質平等。人民有依法律納稅之義務，憲法第十九條定有明文。法律如設例外或特別規定，在一定條件下減輕或免除人民租稅之負擔，而其差別待遇具有正當理由，即與平等原則無違（本院釋字第五六五號、第六三五號解釋參照）。</w:t>
            </w:r>
          </w:p>
          <w:p w:rsidR="0049577B" w:rsidRPr="00B40DC1" w:rsidRDefault="0049577B" w:rsidP="00E33C4C">
            <w:pPr>
              <w:spacing w:line="240" w:lineRule="auto"/>
              <w:ind w:leftChars="0" w:left="0" w:rightChars="0" w:right="0"/>
            </w:pPr>
            <w:r w:rsidRPr="00B40DC1">
              <w:t xml:space="preserve">　　遺產及贈與稅法第二十條第一項第六款規定，配偶相互贈與之財產不計入贈與總額，乃係對有法律上婚姻關係之配偶間相互贈與，免徵贈與稅之規定，雖以法律上婚姻關係存在與否為分類標準，惟因屬免徵贈與稅之差別待遇，且考量贈與稅之課徵，涉及國家財政資源之分配，與公共利益之維護及國家政策之推動緊密相關，立法機關就其內容之形成本即享有較大之裁量空間，是倘系爭規定所追求之目的正當，且分類標準與差別待遇之手段與目的間具有合理關聯，即符合平等原則之要求。</w:t>
            </w:r>
          </w:p>
          <w:p w:rsidR="0049577B" w:rsidRPr="00B40DC1" w:rsidRDefault="0049577B" w:rsidP="00E33C4C">
            <w:pPr>
              <w:spacing w:line="240" w:lineRule="auto"/>
              <w:ind w:leftChars="0" w:left="0" w:rightChars="0" w:right="0"/>
            </w:pPr>
            <w:r w:rsidRPr="00B40DC1">
              <w:t xml:space="preserve">　　查系爭規定就配偶間財產權之移轉免徵贈與稅，係立法者考量夫妻共同生活，在共同家計下彼此財產難以清楚劃分等現實情況，基於對婚姻制度之保護所訂定，目的洵屬正當。復查有配偶之人於婚姻關係外與第三人之結合，即使主觀上具有如婚姻之共同生活意思，客觀上亦有長期共同生活與共同家計之事實，但既已違背一夫一妻之婚姻制度，甚或影響配偶之經濟利益，則系爭規定之差別待遇，自非立法者之恣意，因與維護婚姻制度目的之達成有合理關聯，故與憲法第七條之平等權保障並無牴觸。</w:t>
            </w:r>
          </w:p>
          <w:p w:rsidR="0049577B" w:rsidRPr="00B40DC1" w:rsidRDefault="0049577B" w:rsidP="00531F2F">
            <w:pPr>
              <w:spacing w:line="240" w:lineRule="auto"/>
              <w:ind w:leftChars="0" w:left="0" w:rightChars="0" w:right="0"/>
            </w:pPr>
            <w:r w:rsidRPr="00B40DC1">
              <w:t xml:space="preserve">　　至於無配偶之人相互間主觀上具有如婚姻之共同生活意思，客觀上亦有共同生活事實之異性伴侶，雖不具法律上婚姻關係，但既與法律上婚姻關係之配偶極為相似，如亦有長期共同家計之事實，則系爭規定未就二人相互間之贈與免徵贈與稅，即不免有違反平等權保障之疑慮。惟查立法機關就婚姻關係之有效成立，訂定登記、一夫一妻等要件，旨在強化婚姻之公示效果，並維持倫理關係、社會秩序以及增進公共利益，有其憲法上之正當性。基此，系爭規定固僅就具法律上婚姻關係之配偶，其相互間之贈與免徵贈與稅，惟係為維護法律上婚姻關係之考量，目的正當，手段並有助於婚姻制度之維護，自難認與平等原則有違。至鑒於上開伴侶與具法律上婚姻關係之配偶間之相似性，立法機關自得本於憲法保障人民基本權利之意旨，斟酌社會之變遷及文化之發展等情，在無損於婚姻制度或其他相關公益之前提下，分別情形給予適度之法律保障，併此指明。</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15" w:anchor="r648" w:history="1">
              <w:r w:rsidRPr="00531F2F">
                <w:rPr>
                  <w:rStyle w:val="a7"/>
                  <w:rFonts w:cs="Times New Roman"/>
                  <w:lang w:eastAsia="zh-TW" w:bidi="ar-SA"/>
                </w:rPr>
                <w:t>648</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進出口貨物查驗準則第</w:t>
            </w:r>
            <w:hyperlink r:id="rId516" w:anchor="a15" w:history="1">
              <w:r w:rsidR="0049577B" w:rsidRPr="00A0752E">
                <w:rPr>
                  <w:rStyle w:val="a7"/>
                  <w:rFonts w:cs="Times New Roman"/>
                  <w:lang w:eastAsia="zh-TW" w:bidi="ar-SA"/>
                </w:rPr>
                <w:t>十五</w:t>
              </w:r>
            </w:hyperlink>
            <w:r w:rsidR="0049577B" w:rsidRPr="00B40DC1">
              <w:t>條第一項違憲？</w:t>
            </w:r>
          </w:p>
          <w:p w:rsidR="0049577B" w:rsidRPr="00B40DC1" w:rsidRDefault="00AE1031" w:rsidP="00E33C4C">
            <w:pPr>
              <w:spacing w:line="240" w:lineRule="auto"/>
              <w:ind w:leftChars="0" w:left="0" w:rightChars="0" w:right="0"/>
              <w:rPr>
                <w:u w:val="single"/>
              </w:rPr>
            </w:pPr>
            <w:r>
              <w:t>【解釋文】</w:t>
            </w:r>
            <w:r w:rsidR="0049577B" w:rsidRPr="00B40DC1">
              <w:t>進出口貨物查驗準則第十五條第一項前段規定：「進口貨物如有溢裝，或實到貨物與原申報不符，或夾雜其他物品進口情事，除係出於同一發貨人發貨兩批以上，互相誤裝錯運，經舉證證明，並經海關查明屬實者，准予併案處理，免予議處外，應依海關緝私條例有關規定論處。」</w:t>
            </w:r>
            <w:r w:rsidR="0049577B" w:rsidRPr="00B40DC1">
              <w:rPr>
                <w:u w:val="single"/>
              </w:rPr>
              <w:t>限定同一發貨人發貨兩批以上之互相誤裝錯運，其進口人始得併案處理免予議處，至於不同發貨人發貨兩批以上之互相誤裝錯運，其進口人應依海關緝私條例有關規定論處，尚未違背憲法第七條平等原則。</w:t>
            </w:r>
          </w:p>
          <w:p w:rsidR="00531F2F" w:rsidRDefault="00E063B6" w:rsidP="00E33C4C">
            <w:pPr>
              <w:spacing w:line="240" w:lineRule="auto"/>
              <w:ind w:leftChars="0" w:left="0" w:rightChars="0" w:right="0"/>
            </w:pPr>
            <w:r>
              <w:t>【理由書】</w:t>
            </w:r>
            <w:r w:rsidR="0049577B" w:rsidRPr="00B40DC1">
              <w:t>憲法第七條規定，人民在法律上一律平等，其內涵並非指絕對、機械之形式上平等，乃係保障人民在法律上地位之實質平等。行政機關在財稅經濟領域方面，於法律授權範圍內，以法規命令於一定條件下採取差別待遇措施，如其規定目的正當，且所採取分類標準及差別待遇之手段與目的之達成，具有合理之關聯性，其選擇即非恣意，而與平等原則無違。系爭規定乃主管機關鑑於貨物進口通商實務上，國際貿易事務繁瑣，錯失難免，在發生國外同一發貨人發貨兩批以上互相誤裝錯運，而進口人就此並不知悉之情形下，使進口人未報備或依關稅法第十七條第五項規定申請更正，即可准予併案更正報單免予議處。此一規定除確保進口人對於進口貨物之相關事項為誠實申報，以防止逃漏關稅外，並建立海關明確之處理準則，使進口人之通關程序便捷，其目的洵屬正當。</w:t>
            </w:r>
          </w:p>
          <w:p w:rsidR="0049577B" w:rsidRPr="00B40DC1" w:rsidRDefault="0049577B" w:rsidP="00531F2F">
            <w:pPr>
              <w:spacing w:line="240" w:lineRule="auto"/>
              <w:ind w:leftChars="0" w:left="0" w:rightChars="0" w:right="0"/>
            </w:pPr>
            <w:r w:rsidRPr="00B40DC1">
              <w:t xml:space="preserve">　　在進出口實務上，除國外同一發貨人發貨兩批以上，可能發生互相誤裝錯運外，不同發貨人發貨兩批以上，亦非無可能發生互相誤裝錯運情形。系爭規定固形成同一發貨人與不同發貨人發貨兩批以上之互相誤裝錯運，其進口人得否併案處理之差別待遇。惟不同發貨人之此種錯誤，須各該發貨人與其後之貨櫃場、運送人以及出口國之海關均未發現錯誤，始可能發生。主管機關考量貨物互相誤裝錯運，致進口貨物與申報不符，以同一發貨人發貨兩批以上較有可能，且海關查證較為容易、經濟，而不同發貨人發貨兩批以上，發生之機率甚微，且查證較為困難、複雜，如放寬併案處理，將造成查緝管制上之漏洞與困擾。主管機關基於長期海關實務經驗之累積，及海關查證作業上之成本與技術考量，乃選擇為系爭差別待遇之規定，其手段與目的之達成有合理之關聯性，其選擇並非恣意，與憲法第七條之規定尚屬無違，亦與財產權之限制無涉。</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17" w:anchor="r649" w:history="1">
              <w:r w:rsidRPr="00531F2F">
                <w:rPr>
                  <w:rStyle w:val="a7"/>
                  <w:rFonts w:cs="Times New Roman"/>
                  <w:lang w:eastAsia="zh-TW" w:bidi="ar-SA"/>
                </w:rPr>
                <w:t>649</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hyperlink r:id="rId518" w:history="1">
              <w:r w:rsidR="0049577B" w:rsidRPr="00A0752E">
                <w:rPr>
                  <w:rStyle w:val="a7"/>
                  <w:rFonts w:cs="Times New Roman"/>
                  <w:lang w:eastAsia="zh-TW" w:bidi="ar-SA"/>
                </w:rPr>
                <w:t>身心障礙者保護法</w:t>
              </w:r>
            </w:hyperlink>
            <w:r w:rsidR="0049577B" w:rsidRPr="00B40DC1">
              <w:t>按摩業專由視障者從事之規定違憲？</w:t>
            </w:r>
          </w:p>
          <w:p w:rsidR="0049577B" w:rsidRPr="00B40DC1" w:rsidRDefault="00AE1031" w:rsidP="00E33C4C">
            <w:pPr>
              <w:spacing w:line="240" w:lineRule="auto"/>
              <w:ind w:leftChars="0" w:left="0" w:rightChars="0" w:right="0"/>
            </w:pPr>
            <w:r>
              <w:t>【解釋文】</w:t>
            </w:r>
            <w:r w:rsidR="0049577B" w:rsidRPr="00B40DC1">
              <w:t>中華民國九十年十一月二十一日修正公布之身心障礙者保護法第三十七條第一項前段規定：「非本法所稱視覺障礙者，不得從事按摩業。」（九十六年七月十一日該法名稱修正為身心障礙者權益保障法，上開規定之「非本法所稱視覺障礙者」，經修正為「非視覺功能障礙者」，並移列為第四十六條第一項前段，規定意旨相同）與憲法第七條平等權、第十五條工作權及第二十三條比例原則之規定不符，應自本解釋公布之日起至遲於屆滿三年時失其效力。</w:t>
            </w:r>
          </w:p>
          <w:p w:rsidR="0049577B" w:rsidRPr="00B40DC1" w:rsidRDefault="00E063B6" w:rsidP="00E33C4C">
            <w:pPr>
              <w:spacing w:line="240" w:lineRule="auto"/>
              <w:ind w:leftChars="0" w:left="0" w:rightChars="0" w:right="0"/>
            </w:pPr>
            <w:r>
              <w:t>【理由書】</w:t>
            </w:r>
            <w:r w:rsidR="0049577B" w:rsidRPr="00B40DC1">
              <w:t>九十年十一月二十一日修正公布之身心障礙者保護法第三十七條第一項前段規定：「非本法所稱視覺障礙者，不得從事按摩業。」（下稱系爭規定，九十六年七月十一日該法名稱修正為身心障礙者權益保障法，系爭規定之「非本法所稱視覺障礙者」，經修正為「非視覺功能障礙者」，並移列為第四十六條第一項前段，規定意旨相同</w:t>
            </w:r>
            <w:r w:rsidR="003C1792">
              <w:t>）</w:t>
            </w:r>
            <w:r w:rsidR="0049577B" w:rsidRPr="00B40DC1">
              <w:t>係以保障視覺障礙者（下稱視障者）工作權為目的所採職業保留之優惠性差別待遇，亦係對非視障者工作權中之選擇職業自由所為之職業禁止，自應合於憲法第七條平等權、第十五條工作權及第二十三條比例原則之規定。</w:t>
            </w:r>
          </w:p>
          <w:p w:rsidR="0049577B" w:rsidRPr="00B40DC1" w:rsidRDefault="0049577B" w:rsidP="00E33C4C">
            <w:pPr>
              <w:spacing w:line="240" w:lineRule="auto"/>
              <w:ind w:leftChars="0" w:left="0" w:rightChars="0" w:right="0"/>
            </w:pPr>
            <w:r w:rsidRPr="00B40DC1">
              <w:t xml:space="preserve">　　查視障非屬人力所得控制之生理狀態，系爭規定之差別待遇係以視障與否為分類標準，使多數非視障者均不得從事按摩業，影響甚鉅。基於我國視障者在成長、行動、學習、受教育等方面之諸多障礙，可供選擇之工作及職業種類較少，其弱勢之結構性地位不易改變，立法者乃衡酌視障者以按摩業為生由來已久之實際情況，且認為視障狀態適合於從事按摩，制定保護視障者權益之規定，本應予以尊重，</w:t>
            </w:r>
            <w:r w:rsidRPr="00B40DC1">
              <w:rPr>
                <w:u w:val="single"/>
              </w:rPr>
              <w:t>惟仍須該規定所追求之目的為重要公共利益，所採禁止非視障者從事按摩業之手段，須對非視障者之權利並未造成過度限制，且有助於視障者工作權之維護，而與目的間有實質關聯者，方符合平等權之保障。</w:t>
            </w:r>
            <w:r w:rsidRPr="00B40DC1">
              <w:t>按憲法基本權利規定本即特別著重弱勢者之保障，憲法第一百五十五條後段規定：「人民之老弱殘廢，無力生活，及受非常災害者，國家應予以適當之扶助與救濟。」以及憲法增修條文第十條第七項規定：「國家對於身心障礙者之保險與就醫、無障礙環境之建構、教育訓練與就業輔導及生活維護與救助，應予保障，並扶助其自立與發展。」顯已揭櫫扶助弱勢之原則。</w:t>
            </w:r>
            <w:r w:rsidRPr="00B40DC1">
              <w:rPr>
                <w:u w:val="single"/>
              </w:rPr>
              <w:t>職是，國家保障視障者工作權確實具備重要公共利益，其優惠性差別待遇之目的合乎憲法相關規定之意旨。</w:t>
            </w:r>
          </w:p>
          <w:p w:rsidR="0049577B" w:rsidRPr="00B40DC1" w:rsidRDefault="0049577B" w:rsidP="00531F2F">
            <w:pPr>
              <w:spacing w:line="240" w:lineRule="auto"/>
              <w:ind w:leftChars="0" w:left="0" w:rightChars="0" w:right="0"/>
            </w:pPr>
            <w:r w:rsidRPr="00B40DC1">
              <w:t xml:space="preserve">　　六十九年殘障福利法制定施行之時，視障者得選擇之職業種類較少，禁止非視障者從事按摩業之規定，對有意選擇按摩為業之視障者確有助益，事實上視障就業者亦以相當高之比率選擇以按摩為業。惟按摩業依其工作性質與所需技能，原非僅視障者方能從事，隨著社會發展，按摩業就業與消費市場擴大，系爭規定對欲從事按摩業之非視障者造成過度限制。而同屬身心障礙之非視障者亦在禁止之列，並未如視障者享有職業保留之優惠。在視障者知識能力日漸提升，得選擇之職業種類日益增加下，系爭規定易使主管機關忽略視障者所具稟賦非僅侷限於從事按摩業，以致系爭規定施行近三十年而職業選擇多元之今日，仍未能大幅改善視障者之經社地位，目的與手段間難謂具備實質關聯性，從而有違憲法第七條保障平等權之意旨。</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19" w:anchor="r666" w:history="1">
              <w:r w:rsidRPr="00531F2F">
                <w:rPr>
                  <w:rStyle w:val="a7"/>
                  <w:rFonts w:cs="Times New Roman"/>
                  <w:lang w:eastAsia="zh-TW" w:bidi="ar-SA"/>
                </w:rPr>
                <w:t>666</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社會秩序維護法第</w:t>
            </w:r>
            <w:hyperlink r:id="rId520" w:anchor="a80" w:history="1">
              <w:r w:rsidR="0049577B" w:rsidRPr="00A0752E">
                <w:rPr>
                  <w:rStyle w:val="a7"/>
                  <w:rFonts w:cs="Times New Roman"/>
                  <w:lang w:eastAsia="zh-TW" w:bidi="ar-SA"/>
                </w:rPr>
                <w:t>八十</w:t>
              </w:r>
            </w:hyperlink>
            <w:r w:rsidR="0049577B" w:rsidRPr="00B40DC1">
              <w:t>條第一項第一款意圖得利與人姦宿處罰鍰規定違憲？</w:t>
            </w:r>
          </w:p>
          <w:p w:rsidR="0049577B" w:rsidRPr="00B40DC1" w:rsidRDefault="00AE1031" w:rsidP="00E33C4C">
            <w:pPr>
              <w:spacing w:line="240" w:lineRule="auto"/>
              <w:ind w:leftChars="0" w:left="0" w:rightChars="0" w:right="0"/>
            </w:pPr>
            <w:r>
              <w:t>【解釋文】</w:t>
            </w:r>
            <w:r w:rsidR="0049577B" w:rsidRPr="00B40DC1">
              <w:t>社會秩序維護法第八十條第一項第一款就意圖得利與人姦、宿者，處三日以下拘留或新臺幣三萬元以下罰鍰之規定，與憲法第七條之平等原則有違，應自本解釋公布之日起至遲於二年屆滿時，失其效力。</w:t>
            </w:r>
          </w:p>
          <w:p w:rsidR="0049577B" w:rsidRPr="00B40DC1" w:rsidRDefault="00E063B6" w:rsidP="00E33C4C">
            <w:pPr>
              <w:spacing w:line="240" w:lineRule="auto"/>
              <w:ind w:leftChars="0" w:left="0" w:rightChars="0" w:right="0"/>
            </w:pPr>
            <w:r>
              <w:t>【理由書】</w:t>
            </w:r>
            <w:r w:rsidR="0049577B" w:rsidRPr="00B40DC1">
              <w:t>憲法第七條所揭示之平等原則非指絕對、機械之形式上平等，而係保障人民在法律上地位之實質平等，要求本質上相同之事物應為相同之處理，不得恣意為無正當理由之差別待遇。法律為貫徹立法目的，而設行政罰之規定時，如因處罰對象之取捨，而形成差別待遇者，須與立法目的間具有實質關聯，始與平等原則無違。</w:t>
            </w:r>
          </w:p>
          <w:p w:rsidR="0049577B" w:rsidRPr="00B40DC1" w:rsidRDefault="00531F2F" w:rsidP="00531F2F">
            <w:pPr>
              <w:spacing w:line="240" w:lineRule="auto"/>
              <w:ind w:leftChars="0" w:left="0" w:rightChars="0" w:right="0"/>
            </w:pPr>
            <w:r>
              <w:t xml:space="preserve">　　</w:t>
            </w:r>
            <w:r w:rsidR="0049577B" w:rsidRPr="00B40DC1">
              <w:t>按性交易行為如何管制及應否處罰，固屬立法裁量之範圍，社會秩序維護法係以處行政罰之方式為管制手段，而系爭規定明文禁止性交易行為，則其對於從事性交易之行為人，僅處罰意圖得利之一方，而不處罰支付對價之相對人，並以主觀上有無意圖得利作為是否處罰之標準，法律上已形成差別待遇，系爭規定之立法目的既在維護國民健康與善良風俗，且性交易乃由意圖得利之一方與支付對價之相對人共同完成，雖意圖得利而為性交易之一方可能連續為之，致其性行為對象與範圍廣泛且不確定，固與支付對價之相對人有別，然此等事實及經驗上之差異並不影響其共同完成性交易行為之本質，自不足以作為是否處罰之差別待遇之正當理由，其雙方在法律上之評價應屬一致。再者，系爭規定既不認性交易中支付對價之一方有可非難，卻處罰性交易圖利之一方，鑑諸性交易圖利之一方多為女性之現況，此無異幾僅針對參與性交易之女性而為管制處罰，尤以部分迫於社會經濟弱勢而從事性交易之女性，往往因系爭規定受處罰，致其業已窘困之處境更為不利。系爭規定以主觀上有無意圖得利，作為是否處罰之差別待遇標準，與上述立法目的間顯然欠缺實質關聯，自與憲法第七條之平等原則有違。</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21" w:anchor="r670" w:history="1">
              <w:r w:rsidRPr="00531F2F">
                <w:rPr>
                  <w:rStyle w:val="a7"/>
                  <w:rFonts w:cs="Times New Roman"/>
                  <w:lang w:eastAsia="zh-TW" w:bidi="ar-SA"/>
                </w:rPr>
                <w:t>670</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冤賠法</w:t>
            </w:r>
            <w:hyperlink r:id="rId522" w:anchor="b2" w:history="1">
              <w:r w:rsidR="0049577B" w:rsidRPr="00A0752E">
                <w:rPr>
                  <w:rStyle w:val="a7"/>
                  <w:rFonts w:cs="Times New Roman"/>
                  <w:lang w:eastAsia="zh-TW" w:bidi="ar-SA"/>
                </w:rPr>
                <w:t>第2條</w:t>
              </w:r>
            </w:hyperlink>
            <w:r w:rsidR="0049577B" w:rsidRPr="00B40DC1">
              <w:t>第3款因故意或重大過失受押不賠償違憲?</w:t>
            </w:r>
          </w:p>
          <w:p w:rsidR="0049577B" w:rsidRPr="00B40DC1" w:rsidRDefault="00AE1031" w:rsidP="00E33C4C">
            <w:pPr>
              <w:spacing w:line="240" w:lineRule="auto"/>
              <w:ind w:leftChars="0" w:left="0" w:rightChars="0" w:right="0"/>
            </w:pPr>
            <w:r>
              <w:t>【解釋文】</w:t>
            </w:r>
            <w:r w:rsidR="0049577B" w:rsidRPr="00B40DC1">
              <w:t>受無罪判決確定之受害人，因有故意或重大過失行為致依刑事訴訟法第一百零一條第一項或軍事審判法第一百零二條第一項受羈押者，依冤獄賠償法第二條第三款規定，不得請求賠償，並未斟酌受害人致受羈押之行為，係涉嫌實現犯罪構成要件或係妨礙、誤導偵查審判，亦無論受害人致受羈押行為可歸責程度之輕重及因羈押所受損失之大小，皆一律排除全部之補償請求，並非避免補償失當或浮濫等情事所必要，不符冤獄賠償法對個別人民身體之自由，因實現國家刑罰權之公共利益，受有超越一般應容忍程度之特別犧牲時，給予所規範之補償，以符合憲法保障人民身體自由及平等權之立法意旨，而與憲法第二十三條之比例原則有違，應自本解釋公布之日起至遲於屆滿二年時失其效力。</w:t>
            </w:r>
          </w:p>
          <w:p w:rsidR="0049577B" w:rsidRPr="00B40DC1" w:rsidRDefault="00E063B6" w:rsidP="00E33C4C">
            <w:pPr>
              <w:spacing w:line="240" w:lineRule="auto"/>
              <w:ind w:leftChars="0" w:left="0" w:rightChars="0" w:right="0"/>
            </w:pPr>
            <w:r>
              <w:t>【理由書】</w:t>
            </w:r>
            <w:r w:rsidR="0049577B" w:rsidRPr="00B40DC1">
              <w:t>人民受憲法第十五條保障之財產權，因公益需要而受特別犧牲者，應由國家依法律予以補償，已迭經本院解釋在案（本院釋字第四００號、第四二五號、第五一六號、第六五二號解釋參照）。人民受憲法第八條保障身體之自由，乃行使其憲法上所保障其他自由權利之前提，為重要基本人權，尤其應受特別保護，亦迭經本院解釋在案（本院釋字第三八四號、第五八八號解釋參照）。是特定人民身體之自由，因公共利益受公權力之合法限制，諸如羈押、收容或留置等，而有特別情形致超越人民一般情況下所應容忍之程度，構成其個人之特別犧牲者，自應有依法向國家請求合理補償之權利，以符合憲法保障人民身體自由及平等權之意旨。</w:t>
            </w:r>
          </w:p>
          <w:p w:rsidR="0049577B" w:rsidRPr="00B40DC1" w:rsidRDefault="00531F2F" w:rsidP="00E33C4C">
            <w:pPr>
              <w:spacing w:line="240" w:lineRule="auto"/>
              <w:ind w:leftChars="0" w:left="0" w:rightChars="0" w:right="0"/>
            </w:pPr>
            <w:r>
              <w:t xml:space="preserve">　　</w:t>
            </w:r>
            <w:r w:rsidR="0049577B" w:rsidRPr="00B40DC1">
              <w:t>冤獄賠償法第二條第三款規定，因故意或重大過失行為致受羈押者，不得請求補償部分（以下稱系爭規定），就刑事訴訟法第一百零一條第一項及軍事審判法第一百零二條第一項所規定之羈押而言，並未斟酌受害人致受羈押之行為，係涉嫌實現犯罪構成要件，或係妨礙、誤導偵查審判（例如逃亡、串供、湮滅證據或虛偽自白等），亦無論受害人致受羈押行為可歸責程度之輕重及其因羈押所受損失之大小，皆一律排除全部之補償請求，並非避免補償失當或浮濫等情事所必要，不符冤獄賠償法對特定人民身體之自由，因實現刑罰權之公共利益受有干涉，構成超越一般應容忍程度之特別犧牲時，給予所規範之補償，以實現憲法保障人民身體自由及平等權之立法意旨，而與憲法第二十三條之比例原則有違。</w:t>
            </w:r>
          </w:p>
          <w:p w:rsidR="0049577B" w:rsidRPr="00B40DC1" w:rsidRDefault="0049577B" w:rsidP="00E33C4C">
            <w:pPr>
              <w:spacing w:line="240" w:lineRule="auto"/>
              <w:ind w:leftChars="0" w:left="0" w:rightChars="0" w:right="0"/>
            </w:pP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23" w:anchor="r675" w:history="1">
              <w:r w:rsidRPr="00531F2F">
                <w:rPr>
                  <w:rStyle w:val="a7"/>
                  <w:rFonts w:cs="Times New Roman"/>
                  <w:lang w:eastAsia="zh-TW" w:bidi="ar-SA"/>
                </w:rPr>
                <w:t>675</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金融重建基金設置及管理條例，對經營不善金融機構非存款債務不賠付之規定違憲？</w:t>
            </w:r>
          </w:p>
          <w:p w:rsidR="0049577B" w:rsidRPr="00B40DC1" w:rsidRDefault="00AE1031" w:rsidP="00E33C4C">
            <w:pPr>
              <w:spacing w:line="240" w:lineRule="auto"/>
              <w:ind w:leftChars="0" w:left="0" w:rightChars="0" w:right="0"/>
              <w:rPr>
                <w:u w:val="single"/>
              </w:rPr>
            </w:pPr>
            <w:r>
              <w:t>【解釋文】</w:t>
            </w:r>
            <w:r w:rsidR="0049577B" w:rsidRPr="00B40DC1">
              <w:t>中華民國九十四年六月二十二日修正公布之行政院金融重建基金設置及管理條例第四條第五項，關於「本條例修正施行後，主管機關或農業金融中央主管機關處理經營不善金融機構時，該金融機構非存款債務不予賠付」之規定，</w:t>
            </w:r>
            <w:r w:rsidR="0049577B" w:rsidRPr="00B40DC1">
              <w:rPr>
                <w:u w:val="single"/>
              </w:rPr>
              <w:t>就非存款債務不予賠付部分，旨在增進行政院金融重建基金之使用效益，保障金融機構存款人權益及穩定金融信用秩序，其目的洵屬正當，該手段與立法目的之達成具有合理關聯性，與憲法第七條規定尚無牴觸。</w:t>
            </w:r>
          </w:p>
          <w:p w:rsidR="0049577B" w:rsidRPr="00B40DC1" w:rsidRDefault="00E063B6" w:rsidP="00E33C4C">
            <w:pPr>
              <w:spacing w:line="240" w:lineRule="auto"/>
              <w:ind w:leftChars="0" w:left="0" w:rightChars="0" w:right="0"/>
            </w:pPr>
            <w:r>
              <w:t>【理由書】</w:t>
            </w:r>
            <w:r w:rsidR="0049577B" w:rsidRPr="00B40DC1">
              <w:t>憲法第七條規定，中華民國人民在法律上一律平等，其內涵並非指絕對、機械之形式上平等，而係保障人民在法律上地位之實質平等，立法機關基於憲法之價值體系及立法目的，自得斟酌規範事物性質之差異而為合理之區別對待（本院釋字第四八五號、第五九六號解釋參照）。</w:t>
            </w:r>
          </w:p>
          <w:p w:rsidR="0049577B" w:rsidRPr="00B40DC1" w:rsidRDefault="00531F2F" w:rsidP="00E33C4C">
            <w:pPr>
              <w:spacing w:line="240" w:lineRule="auto"/>
              <w:ind w:leftChars="0" w:left="0" w:rightChars="0" w:right="0"/>
            </w:pPr>
            <w:r>
              <w:t xml:space="preserve">　　</w:t>
            </w:r>
            <w:r w:rsidR="0049577B" w:rsidRPr="00B40DC1">
              <w:t>九十年七月九日制定公布之行政院金融重建基金設置及管理條例第五條第三項原規定：「中央存款保險公司依存款保險條例第十五條第一項、第十七條第二項前段規定辦理時，得申請運用本基金，全額賠付經營不善金融機構之存款及非存款債權……。」此規定於九十四年六月二十二日修正公布為第四條第五項：「本條例修正施行後，主管機關或農業金融中央主管機關處理經營不善金融機構時，該金融機構非存款債務不予賠付。」將行政院金融重建基金（下稱重建基金）賠付債務之範圍，由原規定全額賠付經營不善金融機構之存款及非存款債務，</w:t>
            </w:r>
            <w:r w:rsidR="0049577B" w:rsidRPr="00B40DC1">
              <w:rPr>
                <w:u w:val="single"/>
              </w:rPr>
              <w:t>改為僅就存款債務予以賠付，對上開條例於九十四年修正施行後發生之非存款債務不予賠付。系爭規定回歸存款保險制度，就存款及非存款債務是否予以賠付作差別待遇，旨在增進重建基金之使用效益，保障金融機構存款人權益及穩定金融信用秩序（存款保險條例第一條及行政院金融重建基金設置及管理條例第一條規定參照），其立法目的洵屬正當。</w:t>
            </w:r>
          </w:p>
          <w:p w:rsidR="0049577B" w:rsidRPr="00B40DC1" w:rsidRDefault="0049577B" w:rsidP="00531F2F">
            <w:pPr>
              <w:spacing w:line="240" w:lineRule="auto"/>
              <w:ind w:leftChars="0" w:left="0" w:rightChars="0" w:right="0"/>
            </w:pPr>
            <w:r w:rsidRPr="00B40DC1">
              <w:t xml:space="preserve">　　重建基金賠付之範圍究應限於存款債務，或尚應包括非存款債務，既涉及重建基金應如何有效分配與運用之問題，立法機關自得斟酌國家財政狀況及維護金融市場秩序之必要性，而為適當之決定。況存款債務與非存款債務之法律性質究屬不同，且重建基金之設置，在於確保存款人對於金融機構之信心，以穩定金融信用秩序。立法機關考量重建基金規模有限，為減輕該重建基金之負擔，使重建基金之運用更有效率，系爭規定乃修正就非存款債務不予賠付，該手段與立法目的之達成具有合理關聯性，與憲法第七條規定尚無牴觸。</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24" w:anchor="r682" w:history="1">
              <w:r w:rsidRPr="00531F2F">
                <w:rPr>
                  <w:rStyle w:val="a7"/>
                  <w:rFonts w:cs="Times New Roman"/>
                  <w:lang w:eastAsia="zh-TW" w:bidi="ar-SA"/>
                </w:rPr>
                <w:t>682</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中醫特考有零分或專科平均或特定科目成績未達規定者不予及格，違憲？</w:t>
            </w:r>
          </w:p>
          <w:p w:rsidR="0049577B" w:rsidRPr="00B40DC1" w:rsidRDefault="00AE1031" w:rsidP="00E33C4C">
            <w:pPr>
              <w:spacing w:line="240" w:lineRule="auto"/>
              <w:ind w:leftChars="0" w:left="0" w:rightChars="0" w:right="0"/>
              <w:rPr>
                <w:u w:val="single"/>
              </w:rPr>
            </w:pPr>
            <w:r>
              <w:t>【解釋文】</w:t>
            </w:r>
            <w:r w:rsidR="0049577B" w:rsidRPr="00B40DC1">
              <w:t>中華民國九十年七月二十三日修正發布之專門職業及技術人員考試法施行細則第十五條第二項規定：「前項總成績滿六十分及格……者，若其應試科目有一科成績為零分、專業科目平均不滿五十分、特定科目未達規定最低分數者，均不予及格。」（九十七年五月十四日修正發布之現行施行細則第十條第二項規定亦同）、專門職業及技術人員考試總成績計算規則第三條第一項規定：「……採總成績滿六十分及格……者，其應試科目有一科成績為零分，或專業科目平均成績不滿五十分，或特定科目未達規定最低分數者，均不予及格；……」及九十年七月二十五日修正發布之</w:t>
            </w:r>
            <w:r w:rsidR="0049577B" w:rsidRPr="00B40DC1">
              <w:rPr>
                <w:u w:val="single"/>
              </w:rPr>
              <w:t>專門職業及技術人員特種考試中醫師考試規則第九條第三項規定：「本考試應試科目有一科成績為零分或專業科目平均成績未滿五十分或專業科目中醫內科學成績未滿五十五分或其餘專業科目有一科成績未滿四十五分者，均不予及格。」尚未牴觸憲法第二十三條法律保留原則、比例原則及第七條平等權之保障，與憲法第十五條保障人民工作權及第十八條保障人民應考試權之意旨無違。</w:t>
            </w:r>
          </w:p>
          <w:p w:rsidR="0049577B" w:rsidRPr="00B40DC1" w:rsidRDefault="00E063B6" w:rsidP="00E33C4C">
            <w:pPr>
              <w:spacing w:line="240" w:lineRule="auto"/>
              <w:ind w:leftChars="0" w:left="0" w:rightChars="0" w:right="0"/>
            </w:pPr>
            <w:r>
              <w:t>【理由書】</w:t>
            </w:r>
            <w:r w:rsidR="0049577B" w:rsidRPr="00B40DC1">
              <w:t>人民之工作權受憲法第十五條所保障，其內涵包括選擇及執行職業之自由，以法律或法律明確授權之命令對職業自由所為之限制是否合憲，因其內容之差異而有寬嚴不同之審查標準。憲法第八十六條第二款規定，專門職業人員之執業資格，應經考試院依法考選之。因此人民選擇從事專門職業之自由，根據憲法之規定，即受限制。憲法第十八條對人民應考試權之規定，除保障人民參加考試取得公務人員任用資格之權利外，亦包含人民參加考試取得專門職業及技術人員執業資格之權利，以符憲法保障人民工作權之意旨。又為實踐憲法保障人民應考試權之意旨，國家須設有客觀公平之考試制度，並確保整體考試結果之公正。</w:t>
            </w:r>
            <w:r w:rsidR="0049577B" w:rsidRPr="00B40DC1">
              <w:rPr>
                <w:u w:val="single"/>
              </w:rPr>
              <w:t>對於參加考試資格或考試方法之規定，性質上如屬應考試權及工作權之限制，自應符合法律保留原則、比例原則及平等權保障等憲法原則。惟憲法設考試院賦予考試權，由總統提名、經立法院同意而任命之考試委員，以合議之方式獨立行使，旨在建立公平公正之考試制度；就專門職業人員考試而言，即在確保相關考試及格者具有執業所需之知識與能力，故考試主管機關有關考試資格及方法之規定，涉及考試之專業判斷者，應給予適度之尊重，始符憲法五權分治彼此相維之精神。</w:t>
            </w:r>
          </w:p>
          <w:p w:rsidR="0049577B" w:rsidRPr="00B40DC1" w:rsidRDefault="00531F2F" w:rsidP="00E33C4C">
            <w:pPr>
              <w:spacing w:line="240" w:lineRule="auto"/>
              <w:ind w:leftChars="0" w:left="0" w:rightChars="0" w:right="0"/>
            </w:pPr>
            <w:r>
              <w:t xml:space="preserve">　　</w:t>
            </w:r>
            <w:r w:rsidR="0049577B" w:rsidRPr="00B40DC1">
              <w:t>憲法第七條保障人民平等權，旨在防止立法者恣意，並避免對人民為不合理之差別待遇。法規範是否符合平等權保障之要求，其判斷應取決於該法規範所以為差別待遇之目的是否合憲，其所採取之分類與規範目的之達成之間，是否存有一定程度之關聯性而定。相關機關以應考人學經歷作為分類考試之標準，並進而採取不同考試內容暨及格標準，雖與人民職業選擇自由之限制及應考試權密切關聯，惟因考試方法之決定涉及考選專業判斷，如該分類標準及所採手段與鑑別應考人知識能力之考試目的間具合理關聯，即與平等原則無違。按立法者於專門職業及技術人員考試法第三條規定，專門職業及技術人員考試分為高等考試、普通考試、初等考試三等，並得為適應特殊需要而舉行相當於上開三等之特種考試；同法第九條、第十條及第十一條所規定各該等級考試之應考資格，係與應考人之學歷及經歷結合，第二十二條並明定得視類科需要於錄取後施以訓練或學習，期滿成績及格者，始發給考試及格證書。究其意旨即係認專門職業人員固應由考選機關依法考選，考選機關所舉辦之考試亦應符合整體結果公平公正之要求，惟無論採筆試、口試、測驗、實地考試、審查著作或發明、審查知能有關學歷經歷證明等考試方法，就應考人之專業素養鑑別度均有其侷限。且專門職業人員執業能力及倫理素養概須藉由相當程度系統化之教育始能培養，難謂僅憑考試方式即得予以鑑別。是為確保考試及格者之專業素養能達一定之執業程度，立法者即於上開規定依應考人教育養成之不同，舉行不同考試，並視需要於錄取後施以實務訓練或學習，相互接軌配套，期以形成合理之專業人員考選制度。考試院依醫師法第三條規定及專門職業及技術人員考試法相關規定，將中醫師執業資格考試區分為高等考試與特種考試兩類，並因中醫師特種考試與高等考試兩類考試應考人所接受中醫學教育及訓練養成背景、基本學養等均有不同，為配合此一養成背景之差異，其考試規則有關及格方式、應試科目等之規定因而有所不同；且系爭專門職業及技術人員特種考試中醫師考試規則第九條第三項規定，就中醫師特考應考人之專業科目中醫內科學成績必須滿五十五分，其餘專業科目均須滿四十五分之及格要求，亦為考試主管機關依法定程序所為之專業判斷，與鑑別中醫師特考應考人是否具有中醫師執業所需之知識、技術與能力，有合理關聯性，並非考試主管機關之恣意選擇。是上開考試院發布之系爭規定尚無違背憲法第七條保障人民平等權之意旨。</w:t>
            </w:r>
          </w:p>
          <w:p w:rsidR="0049577B" w:rsidRPr="00B40DC1" w:rsidRDefault="0049577B" w:rsidP="00531F2F">
            <w:pPr>
              <w:spacing w:line="240" w:lineRule="auto"/>
              <w:ind w:leftChars="0" w:left="0" w:rightChars="0" w:right="0"/>
            </w:pPr>
            <w:r w:rsidRPr="00B40DC1">
              <w:t xml:space="preserve">　　綜上所述，系爭規定與憲法第二十三條法律保留原則、比例原則及第七條平等權之保障尚無牴觸，亦無違背憲法第十五條保障人民工作權及第十八條保障人民應考試權之意旨。</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25" w:anchor="r687" w:history="1">
              <w:r w:rsidRPr="00531F2F">
                <w:rPr>
                  <w:rStyle w:val="a7"/>
                  <w:rFonts w:cs="Times New Roman"/>
                  <w:lang w:eastAsia="zh-TW" w:bidi="ar-SA"/>
                </w:rPr>
                <w:t>687</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對故意致公司逃漏稅捐之公司負責人一律處徒刑之規定，違憲？</w:t>
            </w:r>
          </w:p>
          <w:p w:rsidR="0049577B" w:rsidRPr="00B40DC1" w:rsidRDefault="00AE1031" w:rsidP="00E33C4C">
            <w:pPr>
              <w:spacing w:line="240" w:lineRule="auto"/>
              <w:ind w:leftChars="0" w:left="0" w:rightChars="0" w:right="0"/>
            </w:pPr>
            <w:r>
              <w:t>【解釋文】</w:t>
            </w:r>
            <w:r w:rsidR="0049577B" w:rsidRPr="00B40DC1">
              <w:t>中華民國六十五年十月二十二日制定公布之稅捐稽徵法第四十七條第一款規定：「本法關於納稅義務人……應處徒刑之規定，於左列之人適用之：一、公司法規定之公司負責人。」（即九十八年五月二十七日修正公布之同條第一項第一款）</w:t>
            </w:r>
            <w:r w:rsidR="0049577B" w:rsidRPr="00B40DC1">
              <w:rPr>
                <w:u w:val="single"/>
              </w:rPr>
              <w:t>係使公司負責人因自己之刑事違法且有責之行為，承擔刑事責任，與無責任即無處罰之憲法原則並無牴觸。至「應處徒刑之規定」部分，有違憲法第七條之平等原則，應自本解釋公布日起，至遲於屆滿一年時，失其效力。</w:t>
            </w:r>
          </w:p>
          <w:p w:rsidR="0049577B" w:rsidRPr="00B40DC1" w:rsidRDefault="00E063B6" w:rsidP="00E33C4C">
            <w:pPr>
              <w:spacing w:line="240" w:lineRule="auto"/>
              <w:ind w:leftChars="0" w:left="0" w:rightChars="0" w:right="0"/>
            </w:pPr>
            <w:r>
              <w:t>【理由書】</w:t>
            </w:r>
            <w:r w:rsidR="0049577B" w:rsidRPr="00B40DC1">
              <w:t>基於無責任即無處罰之憲法原則，人民僅因自己之刑事違法且有責行為而受刑事處罰，法律不得規定人民為他人之刑事違法行為承擔刑事責任。又憲法第七條規定平等原則，旨在防止立法者恣意對人民為不合理之差別待遇。如對相同事物，為無正當理由之差別待遇，即與憲法第七條之平等原則有違。</w:t>
            </w:r>
          </w:p>
          <w:p w:rsidR="0049577B" w:rsidRPr="00B40DC1" w:rsidRDefault="00531F2F" w:rsidP="00E33C4C">
            <w:pPr>
              <w:spacing w:line="240" w:lineRule="auto"/>
              <w:ind w:leftChars="0" w:left="0" w:rightChars="0" w:right="0"/>
            </w:pPr>
            <w:r>
              <w:t xml:space="preserve">　　</w:t>
            </w:r>
            <w:r w:rsidR="0049577B" w:rsidRPr="00B40DC1">
              <w:t>六十五年十月二十二日制定公布之稅捐稽徵法第四十七條第一款規定：「本法關於納稅義務人……應處徒刑之規定，於左列之人適用之：一、公司法規定之公司負責人。」（九十八年五月二十七日增訂第二項，原條文移列為第一項，並修正「左列」為「下列」；下稱系爭規定）所稱「本法關於納稅義務人……應處徒刑之規定」，經查立法紀錄，係指同法第四十一條行政院原草案之規定「納稅義務人故意以詐欺或其他不正當方法逃漏稅捐者，處六月以上五年以下有期徒刑」。立法院審議時認為「按逃漏稅捐行為，就其犯罪情狀言，多與刑法第三三九條第二項之詐欺罪及第二一０條、第二一四條偽造文書罪相當。茲參照各該條所定刑度，規定最重本刑為五年以下有期徒刑，並得科處拘役、罰金。俾法院得就逃漏稅捐行為之一切情狀，注意刑法第五十七條所定各事項，加以審酌，從而量定適當之刑，以免失之過嚴，而期妥適」，乃將上開行政院原草案法定刑修正為「處五年以下有期徒刑、拘役或科或併科一千元以下罰金」（立法院公報第六十五卷第六十六期第四頁至第五頁、同卷第七十九期第八五頁至第八六頁及同卷第八十二期第一一頁參照；</w:t>
            </w:r>
            <w:r w:rsidR="0049577B" w:rsidRPr="00B40DC1">
              <w:rPr>
                <w:u w:val="single"/>
              </w:rPr>
              <w:t>其中罰金部分於七十九年一月二十四日修正公布為新臺幣六萬元以下罰金），惟系爭規定並未隨之更改文字，所謂「應處徒刑之規定」，即限於「處五年以下有期徒刑」。</w:t>
            </w:r>
          </w:p>
          <w:p w:rsidR="0049577B" w:rsidRPr="00B40DC1" w:rsidRDefault="00531F2F" w:rsidP="00531F2F">
            <w:pPr>
              <w:spacing w:line="240" w:lineRule="auto"/>
              <w:ind w:leftChars="0" w:left="0" w:rightChars="0" w:right="0"/>
            </w:pPr>
            <w:r>
              <w:t xml:space="preserve">　　</w:t>
            </w:r>
            <w:r w:rsidR="0049577B" w:rsidRPr="00B40DC1">
              <w:t>又公司負責人有故意指示、參與實施或未防止逃漏稅捐之行為，造成公司短漏稅捐之結果時，系爭規定對公司負責人施以刑事制裁，旨在維護租稅公平及確保公庫收入。查依系爭規定處罰公司負責人時，其具體構成要件行為及法定刑，均規定於上開稅捐稽徵法第四十一條。該規定所處罰之對象，為以詐術或其他不正當方法逃漏稅捐之行為，所設定之法定刑種類包括有期徒刑、拘役及罰金，係立法者對於故意不實申報稅捐導致稅捐短漏之行為，所為刑事不法之評價。</w:t>
            </w:r>
            <w:r w:rsidR="0049577B" w:rsidRPr="00B40DC1">
              <w:rPr>
                <w:u w:val="single"/>
              </w:rPr>
              <w:t>系爭規定既根據同一逃漏稅捐之構成要件行為，處罰公司負責人，竟另限定僅適用有期徒刑之規定部分，係對同一逃漏稅捐之構成要件行為，為差別之不法評價。故系爭規定「應處徒刑之規定」部分，係無正當理由以設定較為嚴厲之法定刑為差別待遇，有違憲法第七條之平等原則，應自本解釋公布日起，至遲於屆滿一年時，失其效力。</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26" w:anchor="r694" w:history="1">
              <w:r w:rsidRPr="00531F2F">
                <w:rPr>
                  <w:rStyle w:val="a7"/>
                  <w:rFonts w:cs="Times New Roman"/>
                  <w:lang w:eastAsia="zh-TW" w:bidi="ar-SA"/>
                </w:rPr>
                <w:t>694</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所得稅法以扶養其他親屬或家屬須未滿20歲或年滿60歲始得減除免稅額之規定，違憲？</w:t>
            </w:r>
          </w:p>
          <w:p w:rsidR="0049577B" w:rsidRPr="00B40DC1" w:rsidRDefault="00AE1031" w:rsidP="00E33C4C">
            <w:pPr>
              <w:spacing w:line="240" w:lineRule="auto"/>
              <w:ind w:leftChars="0" w:left="0" w:rightChars="0" w:right="0"/>
              <w:rPr>
                <w:u w:val="single"/>
              </w:rPr>
            </w:pPr>
            <w:r>
              <w:t>【解釋文】</w:t>
            </w:r>
            <w:r w:rsidR="0049577B" w:rsidRPr="00B40DC1">
              <w:t>中華民國九十年一月三日修正公布之所得稅法第十七條第一項第一款第四目規定：「按前三條規定計得之個人綜合所得總額，減除下列免稅額及扣除額後之餘額，為個人之綜合所得淨額：一、免稅額：納稅義務人按規定減除其本人、配偶及合於下列規定扶養親屬之免稅額；……（四）納稅義務人其他親屬或家屬，合於民法第一千一百十四條第四款及第一千一百二十三條第三項之規定，未滿二十歲或滿六十歲以上無謀生能力，確係受納稅義務人扶養者。……」</w:t>
            </w:r>
            <w:r w:rsidR="0049577B" w:rsidRPr="00B40DC1">
              <w:rPr>
                <w:u w:val="single"/>
              </w:rPr>
              <w:t>其中以「未滿二十歲或滿六十歲以上」為減除免稅額之限制要件部分(一００年一月十九日修正公布之所得稅法第十七條第一項第一款第四目亦有相同限制)，違反憲法第七條平等原則，應自本解釋公布日起，至遲於屆滿一年時，失其效力。</w:t>
            </w:r>
          </w:p>
          <w:p w:rsidR="0049577B" w:rsidRPr="00B40DC1" w:rsidRDefault="00E063B6" w:rsidP="00E33C4C">
            <w:pPr>
              <w:spacing w:line="240" w:lineRule="auto"/>
              <w:ind w:leftChars="0" w:left="0" w:rightChars="0" w:right="0"/>
            </w:pPr>
            <w:r>
              <w:t>【理由書】</w:t>
            </w:r>
            <w:r w:rsidR="0049577B" w:rsidRPr="00B40DC1">
              <w:t>憲法第七條所揭示之平等原則非指絕對、機械之形式上平等，而係保障人民在法律上地位之實質平等，要求本質上相同之事物應為相同之處理，不得恣意為無正當理由之差別待遇（本院釋字第五四七號、第五八四號、第五九六號、第六０五號、第六一四號、第六四七號、第六四八號、第六六六號解釋參照）。法規範是否符合平等權保障之要求，其判斷應取決於該法規範所以為差別待遇之目的是否合憲，其所採取之分類與規範目的之達成之間，是否存有一定程度之關聯性而定（本院釋字第六八二號解釋參照）。</w:t>
            </w:r>
          </w:p>
          <w:p w:rsidR="0049577B" w:rsidRPr="00B40DC1" w:rsidRDefault="00531F2F" w:rsidP="00E33C4C">
            <w:pPr>
              <w:spacing w:line="240" w:lineRule="auto"/>
              <w:ind w:leftChars="0" w:left="0" w:rightChars="0" w:right="0"/>
            </w:pPr>
            <w:r>
              <w:t xml:space="preserve">　　</w:t>
            </w:r>
            <w:r w:rsidR="0049577B" w:rsidRPr="00B40DC1">
              <w:t>九十年一月三日修正公布之所得稅法第十七條第一項第一款第四目規定：「按前三條規定計得之個人綜合所得總額，減除下列免稅額及扣除額後之餘額，為個人之綜合所得淨額：一、免稅額：納稅義務人按規定減除其本人、配偶及合於下列規定扶養親屬之免稅額；……（四）納稅義務人其他親屬或家屬，合於民法第一千一百十四條第四款及第一千一百二十三條第三項之規定，未滿二十歲或滿六十歲以上無謀生能力，確係受納稅義務人扶養者。……」（一００年一月十九日修正公布之所得稅法第十七條第一項第一款第四目規定，</w:t>
            </w:r>
            <w:r w:rsidR="0049577B" w:rsidRPr="00B40DC1">
              <w:rPr>
                <w:u w:val="single"/>
              </w:rPr>
              <w:t>就有關以「未滿二十歲或滿六十歲以上」為減除免稅額之限制要件部分亦同；上開第四目規定以下簡稱系爭規定），其減除免稅額之要件，除受扶養人須為納稅義務人合於上開民法規定之親屬或家屬（以下簡稱其他親屬或家屬），無謀生能力並確係受納稅義務人扶養者外，且須未滿二十歲或滿六十歲以上。系爭規定之年齡限制，使納稅義務人扶養滿二十歲而未滿六十歲無謀生能力之其他親屬或家屬，卻無法同樣減除免稅額，形成因受扶養人之年齡不同而為差別待遇。</w:t>
            </w:r>
          </w:p>
          <w:p w:rsidR="0049577B" w:rsidRPr="00B40DC1" w:rsidRDefault="00531F2F" w:rsidP="00E33C4C">
            <w:pPr>
              <w:spacing w:line="240" w:lineRule="auto"/>
              <w:ind w:leftChars="0" w:left="0" w:rightChars="0" w:right="0"/>
            </w:pPr>
            <w:r>
              <w:t xml:space="preserve">　　</w:t>
            </w:r>
            <w:r w:rsidR="0049577B" w:rsidRPr="00B40DC1">
              <w:t>憲法第十五條規定，人民之生存權應予保障。憲法第一百五十五條規定，人民之老弱殘廢，無力生活者，國家應予以適當之扶助與救濟。國家所採取保障人民生存與生活之扶助措施原有多端，所得稅法有關扶養無謀生能力者之免稅額規定，亦屬其中之一環。如因無謀生能力者之年齡限制，而使納稅義務人無法減除免稅額，將影響納稅義務人扶養滿二十歲而未滿六十歲無謀生能力者之意願，進而影響此等弱勢者生存或生活上之維持。故系爭規定所形成之差別待遇是否違反平等原則，應受較為嚴格之審查，除其目的須係合憲外，所採差別待遇與目的之達成間亦須有實質關聯，始合於平等原則。</w:t>
            </w:r>
          </w:p>
          <w:p w:rsidR="0049577B" w:rsidRPr="00B40DC1" w:rsidRDefault="00531F2F" w:rsidP="00531F2F">
            <w:pPr>
              <w:spacing w:line="240" w:lineRule="auto"/>
              <w:ind w:leftChars="0" w:left="0" w:rightChars="0" w:right="0"/>
            </w:pPr>
            <w:r>
              <w:t xml:space="preserve">　　</w:t>
            </w:r>
            <w:r w:rsidR="0049577B" w:rsidRPr="00B40DC1">
              <w:t>依財政部一００年十一月二十一日台財稅字第一０００四一三四九二０號函所示，系爭規定以無謀生能力之受扶養人之年齡作為分類標準，旨在鼓勵國人孝親、課稅公平、徵起適足稅收及提昇稅務行政效率。惟無謀生能力而有受扶養之需要者，不因其年齡滿二十歲及未滿六十歲，而改變其對於受扶養之需要，為扶養之納稅義務人亦因扶養而有相同之財務負擔，不因無謀生能力者之年齡而有所差異。系爭規定影響納稅義務人扶養較為年長而未滿六十歲之其他親屬或家屬之意願，致此等親屬或家屬可能無法獲得扶養，此與鼓勵國人孝親之目的有違；且僅因受扶養者之年齡因素，致已扶養其他親屬或家屬之納稅義務人不能減除扶養親屬免稅額，亦難謂合於課稅公平原則。再者，依系爭規定主張減除免稅額之納稅義務人，本即應提出受扶養者無謀生能力之證明文件，系爭規定除以受扶養者無謀生能力為要件外，另規定未滿二十歲或滿六十歲為限制要件，並無大幅提升稅務行政效率之效益，卻對納稅義務人及其受扶養親屬之權益構成重大不利影響。是系爭規定所採以年齡為分類標準之差別待遇，其所採手段與目的之達成尚欠實質關聯，其差別待遇乃屬恣意，違反憲法第七條平等原則。系爭規定有關年齡限制部分，應自本解釋公布日起，至遲於屆滿一年時，失其效力。</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27" w:anchor="r696" w:history="1">
              <w:r w:rsidRPr="00531F2F">
                <w:rPr>
                  <w:rStyle w:val="a7"/>
                  <w:rFonts w:cs="Times New Roman"/>
                  <w:lang w:eastAsia="zh-TW" w:bidi="ar-SA"/>
                </w:rPr>
                <w:t>696</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1.</w:t>
            </w:r>
            <w:hyperlink r:id="rId528" w:history="1">
              <w:r w:rsidR="0049577B" w:rsidRPr="002402AF">
                <w:rPr>
                  <w:rStyle w:val="a7"/>
                  <w:rFonts w:cs="Times New Roman"/>
                  <w:lang w:eastAsia="zh-TW" w:bidi="ar-SA"/>
                </w:rPr>
                <w:t>所得稅法</w:t>
              </w:r>
            </w:hyperlink>
            <w:r w:rsidR="0049577B" w:rsidRPr="00B40DC1">
              <w:t>規定夫妻非薪資所得合併計算申報稅額，違憲？</w:t>
            </w:r>
          </w:p>
          <w:p w:rsidR="0049577B" w:rsidRPr="00B40DC1" w:rsidRDefault="0049577B" w:rsidP="00E33C4C">
            <w:pPr>
              <w:spacing w:line="240" w:lineRule="auto"/>
              <w:ind w:leftChars="0" w:left="0" w:rightChars="0" w:right="0"/>
            </w:pPr>
            <w:r w:rsidRPr="00B40DC1">
              <w:t>2</w:t>
            </w:r>
            <w:r w:rsidR="003C1792">
              <w:t>.</w:t>
            </w:r>
            <w:r w:rsidRPr="00B40DC1">
              <w:t>財政部76年函關於分居夫妻依個人所得總額占夫妻所得總額之比率計算其分擔應納稅額，違憲？</w:t>
            </w:r>
          </w:p>
          <w:p w:rsidR="0049577B" w:rsidRPr="00B40DC1" w:rsidRDefault="00AE1031" w:rsidP="00E33C4C">
            <w:pPr>
              <w:spacing w:line="240" w:lineRule="auto"/>
              <w:ind w:leftChars="0" w:left="0" w:rightChars="0" w:right="0"/>
            </w:pPr>
            <w:r>
              <w:t>【解釋文】</w:t>
            </w:r>
            <w:r w:rsidR="0049577B" w:rsidRPr="00B40DC1">
              <w:t>中華民國七十八年十二月三十日修正公布之所得稅法第十五條第一項規定：「納稅義務人之配偶，及合於第十七條規定得申報減除扶養親屬免稅額之受扶養親屬，有前條各類所得者，應由納稅義務人合併報繳。」（該項規定於九十二年六月二十五日修正，惟就夫妻所得應由納稅義務人合併報繳部分並無不同。）</w:t>
            </w:r>
            <w:r w:rsidR="0049577B" w:rsidRPr="00B40DC1">
              <w:rPr>
                <w:u w:val="single"/>
              </w:rPr>
              <w:t>其中有關夫妻非薪資所得強制合併計算，較之單獨計算稅額，增加其稅負部分，違反憲法第七條平等原則，應自本解釋公布之日起至遲於屆滿二年時失其效力。</w:t>
            </w:r>
          </w:p>
          <w:p w:rsidR="0049577B" w:rsidRPr="00B40DC1" w:rsidRDefault="00E063B6" w:rsidP="00E33C4C">
            <w:pPr>
              <w:spacing w:line="240" w:lineRule="auto"/>
              <w:ind w:leftChars="0" w:left="0" w:rightChars="0" w:right="0"/>
            </w:pPr>
            <w:r>
              <w:t>【理由書】</w:t>
            </w:r>
            <w:r w:rsidR="0049577B" w:rsidRPr="00B40DC1">
              <w:t>憲法第七條所揭示之平等原則非指絕對、機械之形式上平等，而係保障人民在法律上地位之實質平等，要求本質上相同之事物應為相同之處理，不得恣意為無正當理由之差別待遇（本院釋字第五四七號、第五八四號、第五九六號、第六０五號、第六一四號、第六四七號、第六四八號、第六六六號、第六九四號解釋參照）。法規範是否符合平等權保障之要求，其判斷應取決於該法規範所以為差別待遇之目的是否合憲，其所採取之分類與規範目的之達成之間，是否存有一定程度之關聯性而定（本院釋字第六八二號、第六九四號解釋參照）。</w:t>
            </w:r>
          </w:p>
          <w:p w:rsidR="003C1792" w:rsidRDefault="00531F2F" w:rsidP="00E33C4C">
            <w:pPr>
              <w:spacing w:line="240" w:lineRule="auto"/>
              <w:ind w:leftChars="0" w:left="0" w:rightChars="0" w:right="0"/>
              <w:rPr>
                <w:u w:val="single"/>
              </w:rPr>
            </w:pPr>
            <w:r>
              <w:t xml:space="preserve">　　</w:t>
            </w:r>
            <w:r w:rsidR="0049577B" w:rsidRPr="00B40DC1">
              <w:t>按合併申報之程序，係為增進公共利益之必要，與憲法尚無牴觸，惟如納稅義務人與有所得之配偶及其他受扶養親屬合併計算課稅時，較之單獨計算稅額，增加其稅負者，即與租稅公平原則不符，業經本院釋字第三一八號解釋在案。</w:t>
            </w:r>
            <w:r w:rsidR="0049577B" w:rsidRPr="00B40DC1">
              <w:rPr>
                <w:u w:val="single"/>
              </w:rPr>
              <w:t>茲依系爭規定納稅義務人及其配偶就非薪資所得合併計算所得淨額後，適用累進稅率之結果，其稅負仍有高於分別計算後合計稅負之情形，因而形成以婚姻關係之有無而為稅捐負擔之差別待遇。 </w:t>
            </w:r>
          </w:p>
          <w:p w:rsidR="0049577B" w:rsidRPr="00B40DC1" w:rsidRDefault="00531F2F" w:rsidP="00531F2F">
            <w:pPr>
              <w:spacing w:line="240" w:lineRule="auto"/>
              <w:ind w:leftChars="0" w:left="0" w:rightChars="0" w:right="0"/>
            </w:pPr>
            <w:r>
              <w:t xml:space="preserve">　　</w:t>
            </w:r>
            <w:r w:rsidR="0049577B" w:rsidRPr="00B40DC1">
              <w:t>按婚姻與家庭植基於人格自由，為社會形成與發展之基礎，受憲法制度性保障（本院釋字第五五四號解釋參照）。如因婚姻關係之有無而為稅捐負擔之差別待遇，致加重夫妻之經濟負擔，則形同對婚姻之懲罰，而有違憲法保障婚姻與家庭制度之本旨，故系爭規定所形成之差別待遇是否違反平等原則，應受較為嚴格之審查，除其目的須係合憲外，所採差別待遇與目的之達成間亦須有實質關聯，始合於平等原則。查系爭規定之立法目的旨在忠實反映家計單位之節省效果、避免納稅義務人不當分散所得、考量稽徵成本與財稅收入等因素（參照立法院公報第七十九卷第五十九期第二十八頁及第三十一頁、財政部賦稅署代表於九十九年九月二十一日到本院之說明及財政部一００年五月三十日台財稅字第一００００一九０八一０號函第十三頁）。惟夫妻共同生活，因生活型態、消費習慣之不同，未必產生家計單位之節省效果，且縱有節省效果，亦非得為加重課徵所得稅之正當理由。又立法者固得採合併計算制度，以避免夫妻間不當分散所得，惟應同時採取配套措施，消除因合併計算稅額，適用較高級距累進稅率所增加之負擔，以符實質公平原則。再立法者得經由改進稽徵程序等方式，以減少稽徵成本，而不得以影響租稅公平之措施為之。至於維持財政收入，雖攸關全民公益，亦不得採取對婚姻與家庭不利之差別待遇手段。綜上所述，系爭規定有關夫妻非薪資所得強制合併計算，較之單獨計算稅額，增加其稅負部分，因與上述立法目的之達成欠缺實質關聯，而與憲法第七條平等原則有違。</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29" w:anchor="r697" w:history="1">
              <w:r w:rsidRPr="00531F2F">
                <w:rPr>
                  <w:rStyle w:val="a7"/>
                  <w:rFonts w:cs="Times New Roman"/>
                  <w:lang w:eastAsia="zh-TW" w:bidi="ar-SA"/>
                </w:rPr>
                <w:t>697</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hyperlink r:id="rId530" w:history="1">
              <w:r w:rsidR="0049577B" w:rsidRPr="002402AF">
                <w:rPr>
                  <w:rStyle w:val="a7"/>
                  <w:rFonts w:cs="Times New Roman"/>
                  <w:lang w:eastAsia="zh-TW" w:bidi="ar-SA"/>
                </w:rPr>
                <w:t>貨物稅條例</w:t>
              </w:r>
            </w:hyperlink>
            <w:r w:rsidR="0049577B" w:rsidRPr="00B40DC1">
              <w:t>規定，委託代製貨物由受託產製廠商為納稅義務人；凡設廠機製之清涼飲料品應課徵貨物稅，違憲？</w:t>
            </w:r>
          </w:p>
          <w:p w:rsidR="0049577B" w:rsidRPr="00B40DC1" w:rsidRDefault="00AE1031" w:rsidP="00E33C4C">
            <w:pPr>
              <w:spacing w:line="240" w:lineRule="auto"/>
              <w:ind w:leftChars="0" w:left="0" w:rightChars="0" w:right="0"/>
            </w:pPr>
            <w:r>
              <w:t>【解釋文】</w:t>
            </w:r>
            <w:r w:rsidR="0049577B" w:rsidRPr="00B40DC1">
              <w:t>貨物稅條例（下稱本條例）第二條第一項第二款規定：「貨物稅於應稅貨物出廠或進口時徵收之。其納稅義務人如左：……二、委託代製之貨物，為受託之產製廠商。」與法律明確性原則尚無違背。惟於委託多家廠商分工之情形，立法機關宜考量產製之分工、製程及各種委託製造關係，明定完成應稅貨物之產製階段，作為認定受託產製廠商之依據，適時檢討相關規定改進之。</w:t>
            </w:r>
          </w:p>
          <w:p w:rsidR="0049577B" w:rsidRPr="00B40DC1" w:rsidRDefault="0049577B" w:rsidP="00E33C4C">
            <w:pPr>
              <w:spacing w:line="240" w:lineRule="auto"/>
              <w:ind w:leftChars="0" w:left="0" w:rightChars="0" w:right="0"/>
            </w:pPr>
            <w:r w:rsidRPr="00B40DC1">
              <w:t xml:space="preserve">　　本條例第八條第一項規定：「飲料品：凡設廠機製之清涼飲料品均屬之。其稅率如左：一、稀釋天然果蔬汁從價徵收百分之八。二、其他飲料品從價徵收百分之十五」。其中有關清涼飲料品之規定，與法律明確性原則尚無不合。又上開規定僅對設廠機製之清涼飲料品課徵貨物稅，而未對非設廠機製者課徵貨物稅，並不違反憲法第七條之平等原則。</w:t>
            </w:r>
          </w:p>
          <w:p w:rsidR="0049577B" w:rsidRPr="00B40DC1" w:rsidRDefault="00E063B6" w:rsidP="00531F2F">
            <w:pPr>
              <w:spacing w:line="240" w:lineRule="auto"/>
              <w:ind w:leftChars="0" w:left="0" w:rightChars="0" w:right="0"/>
            </w:pPr>
            <w:r>
              <w:t>【理由書】</w:t>
            </w:r>
            <w:r w:rsidR="0049577B" w:rsidRPr="00B40DC1">
              <w:t>凡設廠機製之清涼飲料品應課徵貨物稅，本條例第八條第一項定有明文。又同條第三項規定：「第一項所稱設廠機製，指左列情形之一：一、設有固定製造場所，使用電動或非電動之機具製造裝瓶（盒、罐、桶）固封者。二、設有固定製造場所，使用電動或非電動機具製造飲料品之原料或半成品裝入自動混合販賣機製造銷售者。」</w:t>
            </w:r>
            <w:r w:rsidR="0049577B" w:rsidRPr="00B40DC1">
              <w:rPr>
                <w:u w:val="single"/>
              </w:rPr>
              <w:t>至於市面上非設廠而以手工或機具調製之清涼飲料品，產量有限，對之課徵貨物稅不符稽徵成本，與設廠產製之清涼飲料品，係以機具裝填、充入或分裝原物料，大量製造運銷出廠，始再轉售與消費者之情形不同。貨物稅之課徵，乃立法者針對國內產製或自國外輸入特定類別貨物所課徵之一種單一階段銷售稅，原則上以設廠集中生產、產量較大與標準化生產為課徵對象。立法者選擇設廠機製之清涼飲料品課稅，係基於國家經濟、財政政策之考量，自非恣意。是本條例第八條僅對設廠機製之清涼飲料品課徵貨物稅，而未對非設廠機製者課徵貨物稅，並不違反憲法第七條之平等原則。</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31" w:anchor="r698" w:history="1">
              <w:r w:rsidRPr="00531F2F">
                <w:rPr>
                  <w:rStyle w:val="a7"/>
                  <w:rFonts w:cs="Times New Roman"/>
                  <w:lang w:eastAsia="zh-TW" w:bidi="ar-SA"/>
                </w:rPr>
                <w:t>698</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AE1031" w:rsidP="00E33C4C">
            <w:pPr>
              <w:spacing w:line="240" w:lineRule="auto"/>
              <w:ind w:leftChars="0" w:left="0" w:rightChars="0" w:right="0"/>
            </w:pPr>
            <w:r>
              <w:t>【解釋爭點】</w:t>
            </w:r>
            <w:r w:rsidR="0049577B" w:rsidRPr="00B40DC1">
              <w:t>1.</w:t>
            </w:r>
            <w:hyperlink r:id="rId532" w:history="1">
              <w:r w:rsidR="002402AF" w:rsidRPr="002402AF">
                <w:rPr>
                  <w:rStyle w:val="a7"/>
                  <w:rFonts w:cs="Times New Roman"/>
                  <w:lang w:eastAsia="zh-TW" w:bidi="ar-SA"/>
                </w:rPr>
                <w:t>貨物稅條例</w:t>
              </w:r>
            </w:hyperlink>
            <w:r w:rsidR="0049577B" w:rsidRPr="00B40DC1">
              <w:t>規定彩色電視機應課徵貨物稅，違憲？</w:t>
            </w:r>
          </w:p>
          <w:p w:rsidR="0049577B" w:rsidRPr="00B40DC1" w:rsidRDefault="0049577B" w:rsidP="00E33C4C">
            <w:pPr>
              <w:spacing w:line="240" w:lineRule="auto"/>
              <w:ind w:leftChars="0" w:left="0" w:rightChars="0" w:right="0"/>
            </w:pPr>
            <w:r w:rsidRPr="00B40DC1">
              <w:t>2.財政部令以顯示器及調諧器二者未併同出廠，即非應稅之「彩色電視機」範圍，免徵貨物稅，違憲？</w:t>
            </w:r>
          </w:p>
          <w:p w:rsidR="0049577B" w:rsidRPr="00B40DC1" w:rsidRDefault="00AE1031" w:rsidP="00E33C4C">
            <w:pPr>
              <w:spacing w:line="240" w:lineRule="auto"/>
              <w:ind w:leftChars="0" w:left="0" w:rightChars="0" w:right="0"/>
            </w:pPr>
            <w:r>
              <w:t>【解釋文】</w:t>
            </w:r>
            <w:r w:rsidR="0049577B" w:rsidRPr="00B40DC1">
              <w:t>貨物稅條例第十一條第一項第二款規定：「電器類之課稅項目及稅率如左：……二、彩色電視機：從價徵收百分之十三。」與憲法第七條平等原則並無牴觸。</w:t>
            </w:r>
          </w:p>
          <w:p w:rsidR="0049577B" w:rsidRPr="00B40DC1" w:rsidRDefault="0049577B" w:rsidP="00E33C4C">
            <w:pPr>
              <w:spacing w:line="240" w:lineRule="auto"/>
              <w:ind w:leftChars="0" w:left="0" w:rightChars="0" w:right="0"/>
            </w:pPr>
            <w:r w:rsidRPr="00B40DC1">
              <w:t xml:space="preserve">　　財政部中華民國九十六年六月十四日台財稅字第０九六０四五０一八七０號令：「一、貨物稅條例第十一條第一項第二款規定之彩色電視機須同時具備彩色顯示器及電視調諧器二大主要部分。二、廠商產製（或進口）之彩色顯示器，本體不具有電視調諧器（TV Tuner）裝置，且產品名稱、功能型錄及外包裝未標示有電視字樣，亦未併同具有電視調諧器功能之機具出廠（或進口）者，因無法直接接收電視視頻訊號及播放電視節目，核非屬彩色電視機之範圍，免於出廠（或進口）時課徵貨物稅。三、廠商產製（或進口）電視調諧器或具有電視調諧器功能之機具，本體不具有影像顯示功能，且未併同彩色顯示器出廠（或進口）者，亦免於出廠（或進口）時課徵貨物稅。」部分，與租稅法律主義及平等原則尚屬無違。</w:t>
            </w:r>
          </w:p>
          <w:p w:rsidR="0049577B" w:rsidRPr="00B40DC1" w:rsidRDefault="00E063B6" w:rsidP="00E33C4C">
            <w:pPr>
              <w:spacing w:line="240" w:lineRule="auto"/>
              <w:ind w:leftChars="0" w:left="0" w:rightChars="0" w:right="0"/>
            </w:pPr>
            <w:r>
              <w:t>【理由書】</w:t>
            </w:r>
            <w:r w:rsidR="0049577B" w:rsidRPr="00B40DC1">
              <w:t>貨物稅條例第十一條第一項第二款規定：「電器類之課稅項目及稅率如左：……二、彩色電視機：從價徵收百分之十三。」（下稱系爭規定）查立法者選擇對彩色電視機課徵貨物稅，而未對其他具有彩色收視功能之電器產品課徵貨物稅，原寓有國家稅收、產業政策、節約能源等多種考量，並未逾越立法裁量之範圍，尚難謂為恣意，與憲法平等原則無違（本院釋字第六九七號解釋參照）。</w:t>
            </w:r>
          </w:p>
          <w:p w:rsidR="0049577B" w:rsidRPr="00B40DC1" w:rsidRDefault="0049577B" w:rsidP="00531F2F">
            <w:pPr>
              <w:spacing w:line="240" w:lineRule="auto"/>
              <w:ind w:leftChars="0" w:left="0" w:rightChars="0" w:right="0"/>
            </w:pPr>
            <w:r w:rsidRPr="00B40DC1">
              <w:t xml:space="preserve">　　財政部為協助所屬機關統一認定系爭規定所稱彩色電視機，以系爭令釋示：「一、貨物稅條例第十一條第一項第二款規定之彩色電視機須同時具備彩色顯示器及電視調諧器二大主要部分。二、廠商產製（或進口）之彩色顯示器，本體不具有電視調諧器（TV Tuner）裝置，且產品名稱、功能型錄及外包裝未標示有電視字樣，亦未併同具有電視調諧器功能之機具出廠（或進口）者，因無法直接接收電視視頻訊號及播放電視節目，核非屬彩色電視機之範圍，免於出廠（或進口）時課徵貨物稅。三、廠商產製（或進口）電視調諧器或具有電視調諧器功能之機具，本體不具有影像顯示功能，且未併同彩色顯示器出廠（或進口）者，亦免於出廠（或進口）時課徵貨物稅。……」</w:t>
            </w:r>
            <w:r w:rsidRPr="00B40DC1">
              <w:rPr>
                <w:u w:val="single"/>
              </w:rPr>
              <w:t>查其意旨，乃以彩色電視機可分為顯示器及電視調諧器二大主要部分，倘顯示器未標示電視字樣，二者亦未併同出廠，即非屬彩色電視機之範圍，免於出廠時課徵貨物稅。上開令釋既未不當擴張應稅貨物之定義，又未對其他情形造成差別待遇，應不違反租稅法律主義及平等原則</w:t>
            </w:r>
            <w:r w:rsidRPr="00B40DC1">
              <w:t>。</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33" w:anchor="r701" w:history="1">
              <w:r w:rsidRPr="00531F2F">
                <w:rPr>
                  <w:rStyle w:val="a7"/>
                  <w:rFonts w:cs="Times New Roman"/>
                  <w:lang w:eastAsia="zh-TW" w:bidi="ar-SA"/>
                </w:rPr>
                <w:t>701</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w:t>
            </w:r>
            <w:hyperlink r:id="rId534" w:anchor="r701" w:history="1">
              <w:r w:rsidR="000E2576" w:rsidRPr="008839A6">
                <w:rPr>
                  <w:rStyle w:val="a7"/>
                  <w:rFonts w:cs="Times New Roman"/>
                  <w:lang w:eastAsia="zh-TW" w:bidi="ar-SA"/>
                </w:rPr>
                <w:t>第701號</w:t>
              </w:r>
            </w:hyperlink>
            <w:r w:rsidRPr="00B40DC1">
              <w:t>【長期照護醫藥費列舉扣除額差別待遇案】</w:t>
            </w:r>
          </w:p>
          <w:p w:rsidR="0049577B" w:rsidRPr="00B40DC1" w:rsidRDefault="00AE1031" w:rsidP="00E33C4C">
            <w:pPr>
              <w:spacing w:line="240" w:lineRule="auto"/>
              <w:ind w:leftChars="0" w:left="0" w:rightChars="0" w:right="0"/>
            </w:pPr>
            <w:r>
              <w:t>【解釋爭點】</w:t>
            </w:r>
            <w:r w:rsidR="0049577B" w:rsidRPr="00B40DC1">
              <w:t>身心失能無力自理生活須長期照護者之醫藥費，限以付與</w:t>
            </w:r>
            <w:hyperlink r:id="rId535" w:history="1">
              <w:r w:rsidR="0049577B" w:rsidRPr="002402AF">
                <w:rPr>
                  <w:rStyle w:val="a7"/>
                  <w:rFonts w:cs="Times New Roman"/>
                  <w:lang w:eastAsia="zh-TW" w:bidi="ar-SA"/>
                </w:rPr>
                <w:t>所得稅法</w:t>
              </w:r>
            </w:hyperlink>
            <w:r w:rsidR="0049577B" w:rsidRPr="00B40DC1">
              <w:t>所定醫療院所始得列舉扣除，違憲？</w:t>
            </w:r>
          </w:p>
          <w:p w:rsidR="0049577B" w:rsidRPr="00B40DC1" w:rsidRDefault="00AE1031" w:rsidP="00E33C4C">
            <w:pPr>
              <w:spacing w:line="240" w:lineRule="auto"/>
              <w:ind w:leftChars="0" w:left="0" w:rightChars="0" w:right="0"/>
            </w:pPr>
            <w:r>
              <w:t>【解釋文】</w:t>
            </w:r>
            <w:r w:rsidR="0049577B" w:rsidRPr="00B40DC1">
              <w:t>中華民國九十四年十二月二十八日修正公布之所得稅法第十七條第一項第二款第二目之３前段規定：「……（二）列舉扣除額：……３.醫藥……費：納稅義務人及其配偶或受扶養親屬之醫藥費……，以付與公立醫院、公務人員保險特約醫院、勞工保險特約醫療院、所，或經財政部認定其會計紀錄完備正確之醫院者為限」（上開規定之「公務人員保險特約醫院、勞工保險特約醫療院、所」，於九十七年十二月二十六日經修正公布為「全民健康保險特約醫療院、所」，規定意旨相同），就身心失能無力自理生活而須長期照護者（如失智症、植物人、極重度慢性精神病、因中風或其他重症長期臥病在床等）之醫藥費，亦以付與上開規定之醫療院所為限始得列舉扣除，而對於付與其他合法醫療院所之醫藥費不得列舉扣除，與憲法第七條平等原則之意旨不符，在此範圍內，系爭規定應不予適用。</w:t>
            </w:r>
          </w:p>
          <w:p w:rsidR="0049577B" w:rsidRPr="00B40DC1" w:rsidRDefault="00E063B6" w:rsidP="00E33C4C">
            <w:pPr>
              <w:spacing w:line="240" w:lineRule="auto"/>
              <w:ind w:leftChars="0" w:left="0" w:rightChars="0" w:right="0"/>
            </w:pPr>
            <w:r>
              <w:t>【理由書】</w:t>
            </w:r>
            <w:r w:rsidR="0049577B" w:rsidRPr="00B40DC1">
              <w:t>憲法第七條規定人民之平等權應予保障。法規範是否符合平等權保障之要求，其判斷應取決於該法規範所以為差別待遇之目的是否合憲，其所採取之分類與規範目的之達成之間，是否存有一定程度之關聯性而定（本院釋字第六八二號、第六九四號解釋參照）。</w:t>
            </w:r>
          </w:p>
          <w:p w:rsidR="0049577B" w:rsidRPr="00B40DC1" w:rsidRDefault="00531F2F" w:rsidP="00E33C4C">
            <w:pPr>
              <w:spacing w:line="240" w:lineRule="auto"/>
              <w:ind w:leftChars="0" w:left="0" w:rightChars="0" w:right="0"/>
            </w:pPr>
            <w:r>
              <w:t xml:space="preserve">　　</w:t>
            </w:r>
            <w:r w:rsidR="0049577B" w:rsidRPr="00B40DC1">
              <w:t>憲法第十五條規定，人民之生存權應予保障。又憲法第一百五十五條規定，人民之老弱殘廢，無力生活，及受非常災害者，國家應予以適當之扶助與救濟。國家所採取保障人民生存與生活之扶助措施原有多端，租稅優惠亦屬其中之一環。依系爭規定，納稅義務人就受長期照護者所支付之醫藥費，一律以付與上開醫療院所為限，始得列舉扣除，而對因受國家醫療資源分配使用及上開醫療院所分布情形之侷限，而至上開醫療院所以外之其他合法醫療院所就醫所支付之醫藥費，卻無法列舉扣除，將影響受長期照護者生存權受憲法平等保障之意旨。故系爭規定所形成之差別待遇是否違反平等原則，應受較為嚴格之審查，除其目的須係合憲外，所採差別待遇與目的之達成間亦須有實質關聯，始與憲法平等原則之意旨相符（本院釋字第六九四號解釋參照）。</w:t>
            </w:r>
          </w:p>
          <w:p w:rsidR="0049577B" w:rsidRPr="00B40DC1" w:rsidRDefault="0049577B" w:rsidP="00531F2F">
            <w:pPr>
              <w:spacing w:line="240" w:lineRule="auto"/>
              <w:ind w:leftChars="0" w:left="0" w:rightChars="0" w:right="0"/>
            </w:pPr>
            <w:r w:rsidRPr="00B40DC1">
              <w:t xml:space="preserve">　　系爭規定以上開醫療院所作為得否申報醫藥費列舉扣除額之分類標準，旨在避免浮濫或淪為規避稅負之工具；抑且，因全體納稅義務人之醫藥費支出，數量眾多龐雜，而稅捐稽徵機關人力有限，逐一查證不易，為使稅捐稽徵機關正確掌握醫藥費用支出，考量上開醫療院所健全會計制度具有公信力，有利稅捐稽徵機關之查核，而就醫藥費申報列舉扣除額須以付與上開醫療院所者為限始准予減除（財政部九十九年七月八日台財稅字第０九九００一八一二三０號函參照）。</w:t>
            </w:r>
            <w:r w:rsidRPr="00B40DC1">
              <w:rPr>
                <w:u w:val="single"/>
              </w:rPr>
              <w:t>惟受長期照護者因醫療所生之費用，其性質屬維持生存所必需之支出，於計算應稅所得淨額時應予以扣除，不應因其醫療費用付與上開醫療院所以外之其他合法醫療院所而有所差異。況是否屬醫藥費支出，稅捐稽徵機關仍可基於職權予以審核，以免規避稅負，不致增加過多行政稽徵成本。故系爭規定所為之差別待遇對避免浮濫或淪為規避稅負達成之效果尚非顯著，卻對受長期照護者之生存權形成重大不利之影響，難謂合於憲法保障受長期照護者生存權之意旨。是系爭規定就受長期照護者之醫藥費，以付與上開醫療院所為限始得列舉扣除，而對於付與其他合法醫療院所之醫藥費不得列舉扣除，其差別待遇之手段與目的之達成間欠缺實質關聯，與憲法第七條平等原則之意旨不符，在此範圍內，系爭規定應不予適用。</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36" w:anchor="r711" w:history="1">
              <w:r w:rsidRPr="00531F2F">
                <w:rPr>
                  <w:rStyle w:val="a7"/>
                  <w:rFonts w:cs="Times New Roman"/>
                  <w:lang w:eastAsia="zh-TW" w:bidi="ar-SA"/>
                </w:rPr>
                <w:t>711</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釋字第711號 【藥師執業處所限制案】</w:t>
            </w:r>
          </w:p>
          <w:p w:rsidR="0049577B" w:rsidRPr="002402AF" w:rsidRDefault="00AE1031" w:rsidP="002402AF">
            <w:pPr>
              <w:spacing w:line="240" w:lineRule="auto"/>
              <w:ind w:leftChars="0" w:left="0" w:rightChars="0" w:right="0"/>
            </w:pPr>
            <w:r w:rsidRPr="002402AF">
              <w:t>【解釋爭點】</w:t>
            </w:r>
            <w:r w:rsidR="0049577B" w:rsidRPr="002402AF">
              <w:t>藥師</w:t>
            </w:r>
            <w:r w:rsidR="002402AF" w:rsidRPr="002402AF">
              <w:rPr>
                <w:rFonts w:hint="eastAsia"/>
              </w:rPr>
              <w:t>法</w:t>
            </w:r>
            <w:hyperlink r:id="rId537" w:anchor="a11" w:history="1">
              <w:r w:rsidR="002402AF" w:rsidRPr="002402AF">
                <w:rPr>
                  <w:rStyle w:val="a7"/>
                  <w:rFonts w:hint="eastAsia"/>
                  <w:lang w:eastAsia="zh-TW"/>
                </w:rPr>
                <w:t>第11條</w:t>
              </w:r>
            </w:hyperlink>
            <w:r w:rsidR="0049577B" w:rsidRPr="002402AF">
              <w:t>規定藥師執業處所應以一處為限，違憲？兼具藥護雙重資格者執業場所應同一處所為限之函釋，亦違憲？</w:t>
            </w:r>
          </w:p>
          <w:p w:rsidR="0049577B" w:rsidRPr="00B40DC1" w:rsidRDefault="00AE1031" w:rsidP="00E33C4C">
            <w:pPr>
              <w:spacing w:line="240" w:lineRule="auto"/>
              <w:ind w:leftChars="0" w:left="0" w:rightChars="0" w:right="0"/>
            </w:pPr>
            <w:r>
              <w:t>【解釋文】</w:t>
            </w:r>
            <w:r w:rsidR="0049577B" w:rsidRPr="00B40DC1">
              <w:t>藥師法第十一條規定：「藥師經登記領照執業者，其執業處所應以一處為限。」未就藥師於不違反該條立法目的之情形下，或於有重大公益或緊急情況之需要時，設必要合理之例外規定，已對藥師執行職業自由形成不必要之限制，有違憲法第二十三條比例原則，與憲法第十五條保障工作權之意旨相牴觸，應自本解釋公布之日起，至遲於屆滿一年時失其效力。</w:t>
            </w:r>
          </w:p>
          <w:p w:rsidR="0049577B" w:rsidRPr="00B40DC1" w:rsidRDefault="0049577B" w:rsidP="00E33C4C">
            <w:pPr>
              <w:spacing w:line="240" w:lineRule="auto"/>
              <w:ind w:leftChars="0" w:left="0" w:rightChars="0" w:right="0"/>
            </w:pPr>
            <w:r w:rsidRPr="00B40DC1">
              <w:t xml:space="preserve">　　改制前之行政院衛生署（現已改制為衛生福利部）中華民國一００年四月一日衛署醫字第一０００００七二四七號函限制兼具藥師及護理人員資格者，其執業場所應以同一處所為限，違反憲法第二十三條法律保留原則，應自本解釋公布之日起不再援用。</w:t>
            </w:r>
          </w:p>
          <w:p w:rsidR="0049577B" w:rsidRPr="00B40DC1" w:rsidRDefault="00E063B6" w:rsidP="00531F2F">
            <w:pPr>
              <w:spacing w:line="240" w:lineRule="auto"/>
              <w:ind w:leftChars="0" w:left="0" w:rightChars="0" w:right="0"/>
            </w:pPr>
            <w:r>
              <w:t>【理由書】</w:t>
            </w:r>
            <w:r w:rsidR="0049577B" w:rsidRPr="00B40DC1">
              <w:t>按各類醫事人員如何提供醫療服務，具有高度專業及技術之差異性。立法者基於維護醫療品質與保障國民健康之考量，得針對各類專門醫事人員執業之方法、時間及地點而為不同限制。系爭規定與規範其他醫事人員執業處所之規定雖有不同，惟係立法者衡量藥師與其他醫事人員職業性質之差異及其他相關因素所為之不同規定，尚不生牴觸憲法第七條平等原則之問題。</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38" w:anchor="r719" w:history="1">
              <w:r w:rsidRPr="00531F2F">
                <w:rPr>
                  <w:rStyle w:val="a7"/>
                  <w:rFonts w:cs="Times New Roman"/>
                  <w:lang w:eastAsia="zh-TW" w:bidi="ar-SA"/>
                </w:rPr>
                <w:t>719</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釋字第 719 號【政府採購得標廠商應進用一定比例原住民案】</w:t>
            </w:r>
          </w:p>
          <w:p w:rsidR="0049577B" w:rsidRPr="00B40DC1" w:rsidRDefault="00AE1031" w:rsidP="00E33C4C">
            <w:pPr>
              <w:spacing w:line="240" w:lineRule="auto"/>
              <w:ind w:leftChars="0" w:left="0" w:rightChars="0" w:right="0"/>
            </w:pPr>
            <w:r>
              <w:t>【解釋爭點】</w:t>
            </w:r>
            <w:r w:rsidR="0049577B" w:rsidRPr="00B40DC1">
              <w:t>政府採購得標廠商員工逾百者應進用一定比例原住民，未進用者令繳代金之規定，違憲？</w:t>
            </w:r>
          </w:p>
          <w:p w:rsidR="0049577B" w:rsidRPr="00B40DC1" w:rsidRDefault="00AE1031" w:rsidP="00E33C4C">
            <w:pPr>
              <w:spacing w:line="240" w:lineRule="auto"/>
              <w:ind w:leftChars="0" w:left="0" w:rightChars="0" w:right="0"/>
            </w:pPr>
            <w:r>
              <w:t>【解釋文】</w:t>
            </w:r>
            <w:r w:rsidR="0049577B" w:rsidRPr="00B40DC1">
              <w:t>原住民族工作權保障法第十二條第一項、第三項及政府採購法第九十八條，關於政府採購得標廠商於國內員工總人數逾一百人者，應於履約期間僱用原住民，人數不得低於總人數百分之一，進用原住民人數未達標準者，應向原住民族綜合發展基金之就業基金繳納代金部分，尚無違背憲法第七條平等原則及第二十三條比例原則，與憲法第十五條保障之財產權及其與工作權內涵之營業自由之意旨並無不符。</w:t>
            </w:r>
          </w:p>
          <w:p w:rsidR="003C1792" w:rsidRDefault="00E063B6" w:rsidP="00E33C4C">
            <w:pPr>
              <w:spacing w:line="240" w:lineRule="auto"/>
              <w:ind w:leftChars="0" w:left="0" w:rightChars="0" w:right="0"/>
            </w:pPr>
            <w:r>
              <w:t>【理由書】</w:t>
            </w:r>
            <w:r w:rsidR="0049577B" w:rsidRPr="00B40DC1">
              <w:t>人民營業之自由為憲法第十五條工作權及財產權所保障之內涵（本院釋字第五一四號、第六０六號、第七一六號解釋參照）。國家對於財產權及營業自由之限制，應符合憲法第七條平等原則及第二十三條比例原則。法規範是否符合平等原則之要求，應視該法規範所以為差別待遇之目的是否正當，其所採取之分類與規範目的之達成之間，是否存有一定程度之關聯性而定（本院釋字第六八二號、第六九四號、第七０一號解釋參照）。另為正當公益之目的限制人民權利，其所採手段必要，且限制並未過當者，始與憲法第二十三條比例原則無違。</w:t>
            </w:r>
          </w:p>
          <w:p w:rsidR="0049577B" w:rsidRPr="00B40DC1" w:rsidRDefault="00531F2F" w:rsidP="00531F2F">
            <w:pPr>
              <w:spacing w:line="240" w:lineRule="auto"/>
              <w:ind w:leftChars="0" w:left="0" w:rightChars="0" w:right="0"/>
              <w:jc w:val="left"/>
            </w:pPr>
            <w:r>
              <w:t xml:space="preserve">　　</w:t>
            </w:r>
            <w:r w:rsidR="0049577B" w:rsidRPr="00B40DC1">
              <w:t>憲法第五條規定：「中華民國各民族一律平等。」憲法增修條文第十條第十二項並規定：「國家應依民族意願，保障原住民族之地位及政治參與，並對其教育文化、交通水利、衛生醫療、經濟土地及社會福利事業予以保障扶助並促其發展……。」系爭規定係立法者為貫徹上開憲法暨憲法增修條文之意旨，促進原住民就業、改善其經濟與社會狀況，而透過得標廠商比例進用之手段所為優惠措施，亦符合國際保障原住民族之精神（原住民族工作權保障法第一條、聯合國原住民族權利宣言(United Nations Declaration on the Rights of Indigenous Peoples, 2007)第二十一條第二項前段：「各國應採取有效措施，並在適當情況下採取特別措施，確保原住民族的經濟和社會狀況持續得到改善」及國際勞工組織原住民和部落人民公約(Indigenous and Tribal Peoples  Convention, 1989</w:t>
            </w:r>
            <w:r w:rsidR="003C1792">
              <w:t>(</w:t>
            </w:r>
            <w:r w:rsidR="0049577B" w:rsidRPr="00B40DC1">
              <w:t>No</w:t>
            </w:r>
            <w:r w:rsidR="003C1792">
              <w:t>.</w:t>
            </w:r>
            <w:r w:rsidR="0049577B" w:rsidRPr="00B40DC1">
              <w:t>169))第二十條第一項：「各國政府在適用於一般勞動者之法律無法對原住民族提供有效保障之情形，應於各該國法令架構下，與原住民族合作，採行特殊措施，以確保原住民族所屬勞動者在受僱及勞動條件上受到有效保障」參照）。是系爭規定係為維護重要之公共利益，目的洵屬正當。</w:t>
            </w:r>
          </w:p>
          <w:p w:rsidR="0049577B" w:rsidRPr="00B40DC1" w:rsidRDefault="00531F2F" w:rsidP="00531F2F">
            <w:pPr>
              <w:spacing w:line="240" w:lineRule="auto"/>
              <w:ind w:leftChars="0" w:left="0" w:rightChars="0" w:right="0"/>
            </w:pPr>
            <w:r>
              <w:t xml:space="preserve">　　</w:t>
            </w:r>
            <w:r w:rsidR="0049577B" w:rsidRPr="00B40DC1">
              <w:t>基於上開憲法暨憲法增修條文之意旨，國家具有保障扶助並促進原住民族發展之義務。系爭規定乃規範於政府採購制度下，以國內員工總人數是否逾一百人為分類標準，使逾百人之得標廠商，於履約期間負有進用一定比例原住民，以及未達比例者須繳納代金之義務，在政府採購市場形成因企業規模大小不同而有差別待遇。</w:t>
            </w:r>
            <w:r w:rsidR="0049577B" w:rsidRPr="00B40DC1">
              <w:rPr>
                <w:u w:val="single"/>
              </w:rPr>
              <w:t>按系爭規定所以為差別待遇，係因國內員工總人數逾百人之廠商，其經營規模較大，僱用員工較具彈性，進用原住民以分擔國家上開義務之能力較高；且系爭規定所為進用比例為百分之一，以百人為差別待遇之分界，其用意在降低實現前開目的所為差別待遇造成之影響。至於此一差別待遇對於目的之達成，仍應有合理之關聯，鑑於現今原住民所受之教育及職業技能訓練程度，通常於就業市場中之競爭力處於相對弱勢，致影響其生活水準，其所採取之分類與達成上開差別待遇之目的間，具有合理之關聯性，與憲法第七條平等原則亦無牴觸。</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39" w:anchor="r722" w:history="1">
              <w:r w:rsidRPr="00531F2F">
                <w:rPr>
                  <w:rStyle w:val="a7"/>
                  <w:rFonts w:cs="Times New Roman"/>
                  <w:lang w:eastAsia="zh-TW" w:bidi="ar-SA"/>
                </w:rPr>
                <w:t>722</w:t>
              </w:r>
            </w:hyperlink>
          </w:p>
        </w:tc>
        <w:tc>
          <w:tcPr>
            <w:tcW w:w="4321" w:type="pct"/>
            <w:shd w:val="clear" w:color="auto" w:fill="auto"/>
          </w:tcPr>
          <w:p w:rsidR="0049577B" w:rsidRPr="00B40DC1" w:rsidRDefault="0049577B" w:rsidP="00E33C4C">
            <w:pPr>
              <w:spacing w:line="240" w:lineRule="auto"/>
              <w:ind w:leftChars="0" w:left="0" w:rightChars="0" w:right="0"/>
            </w:pPr>
            <w:r w:rsidRPr="00B40DC1">
              <w:t>釋字第722號【單獨執行業務者計算所得選擇權責發生制案】</w:t>
            </w:r>
          </w:p>
          <w:p w:rsidR="0049577B" w:rsidRPr="00B40DC1" w:rsidRDefault="00AE1031" w:rsidP="00E33C4C">
            <w:pPr>
              <w:spacing w:line="240" w:lineRule="auto"/>
              <w:ind w:leftChars="0" w:left="0" w:rightChars="0" w:right="0"/>
            </w:pPr>
            <w:r>
              <w:t>【解釋爭點</w:t>
            </w:r>
            <w:r w:rsidR="002402AF" w:rsidRPr="00E61A84">
              <w:rPr>
                <w:rFonts w:ascii="Arial Unicode MS" w:hAnsi="Arial Unicode MS" w:hint="eastAsia"/>
                <w:szCs w:val="20"/>
              </w:rPr>
              <w:t>】</w:t>
            </w:r>
            <w:hyperlink r:id="rId540" w:history="1">
              <w:r w:rsidR="002402AF" w:rsidRPr="00036326">
                <w:rPr>
                  <w:rStyle w:val="a7"/>
                  <w:rFonts w:ascii="Arial Unicode MS" w:hAnsi="Arial Unicode MS" w:hint="eastAsia"/>
                  <w:szCs w:val="20"/>
                  <w:lang w:eastAsia="zh-TW"/>
                </w:rPr>
                <w:t>執行業務所得查核辦法</w:t>
              </w:r>
            </w:hyperlink>
            <w:r w:rsidR="0049577B" w:rsidRPr="00B40DC1">
              <w:t>規定，僅聯合執業者或經公會代收轉付者得選擇權責發生制，違憲？</w:t>
            </w:r>
          </w:p>
          <w:p w:rsidR="0049577B" w:rsidRPr="00B40DC1" w:rsidRDefault="00AE1031" w:rsidP="00E33C4C">
            <w:pPr>
              <w:spacing w:line="240" w:lineRule="auto"/>
              <w:ind w:leftChars="0" w:left="0" w:rightChars="0" w:right="0"/>
            </w:pPr>
            <w:r>
              <w:t>【解釋文】</w:t>
            </w:r>
            <w:r w:rsidR="0049577B" w:rsidRPr="00B40DC1">
              <w:t>執行業務所得查核辦法第十條第二項規定：「聯合執行業務者或執行業務收入經由公會代收轉付者，得按權責發生制計算所得，惟須於年度開始一個月前，申報該管稽徵機關核准，變更者亦同。」未涵蓋業務收支跨年度、經營規模大且會計事項複雜而與公司經營型態相類之單獨執行業務者在內，</w:t>
            </w:r>
            <w:r w:rsidR="0049577B" w:rsidRPr="00B40DC1">
              <w:rPr>
                <w:u w:val="single"/>
              </w:rPr>
              <w:t>其差別待遇之手段與目的之達成間欠缺合理關聯，在此範圍內，與憲法第七條平等原則之意旨不符。</w:t>
            </w:r>
          </w:p>
          <w:p w:rsidR="0049577B" w:rsidRPr="00B40DC1" w:rsidRDefault="00E063B6" w:rsidP="00E33C4C">
            <w:pPr>
              <w:spacing w:line="240" w:lineRule="auto"/>
              <w:ind w:leftChars="0" w:left="0" w:rightChars="0" w:right="0"/>
            </w:pPr>
            <w:r>
              <w:t>【理由書】</w:t>
            </w:r>
            <w:r w:rsidR="0049577B" w:rsidRPr="00B40DC1">
              <w:t>憲法第七條規定人民之平等權應予保障。法規範是否符合平等權保障之要求，其判斷應取決於該法規範所以為差別待遇之目的是否合憲，其所採取之分類與規範目的之達成之間，是否存有一定程度之關聯性而定（本院釋字第六八二號、第六九四號、第七０一號解釋參照）。</w:t>
            </w:r>
          </w:p>
          <w:p w:rsidR="0049577B" w:rsidRPr="00B40DC1" w:rsidRDefault="0049577B" w:rsidP="00E33C4C">
            <w:pPr>
              <w:spacing w:line="240" w:lineRule="auto"/>
              <w:ind w:leftChars="0" w:left="0" w:rightChars="0" w:right="0"/>
            </w:pPr>
            <w:r w:rsidRPr="00B40DC1">
              <w:t>----系爭規定未涵蓋業務收支跨年度、經營規模大且會計事項複雜而與公司經營型態相類之單獨執行業務者在內，</w:t>
            </w:r>
            <w:r w:rsidRPr="00B40DC1">
              <w:rPr>
                <w:u w:val="single"/>
              </w:rPr>
              <w:t>其差別待遇之手段與目的之達成間欠缺合理關聯，在此範圍內，與憲法第七條平等原則之意旨不符。 </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41" w:anchor="r727" w:history="1">
              <w:r w:rsidRPr="00D80F61">
                <w:rPr>
                  <w:rStyle w:val="a7"/>
                  <w:rFonts w:cs="Times New Roman"/>
                  <w:lang w:eastAsia="zh-TW" w:bidi="ar-SA"/>
                </w:rPr>
                <w:t>727</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w:t>
            </w:r>
            <w:hyperlink r:id="rId542" w:anchor="r727" w:history="1">
              <w:r w:rsidR="000E2576" w:rsidRPr="008839A6">
                <w:rPr>
                  <w:rStyle w:val="a7"/>
                  <w:rFonts w:cs="Times New Roman"/>
                  <w:lang w:eastAsia="zh-TW" w:bidi="ar-SA"/>
                </w:rPr>
                <w:t>第727號</w:t>
              </w:r>
            </w:hyperlink>
            <w:r w:rsidRPr="00B40DC1">
              <w:t>【註銷不同意眷村改建原眷戶權益案】</w:t>
            </w:r>
          </w:p>
          <w:p w:rsidR="0049577B" w:rsidRPr="00B40DC1" w:rsidRDefault="00AE1031" w:rsidP="00E33C4C">
            <w:pPr>
              <w:spacing w:line="240" w:lineRule="auto"/>
              <w:ind w:leftChars="0" w:left="0" w:rightChars="0" w:right="0"/>
            </w:pPr>
            <w:r>
              <w:t>【解釋爭點】</w:t>
            </w:r>
            <w:r w:rsidR="0049577B" w:rsidRPr="00B40DC1">
              <w:t>對不同意眷村改建之眷戶，主管機關得逕行註銷其眷舍居住憑證及原眷戶權益之規定，違憲？</w:t>
            </w:r>
          </w:p>
          <w:p w:rsidR="0049577B" w:rsidRPr="00B40DC1" w:rsidRDefault="00AE1031" w:rsidP="00E33C4C">
            <w:pPr>
              <w:spacing w:line="240" w:lineRule="auto"/>
              <w:ind w:leftChars="0" w:left="0" w:rightChars="0" w:right="0"/>
            </w:pPr>
            <w:r>
              <w:t>【解釋文】</w:t>
            </w:r>
            <w:r w:rsidR="0049577B" w:rsidRPr="00B40DC1">
              <w:t>中華民國八十五年二月五日制定公布之國軍老舊眷村改建條例（下稱眷改條例）第二十二條規定：「規劃改建之眷村，其原眷戶有四分之三以上同意改建者，對不同意改建之眷戶，主管機關得逕行註銷其眷舍居住憑證及原眷戶權益，收回該房地，並得移送管轄之地方法院裁定後強制執行。」（九十六年一月三日修正公布將四分之三修正為三分之二，並改列為第一項）對於不同意改建之原眷戶得逕行註銷其眷舍居住憑證及原眷戶權益部分，與憲法第七條之平等原則尚無牴觸。</w:t>
            </w:r>
          </w:p>
          <w:p w:rsidR="0049577B" w:rsidRPr="00B40DC1" w:rsidRDefault="00E063B6" w:rsidP="00E33C4C">
            <w:pPr>
              <w:spacing w:line="240" w:lineRule="auto"/>
              <w:ind w:leftChars="0" w:left="0" w:rightChars="0" w:right="0"/>
            </w:pPr>
            <w:r>
              <w:t>【理由書】</w:t>
            </w:r>
            <w:r w:rsidR="0049577B" w:rsidRPr="00B40DC1">
              <w:t>憲法第七條平等原則並非指絕對、機械之形式上平等，而係保障人民在法律上地位之實質平等，立法機關基於憲法之價值體系及立法目的，自得斟酌規範事物性質之差異而為合理之差別待遇。法規範是否符合平等原則之要求，應視該法規範所以為差別待遇之目的是否合憲，及其所採取之分類與規範目的之達成間，是否存有一定程度之關聯性而定（本院釋字第六八二號、第六九四號、第七０一號、第七一九號、第七二二號解釋參照）。國家機關為達成公行政任務，以私法形式所為之行為，亦應遵循上開憲法之規定（本院釋字第四五七號解釋參照）。立法機關就各種社會給付之優先順序、規範目的、受益人範圍、給付方式及額度等有關規定，自有充分之形成自由，得斟酌對人民保護照顧之需求及國家財政狀況等因素，制定法律，將福利資源為限定性之分配（本院釋字第四八五號解釋參照），倘該給付規定所以為差別待遇之目的係屬正當，且所採手段與目的之達成間具合理關聯，即與平等原則無違。</w:t>
            </w:r>
          </w:p>
          <w:p w:rsidR="0049577B" w:rsidRPr="00B40DC1" w:rsidRDefault="00D80F61" w:rsidP="00D80F61">
            <w:pPr>
              <w:spacing w:line="240" w:lineRule="auto"/>
              <w:ind w:leftChars="0" w:left="0" w:rightChars="0" w:right="0"/>
            </w:pPr>
            <w:r>
              <w:t xml:space="preserve">　　</w:t>
            </w:r>
            <w:r w:rsidR="0049577B" w:rsidRPr="00B40DC1">
              <w:t>---軍人之眷舍配住，為使用借貸性質之福利措施（本院釋字第四五七號解釋意旨參照），其終止原不以配住眷戶之同意為必要。系爭規定之立法目的，係考量老舊眷村之特殊環境，為避免眷戶持續觀望而影響眷村改建整體工作之執行進度，徒使改建成本不斷增高，乃藉同意門檻之設定暨對不同意改建之原眷戶註銷其眷舍居住憑證及原眷戶權益之差別待遇手段，促使原眷戶間相互說服，以加速凝聚共識，並據以要求按期搬遷，達成土地使用之最佳經濟效益，以維護公共利益。所有原眷戶均有相同機會同意改建而取得相關權益，並明知不同意改建即無法獲得相關權益。是系爭規定所為差別待遇之目的要屬正當，且所採差別待遇手段與前開立法目的之達成間具有合理關聯，與憲法第七條平等原則尚無牴觸。</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43" w:anchor="r728" w:history="1">
              <w:r w:rsidRPr="00D80F61">
                <w:rPr>
                  <w:rStyle w:val="a7"/>
                  <w:rFonts w:cs="Times New Roman"/>
                  <w:lang w:eastAsia="zh-TW" w:bidi="ar-SA"/>
                </w:rPr>
                <w:t>728</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釋字第728號【既存祭祀公業派下員依規約認定案】</w:t>
            </w:r>
          </w:p>
          <w:p w:rsidR="0049577B" w:rsidRPr="00B40DC1" w:rsidRDefault="00AE1031" w:rsidP="00E33C4C">
            <w:pPr>
              <w:spacing w:line="240" w:lineRule="auto"/>
              <w:ind w:leftChars="0" w:left="0" w:rightChars="0" w:right="0"/>
            </w:pPr>
            <w:r>
              <w:t>【解釋爭點】</w:t>
            </w:r>
            <w:hyperlink r:id="rId544" w:history="1">
              <w:r w:rsidR="0049577B" w:rsidRPr="00161005">
                <w:rPr>
                  <w:rStyle w:val="a7"/>
                  <w:rFonts w:cs="Times New Roman"/>
                  <w:lang w:eastAsia="zh-TW" w:bidi="ar-SA"/>
                </w:rPr>
                <w:t>祭祀公業條例</w:t>
              </w:r>
            </w:hyperlink>
            <w:r w:rsidR="0049577B" w:rsidRPr="00B40DC1">
              <w:t>規定，本條例施行前已存在之祭祀公業，其派下員依規約定之，合憲？</w:t>
            </w:r>
          </w:p>
          <w:p w:rsidR="0049577B" w:rsidRPr="00B40DC1" w:rsidRDefault="00AE1031" w:rsidP="00E33C4C">
            <w:pPr>
              <w:spacing w:line="240" w:lineRule="auto"/>
              <w:ind w:leftChars="0" w:left="0" w:rightChars="0" w:right="0"/>
            </w:pPr>
            <w:r>
              <w:t>【解釋文】</w:t>
            </w:r>
            <w:r w:rsidR="0049577B" w:rsidRPr="00B40DC1">
              <w:t>祭祀公業條例第四條第一項前段規定：「本條例施行前已存在之祭祀公業，其派下員依規約定之。」並未以性別為認定派下員之標準，雖相關規約依循傳統之宗族觀念，大都限定以男系子孫（含養子）為派下員，多數情形致女子不得為派下員，但該等規約係設立人及其子孫所為之私法上結社及財產處分行為，基於私法自治，原則上應予尊重，以維護法秩序之安定。是上開規定以規約認定祭祀公業派下員，尚難認與憲法第七條保障性別平等之意旨有違，致侵害女子之財產權。</w:t>
            </w:r>
          </w:p>
          <w:p w:rsidR="0049577B" w:rsidRPr="00B40DC1" w:rsidRDefault="00E063B6" w:rsidP="00E33C4C">
            <w:pPr>
              <w:spacing w:line="240" w:lineRule="auto"/>
              <w:ind w:leftChars="0" w:left="0" w:rightChars="0" w:right="0"/>
            </w:pPr>
            <w:r>
              <w:t>【理由書】</w:t>
            </w:r>
            <w:r w:rsidR="0049577B" w:rsidRPr="00B40DC1">
              <w:t>---祭祀公業係由設立人捐助財產，以祭祀祖先或其他享祀人為目的之團體（祭祀公業條例第三條第一款規定參照）。其設立及存續，涉及設立人及其子孫之結社自由、財產權與契約自由。系爭規定雖因相關規約依循傳統之宗族觀念以男系子孫（含養子）為派下員，多數情形致女子不得為派下員，</w:t>
            </w:r>
            <w:r w:rsidR="0049577B" w:rsidRPr="00B40DC1">
              <w:rPr>
                <w:u w:val="single"/>
              </w:rPr>
              <w:t>實質上形成差別待遇，惟系爭規定形式上既未以性別作為認定派下員之標準，且其目的在於維護法秩序之安定及法律不溯及既往之原則，況相關規約係設立人及其子孫所為之私法上結社及財產處分行為，基於憲法第十四條保障結社自由、第十五條保障財產權及第二十二條保障契約自由及私法自治，原則上應予以尊重。是系爭規定實質上縱形成差別待遇，惟並非恣意，尚難認與憲法第七條保障性別平等之意旨有違，致侵害女子之財產權。</w:t>
            </w:r>
          </w:p>
          <w:p w:rsidR="0049577B" w:rsidRPr="00B40DC1" w:rsidRDefault="0049577B" w:rsidP="00D80F61">
            <w:pPr>
              <w:spacing w:line="240" w:lineRule="auto"/>
              <w:ind w:leftChars="0" w:left="0" w:rightChars="0" w:right="0"/>
            </w:pPr>
            <w:r w:rsidRPr="00B40DC1">
              <w:t xml:space="preserve">　　惟祭祀公業條例第四條第一項後段規定：「無規約或規約未規定者，派下員為設立人及其男系子孫（含養子）。」係以性別作為認定派下員之分類標準，而形成差別待遇，雖同條第二項規定：「派下員無男系子孫，其女子未出嫁者，得為派下員……。」第三項規定：「派下之女子、養女、贅婿等有下列情形之一者，亦得為派下員：一、經派下現員三分之二以上書面同意。二、經派下員大會派下現員過半數出席，出席人數三分之二以上同意通過。」等部分，已有減緩差別待遇之考量，且第五條規定：「本條例施行後，祭祀公業及祭祀公業法人之派下員發生繼承事實時，其繼承人應以共同承擔祭祀者列為派下員。」</w:t>
            </w:r>
            <w:r w:rsidRPr="00B40DC1">
              <w:rPr>
                <w:u w:val="single"/>
              </w:rPr>
              <w:t>亦已基於性別平等原則而為規範，但整體派下員制度之差別待遇仍然存在。按「中華民國人民，無分男女……，在法律上一律平等」、「國家應維護婦女之人格尊嚴，保障婦女之人身安全，消除性別歧視，促進兩性地位之實質平等。」憲法第七條及憲法增修條文第十條第六項分別定有明文。上開憲法增修條文既然課予國家應促進兩性地位實質平等之義務，並參酌聯合國大會一九七九年十二月十八日決議通過之消除對婦女一切形式歧視公約（Convention on the Elimination of All Forms of Discrimination against Women）第二條、第五條之規定，國家對於女性應負有積極之保護義務，藉以實踐兩性地位之實質平等。對於祭祀公業條例施行前已存在之祭祀公業，其派下員認定制度之設計，有關機關自應與時俱進，於兼顧上開憲法增修條文課予國家對女性積極保護義務之意旨及法安定性原則，視社會變遷與祭祀公業功能調整之情形，就相關規定適時檢討修正，俾能更符性別平等原則與憲法保障人民結社自由、財產權及契約自由之意旨。</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45" w:anchor="r739" w:history="1">
              <w:r w:rsidRPr="00D80F61">
                <w:rPr>
                  <w:rStyle w:val="a7"/>
                  <w:rFonts w:cs="Times New Roman"/>
                  <w:lang w:eastAsia="zh-TW" w:bidi="ar-SA"/>
                </w:rPr>
                <w:t>739</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釋字第739號【自辦市地重劃審查案】</w:t>
            </w:r>
          </w:p>
          <w:p w:rsidR="00161005" w:rsidRPr="00050155" w:rsidRDefault="00161005" w:rsidP="00161005">
            <w:pPr>
              <w:spacing w:line="240" w:lineRule="auto"/>
              <w:ind w:leftChars="0" w:left="0" w:rightChars="0" w:right="0"/>
              <w:rPr>
                <w:rFonts w:ascii="Arial Unicode MS" w:hAnsi="Arial Unicode MS"/>
              </w:rPr>
            </w:pPr>
            <w:r w:rsidRPr="00050155">
              <w:rPr>
                <w:rFonts w:ascii="Arial Unicode MS" w:hAnsi="Arial Unicode MS" w:hint="eastAsia"/>
              </w:rPr>
              <w:t>【爭點】獎勵土地所有權人辦理市地重劃辦法（下稱獎勵重劃辦法）</w:t>
            </w:r>
            <w:hyperlink r:id="rId546" w:anchor="a8" w:history="1">
              <w:r w:rsidRPr="00922CB9">
                <w:rPr>
                  <w:rStyle w:val="a7"/>
                  <w:rFonts w:ascii="Arial Unicode MS" w:hAnsi="Arial Unicode MS" w:hint="eastAsia"/>
                  <w:lang w:eastAsia="zh-TW"/>
                </w:rPr>
                <w:t>第八條</w:t>
              </w:r>
            </w:hyperlink>
            <w:r w:rsidRPr="00050155">
              <w:rPr>
                <w:rFonts w:ascii="Arial Unicode MS" w:hAnsi="Arial Unicode MS" w:hint="eastAsia"/>
              </w:rPr>
              <w:t>第一項發起人申請核定成立籌備會之要件，是否合憲？同辦法</w:t>
            </w:r>
            <w:hyperlink r:id="rId547" w:anchor="a9" w:history="1">
              <w:r w:rsidRPr="00922CB9">
                <w:rPr>
                  <w:rStyle w:val="a7"/>
                  <w:rFonts w:ascii="Arial Unicode MS" w:hAnsi="Arial Unicode MS" w:hint="eastAsia"/>
                  <w:lang w:eastAsia="zh-TW"/>
                </w:rPr>
                <w:t>第九條</w:t>
              </w:r>
            </w:hyperlink>
            <w:r w:rsidRPr="00050155">
              <w:rPr>
                <w:rFonts w:ascii="Arial Unicode MS" w:hAnsi="Arial Unicode MS" w:hint="eastAsia"/>
              </w:rPr>
              <w:t>第三款、第</w:t>
            </w:r>
            <w:hyperlink r:id="rId548" w:anchor="a20" w:history="1">
              <w:r w:rsidRPr="00922CB9">
                <w:rPr>
                  <w:rStyle w:val="a7"/>
                  <w:rFonts w:ascii="Arial Unicode MS" w:hAnsi="Arial Unicode MS" w:hint="eastAsia"/>
                  <w:lang w:eastAsia="zh-TW"/>
                </w:rPr>
                <w:t>二十</w:t>
              </w:r>
            </w:hyperlink>
            <w:r w:rsidRPr="00050155">
              <w:rPr>
                <w:rFonts w:ascii="Arial Unicode MS" w:hAnsi="Arial Unicode MS" w:hint="eastAsia"/>
              </w:rPr>
              <w:t>條第一項由籌備會申請核定擬辦重劃範圍、</w:t>
            </w:r>
            <w:hyperlink r:id="rId549" w:anchor="a9" w:history="1">
              <w:r w:rsidRPr="00922CB9">
                <w:rPr>
                  <w:rStyle w:val="a7"/>
                  <w:rFonts w:ascii="Arial Unicode MS" w:hAnsi="Arial Unicode MS" w:hint="eastAsia"/>
                  <w:lang w:eastAsia="zh-TW"/>
                </w:rPr>
                <w:t>第九條</w:t>
              </w:r>
            </w:hyperlink>
            <w:r w:rsidRPr="00050155">
              <w:rPr>
                <w:rFonts w:ascii="Arial Unicode MS" w:hAnsi="Arial Unicode MS" w:hint="eastAsia"/>
              </w:rPr>
              <w:t>第六款、第</w:t>
            </w:r>
            <w:hyperlink r:id="rId550" w:anchor="a26" w:history="1">
              <w:r w:rsidRPr="00133D50">
                <w:rPr>
                  <w:rStyle w:val="a7"/>
                  <w:rFonts w:ascii="Arial Unicode MS" w:hAnsi="Arial Unicode MS" w:hint="eastAsia"/>
                  <w:lang w:eastAsia="zh-TW"/>
                </w:rPr>
                <w:t>二十六</w:t>
              </w:r>
            </w:hyperlink>
            <w:r w:rsidRPr="00050155">
              <w:rPr>
                <w:rFonts w:ascii="Arial Unicode MS" w:hAnsi="Arial Unicode MS" w:hint="eastAsia"/>
              </w:rPr>
              <w:t>條第一項由籌備會為重劃計畫書之申請核定及公告，並通知土地所有權人等規定，是否合憲？同辦法關於主管機關核定擬辦重劃範圍及核准實施重劃計畫之程序，是否合憲？平均地權條例第</w:t>
            </w:r>
            <w:hyperlink r:id="rId551" w:anchor="a58" w:history="1">
              <w:r w:rsidRPr="008A51BA">
                <w:rPr>
                  <w:rStyle w:val="a7"/>
                  <w:rFonts w:ascii="Arial Unicode MS" w:hAnsi="Arial Unicode MS" w:hint="eastAsia"/>
                  <w:lang w:eastAsia="zh-TW"/>
                </w:rPr>
                <w:t>五十八</w:t>
              </w:r>
            </w:hyperlink>
            <w:r w:rsidRPr="00050155">
              <w:rPr>
                <w:rFonts w:ascii="Arial Unicode MS" w:hAnsi="Arial Unicode MS" w:hint="eastAsia"/>
              </w:rPr>
              <w:t>條第三項規定之同意比率，是否合憲？</w:t>
            </w:r>
          </w:p>
          <w:p w:rsidR="0049577B" w:rsidRPr="00B40DC1" w:rsidRDefault="00AE1031" w:rsidP="00E33C4C">
            <w:pPr>
              <w:spacing w:line="240" w:lineRule="auto"/>
              <w:ind w:leftChars="0" w:left="0" w:rightChars="0" w:right="0"/>
            </w:pPr>
            <w:r>
              <w:t>【解釋文】</w:t>
            </w:r>
            <w:r w:rsidR="0049577B" w:rsidRPr="00B40DC1">
              <w:t>---平均地權條例第五十八條第三項規定，尚難遽謂違反比例原則、平等原則。</w:t>
            </w:r>
          </w:p>
          <w:p w:rsidR="0049577B" w:rsidRPr="00B40DC1" w:rsidRDefault="00E063B6" w:rsidP="00D80F61">
            <w:pPr>
              <w:spacing w:line="240" w:lineRule="auto"/>
              <w:ind w:leftChars="0" w:left="0" w:rightChars="0" w:right="0"/>
            </w:pPr>
            <w:r>
              <w:t>【理由書】</w:t>
            </w:r>
            <w:r w:rsidR="0049577B" w:rsidRPr="00B40DC1">
              <w:t>---平均地權條例第五十八條第三項規定：「重劃會辦理市地重劃時，應由重劃區內私有土地所有權人半數以上，而其所有土地面積超過重劃區私有土地總面積半數以上者之同意，並經主管機關核准後實施之。」查市地重劃不僅涉及重劃範圍內不同意參與重劃者之財產權與居住自由，亦涉及重要公益之實現、同意參與重劃者之財產與適足居住環境之權益，以及原有土地上之他項權利人之權益，有關同意之比率如非太低而違反憲法要求之正當行政程序，當屬立法形成之自由（本院釋字第七０九號解釋參照）。上開規定縱採同條例第五十七條同一之同意比率，且未如都市更新條例第二十二條第一項區分不同類型，採不同之同意比率，亦難遽謂已達違反比例原則、平等原則之程度。</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52" w:anchor="r745" w:history="1">
              <w:r w:rsidRPr="00D80F61">
                <w:rPr>
                  <w:rStyle w:val="a7"/>
                  <w:rFonts w:cs="Times New Roman"/>
                  <w:lang w:eastAsia="zh-TW" w:bidi="ar-SA"/>
                </w:rPr>
                <w:t>745</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w:t>
            </w:r>
            <w:hyperlink r:id="rId553" w:anchor="r745" w:history="1">
              <w:r w:rsidR="000E2576" w:rsidRPr="008839A6">
                <w:rPr>
                  <w:rStyle w:val="a7"/>
                  <w:rFonts w:cs="Times New Roman"/>
                  <w:lang w:eastAsia="zh-TW" w:bidi="ar-SA"/>
                </w:rPr>
                <w:t>第745號</w:t>
              </w:r>
            </w:hyperlink>
            <w:r w:rsidRPr="00B40DC1">
              <w:t>【薪資所得未許實額減除費用是否違憲案】</w:t>
            </w:r>
          </w:p>
          <w:p w:rsidR="0049577B" w:rsidRPr="00B40DC1" w:rsidRDefault="00AE1031" w:rsidP="00E33C4C">
            <w:pPr>
              <w:spacing w:line="240" w:lineRule="auto"/>
              <w:ind w:leftChars="0" w:left="0" w:rightChars="0" w:right="0"/>
            </w:pPr>
            <w:r>
              <w:t>【解釋爭點】</w:t>
            </w:r>
            <w:r w:rsidR="0049577B" w:rsidRPr="00B40DC1">
              <w:t>（一）薪資所得未許實額減除費用是否違憲？</w:t>
            </w:r>
          </w:p>
          <w:p w:rsidR="0049577B" w:rsidRPr="00B40DC1" w:rsidRDefault="0049577B" w:rsidP="00E33C4C">
            <w:pPr>
              <w:spacing w:line="240" w:lineRule="auto"/>
              <w:ind w:leftChars="0" w:left="0" w:rightChars="0" w:right="0"/>
            </w:pPr>
            <w:r w:rsidRPr="00B40DC1">
              <w:t>（二）財政部函釋認大學兼任教師之授課鐘點費屬由薪資所得，而非執行業務所得，是否牴觸租稅法律主義？</w:t>
            </w:r>
          </w:p>
          <w:p w:rsidR="0049577B" w:rsidRPr="00B40DC1" w:rsidRDefault="00AE1031" w:rsidP="000E2576">
            <w:pPr>
              <w:spacing w:line="240" w:lineRule="auto"/>
              <w:ind w:leftChars="0" w:left="0" w:rightChars="0" w:right="0"/>
              <w:jc w:val="left"/>
            </w:pPr>
            <w:r>
              <w:t>【解釋文】</w:t>
            </w:r>
            <w:r w:rsidR="0049577B" w:rsidRPr="00B40DC1">
              <w:t>所得稅法第14條第1項第3類第1款及第2款、同法第17條第1項第2款第3目之2關於薪資所得之計算，僅許薪資所得者就個人薪資收入，減除定額之薪資所得特別扣除額，而不許薪資所得者於該年度之必要費用超過法定扣除額時，得以列舉或其他方式減除必要費用，於此範圍內，</w:t>
            </w:r>
            <w:r w:rsidR="0049577B" w:rsidRPr="00B40DC1">
              <w:rPr>
                <w:u w:val="single"/>
              </w:rPr>
              <w:t>與憲</w:t>
            </w:r>
            <w:r w:rsidR="000E2576">
              <w:rPr>
                <w:rFonts w:hint="eastAsia"/>
              </w:rPr>
              <w:t>法</w:t>
            </w:r>
            <w:hyperlink r:id="rId554"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rPr>
                <w:u w:val="single"/>
              </w:rPr>
              <w:t>平等權保障之意旨不符，</w:t>
            </w:r>
            <w:r w:rsidR="0049577B" w:rsidRPr="00B40DC1">
              <w:t>相關機關應自本解釋公布之日起二年內，依本解釋之意旨，檢討修正所得稅法相關規定。</w:t>
            </w:r>
          </w:p>
          <w:p w:rsidR="0049577B" w:rsidRPr="00B40DC1" w:rsidRDefault="00E063B6" w:rsidP="00E33C4C">
            <w:pPr>
              <w:spacing w:line="240" w:lineRule="auto"/>
              <w:ind w:leftChars="0" w:left="0" w:rightChars="0" w:right="0"/>
            </w:pPr>
            <w:r>
              <w:t>【理由書】</w:t>
            </w:r>
            <w:r w:rsidR="0049577B" w:rsidRPr="00B40DC1">
              <w:t>一、系爭規定一及二與憲</w:t>
            </w:r>
            <w:r w:rsidR="000E2576">
              <w:rPr>
                <w:rFonts w:hint="eastAsia"/>
              </w:rPr>
              <w:t>法</w:t>
            </w:r>
            <w:hyperlink r:id="rId555"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t>平等權保障之意旨不符</w:t>
            </w:r>
          </w:p>
          <w:p w:rsidR="0049577B" w:rsidRPr="00B40DC1" w:rsidRDefault="0049577B" w:rsidP="00E33C4C">
            <w:pPr>
              <w:spacing w:line="240" w:lineRule="auto"/>
              <w:ind w:leftChars="0" w:left="0" w:rightChars="0" w:right="0"/>
            </w:pPr>
            <w:r w:rsidRPr="00B40DC1">
              <w:t xml:space="preserve">　　</w:t>
            </w:r>
            <w:r w:rsidRPr="00B40DC1">
              <w:rPr>
                <w:u w:val="single"/>
              </w:rPr>
              <w:t>憲</w:t>
            </w:r>
            <w:r w:rsidR="000E2576">
              <w:rPr>
                <w:rFonts w:hint="eastAsia"/>
              </w:rPr>
              <w:t>法</w:t>
            </w:r>
            <w:hyperlink r:id="rId556"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Pr="00B40DC1">
              <w:rPr>
                <w:u w:val="single"/>
              </w:rPr>
              <w:t>規定人民之平等權應予保障。法規範是否符合平等權保障之要求，其判斷應取決於該法規範所以為差別待遇之目的是否合憲，及其所採取之分類與規範目的之達成間，是否存有一定程度之關聯性而定（本院釋字</w:t>
            </w:r>
            <w:hyperlink r:id="rId557" w:anchor="r682" w:history="1">
              <w:r w:rsidR="00226805" w:rsidRPr="008839A6">
                <w:rPr>
                  <w:rStyle w:val="a7"/>
                  <w:rFonts w:cs="Times New Roman"/>
                  <w:lang w:eastAsia="zh-TW" w:bidi="ar-SA"/>
                </w:rPr>
                <w:t>第682號</w:t>
              </w:r>
            </w:hyperlink>
            <w:r w:rsidRPr="00B40DC1">
              <w:rPr>
                <w:u w:val="single"/>
              </w:rPr>
              <w:t>、</w:t>
            </w:r>
            <w:hyperlink r:id="rId558" w:anchor="r722" w:history="1">
              <w:r w:rsidR="000E2576" w:rsidRPr="008839A6">
                <w:rPr>
                  <w:rStyle w:val="a7"/>
                  <w:rFonts w:cs="Times New Roman"/>
                  <w:lang w:eastAsia="zh-TW" w:bidi="ar-SA"/>
                </w:rPr>
                <w:t>第722號</w:t>
              </w:r>
            </w:hyperlink>
            <w:r w:rsidRPr="00B40DC1">
              <w:rPr>
                <w:u w:val="single"/>
              </w:rPr>
              <w:t>解釋參照）。</w:t>
            </w:r>
            <w:r w:rsidRPr="00B40DC1">
              <w:t>所得稅法第13條規定：「個人之綜合所得稅，就個人綜合所得總額，減除免稅額及扣除額後之綜合所得淨額計徵之。」為計算個人綜合所得淨額，立法者斟酌各類所得來源及性質之不同，分別定有成本及必要費用之減除、免稅額、扣除額等不同規定（所得稅法第4條、第14條及第17條等規定參照）。此等分類及差別待遇，涉及國家財政收入之整體規畫及預估，固較適合由代表民意之立法機關及擁有財政專業能力之相關行政機關決定。</w:t>
            </w:r>
            <w:r w:rsidRPr="00B40DC1">
              <w:rPr>
                <w:u w:val="single"/>
              </w:rPr>
              <w:t>惟其決定仍應有正當目的，且其分類與目的之達成間應具有合理關聯，始符合量能課稅要求之客觀淨值原則，從而不違反憲</w:t>
            </w:r>
            <w:r w:rsidR="000E2576">
              <w:rPr>
                <w:rFonts w:hint="eastAsia"/>
              </w:rPr>
              <w:t>法</w:t>
            </w:r>
            <w:hyperlink r:id="rId559"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Pr="00B40DC1">
              <w:rPr>
                <w:u w:val="single"/>
              </w:rPr>
              <w:t>平等權保障之意旨。</w:t>
            </w:r>
          </w:p>
          <w:p w:rsidR="0049577B" w:rsidRPr="00B40DC1" w:rsidRDefault="0049577B" w:rsidP="00E33C4C">
            <w:pPr>
              <w:spacing w:line="240" w:lineRule="auto"/>
              <w:ind w:leftChars="0" w:left="0" w:rightChars="0" w:right="0"/>
            </w:pPr>
            <w:r w:rsidRPr="00B40DC1">
              <w:t>----顯見所得稅法對於執行業務所得之計算，採實額減除成本及必要費用方式（下稱實額減除）；就薪資所得之計算，則未容許列舉減除超過法定扣除額之必要費用，且以單一額度特別扣除額方式，一體適用於全部薪資所得者（下稱定額扣除），不僅形成執行業務所得者與薪資所得者間之差別待遇，亦形成薪資所得者間之差別待遇。</w:t>
            </w:r>
          </w:p>
          <w:p w:rsidR="0049577B" w:rsidRPr="00B40DC1" w:rsidRDefault="00D80F61" w:rsidP="00E33C4C">
            <w:pPr>
              <w:spacing w:line="240" w:lineRule="auto"/>
              <w:ind w:leftChars="0" w:left="0" w:rightChars="0" w:right="0"/>
            </w:pPr>
            <w:r>
              <w:t xml:space="preserve">　　</w:t>
            </w:r>
            <w:r w:rsidR="0049577B" w:rsidRPr="00B40DC1">
              <w:t>本於量能課稅原則，所得課稅應以收入減除成本及必要費用後的客觀淨值，而非所得毛額，作為稅基。此項要求，於各類所得之計算均應有其適用。定額扣除額為必要費用之總額推估，亦應符合上開要求。主管機關考量薪資所得者與執行業務所得者是否為自力營生之不同（所得稅法第11條第1項參照），固得就各自得減除之必要費用項目及最高額度等為合理之不同規範。然現行法令為兼顧稅捐稽徵成本之降低與量能課稅原則，准許執行業務所得者得按必要支出項目及額度減除必要費用，以計算執行業務所得（所得稅法第14條第1項第2類、執行業務所得查核辦法第4章、財政部發布之各年度執行業務者費用標準參照）。</w:t>
            </w:r>
            <w:r w:rsidR="0049577B" w:rsidRPr="00B40DC1">
              <w:rPr>
                <w:u w:val="single"/>
              </w:rPr>
              <w:t>兩相對照，系爭規定一及二關於薪資所得之計算，僅許定額扣除，而不許薪資所得者於該年度之必要費用超過法定扣除額時，得以列舉或其他方式減除必要費用，形成顯然之差別待遇。此項差別待遇，與薪資所得者之是否為自力營生並無必然關聯。又現行單一定額之薪資所得特別扣除額規定，未考量不同薪資所得者間之必要費用差異，過於簡化，對於因工作必要，須支出顯然較高之必要費用者，確會產生適用上之不利差別待遇結果，致有違量能課稅所要求的客觀淨值原則。在此範圍內，系爭規定一及二之差別待遇手段與其目的之達成間欠缺合理關聯，而與憲</w:t>
            </w:r>
            <w:r w:rsidR="000E2576">
              <w:rPr>
                <w:rFonts w:hint="eastAsia"/>
              </w:rPr>
              <w:t>法</w:t>
            </w:r>
            <w:hyperlink r:id="rId560"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rPr>
                <w:u w:val="single"/>
              </w:rPr>
              <w:t>平等權保障之意旨不符。</w:t>
            </w:r>
            <w:r w:rsidR="0049577B" w:rsidRPr="00B40DC1">
              <w:t>相關機關應自本解釋公布之日起二年內，依本解釋之意旨，檢討修正所得稅法相關規定。</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61" w:anchor="r748" w:history="1">
              <w:r w:rsidRPr="004825FA">
                <w:rPr>
                  <w:rStyle w:val="a7"/>
                  <w:rFonts w:cs="Times New Roman"/>
                  <w:lang w:eastAsia="zh-TW" w:bidi="ar-SA"/>
                </w:rPr>
                <w:t>748</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釋字第748號【同性二人婚姻自由案】</w:t>
            </w:r>
          </w:p>
          <w:p w:rsidR="0049577B" w:rsidRPr="00DA14DC" w:rsidRDefault="00AE1031" w:rsidP="00DA14DC">
            <w:pPr>
              <w:spacing w:line="240" w:lineRule="auto"/>
              <w:ind w:leftChars="0" w:left="0" w:rightChars="0" w:right="0"/>
            </w:pPr>
            <w:r w:rsidRPr="00DA14DC">
              <w:t>【解釋爭點】</w:t>
            </w:r>
            <w:r w:rsidR="0049577B" w:rsidRPr="00DA14DC">
              <w:t>民法親屬編婚姻章，未使相同性別二人，得為經營共同生活之目的，成立具有親密性及排他性之永久結合關係，是否違反憲法</w:t>
            </w:r>
            <w:hyperlink r:id="rId562" w:anchor="a22" w:history="1">
              <w:r w:rsidR="00DA14DC" w:rsidRPr="00DA14DC">
                <w:rPr>
                  <w:rStyle w:val="a7"/>
                  <w:rFonts w:hint="eastAsia"/>
                  <w:lang w:eastAsia="zh-TW"/>
                </w:rPr>
                <w:t>第22條</w:t>
              </w:r>
            </w:hyperlink>
            <w:r w:rsidR="00DA14DC" w:rsidRPr="00DA14DC">
              <w:rPr>
                <w:rFonts w:hint="eastAsia"/>
              </w:rPr>
              <w:t>保障婚姻自由及</w:t>
            </w:r>
            <w:hyperlink r:id="rId563" w:anchor="a7" w:history="1">
              <w:r w:rsidR="00DA14DC" w:rsidRPr="00DA14DC">
                <w:rPr>
                  <w:rStyle w:val="a7"/>
                  <w:rFonts w:hint="eastAsia"/>
                  <w:lang w:eastAsia="zh-TW"/>
                </w:rPr>
                <w:t>第7條</w:t>
              </w:r>
            </w:hyperlink>
            <w:r w:rsidR="0049577B" w:rsidRPr="00DA14DC">
              <w:t>保障平等權之意旨？</w:t>
            </w:r>
          </w:p>
          <w:p w:rsidR="0049577B" w:rsidRPr="00B40DC1" w:rsidRDefault="00AE1031" w:rsidP="00E33C4C">
            <w:pPr>
              <w:spacing w:line="240" w:lineRule="auto"/>
              <w:ind w:leftChars="0" w:left="0" w:rightChars="0" w:right="0"/>
            </w:pPr>
            <w:r>
              <w:t>【解釋文】</w:t>
            </w:r>
            <w:r w:rsidR="0049577B" w:rsidRPr="00B40DC1">
              <w:t>民法第4編親屬第2章婚姻規定，</w:t>
            </w:r>
            <w:r w:rsidR="0049577B" w:rsidRPr="00B40DC1">
              <w:rPr>
                <w:u w:val="single"/>
              </w:rPr>
              <w:t>未使相同性別二人，得為經營共同生活之目的，成立具有親密性及排他性之永久結合關係，於此範圍內，與憲法第22條保障人民婚姻自由及第7條保障人民平等權之意旨有違。</w:t>
            </w:r>
            <w:r w:rsidR="0049577B" w:rsidRPr="00B40DC1">
              <w:t>有關機關應於本解釋公布之日起2年內，依本解釋意旨完成相關法律之修正或制定。</w:t>
            </w:r>
            <w:r w:rsidR="0049577B" w:rsidRPr="00B40DC1">
              <w:rPr>
                <w:u w:val="single"/>
              </w:rPr>
              <w:t>至於以何種形式達成婚姻自由之平等保護，屬立法形成之範圍。</w:t>
            </w:r>
            <w:r w:rsidR="0049577B" w:rsidRPr="00B40DC1">
              <w:t>逾期未完成相關法律之修正或制定者，相同性別二人為成立上開永久結合關係，得依上開婚姻章規定，持二人以上證人簽名之書面，向戶政機關辦理結婚登記。</w:t>
            </w:r>
          </w:p>
          <w:p w:rsidR="0049577B" w:rsidRPr="00B40DC1" w:rsidRDefault="00E063B6" w:rsidP="00E33C4C">
            <w:pPr>
              <w:spacing w:line="240" w:lineRule="auto"/>
              <w:ind w:leftChars="0" w:left="0" w:rightChars="0" w:right="0"/>
            </w:pPr>
            <w:r>
              <w:t>【理由書】</w:t>
            </w:r>
            <w:r w:rsidR="0049577B" w:rsidRPr="00B40DC1">
              <w:t>憲</w:t>
            </w:r>
            <w:r w:rsidR="000E2576">
              <w:rPr>
                <w:rFonts w:hint="eastAsia"/>
              </w:rPr>
              <w:t>法</w:t>
            </w:r>
            <w:hyperlink r:id="rId564"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t>規定：「中華民國人民，無分男女、宗教、種族、階級、黨派，在法律上一律平等。」本條明文揭示之5種禁止歧視事由，僅係例示，而非窮盡列舉。是如以其他事由，如身心障礙、性傾向等為分類標準，所為之差別待遇，亦屬本條平等權規範之範圍。</w:t>
            </w:r>
          </w:p>
          <w:p w:rsidR="0049577B" w:rsidRPr="00B40DC1" w:rsidRDefault="004825FA" w:rsidP="00E33C4C">
            <w:pPr>
              <w:spacing w:line="240" w:lineRule="auto"/>
              <w:ind w:leftChars="0" w:left="0" w:rightChars="0" w:right="0"/>
            </w:pPr>
            <w:r>
              <w:rPr>
                <w:u w:val="single"/>
              </w:rPr>
              <w:t xml:space="preserve">　　</w:t>
            </w:r>
            <w:r w:rsidR="0049577B" w:rsidRPr="00B40DC1">
              <w:rPr>
                <w:u w:val="single"/>
              </w:rPr>
              <w:t>現行婚姻章僅規定一男一女之永久結合關係，而未使相同性別二人亦得成立相同之永久結合關係，係以性傾向為分類標準，而使同性性傾向者之婚姻自由受有相對不利之差別待遇。</w:t>
            </w:r>
            <w:r w:rsidR="0049577B" w:rsidRPr="00B40DC1">
              <w:t>按憲法第22條保障之婚姻自由與人格自由、人性尊嚴密切相關，屬重要之基本權。且性傾向屬難以改變之個人特徵（immutable characteristics），其成因可能包括生理與心理因素、生活經驗及社會環境等（註1）。目前世界衛生組織、汎美衛生組織（即世界衛生組織美洲區辦事處）（註2）與國內外重要醫學組織（註3）均已認為同性性傾向本身並非疾病。在我國，同性性傾向者過去因未能見容於社會傳統及習俗，致長期受禁錮於暗櫃內，受有各種事實上或法律上之排斥或歧視；又同性性傾向者因人口結構因素，為社會上孤立隔絕之少數，並因受刻板印象之影響，久為政治上之弱勢，難期經由一般民主程序扭轉其法律上劣勢地位。</w:t>
            </w:r>
            <w:r w:rsidR="0049577B" w:rsidRPr="00B40DC1">
              <w:rPr>
                <w:u w:val="single"/>
              </w:rPr>
              <w:t>是以性傾向作為分類標準所為之差別待遇，應適用較為嚴格之審查標準，以判斷其合憲性，除其目的須為追求重要公共利益外，其手段與目的之達成間並須具有實質關聯，始符合憲</w:t>
            </w:r>
            <w:r w:rsidR="000E2576">
              <w:rPr>
                <w:rFonts w:hint="eastAsia"/>
              </w:rPr>
              <w:t>法</w:t>
            </w:r>
            <w:hyperlink r:id="rId565"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rPr>
                <w:u w:val="single"/>
              </w:rPr>
              <w:t>保障平等權之意旨。</w:t>
            </w:r>
          </w:p>
          <w:p w:rsidR="0049577B" w:rsidRPr="00B40DC1" w:rsidRDefault="004825FA" w:rsidP="004825FA">
            <w:pPr>
              <w:spacing w:line="240" w:lineRule="auto"/>
              <w:ind w:leftChars="0" w:left="0" w:rightChars="0" w:right="0"/>
            </w:pPr>
            <w:r>
              <w:t xml:space="preserve">　　</w:t>
            </w:r>
            <w:r w:rsidR="0049577B" w:rsidRPr="00B40DC1">
              <w:t>究國家立法規範異性婚姻之事實，而形成婚姻制度，其考量因素或有多端。如認婚姻係以保障繁衍後代之功能為考量，其著眼固非無據。然查婚姻章並未規定異性二人結婚須以具有生育能力為要件；亦未規定結婚後不能生育或未生育為婚姻無效、得撤銷或裁判離婚之事由，是繁衍後代顯非婚姻不可或缺之要素。相同性別二人間不能自然生育子女之事實，與不同性別二人間客觀上不能生育或主觀上不為生育之結果相同。故以不能繁衍後代為由，未使相同性別二人得以結婚，顯非合理之差別待遇。倘以婚姻係為維護基本倫理秩序，如結婚年齡、單一配偶、近親禁婚、忠貞義務及扶養義務等為考量，其計慮固屬正當。惟若容許相同性別二人得依婚姻章實質與形式要件規定，成立法律上婚姻關係，且要求其亦應遵守婚姻關係存續中及終止後之雙方權利義務規定，並不影響現行異性婚姻制度所建構之基本倫理秩序。是以維護基本倫理秩序為由，未使相同性別二人得以結婚，顯亦非合理之差別待遇。凡此均與憲</w:t>
            </w:r>
            <w:r w:rsidR="000E2576">
              <w:rPr>
                <w:rFonts w:hint="eastAsia"/>
              </w:rPr>
              <w:t>法</w:t>
            </w:r>
            <w:hyperlink r:id="rId566"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t>保障平等權之意旨不符。</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67" w:anchor="r750" w:history="1">
              <w:r w:rsidRPr="004825FA">
                <w:rPr>
                  <w:rStyle w:val="a7"/>
                  <w:rFonts w:cs="Times New Roman"/>
                  <w:lang w:eastAsia="zh-TW" w:bidi="ar-SA"/>
                </w:rPr>
                <w:t>750</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釋字第750號【以外國學歷應牙醫師考試之資格案】</w:t>
            </w:r>
          </w:p>
          <w:p w:rsidR="0049577B" w:rsidRPr="00B40DC1" w:rsidRDefault="00AE1031" w:rsidP="00E33C4C">
            <w:pPr>
              <w:spacing w:line="240" w:lineRule="auto"/>
              <w:ind w:leftChars="0" w:left="0" w:rightChars="0" w:right="0"/>
            </w:pPr>
            <w:r>
              <w:t>【解釋爭點】</w:t>
            </w:r>
            <w:r w:rsidR="0049577B" w:rsidRPr="00B40DC1">
              <w:t>以外國學歷應牙醫師考試者，須在主管機關認可之醫療機構完成臨床實作訓練之規定，是否違憲？</w:t>
            </w:r>
          </w:p>
          <w:p w:rsidR="0049577B" w:rsidRPr="00B40DC1" w:rsidRDefault="00AE1031" w:rsidP="00E33C4C">
            <w:pPr>
              <w:spacing w:line="240" w:lineRule="auto"/>
              <w:ind w:leftChars="0" w:left="0" w:rightChars="0" w:right="0"/>
            </w:pPr>
            <w:r>
              <w:t>【解釋文】</w:t>
            </w:r>
            <w:r w:rsidR="0049577B" w:rsidRPr="00B40DC1">
              <w:t>行政院衛生署（改制後為衛生福利部）中華民國98年9月16日修正發布之醫師法施行細則第1條之1，及考試院98年10月14日修正發布之專門職業及技術人員高等考試醫師牙醫師考試分試考試規則「附表一：專門職業及技術人員高等考試醫師牙醫師考試分試考試應考資格表」牙醫師類科第1款，關於國外牙醫學畢業生參加牙醫師考試之應考資格部分之規定，尚未牴觸憲法第23條法律保留原則、比例原則，與憲法第15條工作權及第18條應考試權之保障意旨無違，亦不違反憲</w:t>
            </w:r>
            <w:r w:rsidR="000E2576">
              <w:rPr>
                <w:rFonts w:hint="eastAsia"/>
              </w:rPr>
              <w:t>法</w:t>
            </w:r>
            <w:hyperlink r:id="rId568"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t>平等權之保障。</w:t>
            </w:r>
          </w:p>
          <w:p w:rsidR="0049577B" w:rsidRPr="00B40DC1" w:rsidRDefault="00E063B6" w:rsidP="00E33C4C">
            <w:pPr>
              <w:spacing w:line="240" w:lineRule="auto"/>
              <w:ind w:leftChars="0" w:left="0" w:rightChars="0" w:right="0"/>
            </w:pPr>
            <w:r>
              <w:t>【理由書】</w:t>
            </w:r>
            <w:r w:rsidR="0049577B" w:rsidRPr="00B40DC1">
              <w:t>憲</w:t>
            </w:r>
            <w:r w:rsidR="000E2576">
              <w:rPr>
                <w:rFonts w:hint="eastAsia"/>
              </w:rPr>
              <w:t>法</w:t>
            </w:r>
            <w:hyperlink r:id="rId569"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t>保障之平等權，並不當然禁止任何差別待遇，立法與相關機關基於憲法之價值體系及立法目的，自得斟酌規範事物性質之差異而為合理差別待遇。法規範是否符合平等原則之要求，應視該法規範所以為差別待遇之目的是否合憲，及其所採取之分類與規範目的之達成間，是否存有一定程度之關聯性而定（本院釋字</w:t>
            </w:r>
            <w:hyperlink r:id="rId570" w:anchor="r682" w:history="1">
              <w:r w:rsidR="00226805" w:rsidRPr="008839A6">
                <w:rPr>
                  <w:rStyle w:val="a7"/>
                  <w:rFonts w:cs="Times New Roman"/>
                  <w:lang w:eastAsia="zh-TW" w:bidi="ar-SA"/>
                </w:rPr>
                <w:t>第682號</w:t>
              </w:r>
            </w:hyperlink>
            <w:r w:rsidR="0049577B" w:rsidRPr="00B40DC1">
              <w:t>、</w:t>
            </w:r>
            <w:hyperlink r:id="rId571" w:anchor="r694" w:history="1">
              <w:r w:rsidR="00AE2E64" w:rsidRPr="008839A6">
                <w:rPr>
                  <w:rStyle w:val="a7"/>
                  <w:rFonts w:cs="Times New Roman"/>
                  <w:lang w:eastAsia="zh-TW" w:bidi="ar-SA"/>
                </w:rPr>
                <w:t>第694號</w:t>
              </w:r>
            </w:hyperlink>
            <w:r w:rsidR="0049577B" w:rsidRPr="00B40DC1">
              <w:t>、</w:t>
            </w:r>
            <w:hyperlink r:id="rId572" w:anchor="r701" w:history="1">
              <w:r w:rsidR="000E2576" w:rsidRPr="008839A6">
                <w:rPr>
                  <w:rStyle w:val="a7"/>
                  <w:rFonts w:cs="Times New Roman"/>
                  <w:lang w:eastAsia="zh-TW" w:bidi="ar-SA"/>
                </w:rPr>
                <w:t>第701號</w:t>
              </w:r>
            </w:hyperlink>
            <w:r w:rsidR="0049577B" w:rsidRPr="00B40DC1">
              <w:t>、</w:t>
            </w:r>
            <w:hyperlink r:id="rId573" w:anchor="r719" w:history="1">
              <w:r w:rsidR="000E2576" w:rsidRPr="008839A6">
                <w:rPr>
                  <w:rStyle w:val="a7"/>
                  <w:rFonts w:cs="Times New Roman"/>
                  <w:lang w:eastAsia="zh-TW" w:bidi="ar-SA"/>
                </w:rPr>
                <w:t>第719號</w:t>
              </w:r>
            </w:hyperlink>
            <w:r w:rsidR="0049577B" w:rsidRPr="00B40DC1">
              <w:t>、</w:t>
            </w:r>
            <w:hyperlink r:id="rId574" w:anchor="r722" w:history="1">
              <w:r w:rsidR="000E2576" w:rsidRPr="008839A6">
                <w:rPr>
                  <w:rStyle w:val="a7"/>
                  <w:rFonts w:cs="Times New Roman"/>
                  <w:lang w:eastAsia="zh-TW" w:bidi="ar-SA"/>
                </w:rPr>
                <w:t>第722號</w:t>
              </w:r>
            </w:hyperlink>
            <w:r w:rsidR="000E2576">
              <w:t>、</w:t>
            </w:r>
            <w:hyperlink r:id="rId575" w:anchor="r727" w:history="1">
              <w:r w:rsidR="000E2576" w:rsidRPr="008839A6">
                <w:rPr>
                  <w:rStyle w:val="a7"/>
                  <w:rFonts w:cs="Times New Roman"/>
                  <w:lang w:eastAsia="zh-TW" w:bidi="ar-SA"/>
                </w:rPr>
                <w:t>第727號</w:t>
              </w:r>
            </w:hyperlink>
            <w:r w:rsidR="000E2576">
              <w:t>及</w:t>
            </w:r>
            <w:hyperlink r:id="rId576" w:anchor="r745" w:history="1">
              <w:r w:rsidR="000E2576" w:rsidRPr="008839A6">
                <w:rPr>
                  <w:rStyle w:val="a7"/>
                  <w:rFonts w:cs="Times New Roman"/>
                  <w:lang w:eastAsia="zh-TW" w:bidi="ar-SA"/>
                </w:rPr>
                <w:t>第745號</w:t>
              </w:r>
            </w:hyperlink>
            <w:r w:rsidR="0049577B" w:rsidRPr="00B40DC1">
              <w:t>解釋參照）。</w:t>
            </w:r>
          </w:p>
          <w:p w:rsidR="0049577B" w:rsidRPr="00B40DC1" w:rsidRDefault="0049577B" w:rsidP="00E33C4C">
            <w:pPr>
              <w:spacing w:line="240" w:lineRule="auto"/>
              <w:ind w:leftChars="0" w:left="0" w:rightChars="0" w:right="0"/>
            </w:pPr>
            <w:r w:rsidRPr="00B40DC1">
              <w:t xml:space="preserve">　　系爭規定一對於國內牙醫學畢業生及國外牙醫學畢業生一體適用，形式上固無差別待遇，惟國內牙醫學畢業生於取得畢業證書前，已可符合系爭規定一有關於「經教學醫院評鑑通過，得提供臨床實作訓練之醫療機構」臨床實作考評成績及格，且取得證明之要求，而國外牙醫學畢業生則無法取得該證明，故實際上仍存有差別待遇。又系爭規定二但書規定，國外大學、獨立學院牙醫學系、科畢業者，其實習期滿成績及格之認定標準，依醫師法施行細則（含系爭規定一）辦理，則對國外牙醫學畢業生而言，系爭規定二自亦存有差別待遇。</w:t>
            </w:r>
            <w:r w:rsidRPr="00B40DC1">
              <w:rPr>
                <w:u w:val="single"/>
              </w:rPr>
              <w:t>此等差別待遇涉及牙醫師技能及醫療服務品質，故較適合由擁有醫療或考試專業能力之機關決定。其決定若目的正當，且其差別待遇與目的之達成間具有合理關聯，即不違反憲</w:t>
            </w:r>
            <w:r w:rsidR="000E2576">
              <w:rPr>
                <w:rFonts w:hint="eastAsia"/>
              </w:rPr>
              <w:t>法</w:t>
            </w:r>
            <w:hyperlink r:id="rId577"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Pr="00B40DC1">
              <w:rPr>
                <w:u w:val="single"/>
              </w:rPr>
              <w:t>平等權保障之意旨。</w:t>
            </w:r>
          </w:p>
          <w:p w:rsidR="0049577B" w:rsidRPr="00B40DC1" w:rsidRDefault="0049577B" w:rsidP="00E33C4C">
            <w:pPr>
              <w:spacing w:line="240" w:lineRule="auto"/>
              <w:ind w:leftChars="0" w:left="0" w:rightChars="0" w:right="0"/>
            </w:pPr>
            <w:r w:rsidRPr="00B40DC1">
              <w:t xml:space="preserve">　　醫療業務攸關國民身體健康及生命之安全，以醫師作為職業者，除應具備相當之專業知識外，理應於主管機關認可之醫療機構累積足夠之臨床實作訓練，以實地參與醫療業務，熟悉國內醫療環境、文化與疾病之態樣，始克勝任。系爭規定一及二係為確保此一要求之實現，目的應屬正當。</w:t>
            </w:r>
          </w:p>
          <w:p w:rsidR="0049577B" w:rsidRPr="00B40DC1" w:rsidRDefault="0049577B" w:rsidP="00E33C4C">
            <w:pPr>
              <w:spacing w:line="240" w:lineRule="auto"/>
              <w:ind w:leftChars="0" w:left="0" w:rightChars="0" w:right="0"/>
            </w:pPr>
            <w:r w:rsidRPr="00B40DC1">
              <w:t xml:space="preserve">　　國外牙醫學畢業生未必受有足夠臨床實作訓練，且縱使受有臨床實作訓練，但於國外使用之語言、醫療文化及接觸之疾病型態，與國內情形並不相同，故仍欠缺前揭臨床實作經驗。系爭規定一及二規定，國外牙醫學畢業生須於主管機關認可之醫療機構完成一定之臨床實作訓練，可彌補臨床實作經驗之不足，皆有助於上開目的之達成，且無顯不合理之處。是此等差別待遇與其目的之達成間具有合理關聯，尚無違背憲</w:t>
            </w:r>
            <w:r w:rsidR="000E2576">
              <w:rPr>
                <w:rFonts w:hint="eastAsia"/>
              </w:rPr>
              <w:t>法</w:t>
            </w:r>
            <w:hyperlink r:id="rId578"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Pr="00B40DC1">
              <w:t>平等權保障之意旨。</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79" w:anchor="r760" w:history="1">
              <w:r w:rsidRPr="008839A6">
                <w:rPr>
                  <w:rStyle w:val="a7"/>
                  <w:rFonts w:cs="Times New Roman"/>
                  <w:lang w:eastAsia="zh-TW" w:bidi="ar-SA"/>
                </w:rPr>
                <w:t>760</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釋字第760號 【警察三等特考職務任用資格差別待遇案】</w:t>
            </w:r>
          </w:p>
          <w:p w:rsidR="0049577B" w:rsidRPr="00B40DC1" w:rsidRDefault="00AE1031" w:rsidP="00E33C4C">
            <w:pPr>
              <w:spacing w:line="240" w:lineRule="auto"/>
              <w:ind w:leftChars="0" w:left="0" w:rightChars="0" w:right="0"/>
            </w:pPr>
            <w:r>
              <w:t>【解釋爭點】</w:t>
            </w:r>
            <w:r w:rsidR="0049577B" w:rsidRPr="00B40DC1">
              <w:t>警察人員人事條</w:t>
            </w:r>
            <w:r w:rsidR="00DA14DC" w:rsidRPr="00DA14DC">
              <w:rPr>
                <w:rFonts w:hint="eastAsia"/>
              </w:rPr>
              <w:t>例</w:t>
            </w:r>
            <w:hyperlink r:id="rId580" w:anchor="a11" w:history="1">
              <w:r w:rsidR="00DA14DC" w:rsidRPr="00DA14DC">
                <w:rPr>
                  <w:rStyle w:val="a7"/>
                  <w:rFonts w:hint="eastAsia"/>
                  <w:lang w:eastAsia="zh-TW"/>
                </w:rPr>
                <w:t>第11條</w:t>
              </w:r>
            </w:hyperlink>
            <w:r w:rsidR="0049577B" w:rsidRPr="00B40DC1">
              <w:t>第2項之規定，對警察三等特考及格之一般生，是否形成職務任用資格之不利差別待遇？</w:t>
            </w:r>
          </w:p>
          <w:p w:rsidR="0049577B" w:rsidRPr="00B40DC1" w:rsidRDefault="00AE1031" w:rsidP="00E33C4C">
            <w:pPr>
              <w:spacing w:line="240" w:lineRule="auto"/>
              <w:ind w:leftChars="0" w:left="0" w:rightChars="0" w:right="0"/>
            </w:pPr>
            <w:r>
              <w:t>【解釋文】</w:t>
            </w:r>
            <w:r w:rsidR="0049577B" w:rsidRPr="00B40DC1">
              <w:t>警察人員人事條例第11條第2項未明確規定考試訓練機構，致實務上內政部警政署得將公務人員特種考試警察人員考試三等考試筆試錄取之未具警察教育體系學歷之人員，一律安排至臺灣警察專科學校受考試錄取人員訓練，以完足該考試程序，</w:t>
            </w:r>
            <w:r w:rsidR="0049577B" w:rsidRPr="00B40DC1">
              <w:rPr>
                <w:u w:val="single"/>
              </w:rPr>
              <w:t>使100年之前上開考試及格之未具警察教育體系學歷人員無從取得職務等階最高列警正三階以上職務任用資格，致其等應考試服公職權遭受系統性之不利差別待遇，就此範圍內，與憲</w:t>
            </w:r>
            <w:r w:rsidR="000E2576">
              <w:rPr>
                <w:rFonts w:hint="eastAsia"/>
              </w:rPr>
              <w:t>法</w:t>
            </w:r>
            <w:hyperlink r:id="rId581"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rPr>
                <w:u w:val="single"/>
              </w:rPr>
              <w:t>保障平等權之意旨不符。</w:t>
            </w:r>
          </w:p>
          <w:p w:rsidR="0049577B" w:rsidRPr="00B40DC1" w:rsidRDefault="0049577B" w:rsidP="00E33C4C">
            <w:pPr>
              <w:spacing w:line="240" w:lineRule="auto"/>
              <w:ind w:leftChars="0" w:left="0" w:rightChars="0" w:right="0"/>
            </w:pPr>
            <w:r w:rsidRPr="00B40DC1">
              <w:t xml:space="preserve">　　行政院應會同考試院，於本解釋公布之日起6個月內，基於本解釋意旨，採取適當措施，除去聲請人所遭受之不利差別待遇。</w:t>
            </w:r>
          </w:p>
          <w:p w:rsidR="0049577B" w:rsidRPr="00B40DC1" w:rsidRDefault="00E063B6" w:rsidP="00E33C4C">
            <w:pPr>
              <w:spacing w:line="240" w:lineRule="auto"/>
              <w:ind w:leftChars="0" w:left="0" w:rightChars="0" w:right="0"/>
            </w:pPr>
            <w:r>
              <w:t>【理由書】</w:t>
            </w:r>
            <w:r w:rsidR="0049577B" w:rsidRPr="00B40DC1">
              <w:t>憲法第18條規定人民有應考試服公職之權，旨在保障人民有依法令經由公開競爭之考試程序，取得擔任公職之資格，進而參與國家治理之權利。應考試服公職之權為廣義之參政權，人民應有以平等條件參與公共職務之權利與機會。為實踐此一憲法意旨，國家須設有客觀公平之考試制度，並確保整體考試結果之公正，其保障範圍包含公平參與競試與受訓練完足考試程序以取得任官資格、職務任用資格、依法令晉敘陞遷，以及由此衍生之身分保障、俸給與退休金等權利（本院釋字第429號、第575號、第605號、第611號、</w:t>
            </w:r>
            <w:hyperlink r:id="rId582" w:anchor="r682" w:history="1">
              <w:r w:rsidR="00226805" w:rsidRPr="008839A6">
                <w:rPr>
                  <w:rStyle w:val="a7"/>
                  <w:rFonts w:cs="Times New Roman"/>
                  <w:lang w:eastAsia="zh-TW" w:bidi="ar-SA"/>
                </w:rPr>
                <w:t>第682號</w:t>
              </w:r>
            </w:hyperlink>
            <w:r w:rsidR="0049577B" w:rsidRPr="00B40DC1">
              <w:t>及第715號解釋參照）。警察人員為依法定程序考試訓練、任官授階，並依警察法等相關法令執行警察任務之人員，自屬憲法第18條所稱之公職。警察人員之人事制度雖採官、職分立制，官受保障，職得調任（警察人員人事條例第4條參照），然人民參加同一警察人員考試筆試錄取並經訓練期滿成績及格者，其所取得之任官資格及職務任用資格，仍應符合憲</w:t>
            </w:r>
            <w:r w:rsidR="000E2576">
              <w:rPr>
                <w:rFonts w:hint="eastAsia"/>
              </w:rPr>
              <w:t>法</w:t>
            </w:r>
            <w:hyperlink r:id="rId583"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t>保障平等權之意旨。</w:t>
            </w:r>
          </w:p>
          <w:p w:rsidR="0049577B" w:rsidRPr="00B40DC1" w:rsidRDefault="008839A6" w:rsidP="00E33C4C">
            <w:pPr>
              <w:spacing w:line="240" w:lineRule="auto"/>
              <w:ind w:leftChars="0" w:left="0" w:rightChars="0" w:right="0"/>
            </w:pPr>
            <w:r>
              <w:t xml:space="preserve">　　</w:t>
            </w:r>
            <w:r w:rsidR="0049577B" w:rsidRPr="00B40DC1">
              <w:t>憲</w:t>
            </w:r>
            <w:r w:rsidR="000E2576">
              <w:rPr>
                <w:rFonts w:hint="eastAsia"/>
              </w:rPr>
              <w:t>法</w:t>
            </w:r>
            <w:hyperlink r:id="rId584"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t>保障人民平等權，旨在防止立法者恣意對人民為不合理之差別待遇。法規範是否符合平等權保障之要求，其判斷應取決於該法規範所以為差別待遇之目的是否合憲，其所採取之分類與規範目的之達成之間，是否存有一定程度之關聯性而定（本院釋字</w:t>
            </w:r>
            <w:hyperlink r:id="rId585" w:anchor="r682" w:history="1">
              <w:r w:rsidR="00226805" w:rsidRPr="008839A6">
                <w:rPr>
                  <w:rStyle w:val="a7"/>
                  <w:rFonts w:cs="Times New Roman"/>
                  <w:lang w:eastAsia="zh-TW" w:bidi="ar-SA"/>
                </w:rPr>
                <w:t>第682號</w:t>
              </w:r>
            </w:hyperlink>
            <w:r w:rsidR="0049577B" w:rsidRPr="00B40DC1">
              <w:t>、</w:t>
            </w:r>
            <w:hyperlink r:id="rId586" w:anchor="r694" w:history="1">
              <w:r w:rsidR="00AE2E64" w:rsidRPr="008839A6">
                <w:rPr>
                  <w:rStyle w:val="a7"/>
                  <w:rFonts w:cs="Times New Roman"/>
                  <w:lang w:eastAsia="zh-TW" w:bidi="ar-SA"/>
                </w:rPr>
                <w:t>第694號</w:t>
              </w:r>
            </w:hyperlink>
            <w:r w:rsidR="0049577B" w:rsidRPr="00B40DC1">
              <w:t>及</w:t>
            </w:r>
            <w:hyperlink r:id="rId587" w:anchor="r701" w:history="1">
              <w:r w:rsidR="000E2576" w:rsidRPr="008839A6">
                <w:rPr>
                  <w:rStyle w:val="a7"/>
                  <w:rFonts w:cs="Times New Roman"/>
                  <w:lang w:eastAsia="zh-TW" w:bidi="ar-SA"/>
                </w:rPr>
                <w:t>第701號</w:t>
              </w:r>
            </w:hyperlink>
            <w:r w:rsidR="0049577B" w:rsidRPr="00B40DC1">
              <w:t>解釋參照）。鑑於應考試服公職權為廣義之參政權，涉及人民參與國家意思之形成及公務之執行，與公共生活秩序之形塑密切相關，對此權利所為之差別待遇，原則上應受較嚴格之審查，除其目的須為追求重要公益外，所採差別待遇與目的之達成間亦須有實質關聯，始與憲法保障平等權之意旨相符。</w:t>
            </w:r>
          </w:p>
          <w:p w:rsidR="0049577B" w:rsidRPr="00B40DC1" w:rsidRDefault="008839A6" w:rsidP="00E33C4C">
            <w:pPr>
              <w:spacing w:line="240" w:lineRule="auto"/>
              <w:ind w:leftChars="0" w:left="0" w:rightChars="0" w:right="0"/>
              <w:rPr>
                <w:u w:val="single"/>
              </w:rPr>
            </w:pPr>
            <w:r>
              <w:t xml:space="preserve">　　</w:t>
            </w:r>
            <w:r w:rsidR="0049577B" w:rsidRPr="00B40DC1">
              <w:t>查警政署上開訓練處置，乃基於維持警察養成教育制度、警大容訓量有限，及巡官等職務缺額有限等三項考慮（見警政署106年2月3日警署教字第1050184012號函復本院所附說明意見書第5頁）。按維持警察養成教育制度，設置警大及警專，乃為培育具備現代社會警察專業知識及技能之警察人員，惟警察專業知識及技能之取得，警大及警專畢業並非唯一管道，警大或警官學校訓練合格亦可作為任用職務等階最高列警正三階以上職務所需之資格，自不得排除前揭考試筆試錄取之一般生得經由警大完足訓練取得擔任巡官資格之機會。</w:t>
            </w:r>
            <w:r w:rsidR="0049577B" w:rsidRPr="00B40DC1">
              <w:rPr>
                <w:u w:val="single"/>
              </w:rPr>
              <w:t>次按容訓量僅係基於純粹行政成本之考量，難謂重要公益。至巡官等員額有限，只有部分考試及格人員得派任巡官，事所必然，無可厚非，惟本應從前揭考試及格人員中擇優任用，以貫徹公平競試、用人唯才之原則。是將警察三等特考筆試錄取之一般生，一律安排至警專受訓之手段，與擇優選才目的之達成間難謂具實質關聯。</w:t>
            </w:r>
          </w:p>
          <w:p w:rsidR="0049577B" w:rsidRPr="00B40DC1" w:rsidRDefault="0049577B" w:rsidP="008839A6">
            <w:pPr>
              <w:spacing w:line="240" w:lineRule="auto"/>
              <w:ind w:leftChars="0" w:left="0" w:rightChars="0" w:right="0"/>
            </w:pPr>
            <w:r w:rsidRPr="00B40DC1">
              <w:t xml:space="preserve">　　綜上，系爭規定未明確規定考試訓練機構，致實務上警政署得將警察三等特考筆試錄取之一般生，一律安排至警專受考試錄取人員訓練，以完足該考試程序（警察人員人事條例施行細則第4條第2項第2款參照），使100年之前上開考試及格之一般生無從取得職務等階最高列警正三階以上職務任用資格，致其等應考試服公職權遭受系統性之不利差別待遇，就此範圍內，與憲</w:t>
            </w:r>
            <w:r w:rsidR="000E2576">
              <w:rPr>
                <w:rFonts w:hint="eastAsia"/>
              </w:rPr>
              <w:t>法</w:t>
            </w:r>
            <w:hyperlink r:id="rId588"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Pr="00B40DC1">
              <w:t>保障平等權之意旨不符。行政院應會同考試院，於本解釋公布之日起6個月內，基於本解釋意旨，採取適當措施，除去聲請人一及二所遭受之不利差別待遇。例如安排聲請人一及二至警大完成必要之訓練，並於訓練及格後，取得任用為警正四階所有職務之資格。</w:t>
            </w:r>
          </w:p>
        </w:tc>
      </w:tr>
      <w:tr w:rsidR="0049577B" w:rsidRPr="00B40DC1" w:rsidTr="00FD5837">
        <w:tc>
          <w:tcPr>
            <w:tcW w:w="679" w:type="pct"/>
            <w:shd w:val="clear" w:color="auto" w:fill="auto"/>
          </w:tcPr>
          <w:p w:rsidR="0049577B" w:rsidRPr="00B40DC1" w:rsidRDefault="0049577B" w:rsidP="00E33C4C">
            <w:pPr>
              <w:spacing w:line="240" w:lineRule="auto"/>
              <w:ind w:leftChars="0" w:left="0" w:rightChars="0" w:right="0"/>
            </w:pPr>
            <w:r w:rsidRPr="00B40DC1">
              <w:t>釋字</w:t>
            </w:r>
            <w:hyperlink r:id="rId589" w:anchor="r764" w:history="1">
              <w:r w:rsidRPr="008839A6">
                <w:rPr>
                  <w:rStyle w:val="a7"/>
                  <w:rFonts w:cs="Times New Roman"/>
                  <w:lang w:eastAsia="zh-TW" w:bidi="ar-SA"/>
                </w:rPr>
                <w:t>764</w:t>
              </w:r>
            </w:hyperlink>
          </w:p>
          <w:p w:rsidR="0049577B" w:rsidRPr="00B40DC1" w:rsidRDefault="0049577B" w:rsidP="00E33C4C">
            <w:pPr>
              <w:spacing w:line="240" w:lineRule="auto"/>
              <w:ind w:leftChars="0" w:left="0" w:rightChars="0" w:right="0"/>
            </w:pPr>
          </w:p>
        </w:tc>
        <w:tc>
          <w:tcPr>
            <w:tcW w:w="4321" w:type="pct"/>
            <w:shd w:val="clear" w:color="auto" w:fill="auto"/>
          </w:tcPr>
          <w:p w:rsidR="0049577B" w:rsidRPr="00B40DC1" w:rsidRDefault="0049577B" w:rsidP="00E33C4C">
            <w:pPr>
              <w:spacing w:line="240" w:lineRule="auto"/>
              <w:ind w:leftChars="0" w:left="0" w:rightChars="0" w:right="0"/>
            </w:pPr>
            <w:r w:rsidRPr="00B40DC1">
              <w:t>釋字第764號【公營事業移轉民營留用人員年資結算案】</w:t>
            </w:r>
          </w:p>
          <w:p w:rsidR="0049577B" w:rsidRPr="00B40DC1" w:rsidRDefault="00AE1031" w:rsidP="00E33C4C">
            <w:pPr>
              <w:spacing w:line="240" w:lineRule="auto"/>
              <w:ind w:leftChars="0" w:left="0" w:rightChars="0" w:right="0"/>
            </w:pPr>
            <w:r>
              <w:t>【解釋爭點】</w:t>
            </w:r>
            <w:r w:rsidR="0049577B" w:rsidRPr="00B40DC1">
              <w:t>公營事業移轉民營條例</w:t>
            </w:r>
            <w:hyperlink r:id="rId590" w:anchor="a8" w:history="1">
              <w:r w:rsidR="0049577B" w:rsidRPr="00DA14DC">
                <w:rPr>
                  <w:rStyle w:val="a7"/>
                  <w:rFonts w:cs="Times New Roman"/>
                  <w:lang w:eastAsia="zh-TW" w:bidi="ar-SA"/>
                </w:rPr>
                <w:t>第8條</w:t>
              </w:r>
            </w:hyperlink>
            <w:r w:rsidR="0049577B" w:rsidRPr="00B40DC1">
              <w:t>第3項前段規定，就適用於原具公務人員身分之留用人員部分，原有年資辦理結算，是否侵害其服公職權及平等權？</w:t>
            </w:r>
          </w:p>
          <w:p w:rsidR="0049577B" w:rsidRPr="00B40DC1" w:rsidRDefault="00AE1031" w:rsidP="00E33C4C">
            <w:pPr>
              <w:spacing w:line="240" w:lineRule="auto"/>
              <w:ind w:leftChars="0" w:left="0" w:rightChars="0" w:right="0"/>
            </w:pPr>
            <w:r>
              <w:t>【解釋文】</w:t>
            </w:r>
            <w:r w:rsidR="0049577B" w:rsidRPr="00B40DC1">
              <w:t>公營事業移轉民營條例第8條第3項前段規定：「移轉為民營後繼續留用人員，得於移轉當日由原事業主就其原有年資辦理結算，其結算標準依前項規定辦理。」</w:t>
            </w:r>
            <w:r w:rsidR="0049577B" w:rsidRPr="00B40DC1">
              <w:rPr>
                <w:u w:val="single"/>
              </w:rPr>
              <w:t>就適用於原具公務人員身分之留用人員部分，未牴觸憲法第23條比例原則，與憲法第18條服公職權之保障意旨尚無違背，亦不違反憲</w:t>
            </w:r>
            <w:r w:rsidR="000E2576">
              <w:rPr>
                <w:rFonts w:hint="eastAsia"/>
              </w:rPr>
              <w:t>法</w:t>
            </w:r>
            <w:hyperlink r:id="rId591"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0049577B" w:rsidRPr="00B40DC1">
              <w:rPr>
                <w:u w:val="single"/>
              </w:rPr>
              <w:t>平等權之保障。</w:t>
            </w:r>
          </w:p>
          <w:p w:rsidR="0049577B" w:rsidRPr="00B40DC1" w:rsidRDefault="00E063B6" w:rsidP="00E33C4C">
            <w:pPr>
              <w:spacing w:line="240" w:lineRule="auto"/>
              <w:ind w:leftChars="0" w:left="0" w:rightChars="0" w:right="0"/>
            </w:pPr>
            <w:r>
              <w:t>【理由書】</w:t>
            </w:r>
            <w:r w:rsidR="0049577B" w:rsidRPr="00B40DC1">
              <w:t>又公營事業制度既屬具有高度政策性目的之國家行政，於其政策變更或目的達成時，事業即可能變更或消滅，公營事業人員自不可能期待與國家間維持永久之服勤務關係。且公營事業人員中具公務人員身分者是否適用以文官為規範對象之公務人員有關法律，憲法並未明文規定，立法者自得在不牴觸憲法精神範圍內，以法律定之（本院釋字第270號解釋參照）。</w:t>
            </w:r>
            <w:r w:rsidR="0049577B" w:rsidRPr="00B40DC1">
              <w:rPr>
                <w:u w:val="single"/>
              </w:rPr>
              <w:t>是系爭規定之目的，如屬正當，且其所採取之手段與目的之達成間具合理關聯，即與憲法第23條比例原則及第7條平等原則無違。至於公營事業人員中具公務人員身分者與國家間之關係，如因事業性質之改變致其服公職權受有不利之影響，國家自應制定適度之過渡條款或其他緩和措施，以兼顧其權益之保障。又判斷系爭規定所採取之手段與目的之達成間是否具合理關聯，應就過渡條款或其他緩和措施是否適度，一併觀察。</w:t>
            </w:r>
          </w:p>
          <w:p w:rsidR="0049577B" w:rsidRPr="00B40DC1" w:rsidRDefault="008839A6" w:rsidP="00E33C4C">
            <w:pPr>
              <w:spacing w:line="240" w:lineRule="auto"/>
              <w:ind w:leftChars="0" w:left="0" w:rightChars="0" w:right="0"/>
            </w:pPr>
            <w:r>
              <w:t xml:space="preserve">　　</w:t>
            </w:r>
            <w:r w:rsidR="0049577B" w:rsidRPr="00B40DC1">
              <w:t>依系爭條例第8條第1項前段規定，公營事業移轉民營時，從業人員願隨同移轉者，應隨同移轉，繼續留用。系爭規定明定：「移轉為民營後繼續留用人員，得於移轉當日由原事業主就其原有年資辦理結算，其結算標準依前項規定辦理。」亦即移轉民營後原具公務人員身分之繼續留用人員依系爭規定終止其公法上職務關係，就其原有年資辦理結算。就終止公法上職務關係部分，因公營事業移轉民營，原公營事業從業人員中具公務人員身分者不復有服勤務關係，從而立法者規定其與國家間之身分關係終止，並非憲法自始所不許。</w:t>
            </w:r>
            <w:r w:rsidR="0049577B" w:rsidRPr="00B40DC1">
              <w:rPr>
                <w:u w:val="single"/>
              </w:rPr>
              <w:t>就年資結算部分，系爭規定之目的，係為釐清新舊事業主對其各別所僱用員工之責任，提昇潛在之民營化參與者之意願，藉由提供新事業主有維持事業合理經營、合理處理員工之法律依據，俾使公營事業順利移轉（立法院公報第80卷第38期第76頁參照），足見係追求公共利益，其目的洵屬正當。</w:t>
            </w:r>
          </w:p>
          <w:p w:rsidR="0049577B" w:rsidRPr="00B40DC1" w:rsidRDefault="008839A6" w:rsidP="00E33C4C">
            <w:pPr>
              <w:spacing w:line="240" w:lineRule="auto"/>
              <w:ind w:leftChars="0" w:left="0" w:rightChars="0" w:right="0"/>
            </w:pPr>
            <w:r>
              <w:t xml:space="preserve">　　</w:t>
            </w:r>
            <w:r w:rsidR="0049577B" w:rsidRPr="00B40DC1">
              <w:t>按等者等之，不等者不等之，為憲法平等原則之基本意涵。是如對相同事物為差別待遇而無正當理由，或對於不同事物未為合理之差別待遇，均屬違反平等原則。法規範是否符合平等原則之要求，其判斷應取決於該法規範所以為差別待遇之目的是否合憲，其所採取之分類與規範目的之達成之間，是否存有一定程度的關聯性，以及該關聯性應及於何種程度而定（本院釋字第593號解釋參照）。聲請人一主張系爭規定並未區分公營事業從業人員是否具有公務人員身分，一律結算其年資，係屬對於「不同之人的屬性與事物特徵」為相同對待，未為合理之差別待遇；且一般行政機關之公務人員，依公務人員任用法之規定，本有轉任、調任、商調之制度（公務人員任用法第16條、第18條及第22條參照），任職於公營事業之公務人員，如因系爭規定而終止公務人員關係，將無法轉任、調任或商調，此種差別待遇與規制目的間不僅欠缺實質關聯，亦難謂必要，有違平等原則及體系正義等語。惟查系爭規定就適用於原具公務人員身分之留用人員部分，係為釐清新舊事業主對其各別所僱用員工之責任，提昇潛在之民營化參與者之意願，俾使公營事業順利移轉，目的尚屬正當，縱使有聲請人一所稱之差別待遇或未為合理之差別待遇，然尚無恣意或顯不合理之情形，且與目的之達成具有合理之關聯性，故與平等原則尚無牴觸。</w:t>
            </w:r>
          </w:p>
        </w:tc>
      </w:tr>
    </w:tbl>
    <w:p w:rsidR="0049577B" w:rsidRPr="00E33C4C" w:rsidRDefault="001C1E6A" w:rsidP="00A951A1">
      <w:pPr>
        <w:spacing w:line="240" w:lineRule="auto"/>
        <w:ind w:leftChars="0" w:left="0" w:rightChars="0" w:right="0"/>
        <w:jc w:val="left"/>
      </w:pPr>
      <w:r w:rsidRPr="00E33C4C">
        <w:t>【</w:t>
      </w:r>
      <w:r w:rsidR="0049577B" w:rsidRPr="00E33C4C">
        <w:t>本表</w:t>
      </w:r>
      <w:r w:rsidR="00817A92" w:rsidRPr="00E33C4C">
        <w:t>資料來源】</w:t>
      </w:r>
      <w:r w:rsidR="0049577B" w:rsidRPr="00E33C4C">
        <w:t>司法院</w:t>
      </w:r>
      <w:r w:rsidR="003C1792" w:rsidRPr="00E33C4C">
        <w:t>(</w:t>
      </w:r>
      <w:r w:rsidR="0049577B" w:rsidRPr="00E33C4C">
        <w:t>2018)，法學資料檢索系統，</w:t>
      </w:r>
      <w:hyperlink r:id="rId592" w:history="1">
        <w:r w:rsidR="0049577B" w:rsidRPr="00E33C4C">
          <w:rPr>
            <w:rStyle w:val="a7"/>
          </w:rPr>
          <w:t>http://jirs.judicial.gov.tw/Index.htm</w:t>
        </w:r>
      </w:hyperlink>
      <w:r w:rsidR="0049577B" w:rsidRPr="00E33C4C">
        <w:t>，並經由作者自行整理。司法院大法官</w:t>
      </w:r>
      <w:r w:rsidR="003C1792" w:rsidRPr="00E33C4C">
        <w:t>(</w:t>
      </w:r>
      <w:r w:rsidR="0049577B" w:rsidRPr="00E33C4C">
        <w:t>2018)，大法官解釋，</w:t>
      </w:r>
      <w:hyperlink r:id="rId593" w:history="1">
        <w:r w:rsidR="0049577B" w:rsidRPr="00E33C4C">
          <w:rPr>
            <w:rStyle w:val="a7"/>
            <w:lang w:eastAsia="zh-TW"/>
          </w:rPr>
          <w:t>https://www.judicial.gov.tw/constitutionalcourt/p03.asp</w:t>
        </w:r>
      </w:hyperlink>
      <w:r w:rsidR="0049577B" w:rsidRPr="00E33C4C">
        <w:t>。</w:t>
      </w:r>
    </w:p>
    <w:p w:rsidR="0049577B" w:rsidRPr="00B40DC1" w:rsidRDefault="0049577B" w:rsidP="000D26BB"/>
    <w:p w:rsidR="0049577B" w:rsidRPr="00B40DC1" w:rsidRDefault="001C1E6A" w:rsidP="00E33C4C">
      <w:pPr>
        <w:spacing w:line="240" w:lineRule="auto"/>
        <w:ind w:leftChars="0" w:left="0" w:rightChars="0" w:right="0"/>
      </w:pPr>
      <w:r>
        <w:t xml:space="preserve">　　</w:t>
      </w:r>
      <w:r w:rsidR="0049577B" w:rsidRPr="00B40DC1">
        <w:t>依據上表---</w:t>
      </w:r>
      <w:hyperlink r:id="rId594" w:history="1">
        <w:r w:rsidR="0049577B" w:rsidRPr="00DA14DC">
          <w:rPr>
            <w:rStyle w:val="a7"/>
            <w:rFonts w:cs="Times New Roman"/>
            <w:lang w:eastAsia="zh-TW" w:bidi="ar-SA"/>
          </w:rPr>
          <w:t>憲法</w:t>
        </w:r>
      </w:hyperlink>
      <w:r w:rsidR="0049577B" w:rsidRPr="00B40DC1">
        <w:t>本文與歷年來之司法院大法官會議解釋文涉及平等權之規範內涵分析一覽表，本書擬進一步針對平等權之特色(重點)，整理如下所述：</w:t>
      </w:r>
    </w:p>
    <w:p w:rsidR="00E33C4C" w:rsidRDefault="00E33C4C" w:rsidP="00E33C4C">
      <w:pPr>
        <w:spacing w:line="240" w:lineRule="auto"/>
        <w:ind w:leftChars="0" w:left="0" w:rightChars="0" w:right="0"/>
      </w:pPr>
      <w:r>
        <w:rPr>
          <w:rFonts w:hint="eastAsia"/>
        </w:rPr>
        <w:t xml:space="preserve">　　</w:t>
      </w:r>
      <w:r>
        <w:t>1.依據憲法本文</w:t>
      </w:r>
      <w:hyperlink r:id="rId595" w:anchor="a7" w:history="1">
        <w:r w:rsidRPr="00DA14DC">
          <w:rPr>
            <w:rStyle w:val="a7"/>
            <w:rFonts w:cs="Times New Roman"/>
            <w:lang w:eastAsia="zh-TW" w:bidi="ar-SA"/>
          </w:rPr>
          <w:t>第7條</w:t>
        </w:r>
      </w:hyperlink>
      <w:r>
        <w:t>之規定，「中華民國人民，無分男女、宗教、種族、階級、黨派，在法律上一律平等。」是以，平等權之射程，僅及於中華民國人民。平等權之射程，不及於非中華民國人民。此種制憲規定，似乎過於落後、不文明。</w:t>
      </w:r>
    </w:p>
    <w:p w:rsidR="00E33C4C" w:rsidRDefault="00E33C4C" w:rsidP="00E33C4C">
      <w:pPr>
        <w:spacing w:line="240" w:lineRule="auto"/>
        <w:ind w:leftChars="0" w:left="0" w:rightChars="0" w:right="0"/>
      </w:pPr>
      <w:r>
        <w:rPr>
          <w:rFonts w:hint="eastAsia"/>
        </w:rPr>
        <w:t xml:space="preserve">　　</w:t>
      </w:r>
      <w:r>
        <w:t>2.於歷年來之司法院大法官會議解釋文之中，釋字</w:t>
      </w:r>
      <w:hyperlink r:id="rId596" w:anchor="r593" w:history="1">
        <w:r w:rsidRPr="00DA14DC">
          <w:rPr>
            <w:rStyle w:val="a7"/>
            <w:rFonts w:cs="Times New Roman"/>
            <w:lang w:eastAsia="zh-TW" w:bidi="ar-SA"/>
          </w:rPr>
          <w:t>593號</w:t>
        </w:r>
      </w:hyperlink>
      <w:r>
        <w:t>涉及平等權之闡釋，具有重大指標性之意義，司法院大法官會議釋字</w:t>
      </w:r>
      <w:hyperlink r:id="rId597" w:anchor="r593" w:history="1">
        <w:r w:rsidRPr="00DA14DC">
          <w:rPr>
            <w:rStyle w:val="a7"/>
            <w:rFonts w:cs="Times New Roman"/>
            <w:lang w:eastAsia="zh-TW" w:bidi="ar-SA"/>
          </w:rPr>
          <w:t>593號</w:t>
        </w:r>
      </w:hyperlink>
      <w:r>
        <w:t>指出，按等者等之，不等者不等之，為</w:t>
      </w:r>
      <w:hyperlink r:id="rId598" w:history="1">
        <w:r w:rsidR="00DA14DC" w:rsidRPr="00DA14DC">
          <w:rPr>
            <w:rStyle w:val="a7"/>
            <w:rFonts w:cs="Times New Roman"/>
            <w:lang w:eastAsia="zh-TW" w:bidi="ar-SA"/>
          </w:rPr>
          <w:t>憲法</w:t>
        </w:r>
      </w:hyperlink>
      <w:r>
        <w:t>平等原則之基本意涵。是如對相同事物為差別待遇而無正當理由，或對於不同事物未為合理之差別待遇，均屬違反平等原則。法規範是否符合平等原則之要求，其判斷應取決於該法規範所以為差別待遇之目的是否合憲，其所採取之分類與規範目的之達成之間，是否存有一定程度的關聯性，以及該關聯性應及於何種程度而定。</w:t>
      </w:r>
    </w:p>
    <w:p w:rsidR="00E33C4C" w:rsidRDefault="00E33C4C" w:rsidP="00E33C4C">
      <w:pPr>
        <w:spacing w:line="240" w:lineRule="auto"/>
        <w:ind w:leftChars="0" w:left="0" w:rightChars="0" w:right="0"/>
      </w:pPr>
      <w:r>
        <w:rPr>
          <w:rFonts w:hint="eastAsia"/>
        </w:rPr>
        <w:t xml:space="preserve">　　</w:t>
      </w:r>
      <w:r>
        <w:t>3.所謂平等，係指實質上之平等而言，立法機關基於</w:t>
      </w:r>
      <w:hyperlink r:id="rId599" w:history="1">
        <w:r w:rsidR="00DA14DC" w:rsidRPr="00DA14DC">
          <w:rPr>
            <w:rStyle w:val="a7"/>
            <w:rFonts w:cs="Times New Roman"/>
            <w:lang w:eastAsia="zh-TW" w:bidi="ar-SA"/>
          </w:rPr>
          <w:t>憲法</w:t>
        </w:r>
      </w:hyperlink>
      <w:r>
        <w:t>之價值體系，自得斟酌規範事物性質之差異而為合理之區別對待。</w:t>
      </w:r>
    </w:p>
    <w:p w:rsidR="00E33C4C" w:rsidRDefault="00E33C4C" w:rsidP="00E33C4C">
      <w:pPr>
        <w:spacing w:line="240" w:lineRule="auto"/>
        <w:ind w:leftChars="0" w:left="0" w:rightChars="0" w:right="0"/>
      </w:pPr>
      <w:r>
        <w:rPr>
          <w:rFonts w:hint="eastAsia"/>
        </w:rPr>
        <w:t xml:space="preserve">　　</w:t>
      </w:r>
      <w:r>
        <w:t>4.法規範所以為差別待遇之目的，須屬合理正當。亦即，如目的屬正當。且分類標準暨差別待遇之手段與該目的之間亦有合理關聯，則與憲</w:t>
      </w:r>
      <w:r w:rsidR="007878A4" w:rsidRPr="00B40DC1">
        <w:t>法</w:t>
      </w:r>
      <w:hyperlink r:id="rId600" w:anchor="a7" w:history="1">
        <w:r w:rsidR="007878A4" w:rsidRPr="00683889">
          <w:rPr>
            <w:rStyle w:val="a7"/>
            <w:rFonts w:cs="Times New Roman"/>
            <w:lang w:eastAsia="zh-TW" w:bidi="ar-SA"/>
          </w:rPr>
          <w:t>第七條</w:t>
        </w:r>
      </w:hyperlink>
      <w:r>
        <w:t>尚無牴觸。法規範所以為差別待遇之目的，須有其</w:t>
      </w:r>
      <w:hyperlink r:id="rId601" w:history="1">
        <w:r w:rsidR="00DA14DC" w:rsidRPr="00DA14DC">
          <w:rPr>
            <w:rStyle w:val="a7"/>
            <w:rFonts w:cs="Times New Roman"/>
            <w:lang w:eastAsia="zh-TW" w:bidi="ar-SA"/>
          </w:rPr>
          <w:t>憲法</w:t>
        </w:r>
      </w:hyperlink>
      <w:r>
        <w:t>上之正當性。</w:t>
      </w:r>
    </w:p>
    <w:p w:rsidR="00E33C4C" w:rsidRDefault="00E33C4C" w:rsidP="00E33C4C">
      <w:pPr>
        <w:spacing w:line="240" w:lineRule="auto"/>
        <w:ind w:leftChars="0" w:left="0" w:rightChars="0" w:right="0"/>
      </w:pPr>
      <w:r>
        <w:rPr>
          <w:rFonts w:hint="eastAsia"/>
        </w:rPr>
        <w:t xml:space="preserve">　　</w:t>
      </w:r>
      <w:r>
        <w:t>5.法規範所以為區別對待，須屬合理。</w:t>
      </w:r>
    </w:p>
    <w:p w:rsidR="00E33C4C" w:rsidRDefault="00E33C4C" w:rsidP="00E33C4C">
      <w:pPr>
        <w:spacing w:line="240" w:lineRule="auto"/>
        <w:ind w:leftChars="0" w:left="0" w:rightChars="0" w:right="0"/>
      </w:pPr>
      <w:r>
        <w:rPr>
          <w:rFonts w:hint="eastAsia"/>
        </w:rPr>
        <w:t xml:space="preserve">　　</w:t>
      </w:r>
      <w:r>
        <w:t>6.且基於合理之區別對待而以法律對人民基本權利所為之限制，亦應符合憲</w:t>
      </w:r>
      <w:r w:rsidR="007878A4" w:rsidRPr="00B40DC1">
        <w:t>法第</w:t>
      </w:r>
      <w:hyperlink r:id="rId602" w:anchor="a23" w:history="1">
        <w:r w:rsidR="007878A4" w:rsidRPr="00FD5837">
          <w:rPr>
            <w:rStyle w:val="a7"/>
            <w:rFonts w:cs="Times New Roman"/>
            <w:lang w:eastAsia="zh-TW" w:bidi="ar-SA"/>
          </w:rPr>
          <w:t>二十三</w:t>
        </w:r>
      </w:hyperlink>
      <w:r w:rsidR="007878A4" w:rsidRPr="00B40DC1">
        <w:t>條</w:t>
      </w:r>
      <w:r>
        <w:t>規定比例原則之要求。</w:t>
      </w:r>
    </w:p>
    <w:p w:rsidR="00E33C4C" w:rsidRDefault="00E33C4C" w:rsidP="00E33C4C">
      <w:pPr>
        <w:spacing w:line="240" w:lineRule="auto"/>
        <w:ind w:leftChars="0" w:left="0" w:rightChars="0" w:right="0"/>
      </w:pPr>
      <w:r>
        <w:rPr>
          <w:rFonts w:hint="eastAsia"/>
        </w:rPr>
        <w:t xml:space="preserve">　　</w:t>
      </w:r>
      <w:r>
        <w:t>7.凡自由、權利遭受同等損害者，應受平等之保障，始符憲</w:t>
      </w:r>
      <w:r w:rsidR="007878A4" w:rsidRPr="00B40DC1">
        <w:t>法</w:t>
      </w:r>
      <w:hyperlink r:id="rId603" w:anchor="a7" w:history="1">
        <w:r w:rsidR="007878A4" w:rsidRPr="00683889">
          <w:rPr>
            <w:rStyle w:val="a7"/>
            <w:rFonts w:cs="Times New Roman"/>
            <w:lang w:eastAsia="zh-TW" w:bidi="ar-SA"/>
          </w:rPr>
          <w:t>第七條</w:t>
        </w:r>
      </w:hyperlink>
      <w:r>
        <w:t>規定之意旨。</w:t>
      </w:r>
    </w:p>
    <w:p w:rsidR="00E33C4C" w:rsidRDefault="00E33C4C" w:rsidP="00E33C4C">
      <w:pPr>
        <w:spacing w:line="240" w:lineRule="auto"/>
        <w:ind w:leftChars="0" w:left="0" w:rightChars="0" w:right="0"/>
      </w:pPr>
      <w:r>
        <w:rPr>
          <w:rFonts w:hint="eastAsia"/>
        </w:rPr>
        <w:t xml:space="preserve">　　</w:t>
      </w:r>
      <w:r>
        <w:t>8.系爭之規定，是否違反平等權之保障，應視其所欲達成之目的，是否屬重要公共利益，且所採取分類標準及差別待遇之手段，與目的之達成，是否具有實質關聯而定。亦即，假若法規範所採取分類標準及差別待遇之目的，係屬重要公共利益，則手段與目的之達成之審查標準，係為兩者是否具有實質關聯性（釋字</w:t>
      </w:r>
      <w:hyperlink r:id="rId604" w:anchor="r626" w:history="1">
        <w:r w:rsidRPr="007878A4">
          <w:rPr>
            <w:rStyle w:val="a7"/>
            <w:rFonts w:cs="Times New Roman"/>
            <w:lang w:eastAsia="zh-TW" w:bidi="ar-SA"/>
          </w:rPr>
          <w:t>626</w:t>
        </w:r>
      </w:hyperlink>
      <w:r>
        <w:t>號參見）。玆以身心障礙者保護法按摩業專由視障者從事之規定是否違憲為例，仍須該規定所追求之目的為重要公共利益，所採禁止非視障者從事按摩業之手段，須對非視障者之權利並未造成過度限制，且有助於視障者工作權之維護，而與目的間有實質關</w:t>
      </w:r>
      <w:r>
        <w:rPr>
          <w:rFonts w:hint="eastAsia"/>
        </w:rPr>
        <w:t>聯者，方符合平等權之保障（釋字</w:t>
      </w:r>
      <w:hyperlink r:id="rId605" w:anchor="r649" w:history="1">
        <w:r w:rsidRPr="007878A4">
          <w:rPr>
            <w:rStyle w:val="a7"/>
            <w:rFonts w:cs="Times New Roman"/>
            <w:lang w:eastAsia="zh-TW" w:bidi="ar-SA"/>
          </w:rPr>
          <w:t>649</w:t>
        </w:r>
      </w:hyperlink>
      <w:r>
        <w:t>號參見）。</w:t>
      </w:r>
    </w:p>
    <w:p w:rsidR="00E33C4C" w:rsidRDefault="00E33C4C" w:rsidP="00E33C4C">
      <w:pPr>
        <w:spacing w:line="240" w:lineRule="auto"/>
        <w:ind w:leftChars="0" w:left="0" w:rightChars="0" w:right="0"/>
      </w:pPr>
      <w:r>
        <w:rPr>
          <w:rFonts w:hint="eastAsia"/>
        </w:rPr>
        <w:t xml:space="preserve">　　</w:t>
      </w:r>
      <w:r>
        <w:t>9.假若法規範所採取分類標準及差別待遇之目的，非屬重要公共利益，則手段與目的之達成之審查標準，係為兩者是否具有合理關聯性。以財稅經濟為例，行政機關在財稅經濟領域方面，於法律授權範圍內，以法規命令於一定條件下採取差別待遇措施，如其規定目的正當，且所採取分類標準及差別待遇之手段與目的之達成，具有合理之關聯性，其選擇即非恣意，而與平等原則無違。主管機關基於長期海關實務經驗之累積，及海關查證作業上之成本與技術考量，乃選擇為系爭差別待遇之規定，其手段與目的之達成有合理之關聯性，其選擇並非恣意，與憲</w:t>
      </w:r>
      <w:r w:rsidR="007878A4" w:rsidRPr="00B40DC1">
        <w:t>法</w:t>
      </w:r>
      <w:hyperlink r:id="rId606" w:anchor="a7" w:history="1">
        <w:r w:rsidR="007878A4" w:rsidRPr="00683889">
          <w:rPr>
            <w:rStyle w:val="a7"/>
            <w:rFonts w:cs="Times New Roman"/>
            <w:lang w:eastAsia="zh-TW" w:bidi="ar-SA"/>
          </w:rPr>
          <w:t>第七條</w:t>
        </w:r>
      </w:hyperlink>
      <w:r>
        <w:t>之規定尚</w:t>
      </w:r>
      <w:r>
        <w:rPr>
          <w:rFonts w:hint="eastAsia"/>
        </w:rPr>
        <w:t>屬無違。</w:t>
      </w:r>
    </w:p>
    <w:p w:rsidR="00E33C4C" w:rsidRDefault="00E33C4C" w:rsidP="00E33C4C">
      <w:pPr>
        <w:spacing w:line="240" w:lineRule="auto"/>
        <w:ind w:leftChars="0" w:left="0" w:rightChars="0" w:right="0"/>
      </w:pPr>
      <w:r>
        <w:rPr>
          <w:rFonts w:hint="eastAsia"/>
        </w:rPr>
        <w:t xml:space="preserve">　　</w:t>
      </w:r>
      <w:r>
        <w:t>10.假若法規範所以為差別待遇之目的，如為有正當理由，則差別待遇者，尚非憲</w:t>
      </w:r>
      <w:r w:rsidR="007878A4" w:rsidRPr="00B40DC1">
        <w:t>法</w:t>
      </w:r>
      <w:hyperlink r:id="rId607" w:anchor="a7" w:history="1">
        <w:r w:rsidR="007878A4" w:rsidRPr="00683889">
          <w:rPr>
            <w:rStyle w:val="a7"/>
            <w:rFonts w:cs="Times New Roman"/>
            <w:lang w:eastAsia="zh-TW" w:bidi="ar-SA"/>
          </w:rPr>
          <w:t>第七條</w:t>
        </w:r>
      </w:hyperlink>
      <w:r>
        <w:t>規定所不許。亦即，如為差別對待，具有正當理由，與目的之達成並有合理關聯，符合憲法平等原則之要求。</w:t>
      </w:r>
    </w:p>
    <w:p w:rsidR="00E33C4C" w:rsidRDefault="00E33C4C" w:rsidP="00E33C4C">
      <w:pPr>
        <w:spacing w:line="240" w:lineRule="auto"/>
        <w:ind w:leftChars="0" w:left="0" w:rightChars="0" w:right="0"/>
      </w:pPr>
      <w:r>
        <w:rPr>
          <w:rFonts w:hint="eastAsia"/>
        </w:rPr>
        <w:t xml:space="preserve">　　</w:t>
      </w:r>
      <w:r>
        <w:t>11.憲</w:t>
      </w:r>
      <w:r w:rsidR="007878A4" w:rsidRPr="00B40DC1">
        <w:t>法</w:t>
      </w:r>
      <w:hyperlink r:id="rId608" w:anchor="a7" w:history="1">
        <w:r w:rsidR="007878A4" w:rsidRPr="00683889">
          <w:rPr>
            <w:rStyle w:val="a7"/>
            <w:rFonts w:cs="Times New Roman"/>
            <w:lang w:eastAsia="zh-TW" w:bidi="ar-SA"/>
          </w:rPr>
          <w:t>第七條</w:t>
        </w:r>
      </w:hyperlink>
      <w:r>
        <w:t>揭示之平等原則非指絕對、機械之形式上平等，而係保障人民在法律上地位之實質平等。人民有依法律納稅之義務，憲法第</w:t>
      </w:r>
      <w:hyperlink r:id="rId609" w:anchor="a19" w:history="1">
        <w:r w:rsidRPr="007878A4">
          <w:rPr>
            <w:rStyle w:val="a7"/>
            <w:rFonts w:cs="Times New Roman"/>
            <w:lang w:eastAsia="zh-TW" w:bidi="ar-SA"/>
          </w:rPr>
          <w:t>十九</w:t>
        </w:r>
      </w:hyperlink>
      <w:r>
        <w:t>條定有明文。法律如設例外或特別規定，在一定條件下減輕或免除人民租稅之負擔，而其差別待遇具有正當理由，即與平等原則無違。</w:t>
      </w:r>
    </w:p>
    <w:p w:rsidR="00E33C4C" w:rsidRDefault="00E33C4C" w:rsidP="00E33C4C">
      <w:pPr>
        <w:spacing w:line="240" w:lineRule="auto"/>
        <w:ind w:leftChars="0" w:left="0" w:rightChars="0" w:right="0"/>
      </w:pPr>
      <w:r>
        <w:rPr>
          <w:rFonts w:hint="eastAsia"/>
        </w:rPr>
        <w:t xml:space="preserve">　　</w:t>
      </w:r>
      <w:r>
        <w:t>12.系爭規定之差別待遇，須非立法者之恣意，如與目的之達成有合理關聯，則與憲</w:t>
      </w:r>
      <w:r w:rsidR="007878A4" w:rsidRPr="00B40DC1">
        <w:t>法</w:t>
      </w:r>
      <w:hyperlink r:id="rId610" w:anchor="a7" w:history="1">
        <w:r w:rsidR="007878A4" w:rsidRPr="00683889">
          <w:rPr>
            <w:rStyle w:val="a7"/>
            <w:rFonts w:cs="Times New Roman"/>
            <w:lang w:eastAsia="zh-TW" w:bidi="ar-SA"/>
          </w:rPr>
          <w:t>第七條</w:t>
        </w:r>
      </w:hyperlink>
      <w:r>
        <w:t>之平等權保障並無牴觸。倘若，差別待遇之手段與目的之達成間欠缺合理關聯，在此範圍內，與憲</w:t>
      </w:r>
      <w:r w:rsidR="007878A4" w:rsidRPr="00B40DC1">
        <w:t>法</w:t>
      </w:r>
      <w:hyperlink r:id="rId611" w:anchor="a7" w:history="1">
        <w:r w:rsidR="007878A4" w:rsidRPr="00683889">
          <w:rPr>
            <w:rStyle w:val="a7"/>
            <w:rFonts w:cs="Times New Roman"/>
            <w:lang w:eastAsia="zh-TW" w:bidi="ar-SA"/>
          </w:rPr>
          <w:t>第七條</w:t>
        </w:r>
      </w:hyperlink>
      <w:r>
        <w:t>平等原則之意旨不符。</w:t>
      </w:r>
    </w:p>
    <w:p w:rsidR="00E33C4C" w:rsidRDefault="00E33C4C" w:rsidP="00E33C4C">
      <w:pPr>
        <w:spacing w:line="240" w:lineRule="auto"/>
        <w:ind w:leftChars="0" w:left="0" w:rightChars="0" w:right="0"/>
      </w:pPr>
      <w:r>
        <w:rPr>
          <w:rFonts w:hint="eastAsia"/>
        </w:rPr>
        <w:t xml:space="preserve">　　</w:t>
      </w:r>
      <w:r>
        <w:t>13.法律為貫徹立法目的，而設行政罰之規定時，如因處罰對象之取捨，而形成差別待遇者，須與立法目的間具有實質關聯，始與平等原則無違。法律為貫徹立法目的，而設行政罰之規定時，則差別待遇所欲達成之目的，有可能會涉及重要公共利益，因而形成差別待遇者，須與立法目的間具有實質關聯，始與平等原則無違。</w:t>
      </w:r>
    </w:p>
    <w:p w:rsidR="00E33C4C" w:rsidRDefault="00E33C4C" w:rsidP="00E33C4C">
      <w:pPr>
        <w:spacing w:line="240" w:lineRule="auto"/>
        <w:ind w:leftChars="0" w:left="0" w:rightChars="0" w:right="0"/>
      </w:pPr>
      <w:r>
        <w:rPr>
          <w:rFonts w:hint="eastAsia"/>
        </w:rPr>
        <w:t xml:space="preserve">　　</w:t>
      </w:r>
      <w:r>
        <w:t>14.立法機關基於憲法之價值體系及立法目的，自得斟酌規範事物性質之差異而為合理之區別對待。</w:t>
      </w:r>
    </w:p>
    <w:p w:rsidR="00E33C4C" w:rsidRDefault="00E33C4C" w:rsidP="00E33C4C">
      <w:pPr>
        <w:spacing w:line="240" w:lineRule="auto"/>
        <w:ind w:leftChars="0" w:left="0" w:rightChars="0" w:right="0"/>
      </w:pPr>
      <w:r>
        <w:rPr>
          <w:rFonts w:hint="eastAsia"/>
        </w:rPr>
        <w:t xml:space="preserve">　　</w:t>
      </w:r>
      <w:r>
        <w:t>15.憲</w:t>
      </w:r>
      <w:r w:rsidR="007878A4" w:rsidRPr="00B40DC1">
        <w:t>法</w:t>
      </w:r>
      <w:hyperlink r:id="rId612" w:anchor="a7" w:history="1">
        <w:r w:rsidR="007878A4" w:rsidRPr="00683889">
          <w:rPr>
            <w:rStyle w:val="a7"/>
            <w:rFonts w:cs="Times New Roman"/>
            <w:lang w:eastAsia="zh-TW" w:bidi="ar-SA"/>
          </w:rPr>
          <w:t>第七條</w:t>
        </w:r>
      </w:hyperlink>
      <w:r>
        <w:t>保障人民平等權，旨在防止立法者恣意，並避免對人民為不合理之差別待遇。法規範是否符合平等權保障之要求，其判斷應取決於該法規範所以為差別待遇之目的是否合憲，其所採取之分類與規範目的之達成之間，是否存有一定程度之關聯性而定（釋字</w:t>
      </w:r>
      <w:hyperlink r:id="rId613" w:anchor="r682" w:history="1">
        <w:r w:rsidRPr="002E4FE0">
          <w:rPr>
            <w:rStyle w:val="a7"/>
            <w:rFonts w:cs="Times New Roman"/>
            <w:lang w:eastAsia="zh-TW" w:bidi="ar-SA"/>
          </w:rPr>
          <w:t>682</w:t>
        </w:r>
      </w:hyperlink>
      <w:r>
        <w:t>號參照）。釋</w:t>
      </w:r>
      <w:r w:rsidR="002E4FE0">
        <w:t>字</w:t>
      </w:r>
      <w:hyperlink r:id="rId614" w:anchor="r682" w:history="1">
        <w:r w:rsidR="002E4FE0" w:rsidRPr="002E4FE0">
          <w:rPr>
            <w:rStyle w:val="a7"/>
            <w:rFonts w:cs="Times New Roman"/>
            <w:lang w:eastAsia="zh-TW" w:bidi="ar-SA"/>
          </w:rPr>
          <w:t>682</w:t>
        </w:r>
      </w:hyperlink>
      <w:r>
        <w:t>號指出，相關機關以應考人學經歷作為分類考試之標準，並進而採取不同考試內容暨及格標準，雖與人民職業選擇自由之限制及應考試權密切關聯，惟因考試方法之決定涉及考選專業判斷，如該分類標準及所採手段與鑑別應考人知識能力之考試目的間具合理關聯，即與平等原則</w:t>
      </w:r>
      <w:r>
        <w:rPr>
          <w:rFonts w:hint="eastAsia"/>
        </w:rPr>
        <w:t>無違。釋</w:t>
      </w:r>
      <w:r w:rsidR="002E4FE0">
        <w:t>字</w:t>
      </w:r>
      <w:hyperlink r:id="rId615" w:anchor="r682" w:history="1">
        <w:r w:rsidR="002E4FE0" w:rsidRPr="002E4FE0">
          <w:rPr>
            <w:rStyle w:val="a7"/>
            <w:rFonts w:cs="Times New Roman"/>
            <w:lang w:eastAsia="zh-TW" w:bidi="ar-SA"/>
          </w:rPr>
          <w:t>682</w:t>
        </w:r>
      </w:hyperlink>
      <w:r>
        <w:t>號對於手段與目的關聯性之解釋，其交互使用一定程度之關聯性及合理之關聯性。</w:t>
      </w:r>
    </w:p>
    <w:p w:rsidR="00E33C4C" w:rsidRDefault="00E33C4C" w:rsidP="00E33C4C">
      <w:pPr>
        <w:spacing w:line="240" w:lineRule="auto"/>
        <w:ind w:leftChars="0" w:left="0" w:rightChars="0" w:right="0"/>
      </w:pPr>
      <w:r>
        <w:rPr>
          <w:rFonts w:hint="eastAsia"/>
        </w:rPr>
        <w:t xml:space="preserve">　　</w:t>
      </w:r>
      <w:r>
        <w:t>16.又憲</w:t>
      </w:r>
      <w:r w:rsidR="007878A4" w:rsidRPr="00B40DC1">
        <w:t>法</w:t>
      </w:r>
      <w:hyperlink r:id="rId616" w:anchor="a7" w:history="1">
        <w:r w:rsidR="007878A4" w:rsidRPr="00683889">
          <w:rPr>
            <w:rStyle w:val="a7"/>
            <w:rFonts w:cs="Times New Roman"/>
            <w:lang w:eastAsia="zh-TW" w:bidi="ar-SA"/>
          </w:rPr>
          <w:t>第七條</w:t>
        </w:r>
      </w:hyperlink>
      <w:r>
        <w:t>規定平等原則，旨在防止立法者恣意對人民為不合理之差別待遇。如對相同事物，為無正當理由之差別待遇，即與憲</w:t>
      </w:r>
      <w:r w:rsidR="007878A4" w:rsidRPr="00B40DC1">
        <w:t>法</w:t>
      </w:r>
      <w:hyperlink r:id="rId617" w:anchor="a7" w:history="1">
        <w:r w:rsidR="007878A4" w:rsidRPr="00683889">
          <w:rPr>
            <w:rStyle w:val="a7"/>
            <w:rFonts w:cs="Times New Roman"/>
            <w:lang w:eastAsia="zh-TW" w:bidi="ar-SA"/>
          </w:rPr>
          <w:t>第七條</w:t>
        </w:r>
      </w:hyperlink>
      <w:r>
        <w:t>之平等原則有違。</w:t>
      </w:r>
    </w:p>
    <w:p w:rsidR="00E33C4C" w:rsidRDefault="00E33C4C" w:rsidP="00E33C4C">
      <w:pPr>
        <w:spacing w:line="240" w:lineRule="auto"/>
        <w:ind w:leftChars="0" w:left="0" w:rightChars="0" w:right="0"/>
      </w:pPr>
      <w:r>
        <w:rPr>
          <w:rFonts w:hint="eastAsia"/>
        </w:rPr>
        <w:t xml:space="preserve">　　</w:t>
      </w:r>
      <w:r>
        <w:t>17.憲法第</w:t>
      </w:r>
      <w:hyperlink r:id="rId618" w:anchor="a15" w:history="1">
        <w:r w:rsidRPr="002E4FE0">
          <w:rPr>
            <w:rStyle w:val="a7"/>
            <w:rFonts w:cs="Times New Roman"/>
            <w:lang w:eastAsia="zh-TW" w:bidi="ar-SA"/>
          </w:rPr>
          <w:t>十五</w:t>
        </w:r>
      </w:hyperlink>
      <w:r>
        <w:t>條規定，人民之生存權應予保障。當差別待遇所欲達成之目的，涉及人民之生存權之時，則此屬重要公共利益，故系爭規定所形成之差別待遇是否違反平等原則，應受較為嚴格之審查，除其目的須係合憲外，所採差別待遇與目的之達成間亦須有實質關聯，始合於平等原則。以釋字</w:t>
      </w:r>
      <w:hyperlink r:id="rId619" w:anchor="r694" w:history="1">
        <w:r w:rsidRPr="002E4FE0">
          <w:rPr>
            <w:rStyle w:val="a7"/>
            <w:rFonts w:cs="Times New Roman"/>
            <w:lang w:eastAsia="zh-TW" w:bidi="ar-SA"/>
          </w:rPr>
          <w:t>694</w:t>
        </w:r>
      </w:hyperlink>
      <w:r>
        <w:t>號為例，是系爭規定所採以年齡為分類標準之差別待遇，其所採手段與目的之達成尚欠實質關聯，其差別待遇乃屬恣意，違反憲</w:t>
      </w:r>
      <w:r w:rsidR="007878A4" w:rsidRPr="00B40DC1">
        <w:t>法</w:t>
      </w:r>
      <w:hyperlink r:id="rId620" w:anchor="a7" w:history="1">
        <w:r w:rsidR="007878A4" w:rsidRPr="00683889">
          <w:rPr>
            <w:rStyle w:val="a7"/>
            <w:rFonts w:cs="Times New Roman"/>
            <w:lang w:eastAsia="zh-TW" w:bidi="ar-SA"/>
          </w:rPr>
          <w:t>第七條</w:t>
        </w:r>
      </w:hyperlink>
      <w:r>
        <w:t>平等原則。換言之，假若法規範所採取分類標準及差別待遇之目的，涉及憲法所保障之人民之生存權，則採用實質關聯性之較為嚴格之審</w:t>
      </w:r>
      <w:r>
        <w:rPr>
          <w:rFonts w:hint="eastAsia"/>
        </w:rPr>
        <w:t>查標準。以釋字</w:t>
      </w:r>
      <w:hyperlink r:id="rId621" w:anchor="r701" w:history="1">
        <w:r w:rsidRPr="002E4FE0">
          <w:rPr>
            <w:rStyle w:val="a7"/>
            <w:rFonts w:cs="Times New Roman"/>
            <w:lang w:eastAsia="zh-TW" w:bidi="ar-SA"/>
          </w:rPr>
          <w:t>701</w:t>
        </w:r>
      </w:hyperlink>
      <w:r>
        <w:t>號為例，依系爭規定，納稅義務人就受長期照護者所支付之醫藥費，一律以付與上開醫療院所為限，始得列舉扣除，而對因受國家醫療資源分配使用及上開醫療院所分布情形之侷限，而至上開醫療院所以外之其他合法醫療院所就醫所支付之醫藥費，卻無法列舉扣除，將影響受長期照護者生存權受憲法平等保障之意旨。故系爭規定所形成之差別待遇是否違反平等原則，應受較為嚴格之審查，除其目的須係合憲外，所採差別待遇與目的之達成間亦須有實質關聯，始與憲法平等原則之意旨相符。故系爭規定所為之差別待遇對避免浮濫或淪為規避稅負達成之效果</w:t>
      </w:r>
      <w:r>
        <w:rPr>
          <w:rFonts w:hint="eastAsia"/>
        </w:rPr>
        <w:t>尚非顯著，卻對受長期照護者之生存權形成重大不利之影響，難謂合於憲法保障受長期照護者生存權之意旨。是系爭規定就受長期照護者之醫藥費，以付與上開醫療院所為限始得列舉扣除，而對於付與其他合法醫療院所之醫藥費不得列舉扣除，其差別待遇之手段與目的之達成間欠缺實質關聯，與憲</w:t>
      </w:r>
      <w:r w:rsidR="007878A4" w:rsidRPr="00B40DC1">
        <w:t>法</w:t>
      </w:r>
      <w:hyperlink r:id="rId622" w:anchor="a7" w:history="1">
        <w:r w:rsidR="007878A4" w:rsidRPr="00683889">
          <w:rPr>
            <w:rStyle w:val="a7"/>
            <w:rFonts w:cs="Times New Roman"/>
            <w:lang w:eastAsia="zh-TW" w:bidi="ar-SA"/>
          </w:rPr>
          <w:t>第七條</w:t>
        </w:r>
      </w:hyperlink>
      <w:r>
        <w:rPr>
          <w:rFonts w:hint="eastAsia"/>
        </w:rPr>
        <w:t>平等原則之意旨不符，在此範圍內，系爭規定應不予適用。</w:t>
      </w:r>
    </w:p>
    <w:p w:rsidR="00E33C4C" w:rsidRDefault="00E33C4C" w:rsidP="00E33C4C">
      <w:pPr>
        <w:spacing w:line="240" w:lineRule="auto"/>
        <w:ind w:leftChars="0" w:left="0" w:rightChars="0" w:right="0"/>
      </w:pPr>
      <w:r>
        <w:rPr>
          <w:rFonts w:hint="eastAsia"/>
        </w:rPr>
        <w:t xml:space="preserve">　　</w:t>
      </w:r>
      <w:r>
        <w:t>18.假若法規範所採取分類標準及差別待遇之目的，涉及憲法所保障之婚姻與家庭制度，則採用實質關聯性之較為嚴格之審查標準。以釋字</w:t>
      </w:r>
      <w:hyperlink r:id="rId623" w:anchor="r696" w:history="1">
        <w:r w:rsidRPr="002E4FE0">
          <w:rPr>
            <w:rStyle w:val="a7"/>
            <w:rFonts w:cs="Times New Roman"/>
            <w:lang w:eastAsia="zh-TW" w:bidi="ar-SA"/>
          </w:rPr>
          <w:t>696</w:t>
        </w:r>
      </w:hyperlink>
      <w:r>
        <w:t>號為例，系爭規定所採為分類標準之差別待遇，其所採手段與目的之達成，採用實質關聯性之審查標準。如因婚姻關係之有無而為稅捐負擔之差別待遇，致加重夫妻之經濟負擔，則形同對婚姻之懲罰，而有違憲法保障婚姻與家庭制度之本旨，故系爭規定所形成之差別待遇是否違反平等原則，應受較為嚴格之審查，除其目的須係合憲外，所採差別待遇與目的之達成間亦須有實質關聯，始合於平等原則。</w:t>
      </w:r>
    </w:p>
    <w:p w:rsidR="00E33C4C" w:rsidRDefault="00E33C4C" w:rsidP="00E33C4C">
      <w:pPr>
        <w:spacing w:line="240" w:lineRule="auto"/>
        <w:ind w:leftChars="0" w:left="0" w:rightChars="0" w:right="0"/>
      </w:pPr>
      <w:r>
        <w:rPr>
          <w:rFonts w:hint="eastAsia"/>
        </w:rPr>
        <w:t xml:space="preserve">　　</w:t>
      </w:r>
      <w:r>
        <w:t>19.假若系爭規定係為維護重要之公共利益，則目的洵屬正當。</w:t>
      </w:r>
    </w:p>
    <w:p w:rsidR="00E33C4C" w:rsidRDefault="00E33C4C" w:rsidP="00E33C4C">
      <w:pPr>
        <w:spacing w:line="240" w:lineRule="auto"/>
        <w:ind w:leftChars="0" w:left="0" w:rightChars="0" w:right="0"/>
      </w:pPr>
      <w:r>
        <w:rPr>
          <w:rFonts w:hint="eastAsia"/>
        </w:rPr>
        <w:t xml:space="preserve">　　</w:t>
      </w:r>
      <w:r>
        <w:t>20.系爭規定實質上縱形成差別待遇，惟並非恣意，尚難認與憲</w:t>
      </w:r>
      <w:r w:rsidR="007878A4" w:rsidRPr="00B40DC1">
        <w:t>法</w:t>
      </w:r>
      <w:hyperlink r:id="rId624" w:anchor="a7" w:history="1">
        <w:r w:rsidR="007878A4" w:rsidRPr="00683889">
          <w:rPr>
            <w:rStyle w:val="a7"/>
            <w:rFonts w:cs="Times New Roman"/>
            <w:lang w:eastAsia="zh-TW" w:bidi="ar-SA"/>
          </w:rPr>
          <w:t>第七條</w:t>
        </w:r>
      </w:hyperlink>
      <w:r>
        <w:t>保障性別平等之意旨有違。</w:t>
      </w:r>
    </w:p>
    <w:p w:rsidR="00E33C4C" w:rsidRDefault="00E33C4C" w:rsidP="00E33C4C">
      <w:pPr>
        <w:spacing w:line="240" w:lineRule="auto"/>
        <w:ind w:leftChars="0" w:left="0" w:rightChars="0" w:right="0"/>
      </w:pPr>
      <w:r>
        <w:rPr>
          <w:rFonts w:hint="eastAsia"/>
        </w:rPr>
        <w:t xml:space="preserve">　　</w:t>
      </w:r>
      <w:r>
        <w:t>21.憲</w:t>
      </w:r>
      <w:r w:rsidR="000E2576">
        <w:rPr>
          <w:rFonts w:hint="eastAsia"/>
        </w:rPr>
        <w:t>法</w:t>
      </w:r>
      <w:hyperlink r:id="rId625"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規定：「中華民國人民，無分男女、宗教、種族、階級、黨派，在法律上一律平等。」本條明文揭示之5種禁止歧視事由，僅係例示，而非窮盡列舉。是如以其他事由，如身心障礙、性傾向等為分類標準，所為之差別待遇，亦屬本條平等權規範之範圍。現行婚姻章僅規定一男一女之永久結合關係，而未使相同性別二人亦得成立相同之永久結合關係，係以性傾向為分類標準，而使同性性傾向者之婚姻自由受有相對不利之差別待遇。</w:t>
      </w:r>
    </w:p>
    <w:p w:rsidR="00E33C4C" w:rsidRDefault="00E33C4C" w:rsidP="00E33C4C">
      <w:pPr>
        <w:spacing w:line="240" w:lineRule="auto"/>
        <w:ind w:leftChars="0" w:left="0" w:rightChars="0" w:right="0"/>
      </w:pPr>
      <w:r>
        <w:rPr>
          <w:rFonts w:hint="eastAsia"/>
        </w:rPr>
        <w:t xml:space="preserve">　　</w:t>
      </w:r>
      <w:r>
        <w:t>22.在我國，同性性傾向者過去因未能見容於社會傳統及習俗，致長期受禁錮於暗櫃內，受有各種事實上或法律上之排斥或歧視；又同性性傾向者因人口結構因素，為社會上孤立隔絕之少數，並因受刻板印象之影響，久為政治上之弱勢，難期經由一般民主程序扭轉其法律上劣勢地位。以性傾向作為分類標準所為之差別待遇，應適用較為嚴格之審查標準，以判斷其合憲性，除其目的須為追求重要公共利益外，其手段與目的之達成間並須具有實質關聯，始符合憲</w:t>
      </w:r>
      <w:r w:rsidR="000E2576">
        <w:rPr>
          <w:rFonts w:hint="eastAsia"/>
        </w:rPr>
        <w:t>法</w:t>
      </w:r>
      <w:hyperlink r:id="rId626"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保障平等權之意旨。</w:t>
      </w:r>
    </w:p>
    <w:p w:rsidR="00E33C4C" w:rsidRDefault="00E33C4C" w:rsidP="00E33C4C">
      <w:pPr>
        <w:spacing w:line="240" w:lineRule="auto"/>
        <w:ind w:leftChars="0" w:left="0" w:rightChars="0" w:right="0"/>
      </w:pPr>
      <w:r>
        <w:rPr>
          <w:rFonts w:hint="eastAsia"/>
        </w:rPr>
        <w:t xml:space="preserve">　　</w:t>
      </w:r>
      <w:r>
        <w:t>23.以維護基本倫理秩序為由，未使相同性別二人得以結婚，顯亦非合理之差別待遇。凡此均與憲</w:t>
      </w:r>
      <w:r w:rsidR="000E2576">
        <w:rPr>
          <w:rFonts w:hint="eastAsia"/>
        </w:rPr>
        <w:t>法</w:t>
      </w:r>
      <w:hyperlink r:id="rId627"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保障平等權之意旨不符。</w:t>
      </w:r>
    </w:p>
    <w:p w:rsidR="00E33C4C" w:rsidRDefault="00E33C4C" w:rsidP="000E2576">
      <w:pPr>
        <w:spacing w:line="240" w:lineRule="auto"/>
        <w:ind w:leftChars="0" w:left="0" w:rightChars="0" w:right="0"/>
        <w:jc w:val="left"/>
      </w:pPr>
      <w:r>
        <w:rPr>
          <w:rFonts w:hint="eastAsia"/>
        </w:rPr>
        <w:t xml:space="preserve">　　</w:t>
      </w:r>
      <w:r>
        <w:t>24.憲</w:t>
      </w:r>
      <w:r w:rsidR="000E2576">
        <w:rPr>
          <w:rFonts w:hint="eastAsia"/>
        </w:rPr>
        <w:t>法</w:t>
      </w:r>
      <w:hyperlink r:id="rId628"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保障之平等權，並不當然禁止任何差別待遇，立法與相關機關基於憲法之價值體系及立法目的，自得斟酌規範事物性質之差異而為合理差別待遇。法規範是否符合平等原則之要求，應視該法規範所以為差別待遇之目的是否合憲，及其所採取之分類與規範目的之達成間，是否存有一定程度之關聯性而定（司法院釋字</w:t>
      </w:r>
      <w:hyperlink r:id="rId629" w:anchor="r682" w:history="1">
        <w:r w:rsidRPr="008839A6">
          <w:rPr>
            <w:rStyle w:val="a7"/>
            <w:rFonts w:cs="Times New Roman"/>
            <w:lang w:eastAsia="zh-TW" w:bidi="ar-SA"/>
          </w:rPr>
          <w:t>第682號</w:t>
        </w:r>
      </w:hyperlink>
      <w:r>
        <w:t>、</w:t>
      </w:r>
      <w:hyperlink r:id="rId630" w:anchor="r694" w:history="1">
        <w:r w:rsidRPr="008839A6">
          <w:rPr>
            <w:rStyle w:val="a7"/>
            <w:rFonts w:cs="Times New Roman"/>
            <w:lang w:eastAsia="zh-TW" w:bidi="ar-SA"/>
          </w:rPr>
          <w:t>第694號</w:t>
        </w:r>
      </w:hyperlink>
      <w:r>
        <w:t>、</w:t>
      </w:r>
      <w:hyperlink r:id="rId631" w:anchor="r701" w:history="1">
        <w:r w:rsidRPr="008839A6">
          <w:rPr>
            <w:rStyle w:val="a7"/>
            <w:rFonts w:cs="Times New Roman"/>
            <w:lang w:eastAsia="zh-TW" w:bidi="ar-SA"/>
          </w:rPr>
          <w:t>第701號</w:t>
        </w:r>
      </w:hyperlink>
      <w:r>
        <w:t>、</w:t>
      </w:r>
      <w:hyperlink r:id="rId632" w:anchor="r719" w:history="1">
        <w:r w:rsidRPr="008839A6">
          <w:rPr>
            <w:rStyle w:val="a7"/>
            <w:rFonts w:cs="Times New Roman"/>
            <w:lang w:eastAsia="zh-TW" w:bidi="ar-SA"/>
          </w:rPr>
          <w:t>第719號</w:t>
        </w:r>
      </w:hyperlink>
      <w:r>
        <w:t>、</w:t>
      </w:r>
      <w:hyperlink r:id="rId633" w:anchor="r722" w:history="1">
        <w:r w:rsidRPr="008839A6">
          <w:rPr>
            <w:rStyle w:val="a7"/>
            <w:rFonts w:cs="Times New Roman"/>
            <w:lang w:eastAsia="zh-TW" w:bidi="ar-SA"/>
          </w:rPr>
          <w:t>第722號</w:t>
        </w:r>
      </w:hyperlink>
      <w:r>
        <w:t>、</w:t>
      </w:r>
      <w:hyperlink r:id="rId634" w:anchor="r727" w:history="1">
        <w:r w:rsidRPr="008839A6">
          <w:rPr>
            <w:rStyle w:val="a7"/>
            <w:rFonts w:cs="Times New Roman"/>
            <w:lang w:eastAsia="zh-TW" w:bidi="ar-SA"/>
          </w:rPr>
          <w:t>第727號</w:t>
        </w:r>
      </w:hyperlink>
      <w:r>
        <w:t>及</w:t>
      </w:r>
      <w:hyperlink r:id="rId635" w:anchor="r745" w:history="1">
        <w:r w:rsidRPr="008839A6">
          <w:rPr>
            <w:rStyle w:val="a7"/>
            <w:rFonts w:cs="Times New Roman"/>
            <w:lang w:eastAsia="zh-TW" w:bidi="ar-SA"/>
          </w:rPr>
          <w:t>第745號</w:t>
        </w:r>
      </w:hyperlink>
      <w:r>
        <w:t>解釋參照）。若目的正當，且其差別待遇與目的之達成間具有合理關聯，即不違反憲</w:t>
      </w:r>
      <w:r w:rsidR="000E2576">
        <w:rPr>
          <w:rFonts w:hint="eastAsia"/>
        </w:rPr>
        <w:t>法</w:t>
      </w:r>
      <w:hyperlink r:id="rId636"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平等權保障之意旨。</w:t>
      </w:r>
    </w:p>
    <w:p w:rsidR="00E33C4C" w:rsidRDefault="00E33C4C" w:rsidP="00E33C4C">
      <w:pPr>
        <w:spacing w:line="240" w:lineRule="auto"/>
        <w:ind w:leftChars="0" w:left="0" w:rightChars="0" w:right="0"/>
      </w:pPr>
      <w:r>
        <w:rPr>
          <w:rFonts w:hint="eastAsia"/>
        </w:rPr>
        <w:t xml:space="preserve">　　</w:t>
      </w:r>
      <w:r>
        <w:t>25.釋</w:t>
      </w:r>
      <w:hyperlink r:id="rId637" w:anchor="r760" w:history="1">
        <w:r w:rsidRPr="008839A6">
          <w:rPr>
            <w:rStyle w:val="a7"/>
            <w:rFonts w:cs="Times New Roman"/>
            <w:lang w:eastAsia="zh-TW" w:bidi="ar-SA"/>
          </w:rPr>
          <w:t>字760號</w:t>
        </w:r>
      </w:hyperlink>
      <w:r>
        <w:t>指出，鑑於應考試服公職權為廣義之參政權，涉及人民參與國家意思之形成及公務之執行，與公共生活秩序之形塑密切相關，對此權利所為之差別待遇，原則上應受較嚴格之審查，除其目的須為追求重要公益外，所採差別待遇與目的之達成間亦須有實質關聯，始與憲法保障平等權之意旨相符。次按容訓量僅係基於純粹行政成本之考量，難謂重要公益。至巡官等員額有限，只有部分考試及格人員得派任巡官，事所必然，無可厚非，惟本應從前揭考試及格人員中擇優任用，以貫徹公平競試、用人唯才之原則。是將警察三等特考筆試錄取之一般生，一律安排</w:t>
      </w:r>
      <w:r>
        <w:rPr>
          <w:rFonts w:hint="eastAsia"/>
        </w:rPr>
        <w:t>至警專受訓之手段，與擇優選才目的之達成間難謂具實質關聯。</w:t>
      </w:r>
    </w:p>
    <w:p w:rsidR="00E33C4C" w:rsidRDefault="00E33C4C" w:rsidP="00E33C4C">
      <w:pPr>
        <w:spacing w:line="240" w:lineRule="auto"/>
        <w:ind w:leftChars="0" w:left="0" w:rightChars="0" w:right="0"/>
      </w:pPr>
      <w:r>
        <w:rPr>
          <w:rFonts w:hint="eastAsia"/>
        </w:rPr>
        <w:t xml:space="preserve">　　</w:t>
      </w:r>
      <w:r>
        <w:t>26.縱使有差別待遇或未為合理之差別待遇，然尚無恣意或顯不合理之情形，且與目的之達成具有合理之關聯性，故與平等原則尚無牴觸。亦即，假若未為合理之差別待遇，但符合以下之要件，仍與平等原則尚無牴觸：</w:t>
      </w:r>
    </w:p>
    <w:p w:rsidR="00E33C4C" w:rsidRPr="00B40DC1" w:rsidRDefault="00E33C4C" w:rsidP="00E33C4C">
      <w:pPr>
        <w:spacing w:line="240" w:lineRule="auto"/>
        <w:ind w:leftChars="0" w:left="0" w:rightChars="0" w:right="0"/>
      </w:pPr>
      <w:r>
        <w:rPr>
          <w:rFonts w:hint="eastAsia"/>
        </w:rPr>
        <w:t xml:space="preserve">　　（</w:t>
      </w:r>
      <w:r>
        <w:t>1）尚無恣意；（2）或無顯不合理之情形，且與目的之達成具有合理之關聯性者。</w:t>
      </w:r>
    </w:p>
    <w:p w:rsidR="0049577B" w:rsidRPr="001C1E6A" w:rsidRDefault="001C1E6A" w:rsidP="001C1E6A">
      <w:pPr>
        <w:spacing w:line="240" w:lineRule="auto"/>
        <w:ind w:leftChars="0" w:left="0" w:rightChars="0" w:right="0"/>
      </w:pPr>
      <w:r w:rsidRPr="001C1E6A">
        <w:t xml:space="preserve">　　</w:t>
      </w:r>
      <w:r w:rsidR="0049577B" w:rsidRPr="001C1E6A">
        <w:t>以上述平等權之定義、特色、標準或指標，檢視本書所欲探討之課題，作者之見解如下所述：</w:t>
      </w:r>
    </w:p>
    <w:p w:rsidR="001C1E6A" w:rsidRPr="001C1E6A" w:rsidRDefault="001C1E6A" w:rsidP="001C1E6A">
      <w:pPr>
        <w:spacing w:line="240" w:lineRule="auto"/>
        <w:ind w:leftChars="0" w:left="0" w:rightChars="0" w:right="0"/>
      </w:pPr>
      <w:r w:rsidRPr="001C1E6A">
        <w:rPr>
          <w:rFonts w:hint="eastAsia"/>
        </w:rPr>
        <w:t xml:space="preserve">　　</w:t>
      </w:r>
      <w:r w:rsidRPr="001C1E6A">
        <w:t>1、國人之外籍配偶（此處，專指具有難民身分者）之家庭團聚權部分，仍受到不公平、不正義之對待，主因在於國人之外籍配偶，如係為難民，則因她無法提供有效之外國護照，故我國駐其居留國之辦事處人員，無法對渠等核發來台之居留簽證。相對而論，倘若國人之外籍配偶，如並非難民，則因她可以提供有效之外國護照，故我國駐其居留國之辦事處人員，可對渠等核發來台之居留簽證。兩相比較之結果，國人之外籍配偶，如其具有難民身分者，同時，其無法提供有效之外國護照者，其家庭團聚權部分，仍受到非常不公平之對待，主因在於我國駐其居留國之辦事處人</w:t>
      </w:r>
      <w:r w:rsidRPr="001C1E6A">
        <w:rPr>
          <w:rFonts w:hint="eastAsia"/>
        </w:rPr>
        <w:t>員，恐無法核發來台之居留簽證。依照平等權之審查基準，假若法規範所採取分類標準及差別待遇之目的，涉及憲法所保障之婚姻與家庭制度，則採用實質關聯性之較為嚴格之審查標準。以釋字</w:t>
      </w:r>
      <w:hyperlink r:id="rId638" w:anchor="r696" w:history="1">
        <w:r w:rsidRPr="002E4FE0">
          <w:rPr>
            <w:rStyle w:val="a7"/>
            <w:rFonts w:cs="Times New Roman"/>
            <w:lang w:eastAsia="zh-TW" w:bidi="ar-SA"/>
          </w:rPr>
          <w:t>696</w:t>
        </w:r>
      </w:hyperlink>
      <w:r w:rsidRPr="001C1E6A">
        <w:t>號為例，系爭規定所採為分類標準之差別待遇，其所採手段與目的之達成，採用實質關聯性之審查標準。是以，假若國人之外籍配偶，如係為難民，如其無法提供有效之外國護照，但可提供外國護照之替代證明者，如其可提供駐在國之難民身分證明者，在此條件下，如外交部仍拒絕其入境，令其無法享有婚姻與家庭權，則此種之差別待遇，與目的之達成，不具有任何之實質關聯性</w:t>
      </w:r>
      <w:r w:rsidRPr="001C1E6A">
        <w:rPr>
          <w:rFonts w:hint="eastAsia"/>
        </w:rPr>
        <w:t>，無法通過較為嚴格之平等權（憲</w:t>
      </w:r>
      <w:r w:rsidR="000E2576">
        <w:rPr>
          <w:rFonts w:hint="eastAsia"/>
        </w:rPr>
        <w:t>法</w:t>
      </w:r>
      <w:hyperlink r:id="rId639"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Pr="001C1E6A">
        <w:t>所保障）審查標準。主因在於為何難民身分證明不可以代替護照？要求難民返回母國取得護照，無異是令難民返回母國赴死？太過強人所難。是以，假若國人之外籍配偶，如係為難民，如其無法提供有效之外國護照，應可充許其提供外國護照之替代證明，諸如，可提供駐在國之難民身分證明替代之為宜，並准其入境，令其享有婚姻與家庭權，此種情形，方符合平等權之精神。</w:t>
      </w:r>
    </w:p>
    <w:p w:rsidR="001C1E6A" w:rsidRPr="001C1E6A" w:rsidRDefault="001C1E6A" w:rsidP="001C1E6A">
      <w:pPr>
        <w:spacing w:line="240" w:lineRule="auto"/>
        <w:ind w:leftChars="0" w:left="0" w:rightChars="0" w:right="0"/>
      </w:pPr>
      <w:r w:rsidRPr="001C1E6A">
        <w:rPr>
          <w:rFonts w:hint="eastAsia"/>
        </w:rPr>
        <w:t xml:space="preserve">　　</w:t>
      </w:r>
      <w:r w:rsidRPr="001C1E6A">
        <w:t>2、在大陸配偶結社之權利方面，依據臺灣地區與大陸地區人民關係條</w:t>
      </w:r>
      <w:r w:rsidR="00112EF1" w:rsidRPr="00B40DC1">
        <w:t>例</w:t>
      </w:r>
      <w:hyperlink r:id="rId640" w:anchor="b21" w:history="1">
        <w:r w:rsidR="00112EF1" w:rsidRPr="001A6000">
          <w:rPr>
            <w:rStyle w:val="a7"/>
            <w:rFonts w:cs="Times New Roman"/>
            <w:lang w:eastAsia="zh-TW" w:bidi="ar-SA"/>
          </w:rPr>
          <w:t>第21條</w:t>
        </w:r>
      </w:hyperlink>
      <w:r w:rsidRPr="001C1E6A">
        <w:t>之規定，大陸配偶須在臺設籍滿10年以上，始可組織政黨。依據司法院大法官會議釋字</w:t>
      </w:r>
      <w:hyperlink r:id="rId641" w:anchor="r618" w:history="1">
        <w:r w:rsidRPr="00C739F8">
          <w:rPr>
            <w:rStyle w:val="a7"/>
            <w:rFonts w:cs="Times New Roman"/>
            <w:lang w:eastAsia="zh-TW" w:bidi="ar-SA"/>
          </w:rPr>
          <w:t>第618號</w:t>
        </w:r>
      </w:hyperlink>
      <w:r w:rsidRPr="001C1E6A">
        <w:t>文之見解，基於原設籍大陸地區人民設籍臺灣地區未滿十年者，對自由民主憲政體制認識與其他臺灣地區人民容有差異，故運用10之年限，加以管制。然而，假若大陸配偶已在臺設籍，亦即，已取得身分證，基本上，其已是中華民國之國民，組織政黨係為參政權之一，係受憲法保障之人權，與其各項權利、義務，及公共生活秩序之形塑密切相關，對此權利所為之差別待遇，原則上應受較嚴格</w:t>
      </w:r>
      <w:r w:rsidRPr="001C1E6A">
        <w:rPr>
          <w:rFonts w:hint="eastAsia"/>
        </w:rPr>
        <w:t>之審查，除其目的須為追求重要公益外，所採差別待遇與目的之達成間亦須有實質關聯，始與憲法保障平等權之意旨相符。吾人如欲檢視原設籍大陸地區人民設籍臺灣地區未滿十年者對自由民主憲政體制認識之素養，可透由教育、訓練、實習、見習、演練、講習、授課、廣播、視訊學習、網上學習、、、種種之手段達成之，是以，有關在臺設籍滿</w:t>
      </w:r>
      <w:r w:rsidRPr="001C1E6A">
        <w:t>10年之手段，其與目的之達成，很明顯地，不具有合理、實質之關聯性。有關兩岸人民關係條</w:t>
      </w:r>
      <w:r w:rsidR="002E4FE0" w:rsidRPr="00B40DC1">
        <w:t>例</w:t>
      </w:r>
      <w:hyperlink r:id="rId642" w:anchor="b21" w:history="1">
        <w:r w:rsidR="002E4FE0" w:rsidRPr="001A6000">
          <w:rPr>
            <w:rStyle w:val="a7"/>
            <w:rFonts w:cs="Times New Roman"/>
            <w:lang w:eastAsia="zh-TW" w:bidi="ar-SA"/>
          </w:rPr>
          <w:t>第21條</w:t>
        </w:r>
      </w:hyperlink>
      <w:r w:rsidRPr="001C1E6A">
        <w:t>之規定，大陸配偶須在臺設籍滿10年以上，始可組織政黨，明顯地，已侵犯大陸配偶之結社權及參政權。</w:t>
      </w:r>
    </w:p>
    <w:p w:rsidR="001C1E6A" w:rsidRPr="001C1E6A" w:rsidRDefault="001C1E6A" w:rsidP="001C1E6A">
      <w:pPr>
        <w:spacing w:line="240" w:lineRule="auto"/>
        <w:ind w:leftChars="0" w:left="0" w:rightChars="0" w:right="0"/>
      </w:pPr>
      <w:r w:rsidRPr="001C1E6A">
        <w:rPr>
          <w:rFonts w:hint="eastAsia"/>
        </w:rPr>
        <w:t xml:space="preserve">　　</w:t>
      </w:r>
      <w:r w:rsidRPr="001C1E6A">
        <w:t>3、在陸配應考試服公職之權利方面，依據司法院大法官會議釋字</w:t>
      </w:r>
      <w:hyperlink r:id="rId643" w:anchor="r618" w:history="1">
        <w:r w:rsidRPr="002E4FE0">
          <w:rPr>
            <w:rStyle w:val="a7"/>
            <w:rFonts w:cs="Times New Roman"/>
            <w:lang w:eastAsia="zh-TW" w:bidi="ar-SA"/>
          </w:rPr>
          <w:t>第618號</w:t>
        </w:r>
      </w:hyperlink>
      <w:r w:rsidRPr="001C1E6A">
        <w:t>文之見解，乃係基於公務人員經國家任用後，即與國家發生公法上職務關係及忠誠義務，其職務之行使，涉及國家之公權力，不僅應遵守法令，更應積極考量國家整體利益，採取一切有利於國家之行為與決策，並鑒於兩岸目前仍處於分治與對立之狀態，且政治、經濟與社會等體制具有重大之本質差異，為確保臺灣地區安全、民眾福祉暨維護自由民主之憲政秩序，所為之特別規定，其目的洵屬合理正當。基於原設籍大陸地區人民設籍臺灣地區未滿十年者，對自由民主憲政體制認識與其他臺灣地區人</w:t>
      </w:r>
      <w:r w:rsidRPr="001C1E6A">
        <w:rPr>
          <w:rFonts w:hint="eastAsia"/>
        </w:rPr>
        <w:t>民容有差異，故對其擔任公務人員之資格與其他臺灣地區人民予以區別對待。然而，應考試、服公職之權利，係為憲法所保障，非須使用管制</w:t>
      </w:r>
      <w:r w:rsidRPr="001C1E6A">
        <w:t>10年之手段，始可達到上述目的。吾人可運用：延長陸配公務見習之時程；加強對陸配平時公務之考核；對考上公務員之陸配，施以自由民主憲政體制之教育、訓練、講習、授課；事先設計涉及台灣之自由民主憲政體制之相關課程，令陸配事先修習，取得上課之一定時數，或通過檢定者，即可報考公職。基此，使用管制10年之手段，恐已違憲。再者，為何管制10年之後之陸配，保證一定會具有自由民主憲政體制之素養？為何管制1</w:t>
      </w:r>
      <w:r w:rsidRPr="001C1E6A">
        <w:rPr>
          <w:rFonts w:hint="eastAsia"/>
        </w:rPr>
        <w:t>年之後之陸配，保證一定不會具有自由民主憲政體制之素養？兩者之判斷標準為何？是否已淪為恣意，或無顯不合理之情形，亦有討論之空間。鑑於應考試服公職權為廣義之參政權，涉及陸配參與國家意思之形成及公務之執行，與公共生活秩序之形塑密切相關，對此權利所為之差別待遇，原則上應受較嚴格之審查，除其目的須為追求重要公益外，所採差別待遇與目的之達成間亦須有實質關聯，始與憲法保障平等權之意旨相符。假若政府相關部門，可事先設計涉及台灣之自由民主憲政體制之相關課程，且該陸配事先修習，已取得上課之一定時數，或已通過檢定者，為何不可報考公職？理由何在？此類已具有自由民主憲政體制素養之陸配，應可報考公職為宜。</w:t>
      </w:r>
    </w:p>
    <w:p w:rsidR="001C1E6A" w:rsidRPr="001C1E6A" w:rsidRDefault="001C1E6A" w:rsidP="001C1E6A">
      <w:pPr>
        <w:spacing w:line="240" w:lineRule="auto"/>
        <w:ind w:leftChars="0" w:left="0" w:rightChars="0" w:right="0"/>
      </w:pPr>
      <w:r w:rsidRPr="001C1E6A">
        <w:rPr>
          <w:rFonts w:hint="eastAsia"/>
        </w:rPr>
        <w:t xml:space="preserve">　　</w:t>
      </w:r>
      <w:r w:rsidRPr="001C1E6A">
        <w:t>4、有關陸配在臺從事違法行為之後續處置情形部分，未與外籍配偶逐步趨向一致部分，亦有討論之空間。依據臺灣地區與大陸地區人民關係條例</w:t>
      </w:r>
      <w:hyperlink r:id="rId644" w:anchor="b18" w:history="1">
        <w:r w:rsidRPr="00A21603">
          <w:rPr>
            <w:rStyle w:val="a7"/>
            <w:rFonts w:cs="Times New Roman"/>
            <w:lang w:eastAsia="zh-TW" w:bidi="ar-SA"/>
          </w:rPr>
          <w:t>第18條</w:t>
        </w:r>
      </w:hyperlink>
      <w:r w:rsidRPr="001C1E6A">
        <w:t>之規定：「進入臺灣地區之大陸地區人民，有下列情形之一者，內政部移民署得逕行強制出境，或限令其於十日內出境，逾限令出境期限仍未出境，內政部移民署得強制出境：一、未經許可入境。二、經許可入境，已逾停留、居留期限，或經撤銷、廢止停留、居留、定居許可。三、從事與許可目的不符之活動或工作。四、有事實足認為有犯罪行為。五、有事實足認為有危害國家安全或社會安定之虞。六、非經許可與臺灣</w:t>
      </w:r>
      <w:r w:rsidRPr="001C1E6A">
        <w:rPr>
          <w:rFonts w:hint="eastAsia"/>
        </w:rPr>
        <w:t>地區之公務人員以任何形式進行涉及公權力或政治議題之協商。」大陸配偶在臺若有逾期居留之情形，雖然不用罰鍰，但不論逾期天數多長，均需廢止其居留許可，註銷居留證件，並予強制出境，並限制一定期間內不得再許可其在臺居留，此種強制出境手段，其與目的（保障國家安全、社會安定）之關聯性，容有檢討之空間。當差別待遇（廢止其居留許可，註銷居留證件，並予強制出境，並限制一定期間內不得再許可其在臺居留、強制出境手段）所欲達成之目的（保障國家安全、社會安定），涉及人民（大陸配偶）之遷徙自由權、家庭權、婚姻權之時，則此屬重要公共利益，故系爭規定所形成之差別待遇（強制出境手段）是否違反平等原則，應受較為嚴格之審查，除其目的須係合憲外，所採差別待遇與目的之達成間亦須有實質關聯，始合於平等原則。筆者認為，可視大陸配偶在臺逾期居留時程之長短情形，處以不同程度之行政罰鍰，如仍未見效，始有運用強制出境手段之必要。大陸配偶在臺若有逾期居留之情形，如跳過行政罰鍰機制，直接廢止其居留許可，註銷居留證件，並予強制出境，此種強制出境之差別待遇，與目的之達成間，未具有實質關聯，未合於平等原則，嚴重地侵犯大陸配偶之遷徙自由權、家庭權、婚姻權。此種強制出境之差別待遇，可謂是非常地恣意、且屬顯不合理之情形，嚴重地違反憲</w:t>
      </w:r>
      <w:r w:rsidR="000E2576">
        <w:rPr>
          <w:rFonts w:hint="eastAsia"/>
        </w:rPr>
        <w:t>法</w:t>
      </w:r>
      <w:hyperlink r:id="rId645"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rsidRPr="001C1E6A">
        <w:t>之平等原則、</w:t>
      </w:r>
      <w:hyperlink r:id="rId646" w:anchor="a23" w:history="1">
        <w:r w:rsidRPr="00A21603">
          <w:rPr>
            <w:rStyle w:val="a7"/>
            <w:rFonts w:cs="Times New Roman"/>
            <w:lang w:eastAsia="zh-TW" w:bidi="ar-SA"/>
          </w:rPr>
          <w:t>第23條</w:t>
        </w:r>
      </w:hyperlink>
      <w:r w:rsidRPr="001C1E6A">
        <w:t>之比例原則。</w:t>
      </w:r>
    </w:p>
    <w:p w:rsidR="0049577B" w:rsidRDefault="001C1E6A" w:rsidP="001C1E6A">
      <w:pPr>
        <w:spacing w:line="240" w:lineRule="auto"/>
        <w:ind w:leftChars="0" w:left="0" w:rightChars="0" w:right="0"/>
      </w:pPr>
      <w:r w:rsidRPr="001C1E6A">
        <w:rPr>
          <w:rFonts w:hint="eastAsia"/>
        </w:rPr>
        <w:t xml:space="preserve">　　</w:t>
      </w:r>
      <w:r w:rsidRPr="001C1E6A">
        <w:t>5、有關大陸配偶之學歷認證標準未與外籍配偶逐步趨向一致部分，對於已結婚且在臺居留之大陸配偶而言，若其係因工作或進修之需求，必須認證其大陸之學歷之部分，涉及大陸配偶之工作權、生存權。憲法第</w:t>
      </w:r>
      <w:hyperlink r:id="rId647" w:anchor="a15" w:history="1">
        <w:r w:rsidRPr="002E4FE0">
          <w:rPr>
            <w:rStyle w:val="a7"/>
            <w:rFonts w:cs="Times New Roman"/>
            <w:lang w:eastAsia="zh-TW" w:bidi="ar-SA"/>
          </w:rPr>
          <w:t>十五</w:t>
        </w:r>
      </w:hyperlink>
      <w:r w:rsidRPr="001C1E6A">
        <w:t>條規定，人民之生存權應予保障。當差別待遇所欲達成之目的，涉及人民之生存權之時，則此屬重要公共利益，故系爭規定所形成之差別待遇是否違反平等原則，應受較為嚴格之審查，除其目的須係合憲外，所採差別待遇與目的之達成間亦須有實質關聯，始合於平等原則。有關在臺居留之大陸配偶之學歷認證標準部分，我國尚未建置一套公平、合理之機制，多</w:t>
      </w:r>
      <w:r w:rsidRPr="001C1E6A">
        <w:rPr>
          <w:rFonts w:hint="eastAsia"/>
        </w:rPr>
        <w:t>數傾向於不承認大陸配偶之學歷，很明顯地，對大陸配偶所採差別待遇，與目的之達成間，未有實質關聯，甚至是負向之關聯性，嚴重地違反憲法之平等原則（</w:t>
      </w:r>
      <w:hyperlink r:id="rId648" w:anchor="a7" w:history="1">
        <w:r w:rsidR="002E4FE0" w:rsidRPr="000E2576">
          <w:rPr>
            <w:rStyle w:val="a7"/>
            <w:rFonts w:cs="Times New Roman" w:hint="eastAsia"/>
            <w:lang w:eastAsia="zh-TW" w:bidi="ar-SA"/>
          </w:rPr>
          <w:t>第</w:t>
        </w:r>
        <w:r w:rsidR="002E4FE0" w:rsidRPr="000E2576">
          <w:rPr>
            <w:rStyle w:val="a7"/>
            <w:rFonts w:cs="Times New Roman"/>
            <w:lang w:eastAsia="zh-TW" w:bidi="ar-SA"/>
          </w:rPr>
          <w:t>7條</w:t>
        </w:r>
      </w:hyperlink>
      <w:r w:rsidRPr="001C1E6A">
        <w:t>），侵犯大陸配偶受到我</w:t>
      </w:r>
      <w:r w:rsidR="002D4379" w:rsidRPr="00B40DC1">
        <w:t>國</w:t>
      </w:r>
      <w:hyperlink r:id="rId649" w:history="1">
        <w:r w:rsidR="002D4379" w:rsidRPr="002D4379">
          <w:rPr>
            <w:rStyle w:val="a7"/>
            <w:rFonts w:cs="Times New Roman" w:hint="eastAsia"/>
            <w:lang w:eastAsia="zh-TW" w:bidi="ar-SA"/>
          </w:rPr>
          <w:t>憲法</w:t>
        </w:r>
      </w:hyperlink>
      <w:r w:rsidRPr="001C1E6A">
        <w:t>明文保障之生存權</w:t>
      </w:r>
      <w:r w:rsidR="002E4FE0" w:rsidRPr="001C1E6A">
        <w:t>（</w:t>
      </w:r>
      <w:hyperlink r:id="rId650" w:anchor="a15" w:history="1">
        <w:r w:rsidR="002E4FE0" w:rsidRPr="002E4FE0">
          <w:rPr>
            <w:rStyle w:val="a7"/>
            <w:rFonts w:cs="Times New Roman"/>
            <w:lang w:eastAsia="zh-TW" w:bidi="ar-SA"/>
          </w:rPr>
          <w:t>第15條</w:t>
        </w:r>
      </w:hyperlink>
      <w:r w:rsidRPr="001C1E6A">
        <w:t>）、工作權（</w:t>
      </w:r>
      <w:hyperlink r:id="rId651" w:anchor="a15" w:history="1">
        <w:r w:rsidRPr="002E4FE0">
          <w:rPr>
            <w:rStyle w:val="a7"/>
            <w:rFonts w:cs="Times New Roman"/>
            <w:lang w:eastAsia="zh-TW" w:bidi="ar-SA"/>
          </w:rPr>
          <w:t>第15條</w:t>
        </w:r>
      </w:hyperlink>
      <w:r w:rsidRPr="001C1E6A">
        <w:t>）、人性尊嚴。</w:t>
      </w:r>
    </w:p>
    <w:p w:rsidR="00C739F8" w:rsidRPr="001C1E6A" w:rsidRDefault="00A951A1" w:rsidP="00A951A1">
      <w:pPr>
        <w:spacing w:line="240" w:lineRule="auto"/>
        <w:ind w:leftChars="0" w:left="0" w:rightChars="0" w:right="0"/>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32" w:name="_肆、新住民配偶來臺生活權益平等問題之實例探討"/>
      <w:bookmarkEnd w:id="132"/>
      <w:r w:rsidRPr="00B40DC1">
        <w:t>肆、新住民配偶來臺生活權益平等問題之實例探討</w:t>
      </w:r>
    </w:p>
    <w:p w:rsidR="0049577B" w:rsidRPr="00B40DC1" w:rsidRDefault="001C1E6A" w:rsidP="001C1E6A">
      <w:pPr>
        <w:spacing w:line="240" w:lineRule="auto"/>
        <w:ind w:leftChars="0" w:left="0" w:rightChars="0" w:right="0"/>
      </w:pPr>
      <w:r>
        <w:rPr>
          <w:b/>
        </w:rPr>
        <w:t xml:space="preserve">　　</w:t>
      </w:r>
      <w:r w:rsidR="0049577B" w:rsidRPr="00B40DC1">
        <w:t>大陸及外籍配偶在臺生活權益之議題不論在學術領域或實務工作界上均經常被提出探討，在學術領域部分其研究討論之方向，有以國際人權為題討論之</w:t>
      </w:r>
      <w:r w:rsidR="0049577B" w:rsidRPr="00C739F8">
        <w:rPr>
          <w:rStyle w:val="af7"/>
          <w:rFonts w:eastAsia="新細明體"/>
          <w:sz w:val="20"/>
        </w:rPr>
        <w:footnoteReference w:id="567"/>
      </w:r>
      <w:r w:rsidR="0049577B" w:rsidRPr="00B40DC1">
        <w:t>，亦有專家學者係以我</w:t>
      </w:r>
      <w:r w:rsidR="002D4379" w:rsidRPr="00B40DC1">
        <w:t>國</w:t>
      </w:r>
      <w:hyperlink r:id="rId652" w:history="1">
        <w:r w:rsidR="002D4379" w:rsidRPr="002D4379">
          <w:rPr>
            <w:rStyle w:val="a7"/>
            <w:rFonts w:cs="Times New Roman" w:hint="eastAsia"/>
            <w:lang w:eastAsia="zh-TW" w:bidi="ar-SA"/>
          </w:rPr>
          <w:t>憲法</w:t>
        </w:r>
      </w:hyperlink>
      <w:r w:rsidR="0049577B" w:rsidRPr="00B40DC1">
        <w:t>所保障之各項人權討論之，如基本人權、公民權、工作權、應考試權與服公職權、財產保障權、家庭團聚權……等</w:t>
      </w:r>
      <w:r w:rsidR="0049577B" w:rsidRPr="00C739F8">
        <w:rPr>
          <w:rStyle w:val="af7"/>
          <w:rFonts w:eastAsia="新細明體"/>
          <w:sz w:val="20"/>
        </w:rPr>
        <w:footnoteReference w:id="568"/>
      </w:r>
      <w:r w:rsidR="0049577B" w:rsidRPr="00B40DC1">
        <w:t>。而實務工作界部分，移民署亦曾就此議題委外研究，探討外籍及大陸配偶之家庭基本生活狀況、家庭成員生活狀況、個人工作及就業狀況、個人生活適應狀況、居住環境狀況、家庭遭遇問題情況（貧窮、照顧、子女教養、家庭暴力情況）等等面向</w:t>
      </w:r>
      <w:r w:rsidR="0049577B" w:rsidRPr="00C739F8">
        <w:rPr>
          <w:rStyle w:val="af7"/>
          <w:rFonts w:eastAsia="新細明體"/>
          <w:sz w:val="20"/>
        </w:rPr>
        <w:footnoteReference w:id="569"/>
      </w:r>
      <w:r w:rsidR="0049577B" w:rsidRPr="00B40DC1">
        <w:t>。以上種種之研究文獻，其實幾已涵蓋外籍及大陸配偶在臺之各項生活權益之探討及比較，但其主要討論之方向，普遍著重在於外籍及大陸配偶與本國人相較之下，在我國應享有或不應享有之權益，而綜觀各家研究所得結論，大都認為外籍及大陸配偶在我國應可享有充分之自由權（如人身自由及言論自由……等）及社會權（如醫療、保健、福利），但涉及國家主權（如自由入出境權利）或政治權（如參政權）部分，則仍應有條件限制，畢竟一個國家之主權及政治權可謂國家權力之核心，理應由瞭解國家文化背景、民俗風情及社會狀況之本國國民掌理，不宜由外來移民主導，始能令國家在穩定中求發展，不致於失去國家特色及文化，此是比較容易理解亦可被接受之觀念。</w:t>
      </w:r>
    </w:p>
    <w:p w:rsidR="0049577B" w:rsidRPr="00B40DC1" w:rsidRDefault="001C1E6A" w:rsidP="001C1E6A">
      <w:pPr>
        <w:spacing w:line="240" w:lineRule="auto"/>
        <w:ind w:leftChars="0" w:left="0" w:rightChars="0" w:right="0"/>
      </w:pPr>
      <w:r>
        <w:t xml:space="preserve">　　</w:t>
      </w:r>
      <w:r w:rsidR="0049577B" w:rsidRPr="00B40DC1">
        <w:t>本文所探討之外籍與大陸配偶之生活權益問題，主要係針對兩者之間之衡平性作探討，一般而論，我國對於外籍及大陸配偶之照顧輔導措施工作重要之部分，依據「外籍與大陸配偶照顧輔導措施」之內涵，如下所述：1.生活適應輔導；2.醫療生育保健；3.保障就業權益；4.提昇教育文化；5.協助子女教養；6.人身安全保護；7.健全法令制度；8.落實觀念宣導。其主要理念則在於：1.協助解決其因文化差異所衍生之生活適應問題，俾使迅速適應我國社會；2.規劃提供外籍與大陸配偶相關醫療保健服務，維護健康品質；3.保障外籍與大陸配偶工作權，以協助其經濟獨立、生活安定；4.加強教育規劃，協助提昇外籍與大陸配偶教養子女能力；5.積極輔導協助外籍與大陸配偶處理其子女之健康、教育及照顧工作，並對發展遲媛兒童提供早期療育服務；6.維護受暴外籍與大陸配偶基本人權，提供相關保護扶助措施，保障人身安全；7.研擬相關規範與配套措施，輔導婚姻媒合業轉型，並蒐集外籍與大陸配偶相關研究統計資料；8.加強宣導國人建立族群平等與相互尊重接納觀念，促進異國通婚家庭和諧關係，並建立必要之實質審查機制</w:t>
      </w:r>
      <w:r w:rsidR="0049577B" w:rsidRPr="001C1E6A">
        <w:rPr>
          <w:rStyle w:val="af7"/>
          <w:rFonts w:eastAsia="新細明體"/>
          <w:sz w:val="20"/>
        </w:rPr>
        <w:footnoteReference w:id="570"/>
      </w:r>
      <w:r w:rsidR="0049577B" w:rsidRPr="00B40DC1">
        <w:t>。此為國家針對外籍與大陸配偶在臺生活現況與面臨之困境，所研擬之具體措施</w:t>
      </w:r>
      <w:r w:rsidR="0049577B" w:rsidRPr="001C1E6A">
        <w:rPr>
          <w:rStyle w:val="af7"/>
          <w:rFonts w:eastAsia="新細明體"/>
          <w:sz w:val="20"/>
        </w:rPr>
        <w:footnoteReference w:id="571"/>
      </w:r>
      <w:r w:rsidR="0049577B" w:rsidRPr="00B40DC1">
        <w:t>。</w:t>
      </w:r>
    </w:p>
    <w:p w:rsidR="0049577B" w:rsidRDefault="0049577B" w:rsidP="001C1E6A">
      <w:pPr>
        <w:spacing w:line="240" w:lineRule="auto"/>
        <w:ind w:leftChars="0" w:left="0" w:rightChars="0" w:right="0"/>
      </w:pPr>
      <w:r w:rsidRPr="00B40DC1">
        <w:t>此外，晚近來之新發展，係於</w:t>
      </w:r>
      <w:smartTag w:uri="urn:schemas-microsoft-com:office:smarttags" w:element="chsdate">
        <w:smartTagPr>
          <w:attr w:name="Year" w:val="2012"/>
          <w:attr w:name="Month" w:val="9"/>
          <w:attr w:name="Day" w:val="7"/>
          <w:attr w:name="IsLunarDate" w:val="False"/>
          <w:attr w:name="IsROCDate" w:val="True"/>
        </w:smartTagPr>
        <w:r w:rsidRPr="00B40DC1">
          <w:t>民國101年9月7日</w:t>
        </w:r>
      </w:smartTag>
      <w:r w:rsidRPr="00B40DC1">
        <w:t>，內政部與教育部共同會銜以內政部台內移字第1010933482號、教育部臺國(一)字第1010156442B號修正發布「全國新住民火炬計畫行動方案」</w:t>
      </w:r>
      <w:r w:rsidRPr="001C1E6A">
        <w:rPr>
          <w:rStyle w:val="af7"/>
          <w:rFonts w:eastAsia="新細明體"/>
          <w:sz w:val="20"/>
        </w:rPr>
        <w:footnoteReference w:id="572"/>
      </w:r>
      <w:r w:rsidRPr="00B40DC1">
        <w:t>，本方案之主要目的，期能藉由內政部、教育部、各級學校及民間團體等之跨部會與跨域合作，共同提供全國新住民及其子女完整之文教生活輔導機制與單一窗口之全方位服務。以上之相關作為，亦確實對於外籍及大陸配偶在臺生活之狀況有明顯之改善</w:t>
      </w:r>
      <w:r w:rsidRPr="001C1E6A">
        <w:rPr>
          <w:rStyle w:val="af7"/>
          <w:rFonts w:eastAsia="新細明體"/>
          <w:sz w:val="20"/>
        </w:rPr>
        <w:footnoteReference w:id="573"/>
      </w:r>
      <w:r w:rsidRPr="00B40DC1">
        <w:t>。</w:t>
      </w:r>
    </w:p>
    <w:p w:rsidR="00A951A1" w:rsidRPr="00B40DC1" w:rsidRDefault="00A951A1" w:rsidP="00A951A1">
      <w:pPr>
        <w:spacing w:line="240" w:lineRule="auto"/>
        <w:ind w:leftChars="0" w:left="0" w:rightChars="0" w:right="0"/>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1C1E6A">
      <w:pPr>
        <w:pStyle w:val="3"/>
        <w:rPr>
          <w:lang w:eastAsia="zh-TW"/>
        </w:rPr>
      </w:pPr>
      <w:bookmarkStart w:id="133" w:name="_一、大陸子女無法來台照顧已在台設籍之大陸父母"/>
      <w:bookmarkEnd w:id="133"/>
      <w:r w:rsidRPr="00B40DC1">
        <w:rPr>
          <w:lang w:eastAsia="zh-TW"/>
        </w:rPr>
        <w:t>一、大陸子女無法來台照顧已在台設籍之大陸父母</w:t>
      </w:r>
    </w:p>
    <w:p w:rsidR="0049577B" w:rsidRPr="00B40DC1" w:rsidRDefault="0049577B" w:rsidP="00C739F8">
      <w:pPr>
        <w:spacing w:line="240" w:lineRule="auto"/>
        <w:ind w:leftChars="0" w:left="0" w:rightChars="0" w:right="0"/>
      </w:pPr>
      <w:r w:rsidRPr="00B40DC1">
        <w:rPr>
          <w:b/>
        </w:rPr>
        <w:t xml:space="preserve">　　</w:t>
      </w:r>
      <w:r w:rsidRPr="00B40DC1">
        <w:t>我國人口老化指數</w:t>
      </w:r>
      <w:r w:rsidRPr="00C739F8">
        <w:rPr>
          <w:rStyle w:val="af7"/>
          <w:rFonts w:eastAsia="新細明體"/>
          <w:sz w:val="20"/>
        </w:rPr>
        <w:footnoteReference w:id="574"/>
      </w:r>
      <w:r w:rsidRPr="00B40DC1">
        <w:t>日益成長，扶養比</w:t>
      </w:r>
      <w:r w:rsidRPr="00C739F8">
        <w:rPr>
          <w:rStyle w:val="af7"/>
          <w:rFonts w:eastAsia="新細明體"/>
          <w:sz w:val="20"/>
        </w:rPr>
        <w:footnoteReference w:id="575"/>
      </w:r>
      <w:r w:rsidRPr="00B40DC1">
        <w:t>也愈來愈高，其中尤其是扶老之增加更為嚴重，2012年時，每6.65個工作年齡人口需扶養1個老人，但推估至2030年時，每2.68個工作年齡人口，即需扶養1個老人，推估至2060年時，每1.29個工作年齡人口，就得扶養1個老人</w:t>
      </w:r>
      <w:r w:rsidRPr="00C739F8">
        <w:rPr>
          <w:rStyle w:val="af7"/>
          <w:rFonts w:eastAsia="新細明體"/>
          <w:sz w:val="20"/>
        </w:rPr>
        <w:footnoteReference w:id="576"/>
      </w:r>
      <w:r w:rsidRPr="00B40DC1">
        <w:t>；同樣生活在台灣的大陸高齡配偶，也不得不去面對台灣人口老化如此嚴重的問題。</w:t>
      </w:r>
    </w:p>
    <w:p w:rsidR="0049577B" w:rsidRPr="00B40DC1" w:rsidRDefault="0049577B" w:rsidP="00C739F8">
      <w:pPr>
        <w:spacing w:line="240" w:lineRule="auto"/>
        <w:ind w:leftChars="0" w:left="0" w:rightChars="0" w:right="0"/>
      </w:pPr>
      <w:r w:rsidRPr="00B40DC1">
        <w:t xml:space="preserve">　　本文作者之一蔡政杰講師，曾於2016年11月中旬，接受國軍退除役官兵輔導委員會新竹榮民服務處邀請，至該服務處舉辦之榮民新住民配偶活動中擔任課程講座，講授新住民配偶在臺之相關法令規範及權益事項，在課程結束後之座談時，幾位大陸配偶不約而同的都提及晚年照顧的問題，因為嫁來台灣照顧榮民的大陸配偶年齡都已偏高，很多來臺的陸配也多已60幾歲，所以，如今她們關心的議題，已不再像作者以往在其他輔導課程中經常接受詢問的工作問題、學歷問題、生活法律問題…等，而是關心年老後之就養問題了，這確實令作者感到訝異。雖然年齡較大的大陸配偶，絕大部分在臺均已取得身分證，其年老時就養之權益與一般台灣人並無差異，而且，行政院也已於2016年11月試辦長照2.0政策，老年生活看似應有保障；但是，因為行政院長照2.0政策規劃內容仍多遭受批評</w:t>
      </w:r>
      <w:r w:rsidRPr="00C739F8">
        <w:rPr>
          <w:rStyle w:val="af7"/>
          <w:rFonts w:eastAsia="新細明體"/>
          <w:sz w:val="20"/>
        </w:rPr>
        <w:footnoteReference w:id="577"/>
      </w:r>
      <w:r w:rsidRPr="00B40DC1">
        <w:t>，無法使人民確實安心，所以，許多在臺生活之大陸高讒配偶，仍秉持中國人較為傳統的觀念，即是「養兒防老」，多數大陸高齡配偶認為，若有個親人在身旁照顧，藉以養老，將會比起政府所規劃的任何福利都來的實際。</w:t>
      </w:r>
    </w:p>
    <w:p w:rsidR="0049577B" w:rsidRPr="00B40DC1" w:rsidRDefault="0049577B" w:rsidP="00C739F8">
      <w:pPr>
        <w:spacing w:line="240" w:lineRule="auto"/>
        <w:ind w:leftChars="0" w:left="0" w:rightChars="0" w:right="0"/>
      </w:pPr>
      <w:r w:rsidRPr="00B40DC1">
        <w:t xml:space="preserve">　　但是「養兒防老」的觀念對於在臺居住的大陸高齡配偶，卻不容易實現，因為來台嫁給榮民之陸配，多是二度婚姻，來台後也不會再生育子女，因此，其子女多為前婚姻所生之大陸地區人民，且子女也均已成年，並無法來台居留或定居，僅能以探親的方式，短暫來台停留</w:t>
      </w:r>
      <w:r w:rsidRPr="00C739F8">
        <w:rPr>
          <w:rStyle w:val="af7"/>
          <w:rFonts w:eastAsia="新細明體"/>
          <w:sz w:val="20"/>
        </w:rPr>
        <w:footnoteReference w:id="578"/>
      </w:r>
      <w:r w:rsidRPr="00B40DC1">
        <w:t>，並無法達到照顧父母之需求；如大陸子女如符合資格可在台灣地區長期照顧父母</w:t>
      </w:r>
      <w:r w:rsidRPr="00C739F8">
        <w:rPr>
          <w:rStyle w:val="af7"/>
          <w:rFonts w:eastAsia="新細明體"/>
          <w:sz w:val="20"/>
        </w:rPr>
        <w:footnoteReference w:id="579"/>
      </w:r>
      <w:r w:rsidRPr="00B40DC1">
        <w:t>，其總停留期間亦不得超過1年，且大陸子女本身在台灣照顧父母期間，不能工作賺取收入、也不能享有健保等相關社會福利，因此，想來台照顧父母之大陸子女，其健康收況及經濟能力必須有一定之水準；惟早期結婚來台，如今年紀已大之陸配，在大陸之原生家庭經濟狀況大多不佳，其大陸子女的經濟狀況大多也無法支撐其在台長期照顧父母。</w:t>
      </w:r>
    </w:p>
    <w:p w:rsidR="0049577B" w:rsidRPr="00B40DC1" w:rsidRDefault="0049577B" w:rsidP="00C739F8">
      <w:pPr>
        <w:spacing w:line="240" w:lineRule="auto"/>
        <w:ind w:leftChars="0" w:left="0" w:rightChars="0" w:right="0"/>
      </w:pPr>
      <w:r w:rsidRPr="00B40DC1">
        <w:t xml:space="preserve">　　因此，大陸子女無法來台長期照顧的規定，確實影響了在台生活的高齡陸配能否安心養老的問題，在家庭照顧權利上，也無法確實與在台原設有戶籍之台灣人相提併論，雖然從表面看來，取得台灣身分證之陸配，已在台灣設籍，享有台灣社會提供的各種福利，但實際上的家庭權和照顧權，仍無法達到真正的平等，也是提高扶老比的因素之一。</w:t>
      </w:r>
    </w:p>
    <w:p w:rsidR="0049577B" w:rsidRPr="00B40DC1" w:rsidRDefault="00A951A1" w:rsidP="00A951A1">
      <w:pPr>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C739F8">
      <w:pPr>
        <w:pStyle w:val="3"/>
        <w:rPr>
          <w:lang w:eastAsia="zh-TW"/>
        </w:rPr>
      </w:pPr>
      <w:bookmarkStart w:id="134" w:name="_二、敘利亞籍配偶無法來臺依親居留"/>
      <w:bookmarkEnd w:id="134"/>
      <w:r w:rsidRPr="00B40DC1">
        <w:rPr>
          <w:lang w:eastAsia="zh-TW"/>
        </w:rPr>
        <w:t>二、敘利亞籍配偶無法來臺依親居留</w:t>
      </w:r>
    </w:p>
    <w:p w:rsidR="0049577B" w:rsidRPr="00B40DC1" w:rsidRDefault="0049577B" w:rsidP="00C739F8">
      <w:pPr>
        <w:spacing w:line="240" w:lineRule="auto"/>
        <w:ind w:leftChars="0" w:left="0" w:rightChars="0" w:right="0"/>
      </w:pPr>
      <w:r w:rsidRPr="00B40DC1">
        <w:t xml:space="preserve">　　因全球化之影響，國人到國外求學、工作之機會廣為增加，跨國婚姻之形成也愈來愈普及及正常化，因此，我國對於外籍配偶結婚來台之規範，與大陸配偶之規範相較之下，反而顯得寬鬆；惟本文作者同事之子卻因與外籍配偶結婚，造成家庭團聚權利嚴重受損。本文作者同事之子為職業軍官，於國外受訓之階段，認識一敘利亞籍女子進而結婚，並已在台灣完成戶籍登記手續；惟因敘述亞長年內戰，其於各國之使領館多已裁撤，使該名敘利亞籍配偶之護照已逾期且無從更新，僅能以難民身分在國外(加拿大)居留，並取得居留國難民身分之旅行文件，尚符合「公民與政治權利國際公約」所規定之自由出國權利</w:t>
      </w:r>
      <w:r w:rsidRPr="00C739F8">
        <w:rPr>
          <w:rStyle w:val="af7"/>
          <w:rFonts w:eastAsia="新細明體"/>
          <w:sz w:val="20"/>
        </w:rPr>
        <w:footnoteReference w:id="580"/>
      </w:r>
      <w:r w:rsidRPr="00B40DC1">
        <w:t>。</w:t>
      </w:r>
    </w:p>
    <w:p w:rsidR="0049577B" w:rsidRPr="00B40DC1" w:rsidRDefault="0049577B" w:rsidP="00C739F8">
      <w:pPr>
        <w:spacing w:line="240" w:lineRule="auto"/>
        <w:ind w:leftChars="0" w:left="0" w:rightChars="0" w:right="0"/>
      </w:pPr>
      <w:r w:rsidRPr="00B40DC1">
        <w:t xml:space="preserve">　　惟該敘利亞籍配偶雖已於台灣完成結婚戶籍登記，但其欲以配偶身分申請來台依親居留時，經洽詢我國駐其居留國之辦事處人員，被告知無法核發來台之居留簽證，其主要理由係因無法提供有效之外國護照</w:t>
      </w:r>
      <w:r w:rsidRPr="00C739F8">
        <w:rPr>
          <w:rStyle w:val="af7"/>
          <w:rFonts w:eastAsia="新細明體"/>
          <w:sz w:val="20"/>
        </w:rPr>
        <w:footnoteReference w:id="581"/>
      </w:r>
      <w:r w:rsidRPr="00B40DC1">
        <w:t>；惟事實上，該敘利亞籍配偶之敘利亞護照已逾期且無從更新，如要以難民身分在居留國取得國籍其獲核發該居留國護照，其居留期間尚須相當長久，因此，在無法取得合法有效之外國護照之前，該敘利亞籍女子雖為我國國民之配偶，但卻無法與我國人團聚，嚴重損及家庭生活權，恐有違反「公民與政治權利國際公約」對家庭權保障之規範</w:t>
      </w:r>
      <w:r w:rsidRPr="00C739F8">
        <w:rPr>
          <w:rStyle w:val="af7"/>
          <w:rFonts w:eastAsia="新細明體"/>
          <w:sz w:val="20"/>
        </w:rPr>
        <w:footnoteReference w:id="582"/>
      </w:r>
      <w:r w:rsidRPr="00B40DC1">
        <w:t>。</w:t>
      </w:r>
    </w:p>
    <w:p w:rsidR="0049577B" w:rsidRPr="00B40DC1" w:rsidRDefault="00C739F8" w:rsidP="00C739F8">
      <w:pPr>
        <w:spacing w:line="240" w:lineRule="auto"/>
        <w:ind w:leftChars="0" w:left="0" w:rightChars="0" w:right="0"/>
      </w:pPr>
      <w:r>
        <w:t xml:space="preserve">　　</w:t>
      </w:r>
      <w:r w:rsidR="0049577B" w:rsidRPr="00B40DC1">
        <w:t>本文作者之同事，費盡許多之心思，動用很多之人脈關係，終於說服外交部願意核發簽證給予其敘利亞籍媳婦，在此過程之中，筆者亦可深刻地感受到當事人是何等之煎熬。由本案例之中可得知，假若國人之外籍配偶，係為難民身分，其欲進入台灣，與其本國籍之配偶團聚，是何等之困難，可以用4個字形容之，「難如登天」，本書擬建議行政機關(外交部)，宜重視與遵守「公民與政治權利國際公約」對家庭權保障之規範，難民亦受到「公民與政治權利國際公約」有關家庭權權利規範之保障，不容加以剝奪之。作者擬向讀者諸君就教一個小問題：敘利亞籍之女難民，究意是否為「人」？敘利亞籍之女難民，究意是否為「公民與政治權利國際公約」所保障之對象？答案是肯定的。本書於此，擬再次強調，依據「</w:t>
      </w:r>
      <w:r w:rsidR="00B4647C" w:rsidRPr="00F020E7">
        <w:rPr>
          <w:rFonts w:hint="eastAsia"/>
        </w:rPr>
        <w:t>公民與政治權利國際公約</w:t>
      </w:r>
      <w:r w:rsidR="0049577B" w:rsidRPr="00B40DC1">
        <w:t>及經濟社會文化權利國際公約施行法」</w:t>
      </w:r>
      <w:hyperlink r:id="rId653" w:anchor="a4" w:history="1">
        <w:r w:rsidR="0049577B" w:rsidRPr="00F020E7">
          <w:rPr>
            <w:rStyle w:val="a7"/>
            <w:rFonts w:cs="Times New Roman"/>
            <w:lang w:eastAsia="zh-TW" w:bidi="ar-SA"/>
          </w:rPr>
          <w:t>第4條</w:t>
        </w:r>
      </w:hyperlink>
      <w:r w:rsidR="0049577B" w:rsidRPr="00B40DC1">
        <w:t>之規定，「各級政府機關行使其職權，應符合兩公約有關人權保障之規定，避免侵害人權，保護人民不受他人侵害，並應積極促進各項人權之實現。」此處之人權，解釋上，宜包括：國人之外籍配偶---敘利亞籍之女難民之人權。</w:t>
      </w:r>
    </w:p>
    <w:p w:rsidR="0049577B" w:rsidRDefault="0049577B" w:rsidP="00C739F8">
      <w:pPr>
        <w:spacing w:line="240" w:lineRule="auto"/>
        <w:ind w:leftChars="0" w:left="0" w:rightChars="0" w:right="0"/>
      </w:pPr>
      <w:r w:rsidRPr="00B40DC1">
        <w:t xml:space="preserve">　　就此一實例研析，在地球村觀念盛行的國際社會中，台灣配偶因國籍別之差異及原屬國之環境背景因素，即無法享有家庭團聚權，除嚴重影響其來台生活之平等權益，亦有違我國制定兩公約施行法之精神</w:t>
      </w:r>
      <w:r w:rsidRPr="00C739F8">
        <w:rPr>
          <w:rStyle w:val="af7"/>
          <w:rFonts w:eastAsia="新細明體"/>
          <w:sz w:val="20"/>
        </w:rPr>
        <w:footnoteReference w:id="583"/>
      </w:r>
      <w:r w:rsidRPr="00B40DC1">
        <w:t>；然而，核發外國人簽證，係屬國家主權行使之範疇，因此，</w:t>
      </w:r>
      <w:hyperlink r:id="rId654" w:history="1">
        <w:r w:rsidRPr="00F020E7">
          <w:rPr>
            <w:rStyle w:val="a7"/>
            <w:rFonts w:cs="Times New Roman"/>
            <w:lang w:eastAsia="zh-TW" w:bidi="ar-SA"/>
          </w:rPr>
          <w:t>行政程序法</w:t>
        </w:r>
      </w:hyperlink>
      <w:r w:rsidRPr="00B40DC1">
        <w:t>亦將外國人入出境行為排除於行政程序之適用</w:t>
      </w:r>
      <w:r w:rsidRPr="00C739F8">
        <w:rPr>
          <w:rStyle w:val="af7"/>
          <w:rFonts w:eastAsia="新細明體"/>
          <w:sz w:val="20"/>
        </w:rPr>
        <w:footnoteReference w:id="584"/>
      </w:r>
      <w:r w:rsidRPr="00B40DC1">
        <w:t>，惟國家主權之行使，究竟應否凌駕國人之家庭團聚權利，或能基於平等對待及禁止歧視之原則下，給予外籍配偶一律平等之待遇，殊值討論。</w:t>
      </w:r>
    </w:p>
    <w:p w:rsidR="00A951A1" w:rsidRPr="00B40DC1" w:rsidRDefault="00A951A1" w:rsidP="00A951A1">
      <w:pPr>
        <w:spacing w:line="240" w:lineRule="auto"/>
        <w:ind w:leftChars="0" w:left="0" w:rightChars="0" w:right="0"/>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C739F8">
      <w:pPr>
        <w:pStyle w:val="3"/>
        <w:rPr>
          <w:lang w:eastAsia="zh-TW"/>
        </w:rPr>
      </w:pPr>
      <w:bookmarkStart w:id="135" w:name="_三、在臺從事違法行為之後續處置情形"/>
      <w:bookmarkEnd w:id="135"/>
      <w:r w:rsidRPr="00B40DC1">
        <w:rPr>
          <w:lang w:eastAsia="zh-TW"/>
        </w:rPr>
        <w:t>三、在臺從事違法行為之後續處置情形</w:t>
      </w:r>
    </w:p>
    <w:p w:rsidR="0049577B" w:rsidRDefault="0049577B" w:rsidP="00A951A1">
      <w:pPr>
        <w:spacing w:line="240" w:lineRule="auto"/>
        <w:ind w:leftChars="0" w:left="0" w:rightChars="0" w:right="0"/>
      </w:pPr>
      <w:r w:rsidRPr="00B40DC1">
        <w:t xml:space="preserve">　　通常在討論外籍及大陸配偶之權益衡平性，大都是從對於兩者正面之權益進行研討，鮮少討論其在臺違法之處分(罰)行為，而實際上，兩者在臺違法違規之處置狀況不同，亦深深影響其權益。以單純之逾期居留為例，外籍配偶在臺若逾期停留未滿30日，應繳納新臺幣2,000至1萬元之罰鍰，毋須出境，即可向移民署重新申請居留，僅於申請永久居留或定居時，核算在臺灣地區居留期間，應扣除1年</w:t>
      </w:r>
      <w:r w:rsidRPr="00A951A1">
        <w:rPr>
          <w:rStyle w:val="af7"/>
          <w:rFonts w:eastAsia="新細明體"/>
          <w:sz w:val="20"/>
        </w:rPr>
        <w:footnoteReference w:id="585"/>
      </w:r>
      <w:r w:rsidRPr="00B40DC1">
        <w:t>，對於外籍配偶在臺之家庭生活，並無實質上之影響。而大陸配偶在臺若有逾期居留之情形，雖然不用罰鍰，但不論逾期天數多長，均需廢止其居留許可，註銷居留證件，並予強制出境，並限制一定期間內不得再許可其在臺居留，若大陸配偶在臺育有已設戶籍之未成年親生子女者，則不限制其再次申請居留之期間，但仍是須先行強制出境後，再令其申請入境，且將影響將來申請定居之權益，對其在臺家庭生活影響甚大</w:t>
      </w:r>
      <w:r w:rsidRPr="00C739F8">
        <w:rPr>
          <w:rStyle w:val="af7"/>
          <w:rFonts w:eastAsia="新細明體"/>
          <w:sz w:val="20"/>
        </w:rPr>
        <w:footnoteReference w:id="586"/>
      </w:r>
      <w:r w:rsidRPr="00B40DC1">
        <w:t>。</w:t>
      </w:r>
    </w:p>
    <w:p w:rsidR="00865ADB" w:rsidRPr="00B40DC1" w:rsidRDefault="00865ADB" w:rsidP="00865ADB">
      <w:pPr>
        <w:spacing w:line="240" w:lineRule="auto"/>
        <w:ind w:leftChars="0" w:left="0" w:rightChars="0" w:right="0"/>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C739F8">
      <w:pPr>
        <w:pStyle w:val="3"/>
        <w:rPr>
          <w:lang w:eastAsia="zh-TW"/>
        </w:rPr>
      </w:pPr>
      <w:bookmarkStart w:id="136" w:name="_四、集會遊行及結社"/>
      <w:bookmarkEnd w:id="136"/>
      <w:r w:rsidRPr="00B40DC1">
        <w:rPr>
          <w:lang w:eastAsia="zh-TW"/>
        </w:rPr>
        <w:t>四、集會遊行及結社</w:t>
      </w:r>
    </w:p>
    <w:p w:rsidR="0049577B" w:rsidRPr="00B40DC1" w:rsidRDefault="0049577B" w:rsidP="005F2057">
      <w:pPr>
        <w:spacing w:line="240" w:lineRule="auto"/>
        <w:ind w:leftChars="0" w:left="0" w:rightChars="0" w:right="0"/>
      </w:pPr>
      <w:r w:rsidRPr="00B40DC1">
        <w:t xml:space="preserve">　　以我國憲法</w:t>
      </w:r>
      <w:hyperlink r:id="rId655" w:anchor="a14" w:history="1">
        <w:r w:rsidRPr="00F020E7">
          <w:rPr>
            <w:rStyle w:val="a7"/>
            <w:rFonts w:cs="Times New Roman"/>
            <w:lang w:eastAsia="zh-TW" w:bidi="ar-SA"/>
          </w:rPr>
          <w:t>第14條</w:t>
        </w:r>
      </w:hyperlink>
      <w:r w:rsidRPr="00B40DC1">
        <w:t>規定，人民有集會及結社之自由；本條文所稱之主體為人民，而非為中華民國人民</w:t>
      </w:r>
      <w:r w:rsidRPr="00C739F8">
        <w:rPr>
          <w:rStyle w:val="af7"/>
          <w:rFonts w:eastAsia="新細明體"/>
          <w:sz w:val="20"/>
        </w:rPr>
        <w:footnoteReference w:id="587"/>
      </w:r>
      <w:r w:rsidRPr="00B40DC1">
        <w:t>或國民</w:t>
      </w:r>
      <w:r w:rsidRPr="00C739F8">
        <w:rPr>
          <w:rStyle w:val="af7"/>
          <w:rFonts w:eastAsia="新細明體"/>
          <w:sz w:val="20"/>
        </w:rPr>
        <w:footnoteReference w:id="588"/>
      </w:r>
      <w:r w:rsidRPr="00B40DC1">
        <w:t>，所稱中華民國人民，應指一個中國觀念下之所有人民，而不單指居住於在臺灣之人民；所稱國民，應指具有中華民國國籍之人民，進一步區分之，又可分為無戶籍國民及設有戶籍之國民；而僅稱之為人民者，則應泛指在臺居住之所有人民，就其法律概念，應包含合法居留之外來人口在內；亦就是說，在</w:t>
      </w:r>
      <w:hyperlink r:id="rId656" w:history="1">
        <w:r w:rsidRPr="00F020E7">
          <w:rPr>
            <w:rStyle w:val="a7"/>
            <w:rFonts w:cs="Times New Roman"/>
            <w:lang w:eastAsia="zh-TW" w:bidi="ar-SA"/>
          </w:rPr>
          <w:t>憲法</w:t>
        </w:r>
      </w:hyperlink>
      <w:r w:rsidRPr="00B40DC1">
        <w:t>之架構之下，是有賦予外來人口在臺集會結社之自由之權利。</w:t>
      </w:r>
    </w:p>
    <w:p w:rsidR="0049577B" w:rsidRPr="00B40DC1" w:rsidRDefault="0049577B" w:rsidP="005F2057">
      <w:pPr>
        <w:spacing w:line="240" w:lineRule="auto"/>
        <w:ind w:leftChars="0" w:left="0" w:rightChars="0" w:right="0"/>
      </w:pPr>
      <w:r w:rsidRPr="00B40DC1">
        <w:t xml:space="preserve">　　外籍配偶在此方面是享有較自由之權益，合法居留之外籍配偶可參加集會遊行</w:t>
      </w:r>
      <w:r w:rsidRPr="00C739F8">
        <w:rPr>
          <w:rStyle w:val="af7"/>
          <w:rFonts w:eastAsia="新細明體"/>
          <w:sz w:val="20"/>
        </w:rPr>
        <w:footnoteReference w:id="589"/>
      </w:r>
      <w:r w:rsidRPr="00B40DC1">
        <w:t>，且「</w:t>
      </w:r>
      <w:hyperlink r:id="rId657" w:history="1">
        <w:r w:rsidR="004B3637" w:rsidRPr="004B3637">
          <w:rPr>
            <w:rStyle w:val="a7"/>
            <w:rFonts w:cs="Times New Roman"/>
            <w:lang w:eastAsia="zh-TW" w:bidi="ar-SA"/>
          </w:rPr>
          <w:t>入出國及移民法</w:t>
        </w:r>
      </w:hyperlink>
      <w:r w:rsidRPr="00B40DC1">
        <w:t>」並未有外籍配偶不得結社之相關規範，而「</w:t>
      </w:r>
      <w:hyperlink r:id="rId658" w:history="1">
        <w:r w:rsidRPr="00F020E7">
          <w:rPr>
            <w:rStyle w:val="a7"/>
            <w:rFonts w:cs="Times New Roman"/>
            <w:lang w:eastAsia="zh-TW" w:bidi="ar-SA"/>
          </w:rPr>
          <w:t>人民團體法</w:t>
        </w:r>
      </w:hyperlink>
      <w:r w:rsidRPr="00B40DC1">
        <w:t>」亦未將外國籍會員排除在外，因此，合法居留之外籍配偶，在臺是享有較充分之集會結社自由。但現行大陸相關法令規範，並無明確訂定大陸配偶得否在臺集會遊行之規定，且由於我國對於大陸地區人民之政治敏感度較高，通常對於參加集會遊行之大陸地區人民，會視為從事與許可目的不符之活動，此對大陸配偶是相當沒有保障，大陸配偶得否參加集會遊行應有一定之規範存在，如此，始能令大陸配偶有法可循，亦令執法人員可明確依法行政。另外，大陸配偶除非在臺設籍滿10年以上，否則不得組織政黨</w:t>
      </w:r>
      <w:r w:rsidRPr="00C739F8">
        <w:rPr>
          <w:rStyle w:val="af7"/>
          <w:rFonts w:eastAsia="新細明體"/>
          <w:sz w:val="20"/>
        </w:rPr>
        <w:footnoteReference w:id="590"/>
      </w:r>
      <w:r w:rsidRPr="00B40DC1">
        <w:t>，比起外籍配偶結社之權益而言雖然相當嚴苛，但礙於兩岸政治狀況之因素，大陸配偶在臺結社之可能性，仍是微乎其微。但其結社之權利，仍應受到平等保障為宜。在臺設籍滿10年以上之條件，是否過嚴？亦容有討論之空間。</w:t>
      </w:r>
    </w:p>
    <w:p w:rsidR="0049577B" w:rsidRPr="00B40DC1" w:rsidRDefault="00A951A1" w:rsidP="00A951A1">
      <w:pPr>
        <w:pStyle w:val="afffffff"/>
        <w:spacing w:before="180" w:after="180"/>
        <w:ind w:left="723" w:hanging="440"/>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C739F8">
      <w:pPr>
        <w:pStyle w:val="3"/>
        <w:rPr>
          <w:lang w:eastAsia="zh-TW"/>
        </w:rPr>
      </w:pPr>
      <w:bookmarkStart w:id="137" w:name="_五、學歷認證及受教育權"/>
      <w:bookmarkEnd w:id="137"/>
      <w:r w:rsidRPr="00B40DC1">
        <w:rPr>
          <w:lang w:eastAsia="zh-TW"/>
        </w:rPr>
        <w:t>五、學歷認證及受教育權</w:t>
      </w:r>
    </w:p>
    <w:p w:rsidR="0049577B" w:rsidRPr="00B40DC1" w:rsidRDefault="0049577B" w:rsidP="005F2057">
      <w:pPr>
        <w:spacing w:line="240" w:lineRule="auto"/>
        <w:ind w:leftChars="0" w:left="0" w:rightChars="0" w:right="0"/>
      </w:pPr>
      <w:r w:rsidRPr="00B40DC1">
        <w:t xml:space="preserve">　　在競爭激烈之現代社會中，個人之教育程度已被視為工作徵才重要參考條件之一部分，連政府機關內之約僱人員計薪標準，亦是以教育程度作為區分，雖然俗話常稱身懷一技之長勝過萬貫家產，但現實社會環境中，除有一技之長之外，大部分在職場內擔任重要職位，仍是都具有一定之教育程度。在臺居住之外籍及大陸配偶，不論是因家庭經濟、個人社交需求或興趣因素所致，大部分均會外出求職工作，部分外籍及大陸配偶為配合職場工作之需要，亦會選擇在臺繼續進修深造，以取得更高級之學歷。但外籍及大陸配偶在原屬國或大陸地區所取得之學歷，在臺通常會面臨兩種問題，一是認證程序繁複，二是其學歷甚至不被臺灣認同。</w:t>
      </w:r>
    </w:p>
    <w:p w:rsidR="0049577B" w:rsidRPr="00B40DC1" w:rsidRDefault="0049577B" w:rsidP="005F2057">
      <w:pPr>
        <w:spacing w:line="240" w:lineRule="auto"/>
        <w:ind w:leftChars="0" w:left="0" w:rightChars="0" w:right="0"/>
      </w:pPr>
      <w:r w:rsidRPr="00B40DC1">
        <w:t xml:space="preserve">　　外籍配偶申請學歷認證程序相當繁複，必須先把畢業證書送至翻譯社翻成英語，此時即已經要先花上一筆可觀之翻議費用，然後再送至臺灣駐外代表處進行驗證，由代表處審查該學校是否合法登記立案及學制問題後，通過審查，取得學歷認證再送至臺灣外交部，申請人仍要送律師事務所公證，再翻譯成中文始能使用。每一道手續費用加起來須新台幣4、5千元，往往得費時1個月始能完成流程。</w:t>
      </w:r>
    </w:p>
    <w:p w:rsidR="0049577B" w:rsidRPr="00B40DC1" w:rsidRDefault="00C739F8" w:rsidP="005F2057">
      <w:pPr>
        <w:spacing w:line="240" w:lineRule="auto"/>
        <w:ind w:leftChars="0" w:left="0" w:rightChars="0" w:right="0"/>
      </w:pPr>
      <w:r>
        <w:t xml:space="preserve">　　</w:t>
      </w:r>
      <w:r w:rsidR="0049577B" w:rsidRPr="00B40DC1">
        <w:t>同樣之問題對陸配之影響更為明顯，陸配最大之困難即為學歷證明，我國只承認大陸地區41所大學且排除醫事學歷。大陸配偶雖可申請高中學歷認證，仍要請家人找出畢業證書，在大陸地區辦妥公證程序，寄至我國財團法人海峽交流基金會，申請人進行驗證之流程，辦理程序要花上1、2個月時間，曠日廢時。大陸配偶之學歷認證是其在臺工作、照顧家庭之主要限制。不少擁有大學學歷之大陸配偶受限於學歷證明，在臺灣大多只能從事清潔工作或至製造業工作</w:t>
      </w:r>
      <w:r w:rsidR="0049577B" w:rsidRPr="00C739F8">
        <w:rPr>
          <w:rStyle w:val="af7"/>
          <w:rFonts w:eastAsia="新細明體"/>
          <w:sz w:val="20"/>
        </w:rPr>
        <w:footnoteReference w:id="591"/>
      </w:r>
      <w:r w:rsidR="0049577B" w:rsidRPr="00B40DC1">
        <w:t>。</w:t>
      </w:r>
    </w:p>
    <w:p w:rsidR="0049577B" w:rsidRDefault="0049577B" w:rsidP="005F2057">
      <w:pPr>
        <w:spacing w:line="240" w:lineRule="auto"/>
        <w:ind w:leftChars="0" w:left="0" w:rightChars="0" w:right="0"/>
      </w:pPr>
      <w:r w:rsidRPr="00B40DC1">
        <w:t xml:space="preserve">　　因此，學歷認證問題不單純僅是影響外籍及大陸配偶在臺之最高學歷證明，而是會直接影響其工作權及受教育權，尤其在我國目前人才流失嚴重，求才若渴之狀況下，若僅因學歷認證問題，而平白抹煞這些長期居住在臺灣具有優秀學經歷之外籍及大陸配偶可對臺灣付出之貢獻，對我國而言，何嘗不是一種損失。</w:t>
      </w:r>
    </w:p>
    <w:p w:rsidR="00865ADB" w:rsidRPr="00B40DC1" w:rsidRDefault="00865ADB" w:rsidP="00865ADB">
      <w:pPr>
        <w:spacing w:line="240" w:lineRule="auto"/>
        <w:ind w:leftChars="0" w:left="0" w:rightChars="0" w:right="0"/>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C739F8">
      <w:pPr>
        <w:pStyle w:val="3"/>
        <w:rPr>
          <w:lang w:eastAsia="zh-TW"/>
        </w:rPr>
      </w:pPr>
      <w:r w:rsidRPr="00B40DC1">
        <w:rPr>
          <w:lang w:eastAsia="zh-TW"/>
        </w:rPr>
        <w:t>六、小結</w:t>
      </w:r>
    </w:p>
    <w:p w:rsidR="0049577B" w:rsidRPr="00B40DC1" w:rsidRDefault="0049577B" w:rsidP="00A951A1">
      <w:pPr>
        <w:spacing w:line="240" w:lineRule="auto"/>
        <w:ind w:leftChars="0" w:left="0" w:rightChars="0" w:right="0"/>
      </w:pPr>
      <w:r w:rsidRPr="00B40DC1">
        <w:t xml:space="preserve">　　就新住民之平等權而論，可以探討之議題相當廣泛，諸如入籍年限、保證人、定居數額、財力證明及入出境許可證等問題</w:t>
      </w:r>
      <w:r w:rsidRPr="00C739F8">
        <w:rPr>
          <w:rStyle w:val="af7"/>
          <w:rFonts w:eastAsia="新細明體"/>
          <w:sz w:val="20"/>
        </w:rPr>
        <w:footnoteReference w:id="592"/>
      </w:r>
      <w:r w:rsidRPr="00B40DC1">
        <w:t>，亦都是社會所關注之議題；惟本文所提之二個案例，均屬家庭團聚權之議題，主要是因為大部分之新住民配偶來臺後，主要之生活重心，均著重在家庭上，並由家庭需求為中心，再延伸出經濟（如工作）及社會（如醫療、教育）權益上之需求，而在滿足經濟及社會權益等需求後，最終仍會回饋至家庭需求上，故新住民配偶最需要被重視者，仍是聚焦於家庭生活之相關權益，又此二案例都是作者切身處理之問題，更能顯示出新住民來台生活權益仍存在許多不平等之問題，待人發掘。</w:t>
      </w:r>
    </w:p>
    <w:p w:rsidR="0049577B" w:rsidRPr="00A951A1" w:rsidRDefault="00A951A1" w:rsidP="00A951A1">
      <w:pPr>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38" w:name="_伍、結論與建議"/>
      <w:bookmarkEnd w:id="138"/>
      <w:r w:rsidRPr="00B40DC1">
        <w:t>伍、結論與建議</w:t>
      </w:r>
    </w:p>
    <w:p w:rsidR="0049577B" w:rsidRPr="007010AD" w:rsidRDefault="0049577B" w:rsidP="007010AD">
      <w:pPr>
        <w:spacing w:line="240" w:lineRule="auto"/>
        <w:ind w:leftChars="0" w:left="0" w:rightChars="0" w:right="0"/>
      </w:pPr>
      <w:r w:rsidRPr="007010AD">
        <w:t xml:space="preserve">　　在探討外籍與大陸配偶申請來台之相關法令規範後，不難發現兩者之間之規範雖然有不同，但整體上而言，我國對於外籍配偶在臺生活之權益照顧上，確實較優於大陸配偶，主要原因仍是在於兩者之身分本有差別，不論是基於國家安全或政治因素考量，我國對於大陸地區人民普遍仍是存有相當之防備心態，此種潛在敵視之意識型態，除可從國家法制深切感受外，從國民態度亦可窺見一般。再者，國家與國家之間所重視者，是彼此間互惠原則，對經貿交易互惠，對彼此國民往來亦是一種互惠關係之發展。</w:t>
      </w:r>
    </w:p>
    <w:p w:rsidR="0049577B" w:rsidRPr="007010AD" w:rsidRDefault="007010AD" w:rsidP="007010AD">
      <w:pPr>
        <w:spacing w:line="240" w:lineRule="auto"/>
        <w:ind w:leftChars="0" w:left="0" w:rightChars="0" w:right="0"/>
      </w:pPr>
      <w:r w:rsidRPr="007010AD">
        <w:t xml:space="preserve">　　</w:t>
      </w:r>
      <w:r w:rsidR="0049577B" w:rsidRPr="007010AD">
        <w:t>我國與大陸地區既難稱為國家對國家關係，又大陸地區一向認為與我國交流，並非為平等互惠，而是在「讓利」</w:t>
      </w:r>
      <w:r w:rsidR="0049577B" w:rsidRPr="00AB1C64">
        <w:rPr>
          <w:rFonts w:ascii="Arial Unicode MS" w:eastAsia="新細明體" w:hAnsi="Arial Unicode MS"/>
          <w:color w:val="FF6600"/>
          <w:sz w:val="20"/>
        </w:rPr>
        <w:footnoteReference w:id="593"/>
      </w:r>
      <w:r w:rsidR="0049577B" w:rsidRPr="007010AD">
        <w:t>，種種因素，均為政府遲遲不敢大刀闊斧之推動推動兩岸全面交流之原因，故各項大陸政策改革方面，均須仔細考量國安狀況、政治情勢、輿論反應及社會資源分配等問題，完成相關配套作為，再步步為營，循序開放。對於大陸政策方向是如此，對於大陸配偶在臺權益衡平之問題，亦復如是，大陸與外籍配偶在身分明顯區別之情況之下，若欲一步到位全面平衡兩者之權益，勢必將會面臨現行兩岸法制體系之挑戰，以及影響國民普遍之觀感，但若視若無睹，又會持續遭受人權團體之抨擊，實為兩難。</w:t>
      </w:r>
    </w:p>
    <w:p w:rsidR="0049577B" w:rsidRPr="007010AD" w:rsidRDefault="007010AD" w:rsidP="007010AD">
      <w:pPr>
        <w:spacing w:line="240" w:lineRule="auto"/>
        <w:ind w:leftChars="0" w:left="0" w:rightChars="0" w:right="0"/>
      </w:pPr>
      <w:r w:rsidRPr="007010AD">
        <w:t xml:space="preserve">　　</w:t>
      </w:r>
      <w:r w:rsidR="0049577B" w:rsidRPr="007010AD">
        <w:t>我國一向奉人權為圭臬，雖然與大陸地區之特殊關係，影響至大陸配偶在臺之生活權益，但對於人身自由權、家庭權及生存權等基本權益，仍應該給予照顧，不應與外籍配偶有所差別。</w:t>
      </w:r>
    </w:p>
    <w:p w:rsidR="0049577B" w:rsidRPr="007010AD" w:rsidRDefault="007010AD" w:rsidP="007010AD">
      <w:pPr>
        <w:spacing w:line="240" w:lineRule="auto"/>
        <w:ind w:leftChars="0" w:left="0" w:rightChars="0" w:right="0"/>
      </w:pPr>
      <w:r w:rsidRPr="007010AD">
        <w:t xml:space="preserve">　　</w:t>
      </w:r>
      <w:r w:rsidR="0049577B" w:rsidRPr="007010AD">
        <w:t>大部分之新住民配偶來臺後，主要之生活重心，均著重在家庭上，並由家庭需求為中心，再延伸出經濟（如工作）及社會（如醫療、教育）權益上之需求，而在滿足經濟及社會權益等需求後，最終仍會回饋至家庭需求上，故新住民配偶最需要被重視者，仍是聚焦於家庭生活之相關權益。因此，新住民配偶之家庭生活權益，是不應被區分為外籍或大陸配偶之身分，而享有不同之權益，此亦是世界人權宣言所規定之區塊，人人之家庭生活有受法律保護免於被干涉之權。</w:t>
      </w:r>
    </w:p>
    <w:p w:rsidR="0049577B" w:rsidRPr="007010AD" w:rsidRDefault="0049577B" w:rsidP="007010AD">
      <w:pPr>
        <w:spacing w:line="240" w:lineRule="auto"/>
        <w:ind w:leftChars="0" w:left="0" w:rightChars="0" w:right="0"/>
      </w:pPr>
      <w:r w:rsidRPr="007010AD">
        <w:t xml:space="preserve">　　新住民配偶之家庭生活權益，是不應被區分為外籍或大陸配偶之身分，而享有不同之權益，此亦是世界人權宣言所規定之人人之家庭生活有受法律保護免於被干涉之權。</w:t>
      </w:r>
    </w:p>
    <w:p w:rsidR="0049577B" w:rsidRDefault="0049577B" w:rsidP="007010AD">
      <w:pPr>
        <w:spacing w:line="240" w:lineRule="auto"/>
        <w:ind w:leftChars="0" w:left="0" w:rightChars="0" w:right="0"/>
      </w:pPr>
      <w:r w:rsidRPr="007010AD">
        <w:t xml:space="preserve">　　綜整本文之研究與探討之議題，茲提出以下建議：</w:t>
      </w:r>
    </w:p>
    <w:p w:rsidR="00865ADB" w:rsidRPr="007010AD" w:rsidRDefault="00865ADB" w:rsidP="00865ADB">
      <w:pPr>
        <w:spacing w:line="240" w:lineRule="auto"/>
        <w:ind w:leftChars="0" w:left="0" w:rightChars="0" w:right="0"/>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7010AD" w:rsidRDefault="0049577B" w:rsidP="007010AD">
      <w:pPr>
        <w:pStyle w:val="3"/>
        <w:rPr>
          <w:lang w:eastAsia="zh-TW"/>
        </w:rPr>
      </w:pPr>
      <w:bookmarkStart w:id="139" w:name="_一、外籍及大陸配偶之規範仍有再予衡平之空間"/>
      <w:bookmarkEnd w:id="139"/>
      <w:r w:rsidRPr="007010AD">
        <w:rPr>
          <w:lang w:eastAsia="zh-TW"/>
        </w:rPr>
        <w:t>一、外籍及大陸配偶之規範仍有再予衡平之空間</w:t>
      </w:r>
    </w:p>
    <w:p w:rsidR="0049577B" w:rsidRPr="007010AD" w:rsidRDefault="0049577B" w:rsidP="007010AD">
      <w:pPr>
        <w:spacing w:line="240" w:lineRule="auto"/>
        <w:ind w:leftChars="0" w:left="0" w:rightChars="0" w:right="0"/>
      </w:pPr>
      <w:r w:rsidRPr="007010AD">
        <w:t xml:space="preserve">　　根據本文前段探討結果，外籍配偶、大陸配偶申請來台之規範及相關權益並未趨於一致</w:t>
      </w:r>
      <w:r w:rsidRPr="00AB1C64">
        <w:rPr>
          <w:rFonts w:ascii="Arial Unicode MS" w:eastAsia="新細明體" w:hAnsi="Arial Unicode MS"/>
          <w:color w:val="FF6600"/>
          <w:sz w:val="20"/>
        </w:rPr>
        <w:footnoteReference w:id="594"/>
      </w:r>
      <w:r w:rsidRPr="007010AD">
        <w:t>，且申請定居之條件亦有差異性。基於國人之立場，與不同國籍（或地區）之配偶結婚，均屬我國人之配偶，其在台各種權益應為平等，亦不致與前文所述司法院釋字第</w:t>
      </w:r>
      <w:hyperlink r:id="rId659" w:anchor="r694" w:history="1">
        <w:r w:rsidRPr="00683889">
          <w:rPr>
            <w:rStyle w:val="a7"/>
            <w:rFonts w:cs="Times New Roman"/>
            <w:lang w:eastAsia="zh-TW" w:bidi="ar-SA"/>
          </w:rPr>
          <w:t>六九四</w:t>
        </w:r>
      </w:hyperlink>
      <w:r w:rsidRPr="007010AD">
        <w:t>號解釋文之意旨扞格。</w:t>
      </w:r>
    </w:p>
    <w:p w:rsidR="0049577B" w:rsidRDefault="0049577B" w:rsidP="007010AD">
      <w:pPr>
        <w:spacing w:line="240" w:lineRule="auto"/>
        <w:ind w:leftChars="0" w:left="0" w:rightChars="0" w:right="0"/>
      </w:pPr>
      <w:r w:rsidRPr="007010AD">
        <w:t xml:space="preserve">　　如此，依目前我國之</w:t>
      </w:r>
      <w:hyperlink r:id="rId660" w:history="1">
        <w:r w:rsidR="004B3637" w:rsidRPr="004B3637">
          <w:rPr>
            <w:rStyle w:val="a7"/>
            <w:rFonts w:cs="Times New Roman"/>
            <w:lang w:eastAsia="zh-TW" w:bidi="ar-SA"/>
          </w:rPr>
          <w:t>入出國及移民法</w:t>
        </w:r>
      </w:hyperlink>
      <w:r w:rsidRPr="007010AD">
        <w:t>、</w:t>
      </w:r>
      <w:hyperlink r:id="rId661" w:history="1">
        <w:r w:rsidRPr="004B3637">
          <w:rPr>
            <w:rStyle w:val="a7"/>
            <w:rFonts w:cs="Times New Roman"/>
            <w:lang w:eastAsia="zh-TW" w:bidi="ar-SA"/>
          </w:rPr>
          <w:t>國籍法</w:t>
        </w:r>
      </w:hyperlink>
      <w:r w:rsidRPr="007010AD">
        <w:t>、</w:t>
      </w:r>
      <w:hyperlink r:id="rId662" w:history="1">
        <w:r w:rsidR="00FD5837" w:rsidRPr="00FD5837">
          <w:rPr>
            <w:rStyle w:val="a7"/>
            <w:rFonts w:cs="Times New Roman"/>
            <w:lang w:eastAsia="zh-TW" w:bidi="ar-SA"/>
          </w:rPr>
          <w:t>臺灣地區與大陸地區人民關係條例</w:t>
        </w:r>
      </w:hyperlink>
      <w:r w:rsidRPr="007010AD">
        <w:t>及</w:t>
      </w:r>
      <w:hyperlink r:id="rId663" w:history="1">
        <w:r w:rsidR="00FD5837" w:rsidRPr="00FD5837">
          <w:rPr>
            <w:rStyle w:val="a7"/>
            <w:rFonts w:cs="Times New Roman"/>
            <w:sz w:val="24"/>
            <w:szCs w:val="24"/>
            <w:lang w:eastAsia="zh-TW" w:bidi="ar-SA"/>
          </w:rPr>
          <w:t>香港澳門關係條例</w:t>
        </w:r>
      </w:hyperlink>
      <w:r w:rsidRPr="007010AD">
        <w:t>對於各國籍（或地區）配偶之相關權益規範，均尚有再予衡平之調整空間；惟前述法規之主管機關（單位）均不同，各自為政修法，恐難有整合效果，目前，行政院已成立「新住民事務協調會報」負責統整新住民權益相關事宜，未來，行政院仍可考量組成新住民事務委員會，提升新住民事務處理之層級，更能落實新住民配偶權益之維護。</w:t>
      </w:r>
    </w:p>
    <w:p w:rsidR="00AB1C64" w:rsidRPr="007010AD" w:rsidRDefault="00AB1C64" w:rsidP="00AB1C64">
      <w:pPr>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7010AD">
      <w:pPr>
        <w:pStyle w:val="3"/>
        <w:rPr>
          <w:lang w:eastAsia="zh-TW"/>
        </w:rPr>
      </w:pPr>
      <w:bookmarkStart w:id="140" w:name="_二、修法以維護新住民配偶之家庭團聚權"/>
      <w:bookmarkEnd w:id="140"/>
      <w:r w:rsidRPr="00B40DC1">
        <w:rPr>
          <w:lang w:eastAsia="zh-TW"/>
        </w:rPr>
        <w:t>二、修法以維護新住民配偶之家庭團聚權</w:t>
      </w:r>
    </w:p>
    <w:p w:rsidR="0049577B" w:rsidRPr="00B40DC1" w:rsidRDefault="0049577B" w:rsidP="007010AD">
      <w:pPr>
        <w:spacing w:line="240" w:lineRule="auto"/>
        <w:ind w:leftChars="0" w:left="0" w:rightChars="0" w:right="0"/>
      </w:pPr>
      <w:r w:rsidRPr="00B40DC1">
        <w:rPr>
          <w:b/>
        </w:rPr>
        <w:t xml:space="preserve">　　</w:t>
      </w:r>
      <w:r w:rsidRPr="00B40DC1">
        <w:t>前文所舉兩類案例探討陸配子女來台照料及敘利亞籍配偶無法來台依親之問題，均已家庭團聚權相關；新住民配偶即使取得中華民國身分證且在台設籍，在家庭團聚權的部分，因原生家庭之家人仍為外來人口，實質上仍無法與國人配偶完全一致；建議對於我國人之新住民配偶，其原生家庭之一定親等內之親屬，應維護其團聚權及其親屬在台之基本權益。</w:t>
      </w:r>
    </w:p>
    <w:p w:rsidR="0049577B" w:rsidRPr="00B40DC1" w:rsidRDefault="0049577B" w:rsidP="007010AD">
      <w:pPr>
        <w:spacing w:line="240" w:lineRule="auto"/>
        <w:ind w:leftChars="0" w:left="0" w:rightChars="0" w:right="0"/>
      </w:pPr>
      <w:r w:rsidRPr="00B40DC1">
        <w:t xml:space="preserve">　　如前文所舉例，已在台設籍之年齡較大之陸配，其子女如需在台照料渠時，應可同意其子女在台居留，並應給予其子女在台之工作權及最基本之社會福利，至於是否限制名額或享用社會福利之程度，均可規範配套作為，而非全面禁止；如此，除可維護陸配之家庭團聚權之外，亦可有效降低扶老比，利於人口政策之推動。</w:t>
      </w:r>
    </w:p>
    <w:p w:rsidR="0049577B" w:rsidRPr="00B40DC1" w:rsidRDefault="0049577B" w:rsidP="00AB1C64">
      <w:pPr>
        <w:spacing w:line="240" w:lineRule="auto"/>
        <w:ind w:leftChars="0" w:left="0" w:rightChars="0" w:right="0"/>
      </w:pPr>
      <w:r w:rsidRPr="00B40DC1">
        <w:t xml:space="preserve">　　另一案例所提敘利亞籍配偶無法來台之問題，如其對國家安全及社會安定均無危害之虞，基於家庭團聚權之考量，亦應修正相關法令，同意渠提供可茲識別國籍身分之文件，即可申請來台依親，始符合時宜，相關法令亦應跟隨國際情勢脈動作適當之修正</w:t>
      </w:r>
      <w:r w:rsidRPr="00AB1C64">
        <w:rPr>
          <w:rStyle w:val="af7"/>
          <w:rFonts w:eastAsia="新細明體"/>
          <w:sz w:val="20"/>
        </w:rPr>
        <w:footnoteReference w:id="595"/>
      </w:r>
      <w:r w:rsidRPr="00B40DC1">
        <w:t>，避免造成類似案例一再發生，影響相關人之權益。</w:t>
      </w:r>
    </w:p>
    <w:p w:rsidR="0049577B" w:rsidRPr="00B40DC1" w:rsidRDefault="0049577B" w:rsidP="007010AD">
      <w:pPr>
        <w:pStyle w:val="3"/>
        <w:rPr>
          <w:lang w:eastAsia="zh-TW"/>
        </w:rPr>
      </w:pPr>
      <w:bookmarkStart w:id="141" w:name="_三、大陸配偶在台違法行為之處罰標準宜具有衡平性，並兼具考量其「家庭團聚"/>
      <w:bookmarkEnd w:id="141"/>
      <w:r w:rsidRPr="00B40DC1">
        <w:rPr>
          <w:lang w:eastAsia="zh-TW"/>
        </w:rPr>
        <w:t>三、大陸配偶在台違法行為之處罰標準宜具有衡平性，並兼具考量其「家庭團聚權」，應與外籍配偶趨於平等性與一致性</w:t>
      </w:r>
    </w:p>
    <w:p w:rsidR="0049577B" w:rsidRPr="00B40DC1" w:rsidRDefault="007010AD" w:rsidP="00AB1C64">
      <w:pPr>
        <w:spacing w:line="240" w:lineRule="auto"/>
        <w:ind w:leftChars="0" w:left="0" w:rightChars="0" w:right="0"/>
      </w:pPr>
      <w:r>
        <w:rPr>
          <w:kern w:val="0"/>
          <w:lang w:bidi="ta-IN"/>
        </w:rPr>
        <w:t xml:space="preserve">　　</w:t>
      </w:r>
      <w:r w:rsidR="0049577B" w:rsidRPr="00B40DC1">
        <w:rPr>
          <w:kern w:val="0"/>
          <w:lang w:bidi="ta-IN"/>
        </w:rPr>
        <w:t>如本文前所初探之新住民配偶</w:t>
      </w:r>
      <w:r w:rsidR="0049577B" w:rsidRPr="00B40DC1">
        <w:t>在臺違法之後續處置作為，對於違法之新住民配偶，究竟是否該驅逐出國（或強制出境），或是否需管制一定期間內不得再進入我國，對其在臺家庭之影響，是相當深遠，尤其家庭中已育有子女者，其處置作為若有不當，對其子女之心理，將形成一輩子之陰影存在。</w:t>
      </w:r>
    </w:p>
    <w:p w:rsidR="0049577B" w:rsidRPr="00B40DC1" w:rsidRDefault="007010AD" w:rsidP="00AB1C64">
      <w:pPr>
        <w:spacing w:line="240" w:lineRule="auto"/>
        <w:ind w:leftChars="0" w:left="0" w:rightChars="0" w:right="0"/>
      </w:pPr>
      <w:r>
        <w:t xml:space="preserve">　　</w:t>
      </w:r>
      <w:r w:rsidR="0049577B" w:rsidRPr="00B40DC1">
        <w:t>以大陸配偶在臺若有逾期居留之情形而論，不論逾期天數之時程為何，均須廢止大陸配偶之居留許可，註銷居留證件，並強制大陸配偶出境，對於大陸配偶家庭團聚權產生嚴重性及重大性之干預。就此論點，對於新住民配偶在臺若有情節輕微之違法情形（如逾期停留或犯有最重本刑為1年以下有期徒刑之刑事案件），且不致有影響國家安全及社會安定之前提下，在考量家庭團聚權之重要性，應可僅裁處以適當之罰鍰作為懲罰，無須運用驅逐出國（或強制出境）之手段加以制裁，亦不會產生管制一定期間再入（國）境之問題；再者，亦可透由延長其辦理定居所需之居住期間，作為處分(制裁)之手段，亦可達到管制之效果，且可達到保障大陸配偶家庭團聚權之目的。</w:t>
      </w:r>
    </w:p>
    <w:p w:rsidR="0049577B" w:rsidRPr="00AB1C64" w:rsidRDefault="00AB1C64" w:rsidP="00AB1C64">
      <w:pPr>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7010AD">
      <w:pPr>
        <w:pStyle w:val="3"/>
        <w:rPr>
          <w:lang w:eastAsia="zh-TW"/>
        </w:rPr>
      </w:pPr>
      <w:bookmarkStart w:id="142" w:name="_四、宜保障大陸配偶之集會遊行與結社之權利"/>
      <w:bookmarkEnd w:id="142"/>
      <w:r w:rsidRPr="00B40DC1">
        <w:rPr>
          <w:lang w:eastAsia="zh-TW"/>
        </w:rPr>
        <w:t>四、宜保障大陸配偶之集會遊行與結社之權利</w:t>
      </w:r>
    </w:p>
    <w:p w:rsidR="0049577B" w:rsidRPr="00B40DC1" w:rsidRDefault="007010AD" w:rsidP="00AB1C64">
      <w:pPr>
        <w:spacing w:line="240" w:lineRule="auto"/>
        <w:ind w:leftChars="0" w:left="0" w:rightChars="0" w:right="0"/>
      </w:pPr>
      <w:r>
        <w:t xml:space="preserve">　　</w:t>
      </w:r>
      <w:r w:rsidR="0049577B" w:rsidRPr="00B40DC1">
        <w:t>依據我國憲法第</w:t>
      </w:r>
      <w:hyperlink r:id="rId664" w:anchor="a14" w:history="1">
        <w:r w:rsidR="0049577B" w:rsidRPr="00A63349">
          <w:rPr>
            <w:rStyle w:val="a7"/>
            <w:rFonts w:cs="Times New Roman"/>
            <w:lang w:eastAsia="zh-TW" w:bidi="ar-SA"/>
          </w:rPr>
          <w:t>14</w:t>
        </w:r>
      </w:hyperlink>
      <w:r w:rsidR="0049577B" w:rsidRPr="00B40DC1">
        <w:t>條及大法官釋字</w:t>
      </w:r>
      <w:hyperlink r:id="rId665" w:anchor="r644" w:history="1">
        <w:r w:rsidR="0049577B" w:rsidRPr="00A63349">
          <w:rPr>
            <w:rStyle w:val="a7"/>
            <w:rFonts w:cs="Times New Roman"/>
            <w:lang w:eastAsia="zh-TW" w:bidi="ar-SA"/>
          </w:rPr>
          <w:t>第644號</w:t>
        </w:r>
      </w:hyperlink>
      <w:r w:rsidR="0049577B" w:rsidRPr="00B40DC1">
        <w:t>解釋文之內容，人民(含陸配)有集會及結社之自由。此外，依據歐洲人權公約</w:t>
      </w:r>
      <w:r w:rsidR="0049577B" w:rsidRPr="00AB1C64">
        <w:rPr>
          <w:rStyle w:val="af7"/>
          <w:rFonts w:eastAsia="新細明體"/>
          <w:sz w:val="20"/>
        </w:rPr>
        <w:footnoteReference w:id="596"/>
      </w:r>
      <w:r w:rsidR="0049577B" w:rsidRPr="00B40DC1">
        <w:t>第11條之規定，「一、人人有和平集會和結社自由之權利(Everyone has the right to freedom of peaceful assembly and to freedom of association with others)，包括為保護本身之利益而組織和參加工會之權利(the right to form and to join trade unions for the protection of his interests)。二、除了法律所規定之限制，以及在民主社會中為了國家安全或公共安全之利益(interests of national security or public safety)、為了防止混亂失序或犯罪(for the prevention of disorder or crime)，及為了保護健康或道德或保護他人之權利與自由(for the protection of health or morals or for the protection of the rights and freedoms of others)所必需之限制以外，不得對上述權利之行使加以任何限制(No restrictions shall be placed on the exercise of these rights)。本條並不阻止國家武裝部隊、警察或行政機關之成員對上述權利之行使施加合法之限制(shall not prevent the imposition of lawful restrictions on the exercise of these rights by members of the armed forces, of the police or of the administration of the State)。」根據上述歐洲人權公約第11條之規定，人人均有集會遊行結社權(Freedom of assembly and association)；但，基於國家安全、公共安全、防止混亂失序或犯罪、及保護健康、道德或保護他人之權利與自由之故，國家機關可施以必需之限制。</w:t>
      </w:r>
    </w:p>
    <w:p w:rsidR="0049577B" w:rsidRPr="00B40DC1" w:rsidRDefault="00AB1C64" w:rsidP="00AB1C64">
      <w:pPr>
        <w:spacing w:line="240" w:lineRule="auto"/>
        <w:ind w:leftChars="0" w:left="0" w:rightChars="0" w:right="0"/>
      </w:pPr>
      <w:r>
        <w:t xml:space="preserve">　　</w:t>
      </w:r>
      <w:r w:rsidR="0049577B" w:rsidRPr="00B40DC1">
        <w:t>另外，依據公民及政治權利國際公約</w:t>
      </w:r>
      <w:hyperlink r:id="rId666" w:anchor="a21" w:history="1">
        <w:r w:rsidR="0049577B" w:rsidRPr="004D0406">
          <w:rPr>
            <w:rStyle w:val="a7"/>
            <w:rFonts w:cs="Times New Roman"/>
            <w:lang w:eastAsia="zh-TW" w:bidi="ar-SA"/>
          </w:rPr>
          <w:t>第21條</w:t>
        </w:r>
      </w:hyperlink>
      <w:r w:rsidR="0049577B" w:rsidRPr="00B40DC1">
        <w:t>之規定，「和平集會之權利，應予確認。除依法律之規定，且為民主社會維護國家安全或公共安寧、公共衛生或風化、或保障他人權利自由所必要者外，不得限制此種權利之行使。」根據上述ICCPR</w:t>
      </w:r>
      <w:hyperlink r:id="rId667" w:anchor="a21" w:history="1">
        <w:r w:rsidR="004D0406" w:rsidRPr="004D0406">
          <w:rPr>
            <w:rStyle w:val="a7"/>
            <w:rFonts w:cs="Times New Roman"/>
            <w:lang w:eastAsia="zh-TW" w:bidi="ar-SA"/>
          </w:rPr>
          <w:t>第21條</w:t>
        </w:r>
      </w:hyperlink>
      <w:r w:rsidR="0049577B" w:rsidRPr="00B40DC1">
        <w:t>之規定，本公約承認人人均有和平集會之權利。但，如為了維護國家安全或公共安寧、公共衛生或風俗、或保障他人權利自由之必要，可施加限制，但並非剝奪此項權利。</w:t>
      </w:r>
    </w:p>
    <w:p w:rsidR="0049577B" w:rsidRPr="00B40DC1" w:rsidRDefault="00AB1C64" w:rsidP="00AB1C64">
      <w:pPr>
        <w:spacing w:line="240" w:lineRule="auto"/>
        <w:ind w:leftChars="0" w:left="0" w:rightChars="0" w:right="0"/>
      </w:pPr>
      <w:r>
        <w:t xml:space="preserve">　　</w:t>
      </w:r>
      <w:r w:rsidR="0049577B" w:rsidRPr="00B40DC1">
        <w:t>ICCPR亦保障結社權，依據</w:t>
      </w:r>
      <w:r w:rsidR="004D0406" w:rsidRPr="00B40DC1">
        <w:t>ICCPR</w:t>
      </w:r>
      <w:hyperlink r:id="rId668" w:anchor="a21" w:history="1">
        <w:r w:rsidR="004D0406" w:rsidRPr="004D0406">
          <w:rPr>
            <w:rStyle w:val="a7"/>
            <w:rFonts w:cs="Times New Roman"/>
            <w:lang w:eastAsia="zh-TW" w:bidi="ar-SA"/>
          </w:rPr>
          <w:t>第21條</w:t>
        </w:r>
      </w:hyperlink>
      <w:r w:rsidR="0049577B" w:rsidRPr="00B40DC1">
        <w:t>之規範，「 一、人人有自由結社之權利，包括為保障其本身利益而組織及加入工會之權利。二、除依法律之規定，且為民主社會維護國家安全或公共安寧、公共秩序、維護公共衛生或風化、或保障他人權利自由所必要者外，不得限制此種權利之行使。本條並不禁止對軍警人員行使此種權利，加以合法限制。三、關於結社自由及保障組織權利之國際勞工組織一九四八年公約締約國，不得根據本條採取立法措施或應用法律，妨礙該公約所規定之保證。」根據上述</w:t>
      </w:r>
      <w:r w:rsidR="004D0406" w:rsidRPr="00B40DC1">
        <w:t>ICCPR</w:t>
      </w:r>
      <w:hyperlink r:id="rId669" w:anchor="a21" w:history="1">
        <w:r w:rsidR="004D0406" w:rsidRPr="004D0406">
          <w:rPr>
            <w:rStyle w:val="a7"/>
            <w:rFonts w:cs="Times New Roman"/>
            <w:lang w:eastAsia="zh-TW" w:bidi="ar-SA"/>
          </w:rPr>
          <w:t>第21條</w:t>
        </w:r>
      </w:hyperlink>
      <w:r w:rsidR="0049577B" w:rsidRPr="00B40DC1">
        <w:t>之規範，人人均有自由結社之權利，此項之權利，受到</w:t>
      </w:r>
      <w:r w:rsidR="004D0406" w:rsidRPr="00B40DC1">
        <w:t>ICCPR</w:t>
      </w:r>
      <w:hyperlink r:id="rId670" w:anchor="a21" w:history="1">
        <w:r w:rsidR="004D0406" w:rsidRPr="004D0406">
          <w:rPr>
            <w:rStyle w:val="a7"/>
            <w:rFonts w:cs="Times New Roman"/>
            <w:lang w:eastAsia="zh-TW" w:bidi="ar-SA"/>
          </w:rPr>
          <w:t>第21條</w:t>
        </w:r>
      </w:hyperlink>
      <w:r w:rsidR="0049577B" w:rsidRPr="00B40DC1">
        <w:t>之明文保障。但，基於維護國家安全或公共安寧、公共秩序、維護公共衛生或風俗、或保障他人權利自由所必要之需求，可加以限制之。基本上，個人之集會遊行與結社權利，國家應給予尊重及保障。</w:t>
      </w:r>
    </w:p>
    <w:p w:rsidR="0049577B" w:rsidRPr="00B40DC1" w:rsidRDefault="007010AD" w:rsidP="00AB1C64">
      <w:pPr>
        <w:spacing w:line="240" w:lineRule="auto"/>
        <w:ind w:leftChars="0" w:left="0" w:rightChars="0" w:right="0"/>
      </w:pPr>
      <w:r>
        <w:t xml:space="preserve">　　</w:t>
      </w:r>
      <w:r w:rsidR="0049577B" w:rsidRPr="00B40DC1">
        <w:t>有關於陸配集會遊行權(</w:t>
      </w:r>
      <w:r w:rsidR="0049577B" w:rsidRPr="00B40DC1">
        <w:rPr>
          <w:kern w:val="0"/>
        </w:rPr>
        <w:t>Freedom of assembly)方面，</w:t>
      </w:r>
      <w:r w:rsidR="0049577B" w:rsidRPr="00B40DC1">
        <w:t>由於我國通常對於參加集會遊行之大陸地區人民，將其認定為從事與許可目的不符之活動，目前此種之作法，似乎存有若干之爭議性。基於平等權之真義，國家所採取之差異化處遇(措施)(</w:t>
      </w:r>
      <w:r w:rsidR="0049577B" w:rsidRPr="00B40DC1">
        <w:rPr>
          <w:kern w:val="0"/>
          <w:lang w:bidi="bn-IN"/>
        </w:rPr>
        <w:t>differentiation)</w:t>
      </w:r>
      <w:r w:rsidR="0049577B" w:rsidRPr="00B40DC1">
        <w:t>本身須具有合理性與客觀性，或者，未導致發生違犯正義(公正)、情理與事務之本質之情事；因考量陸配參與集會遊行如有任何之違法情事，似可依</w:t>
      </w:r>
      <w:hyperlink r:id="rId671" w:history="1">
        <w:r w:rsidR="0049577B" w:rsidRPr="00F020E7">
          <w:rPr>
            <w:rStyle w:val="a7"/>
            <w:rFonts w:cs="Times New Roman"/>
            <w:lang w:eastAsia="zh-TW" w:bidi="ar-SA"/>
          </w:rPr>
          <w:t>集會遊行法</w:t>
        </w:r>
      </w:hyperlink>
      <w:r w:rsidR="0049577B" w:rsidRPr="00B40DC1">
        <w:t>、</w:t>
      </w:r>
      <w:hyperlink r:id="rId672" w:history="1">
        <w:r w:rsidR="0049577B" w:rsidRPr="00F020E7">
          <w:rPr>
            <w:rStyle w:val="a7"/>
            <w:rFonts w:cs="Times New Roman"/>
            <w:lang w:eastAsia="zh-TW" w:bidi="ar-SA"/>
          </w:rPr>
          <w:t>刑法</w:t>
        </w:r>
      </w:hyperlink>
      <w:r w:rsidR="0049577B" w:rsidRPr="00B40DC1">
        <w:t>、</w:t>
      </w:r>
      <w:hyperlink r:id="rId673" w:history="1">
        <w:r w:rsidR="0049577B" w:rsidRPr="00F020E7">
          <w:rPr>
            <w:rStyle w:val="a7"/>
            <w:rFonts w:cs="Times New Roman"/>
            <w:lang w:eastAsia="zh-TW" w:bidi="ar-SA"/>
          </w:rPr>
          <w:t>社會秩序維護法</w:t>
        </w:r>
      </w:hyperlink>
      <w:r w:rsidR="0049577B" w:rsidRPr="00B40DC1">
        <w:t>及相關法令加以處置；再者，如剝奪陸配參與集會遊行之權利，當陸配本身因相關權利蒙受重大損害(如入籍年限問題、學歷認證問題等等)，卻苦於無管道可加以渲洩與表達，是否會令問題之本質，更加惡化與嚴重？亦令社會大眾忽視問題之嚴重性，似有違犯正義(公正)之嫌，故宜承認陸配有集會遊行之權利為佳。尤其是已取得戶籍之陸配，其集會遊行之權利，應受到更高程度之保障。</w:t>
      </w:r>
    </w:p>
    <w:p w:rsidR="0049577B" w:rsidRPr="00B40DC1" w:rsidRDefault="007010AD" w:rsidP="00AB1C64">
      <w:pPr>
        <w:spacing w:line="240" w:lineRule="auto"/>
        <w:ind w:leftChars="0" w:left="0" w:rightChars="0" w:right="0"/>
      </w:pPr>
      <w:r>
        <w:t xml:space="preserve">　　</w:t>
      </w:r>
      <w:r w:rsidR="0049577B" w:rsidRPr="00B40DC1">
        <w:t>在大陸配偶結社之權利方面，依據兩岸人民關係條例</w:t>
      </w:r>
      <w:hyperlink r:id="rId674" w:anchor="b21" w:history="1">
        <w:r w:rsidR="0049577B" w:rsidRPr="001A6000">
          <w:rPr>
            <w:rStyle w:val="a7"/>
            <w:rFonts w:cs="Times New Roman"/>
            <w:lang w:eastAsia="zh-TW" w:bidi="ar-SA"/>
          </w:rPr>
          <w:t>第21條</w:t>
        </w:r>
      </w:hyperlink>
      <w:r w:rsidR="0049577B" w:rsidRPr="00B40DC1">
        <w:t>之規定，大陸配偶須在臺設籍滿10年以上，始可組織政黨</w:t>
      </w:r>
      <w:r w:rsidR="0049577B" w:rsidRPr="00AB1C64">
        <w:rPr>
          <w:rStyle w:val="af7"/>
          <w:rFonts w:eastAsia="新細明體"/>
          <w:sz w:val="20"/>
        </w:rPr>
        <w:footnoteReference w:id="597"/>
      </w:r>
      <w:r w:rsidR="0049577B" w:rsidRPr="00B40DC1">
        <w:t>；而外籍配偶部分，則無法律之明文限制，僅須依</w:t>
      </w:r>
      <w:hyperlink r:id="rId675" w:history="1">
        <w:r w:rsidR="0049577B" w:rsidRPr="004D0406">
          <w:rPr>
            <w:rStyle w:val="a7"/>
            <w:rFonts w:cs="Times New Roman"/>
            <w:lang w:eastAsia="zh-TW" w:bidi="ar-SA"/>
          </w:rPr>
          <w:t>人民團體法</w:t>
        </w:r>
      </w:hyperlink>
      <w:r w:rsidR="0049577B" w:rsidRPr="00B40DC1">
        <w:t>辦理即可，大陸配偶結社之權利，似乎亦未受到平等保障。雖然，我國於2017正式通過及施行「</w:t>
      </w:r>
      <w:hyperlink r:id="rId676" w:history="1">
        <w:r w:rsidR="0049577B" w:rsidRPr="004D0406">
          <w:rPr>
            <w:rStyle w:val="a7"/>
            <w:rFonts w:cs="Times New Roman"/>
            <w:lang w:eastAsia="zh-TW" w:bidi="ar-SA"/>
          </w:rPr>
          <w:t>政黨法</w:t>
        </w:r>
      </w:hyperlink>
      <w:r w:rsidR="0049577B" w:rsidRPr="00B40DC1">
        <w:t>」，然而，因兩岸人民關係條</w:t>
      </w:r>
      <w:r w:rsidR="004D0406" w:rsidRPr="00B40DC1">
        <w:t>例</w:t>
      </w:r>
      <w:hyperlink r:id="rId677" w:anchor="b21" w:history="1">
        <w:r w:rsidR="004D0406" w:rsidRPr="001A6000">
          <w:rPr>
            <w:rStyle w:val="a7"/>
            <w:rFonts w:cs="Times New Roman"/>
            <w:lang w:eastAsia="zh-TW" w:bidi="ar-SA"/>
          </w:rPr>
          <w:t>第21條</w:t>
        </w:r>
      </w:hyperlink>
      <w:r w:rsidR="0049577B" w:rsidRPr="00B40DC1">
        <w:t>仍屬於有效之法規，具係為特別法，儘管2017年之</w:t>
      </w:r>
      <w:r w:rsidR="004D0406" w:rsidRPr="00B40DC1">
        <w:t>「</w:t>
      </w:r>
      <w:hyperlink r:id="rId678" w:history="1">
        <w:r w:rsidR="004D0406" w:rsidRPr="004D0406">
          <w:rPr>
            <w:rStyle w:val="a7"/>
            <w:rFonts w:cs="Times New Roman"/>
            <w:lang w:eastAsia="zh-TW" w:bidi="ar-SA"/>
          </w:rPr>
          <w:t>政黨法</w:t>
        </w:r>
      </w:hyperlink>
      <w:r w:rsidR="0049577B" w:rsidRPr="00B40DC1">
        <w:t>」已正式施行，大陸配偶依舊仍須在臺設籍滿10年以上，始可組織政黨，此種規定，恐已攻擊大陸配偶結社之基本人權，有違憲之虞。</w:t>
      </w:r>
    </w:p>
    <w:p w:rsidR="0049577B" w:rsidRPr="00B40DC1" w:rsidRDefault="007010AD" w:rsidP="00AB1C64">
      <w:pPr>
        <w:spacing w:line="240" w:lineRule="auto"/>
        <w:ind w:leftChars="0" w:left="0" w:rightChars="0" w:right="0"/>
      </w:pPr>
      <w:r>
        <w:t xml:space="preserve">　　</w:t>
      </w:r>
      <w:r w:rsidR="0049577B" w:rsidRPr="00B40DC1">
        <w:t>上述之管制作為，所面臨之問題，係管制之方式，是否符合合理性與客觀性？如符合合理性與客觀性，則此種之差別待遇式之管制手段(工具)，可被加以正當化(合法化)；惟就國家主權立場而言，國民與非國民之間有其權益之差別待遇，同為外來人口之大陸配偶與外籍配偶，似乎難以主張上述差別待遇之合理性。</w:t>
      </w:r>
    </w:p>
    <w:p w:rsidR="0049577B" w:rsidRPr="00B40DC1" w:rsidRDefault="004D0406" w:rsidP="00AB1C64">
      <w:pPr>
        <w:spacing w:line="240" w:lineRule="auto"/>
        <w:ind w:leftChars="0" w:left="0" w:rightChars="0" w:right="0"/>
      </w:pPr>
      <w:r>
        <w:t xml:space="preserve">　　</w:t>
      </w:r>
      <w:r w:rsidR="0049577B" w:rsidRPr="00B40DC1">
        <w:t>依據大法官釋</w:t>
      </w:r>
      <w:r w:rsidRPr="00B40DC1">
        <w:t>字</w:t>
      </w:r>
      <w:hyperlink r:id="rId679" w:anchor="r644" w:history="1">
        <w:r w:rsidRPr="00A63349">
          <w:rPr>
            <w:rStyle w:val="a7"/>
            <w:rFonts w:cs="Times New Roman"/>
            <w:lang w:eastAsia="zh-TW" w:bidi="ar-SA"/>
          </w:rPr>
          <w:t>第644號</w:t>
        </w:r>
      </w:hyperlink>
      <w:r w:rsidR="0049577B" w:rsidRPr="00B40DC1">
        <w:t>之解釋，憲法第</w:t>
      </w:r>
      <w:hyperlink r:id="rId680" w:anchor="a14" w:history="1">
        <w:r w:rsidR="0049577B" w:rsidRPr="004D0406">
          <w:rPr>
            <w:rStyle w:val="a7"/>
            <w:rFonts w:cs="Times New Roman"/>
            <w:lang w:eastAsia="zh-TW" w:bidi="ar-SA"/>
          </w:rPr>
          <w:t>十四</w:t>
        </w:r>
      </w:hyperlink>
      <w:r w:rsidR="0049577B" w:rsidRPr="00B40DC1">
        <w:t>條規定人民有結社之自由，旨在保障人民為特定目的，以共同之意思組成團體並參與其活動之權利，並確保團體之存續、內部組織與事務之自主決定及對外活動之自由等。結社自由除保障人民得以團體之形式發展個人人格外，更有促使具公民意識之人民，組成團體以積極參與經濟、社會及政治等事務之功能。各種不同團體，對於個人、社會或民主憲政制度之意義不同，受法律保障與限制之程度亦有所差異。惟結社自由之各該保障，皆以個人自由選定目的而集結成社之設立自由為基礎，故其限制之程度，自以設立管制對人民結社自由之限制最為嚴重。依據上述大法官釋</w:t>
      </w:r>
      <w:r w:rsidRPr="00B40DC1">
        <w:t>字</w:t>
      </w:r>
      <w:hyperlink r:id="rId681" w:anchor="r644" w:history="1">
        <w:r w:rsidRPr="00A63349">
          <w:rPr>
            <w:rStyle w:val="a7"/>
            <w:rFonts w:cs="Times New Roman"/>
            <w:lang w:eastAsia="zh-TW" w:bidi="ar-SA"/>
          </w:rPr>
          <w:t>第644號</w:t>
        </w:r>
      </w:hyperlink>
      <w:r w:rsidR="0049577B" w:rsidRPr="00B40DC1">
        <w:t>之解釋文之見解，對人民結社自由權之限制與干預，最為嚴重之情事，係為設立之管制。由此觀點出發，可發現對於大陸配偶結社之權利之限制，似已嚴重地限制與干預其結社自由權。</w:t>
      </w:r>
    </w:p>
    <w:p w:rsidR="0049577B" w:rsidRPr="00B40DC1" w:rsidRDefault="007010AD" w:rsidP="00AB1C64">
      <w:pPr>
        <w:spacing w:line="240" w:lineRule="auto"/>
        <w:ind w:leftChars="0" w:left="0" w:rightChars="0" w:right="0"/>
      </w:pPr>
      <w:r>
        <w:t xml:space="preserve">　　</w:t>
      </w:r>
      <w:r w:rsidR="0049577B" w:rsidRPr="00B40DC1">
        <w:t>然而，從現實面出發，如大陸配偶組織中國共產黨台灣分黨，或以其他名目，成立政治性團體，且接受中國共產黨之指揮與經費援助，此種之情況，則不見容於台灣社會。為了因應上述之情況，目前可以處置之法律，係有國家安全法第</w:t>
      </w:r>
      <w:hyperlink r:id="rId682" w:anchor="a2b1" w:history="1">
        <w:r w:rsidR="0049577B" w:rsidRPr="004D0406">
          <w:rPr>
            <w:rStyle w:val="a7"/>
            <w:rFonts w:cs="Times New Roman"/>
            <w:lang w:eastAsia="zh-TW" w:bidi="ar-SA"/>
          </w:rPr>
          <w:t>2條之1</w:t>
        </w:r>
      </w:hyperlink>
      <w:r w:rsidR="0049577B" w:rsidRPr="00AB1C64">
        <w:rPr>
          <w:rStyle w:val="af7"/>
          <w:rFonts w:eastAsia="新細明體"/>
          <w:sz w:val="20"/>
        </w:rPr>
        <w:footnoteReference w:id="598"/>
      </w:r>
      <w:r w:rsidR="0049577B" w:rsidRPr="00B40DC1">
        <w:t>、司法院大法官審理案件法</w:t>
      </w:r>
      <w:hyperlink r:id="rId683" w:anchor="a19" w:history="1">
        <w:r w:rsidR="0049577B" w:rsidRPr="00CC30C7">
          <w:rPr>
            <w:rStyle w:val="a7"/>
            <w:rFonts w:cs="Times New Roman"/>
            <w:lang w:eastAsia="zh-TW" w:bidi="ar-SA"/>
          </w:rPr>
          <w:t>第19條</w:t>
        </w:r>
      </w:hyperlink>
      <w:r w:rsidR="0049577B" w:rsidRPr="00AB1C64">
        <w:rPr>
          <w:rStyle w:val="af7"/>
          <w:rFonts w:eastAsia="新細明體"/>
          <w:sz w:val="20"/>
        </w:rPr>
        <w:footnoteReference w:id="599"/>
      </w:r>
      <w:r w:rsidR="0049577B" w:rsidRPr="00B40DC1">
        <w:t>（聲請解散政黨之要件及聲請書狀）及政黨法</w:t>
      </w:r>
      <w:hyperlink r:id="rId684" w:anchor="a30" w:history="1">
        <w:r w:rsidR="0049577B" w:rsidRPr="004D0406">
          <w:rPr>
            <w:rStyle w:val="a7"/>
            <w:rFonts w:cs="Times New Roman"/>
            <w:lang w:eastAsia="zh-TW" w:bidi="ar-SA"/>
          </w:rPr>
          <w:t>第30條</w:t>
        </w:r>
      </w:hyperlink>
      <w:r w:rsidR="0049577B" w:rsidRPr="00B40DC1">
        <w:t>可加以回應。除此之外，可於</w:t>
      </w:r>
      <w:hyperlink r:id="rId685" w:history="1">
        <w:r w:rsidR="0049577B" w:rsidRPr="004D0406">
          <w:rPr>
            <w:rStyle w:val="a7"/>
            <w:rFonts w:cs="Times New Roman"/>
            <w:lang w:eastAsia="zh-TW" w:bidi="ar-SA"/>
          </w:rPr>
          <w:t>司法院大法官審理案件法</w:t>
        </w:r>
      </w:hyperlink>
      <w:r w:rsidR="0049577B" w:rsidRPr="00B40DC1">
        <w:t>之中，強化</w:t>
      </w:r>
      <w:hyperlink r:id="rId686" w:history="1">
        <w:r w:rsidR="0049577B" w:rsidRPr="00F427DA">
          <w:rPr>
            <w:rStyle w:val="a7"/>
            <w:rFonts w:cs="Times New Roman"/>
            <w:lang w:eastAsia="zh-TW" w:bidi="ar-SA"/>
          </w:rPr>
          <w:t>憲法</w:t>
        </w:r>
      </w:hyperlink>
      <w:r w:rsidR="0049577B" w:rsidRPr="00B40DC1">
        <w:rPr>
          <w:kern w:val="0"/>
          <w:lang w:bidi="bn-IN"/>
        </w:rPr>
        <w:t>法庭之功能，諸如大法官發現該政黨之行為，已足以危害國家安全或社會秩序，而有必要時，於判決前可行使強制處分權；此外，在該法之中，增訂適切之保全措施，均可進行有效之管控。</w:t>
      </w:r>
      <w:r w:rsidR="0049577B" w:rsidRPr="00B40DC1">
        <w:t>是以，如依本文上述之建議進行修法，未來可行之管制法規及作為，似可有效地處理上述之問題。故，基於管制措施之合理性與客觀性之考量，似可將目前管制10年之限制，作合理必要之縮減，俾利陸配之結社自由權，特別是組織政黨之部分，能受到更加充分之保障。</w:t>
      </w:r>
    </w:p>
    <w:p w:rsidR="0049577B" w:rsidRPr="00B40DC1" w:rsidRDefault="00AB1C64" w:rsidP="00AB1C64">
      <w:pPr>
        <w:spacing w:line="240" w:lineRule="auto"/>
        <w:ind w:leftChars="0" w:left="0" w:rightChars="0" w:right="0"/>
        <w:jc w:val="right"/>
      </w:pPr>
      <w:r w:rsidRPr="00D45AD2">
        <w:rPr>
          <w:rFonts w:hint="eastAsia"/>
          <w:sz w:val="22"/>
        </w:rPr>
        <w:t>。。。。。。。。。。。。。</w:t>
      </w:r>
      <w:hyperlink w:anchor="a5" w:history="1">
        <w:r>
          <w:rPr>
            <w:rStyle w:val="a7"/>
            <w:sz w:val="24"/>
            <w:lang w:eastAsia="zh-TW"/>
          </w:rPr>
          <w:t>回本章</w:t>
        </w:r>
      </w:hyperlink>
      <w:r w:rsidRPr="0008714D">
        <w:rPr>
          <w:color w:val="808000"/>
          <w:sz w:val="20"/>
        </w:rPr>
        <w:t>〉〉</w:t>
      </w:r>
      <w:hyperlink w:anchor="a目次5" w:history="1">
        <w:r w:rsidR="00E9715D">
          <w:rPr>
            <w:rStyle w:val="a7"/>
            <w:sz w:val="22"/>
            <w:lang w:eastAsia="zh-TW"/>
          </w:rPr>
          <w:t>回總目次</w:t>
        </w:r>
      </w:hyperlink>
      <w:r w:rsidR="00E9715D" w:rsidRPr="00D45AD2">
        <w:rPr>
          <w:color w:val="808000"/>
          <w:sz w:val="22"/>
        </w:rPr>
        <w:t>〉〉</w:t>
      </w:r>
    </w:p>
    <w:p w:rsidR="0049577B" w:rsidRPr="00B40DC1" w:rsidRDefault="0049577B" w:rsidP="007010AD">
      <w:pPr>
        <w:pStyle w:val="3"/>
        <w:rPr>
          <w:lang w:eastAsia="zh-TW"/>
        </w:rPr>
      </w:pPr>
      <w:bookmarkStart w:id="143" w:name="_五、大陸配偶之學歷認證標準應與外籍配偶逐步趨向一致"/>
      <w:bookmarkEnd w:id="143"/>
      <w:r w:rsidRPr="00B40DC1">
        <w:rPr>
          <w:lang w:eastAsia="zh-TW"/>
        </w:rPr>
        <w:t>五、大陸配偶之學歷認證標準應與外籍配偶逐步趨向一致</w:t>
      </w:r>
    </w:p>
    <w:p w:rsidR="0049577B" w:rsidRPr="00B40DC1" w:rsidRDefault="007010AD" w:rsidP="00AB1C64">
      <w:pPr>
        <w:spacing w:line="240" w:lineRule="auto"/>
        <w:ind w:leftChars="0" w:left="0" w:rightChars="0" w:right="0"/>
      </w:pPr>
      <w:r>
        <w:t xml:space="preserve">　　</w:t>
      </w:r>
      <w:r w:rsidR="0049577B" w:rsidRPr="00B40DC1">
        <w:t>對於外籍配偶學歷認證之程序應予簡化，若其學歷已經我國駐外館處審核驗證通過，應即可視為合格之文件在臺使用，免再經過臺灣民間單位公證，即可節省不少代辦費用及翻議費用，且教育部應與外交部應保持橫向聯繫，並共同朝建立「外國學歷認證資料庫系統」方向推動，以利跨部會間可透過電腦資料庫資源共享，甚至推動線上即時查詢作業，勢必可縮短申請學歷認證程序之期程，更可減少開銷費用。</w:t>
      </w:r>
    </w:p>
    <w:p w:rsidR="0049577B" w:rsidRDefault="004D0406" w:rsidP="00AB1C64">
      <w:pPr>
        <w:spacing w:line="240" w:lineRule="auto"/>
        <w:ind w:leftChars="0" w:left="0" w:rightChars="0" w:right="0"/>
      </w:pPr>
      <w:r>
        <w:t xml:space="preserve">　　</w:t>
      </w:r>
      <w:r w:rsidR="0049577B" w:rsidRPr="00B40DC1">
        <w:t>但對於大陸地區學歷認證問題，並不單純僅為教育問題，絕大部分應係政治問題所造成，由於教育是最能深入改變個人思維之方式，而大陸地區目前仍屬共產制度，非民主開放之地區，其教育方針及內容，尚無法完全與國際接軌，且大陸地區幅員遼闊，共有2千多所以上之大學，並無法一一瞭解各大學之教育宗旨及水準何在？若冒然承認大陸地區所有大學學歷，在雙方政治關係仍不穩定情況下，難保大陸官方不會利用教育此條溫和路線，發動諸如100萬青年赴臺就學之動員令</w:t>
      </w:r>
      <w:r w:rsidR="0049577B" w:rsidRPr="00AB1C64">
        <w:rPr>
          <w:rStyle w:val="af7"/>
          <w:rFonts w:eastAsia="新細明體"/>
          <w:sz w:val="20"/>
        </w:rPr>
        <w:footnoteReference w:id="600"/>
      </w:r>
      <w:r w:rsidR="0049577B" w:rsidRPr="00B40DC1">
        <w:t>，從我國高階教育（博、碩士生）向下影響，屆時恐怕將產生「教育統戰」之問題；而一旦單純之教育問題，牽連至政治問題，恐怕短期內欲全面承認大陸地區學歷，並非易事。但對於已結婚且在臺居留之大陸配偶而言，若其係因工作或進修之需求，必須認證其大陸之學歷者，應可由教育部主政，以個案審查方式，邀集相關機關單位召開審查會會商；或者，以通盤之方式，建置認證大陸學歷之標準。原則上，若承認其大陸學歷有利於我國正面發展者，則可個案或通盤認證其大陸學歷，亦能藉此發掘適當之人才，可為我國所用。</w:t>
      </w:r>
    </w:p>
    <w:p w:rsidR="001A0B61" w:rsidRPr="00B40DC1" w:rsidRDefault="001A0B61" w:rsidP="00AB1C64">
      <w:pPr>
        <w:spacing w:line="240" w:lineRule="auto"/>
        <w:ind w:leftChars="0" w:left="0" w:rightChars="0" w:right="0"/>
      </w:pPr>
    </w:p>
    <w:p w:rsidR="0049577B" w:rsidRDefault="0049577B"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Default="001A0B61" w:rsidP="000D26BB"/>
    <w:p w:rsidR="001A0B61" w:rsidRPr="00B40DC1" w:rsidRDefault="001A0B61" w:rsidP="000D26BB"/>
    <w:p w:rsidR="001A0B61" w:rsidRPr="00B40DC1" w:rsidRDefault="00D62154" w:rsidP="00D62154">
      <w:pPr>
        <w:jc w:val="right"/>
      </w:pPr>
      <w:r w:rsidRPr="00D45AD2">
        <w:rPr>
          <w:rFonts w:hint="eastAsia"/>
          <w:sz w:val="22"/>
        </w:rPr>
        <w:t>。。。。。。。。。。。。。。。。。。</w:t>
      </w:r>
      <w:hyperlink w:anchor="a目次6" w:history="1">
        <w:r>
          <w:rPr>
            <w:rStyle w:val="a7"/>
            <w:sz w:val="22"/>
            <w:lang w:eastAsia="zh-TW"/>
          </w:rPr>
          <w:t>回總目次</w:t>
        </w:r>
      </w:hyperlink>
      <w:r w:rsidRPr="00D45AD2">
        <w:rPr>
          <w:color w:val="808000"/>
          <w:sz w:val="22"/>
        </w:rPr>
        <w:t>〉〉</w:t>
      </w:r>
    </w:p>
    <w:p w:rsidR="0049577B" w:rsidRPr="00B40DC1" w:rsidRDefault="0049577B" w:rsidP="00A35933">
      <w:pPr>
        <w:pStyle w:val="11"/>
      </w:pPr>
      <w:bookmarkStart w:id="144" w:name="_第六章、從源頭安全管理觀點探討大陸地區人民來台之管控機制：兼論兩岸跨境"/>
      <w:bookmarkEnd w:id="144"/>
      <w:r w:rsidRPr="00B40DC1">
        <w:t>第六章</w:t>
      </w:r>
      <w:r w:rsidR="00AA03F8" w:rsidRPr="00AA03F8">
        <w:rPr>
          <w:rFonts w:hint="eastAsia"/>
        </w:rPr>
        <w:t>、</w:t>
      </w:r>
      <w:r w:rsidRPr="00B40DC1">
        <w:t>從源頭安全管理觀點探討大陸地區人民來台之管控機制：兼論兩岸跨境人流管理可行之合作機制</w:t>
      </w:r>
    </w:p>
    <w:p w:rsidR="003C1792" w:rsidRPr="003F4661" w:rsidRDefault="0049577B" w:rsidP="00142B72">
      <w:pPr>
        <w:jc w:val="center"/>
      </w:pPr>
      <w:r w:rsidRPr="003F4661">
        <w:t>柯雨瑞</w:t>
      </w:r>
      <w:r w:rsidRPr="003F4661">
        <w:rPr>
          <w:rFonts w:ascii="Arial Unicode MS" w:eastAsia="新細明體" w:hAnsi="Arial Unicode MS"/>
          <w:color w:val="FF6600"/>
          <w:sz w:val="20"/>
        </w:rPr>
        <w:footnoteReference w:customMarkFollows="1" w:id="601"/>
        <w:t>＊＊</w:t>
      </w:r>
      <w:r w:rsidRPr="003F4661">
        <w:t>蔡政杰</w:t>
      </w:r>
      <w:r w:rsidRPr="003F4661">
        <w:rPr>
          <w:rFonts w:ascii="Arial Unicode MS" w:eastAsia="新細明體" w:hAnsi="Arial Unicode MS"/>
          <w:color w:val="FF6600"/>
          <w:sz w:val="20"/>
        </w:rPr>
        <w:footnoteReference w:customMarkFollows="1" w:id="602"/>
        <w:t>＊＊＊</w:t>
      </w:r>
    </w:p>
    <w:p w:rsidR="00A35933" w:rsidRPr="003F4661" w:rsidRDefault="00A35933" w:rsidP="00142B72">
      <w:pPr>
        <w:jc w:val="center"/>
      </w:pPr>
    </w:p>
    <w:p w:rsidR="00AB1C64" w:rsidRPr="00A35933" w:rsidRDefault="0049577B" w:rsidP="004253B6">
      <w:pPr>
        <w:jc w:val="center"/>
        <w:rPr>
          <w:b/>
        </w:rPr>
      </w:pPr>
      <w:r w:rsidRPr="00A35933">
        <w:rPr>
          <w:b/>
        </w:rPr>
        <w:t>A Study on Control Mechanism for the China Mainlanders to Enter and Exit the Taiwan From the Source Security Management Perspective: And Discussing the Cooperation Between the Mainland China and Taiwan on the Crossing Border People Flowing Management Mechanism</w:t>
      </w:r>
      <w:r w:rsidR="007010AD" w:rsidRPr="00A35933">
        <w:rPr>
          <w:b/>
          <w:color w:val="FFFFFF" w:themeColor="background1"/>
        </w:rPr>
        <w:t>*</w:t>
      </w:r>
    </w:p>
    <w:p w:rsidR="0049577B" w:rsidRDefault="0049577B" w:rsidP="00142B72">
      <w:pPr>
        <w:jc w:val="center"/>
        <w:rPr>
          <w:sz w:val="24"/>
        </w:rPr>
      </w:pPr>
      <w:r w:rsidRPr="004253B6">
        <w:rPr>
          <w:sz w:val="24"/>
        </w:rPr>
        <w:t>Ko, Yui Rey &amp; Tsai, Chen Chien</w:t>
      </w:r>
    </w:p>
    <w:p w:rsidR="001A0B61" w:rsidRPr="004253B6" w:rsidRDefault="001A0B61" w:rsidP="00142B72">
      <w:pPr>
        <w:jc w:val="center"/>
        <w:rPr>
          <w:sz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9577B" w:rsidRPr="00B40DC1" w:rsidTr="00EC027F">
        <w:tc>
          <w:tcPr>
            <w:tcW w:w="9776" w:type="dxa"/>
            <w:shd w:val="clear" w:color="auto" w:fill="auto"/>
          </w:tcPr>
          <w:p w:rsidR="0049577B" w:rsidRPr="00407EEE" w:rsidRDefault="0049577B" w:rsidP="005F2057">
            <w:pPr>
              <w:spacing w:line="240" w:lineRule="auto"/>
              <w:ind w:leftChars="0" w:left="0" w:rightChars="0" w:right="0"/>
              <w:rPr>
                <w:b/>
              </w:rPr>
            </w:pPr>
            <w:bookmarkStart w:id="145" w:name="a6"/>
            <w:bookmarkEnd w:id="145"/>
            <w:r w:rsidRPr="00407EEE">
              <w:rPr>
                <w:b/>
              </w:rPr>
              <w:t>目次</w:t>
            </w:r>
          </w:p>
          <w:p w:rsidR="00407EEE" w:rsidRDefault="00407EEE" w:rsidP="005F2057">
            <w:pPr>
              <w:spacing w:line="240" w:lineRule="auto"/>
              <w:ind w:leftChars="0" w:left="142" w:rightChars="0" w:right="0"/>
              <w:rPr>
                <w:color w:val="990000"/>
                <w:kern w:val="36"/>
              </w:rPr>
            </w:pPr>
            <w:r w:rsidRPr="00496946">
              <w:rPr>
                <w:rFonts w:hint="eastAsia"/>
                <w:color w:val="990000"/>
                <w:kern w:val="36"/>
              </w:rPr>
              <w:t>壹、</w:t>
            </w:r>
            <w:hyperlink w:anchor="_壹、前言_3" w:history="1">
              <w:r w:rsidRPr="00857650">
                <w:rPr>
                  <w:rStyle w:val="a7"/>
                  <w:rFonts w:cs="Times New Roman" w:hint="eastAsia"/>
                  <w:kern w:val="36"/>
                  <w:lang w:eastAsia="zh-TW" w:bidi="ar-SA"/>
                </w:rPr>
                <w:t>前言</w:t>
              </w:r>
            </w:hyperlink>
            <w:r w:rsidR="005F2057" w:rsidRPr="005F2057">
              <w:rPr>
                <w:rFonts w:hint="eastAsia"/>
                <w:b/>
                <w:color w:val="FFFFFF" w:themeColor="background1"/>
                <w:sz w:val="22"/>
              </w:rPr>
              <w:t>*</w:t>
            </w:r>
          </w:p>
          <w:p w:rsidR="00407EEE" w:rsidRPr="00496946" w:rsidRDefault="00407EEE" w:rsidP="005F2057">
            <w:pPr>
              <w:spacing w:line="240" w:lineRule="auto"/>
              <w:ind w:leftChars="0" w:left="142" w:rightChars="0" w:right="0"/>
              <w:rPr>
                <w:color w:val="990000"/>
                <w:kern w:val="36"/>
              </w:rPr>
            </w:pPr>
            <w:r w:rsidRPr="00496946">
              <w:rPr>
                <w:rFonts w:hint="eastAsia"/>
                <w:color w:val="990000"/>
                <w:kern w:val="36"/>
              </w:rPr>
              <w:t>貳、</w:t>
            </w:r>
            <w:hyperlink w:anchor="_貳、源頭安全管理概論" w:history="1">
              <w:r w:rsidRPr="00857650">
                <w:rPr>
                  <w:rStyle w:val="a7"/>
                  <w:rFonts w:cs="Times New Roman" w:hint="eastAsia"/>
                  <w:kern w:val="36"/>
                  <w:lang w:eastAsia="zh-TW" w:bidi="ar-SA"/>
                </w:rPr>
                <w:t>源頭安全管理概論</w:t>
              </w:r>
            </w:hyperlink>
            <w:r w:rsidR="005F2057" w:rsidRPr="005F2057">
              <w:rPr>
                <w:rFonts w:hint="eastAsia"/>
                <w:b/>
                <w:color w:val="FFFFFF" w:themeColor="background1"/>
                <w:sz w:val="22"/>
              </w:rPr>
              <w:t>*</w:t>
            </w:r>
          </w:p>
          <w:p w:rsidR="0049577B" w:rsidRPr="00865ADB" w:rsidRDefault="005F2057"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一、</w:t>
            </w:r>
            <w:hyperlink w:anchor="_一、「源頭」之概念" w:history="1">
              <w:r w:rsidR="0049577B" w:rsidRPr="00C76F52">
                <w:rPr>
                  <w:rStyle w:val="a7"/>
                  <w:rFonts w:cs="Times New Roman"/>
                  <w:sz w:val="24"/>
                  <w:lang w:eastAsia="zh-TW" w:bidi="ar-SA"/>
                </w:rPr>
                <w:t>「源頭」之概念</w:t>
              </w:r>
            </w:hyperlink>
          </w:p>
          <w:p w:rsidR="0049577B"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二、</w:t>
            </w:r>
            <w:hyperlink w:anchor="_二、安全管理之概念" w:history="1">
              <w:r w:rsidR="0049577B" w:rsidRPr="00C76F52">
                <w:rPr>
                  <w:rStyle w:val="a7"/>
                  <w:rFonts w:cs="Times New Roman"/>
                  <w:sz w:val="24"/>
                  <w:lang w:eastAsia="zh-TW" w:bidi="ar-SA"/>
                </w:rPr>
                <w:t>安全管理之概念</w:t>
              </w:r>
            </w:hyperlink>
          </w:p>
          <w:p w:rsidR="0049577B"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三、</w:t>
            </w:r>
            <w:hyperlink w:anchor="_三、國境人流之源頭安全管理" w:history="1">
              <w:r w:rsidR="0049577B" w:rsidRPr="00C76F52">
                <w:rPr>
                  <w:rStyle w:val="a7"/>
                  <w:rFonts w:cs="Times New Roman"/>
                  <w:sz w:val="24"/>
                  <w:lang w:eastAsia="zh-TW" w:bidi="ar-SA"/>
                </w:rPr>
                <w:t>國境人流之源頭安全管理</w:t>
              </w:r>
            </w:hyperlink>
            <w:r w:rsidR="005F2057" w:rsidRPr="00865ADB">
              <w:rPr>
                <w:rFonts w:hint="eastAsia"/>
                <w:b/>
                <w:color w:val="FFFFFF" w:themeColor="background1"/>
                <w:sz w:val="20"/>
              </w:rPr>
              <w:t>*</w:t>
            </w:r>
          </w:p>
          <w:p w:rsidR="0049577B" w:rsidRPr="00142B72" w:rsidRDefault="00407EEE" w:rsidP="005F2057">
            <w:pPr>
              <w:spacing w:line="240" w:lineRule="auto"/>
              <w:ind w:leftChars="0" w:left="142" w:rightChars="0" w:right="0"/>
            </w:pPr>
            <w:r w:rsidRPr="00496946">
              <w:rPr>
                <w:rFonts w:hint="eastAsia"/>
                <w:color w:val="990000"/>
                <w:kern w:val="36"/>
              </w:rPr>
              <w:t>參、</w:t>
            </w:r>
            <w:hyperlink w:anchor="_參、兩岸關係淺析" w:history="1">
              <w:r w:rsidRPr="00857650">
                <w:rPr>
                  <w:rStyle w:val="a7"/>
                  <w:rFonts w:cs="Times New Roman" w:hint="eastAsia"/>
                  <w:kern w:val="36"/>
                  <w:lang w:eastAsia="zh-TW" w:bidi="ar-SA"/>
                </w:rPr>
                <w:t>兩岸關係淺析</w:t>
              </w:r>
            </w:hyperlink>
          </w:p>
          <w:p w:rsidR="0049577B"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一、</w:t>
            </w:r>
            <w:hyperlink w:anchor="_一、兩岸關係歷史概述" w:history="1">
              <w:r w:rsidR="0049577B" w:rsidRPr="00C76F52">
                <w:rPr>
                  <w:rStyle w:val="a7"/>
                  <w:rFonts w:cs="Times New Roman"/>
                  <w:sz w:val="24"/>
                  <w:lang w:eastAsia="zh-TW" w:bidi="ar-SA"/>
                </w:rPr>
                <w:t>兩岸關係歷史概述</w:t>
              </w:r>
            </w:hyperlink>
          </w:p>
          <w:p w:rsidR="00407EEE"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二、</w:t>
            </w:r>
            <w:hyperlink w:anchor="_二、中國大陸仍是台灣國家安全之最大威脅者" w:history="1">
              <w:r w:rsidR="0049577B" w:rsidRPr="00C76F52">
                <w:rPr>
                  <w:rStyle w:val="a7"/>
                  <w:rFonts w:cs="Times New Roman"/>
                  <w:sz w:val="24"/>
                  <w:lang w:eastAsia="zh-TW" w:bidi="ar-SA"/>
                </w:rPr>
                <w:t>中國大陸仍是台灣國家安全之最大威脅者</w:t>
              </w:r>
            </w:hyperlink>
          </w:p>
          <w:p w:rsidR="00407EEE" w:rsidRPr="00496946" w:rsidRDefault="00407EEE" w:rsidP="005F2057">
            <w:pPr>
              <w:spacing w:line="240" w:lineRule="auto"/>
              <w:ind w:leftChars="0" w:left="142" w:rightChars="0" w:right="0"/>
              <w:rPr>
                <w:color w:val="990000"/>
                <w:kern w:val="36"/>
              </w:rPr>
            </w:pPr>
            <w:r w:rsidRPr="00496946">
              <w:rPr>
                <w:rFonts w:hint="eastAsia"/>
                <w:color w:val="990000"/>
                <w:kern w:val="36"/>
              </w:rPr>
              <w:t>肆、</w:t>
            </w:r>
            <w:hyperlink w:anchor="_肆、大陸人民來台現況概述" w:history="1">
              <w:r w:rsidRPr="00857650">
                <w:rPr>
                  <w:rStyle w:val="a7"/>
                  <w:rFonts w:cs="Times New Roman" w:hint="eastAsia"/>
                  <w:kern w:val="36"/>
                  <w:lang w:eastAsia="zh-TW" w:bidi="ar-SA"/>
                </w:rPr>
                <w:t>大陸人民來台現況概述</w:t>
              </w:r>
            </w:hyperlink>
            <w:r w:rsidR="005F2057" w:rsidRPr="005F2057">
              <w:rPr>
                <w:rFonts w:hint="eastAsia"/>
                <w:b/>
                <w:color w:val="FFFFFF" w:themeColor="background1"/>
                <w:sz w:val="22"/>
              </w:rPr>
              <w:t>*</w:t>
            </w:r>
          </w:p>
          <w:p w:rsidR="0049577B" w:rsidRPr="00142B72" w:rsidRDefault="00407EEE" w:rsidP="005F2057">
            <w:pPr>
              <w:spacing w:line="240" w:lineRule="auto"/>
              <w:ind w:leftChars="0" w:left="142" w:rightChars="0" w:right="0"/>
            </w:pPr>
            <w:bookmarkStart w:id="146" w:name="a6b5"/>
            <w:bookmarkEnd w:id="146"/>
            <w:r w:rsidRPr="00496946">
              <w:rPr>
                <w:rFonts w:hint="eastAsia"/>
                <w:color w:val="990000"/>
                <w:kern w:val="36"/>
              </w:rPr>
              <w:t>伍、</w:t>
            </w:r>
            <w:hyperlink w:anchor="_伍、大陸地區人民來台之源頭安全管理之實務探討與分析" w:history="1">
              <w:r w:rsidRPr="00857650">
                <w:rPr>
                  <w:rStyle w:val="a7"/>
                  <w:rFonts w:cs="Times New Roman" w:hint="eastAsia"/>
                  <w:kern w:val="36"/>
                  <w:lang w:eastAsia="zh-TW" w:bidi="ar-SA"/>
                </w:rPr>
                <w:t>大陸地區人民來台之源頭安全管理之實務探討與分析</w:t>
              </w:r>
            </w:hyperlink>
            <w:r w:rsidR="005F2057" w:rsidRPr="005F2057">
              <w:rPr>
                <w:rFonts w:hint="eastAsia"/>
                <w:b/>
                <w:color w:val="FFFFFF" w:themeColor="background1"/>
                <w:sz w:val="22"/>
              </w:rPr>
              <w:t>*</w:t>
            </w:r>
          </w:p>
          <w:p w:rsidR="0049577B"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一、</w:t>
            </w:r>
            <w:hyperlink w:anchor="_一、從大陸地區人民申請來台之兩岸發證機制探討源頭安全管理" w:history="1">
              <w:r w:rsidR="0049577B" w:rsidRPr="00D162A0">
                <w:rPr>
                  <w:rStyle w:val="a7"/>
                  <w:rFonts w:cs="Times New Roman"/>
                  <w:sz w:val="24"/>
                  <w:lang w:eastAsia="zh-TW" w:bidi="ar-SA"/>
                </w:rPr>
                <w:t>從大陸地區人民申請來台之兩岸發證機制探討源頭安全管理</w:t>
              </w:r>
            </w:hyperlink>
          </w:p>
          <w:p w:rsidR="0049577B"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二、</w:t>
            </w:r>
            <w:hyperlink w:anchor="_二、從健檢醫美申辦實務分析源頭安全管理" w:history="1">
              <w:r w:rsidR="0049577B" w:rsidRPr="00692A7A">
                <w:rPr>
                  <w:rStyle w:val="a7"/>
                  <w:rFonts w:cs="Times New Roman"/>
                  <w:sz w:val="24"/>
                  <w:lang w:eastAsia="zh-TW" w:bidi="ar-SA"/>
                </w:rPr>
                <w:t>從健檢醫美申辦實務分析源頭安全管理</w:t>
              </w:r>
            </w:hyperlink>
          </w:p>
          <w:p w:rsidR="0049577B" w:rsidRPr="005F2057" w:rsidRDefault="00407EEE" w:rsidP="005F2057">
            <w:pPr>
              <w:spacing w:line="240" w:lineRule="auto"/>
              <w:ind w:leftChars="0" w:left="142" w:rightChars="0" w:right="0"/>
              <w:rPr>
                <w:color w:val="990000"/>
              </w:rPr>
            </w:pPr>
            <w:r w:rsidRPr="00865ADB">
              <w:rPr>
                <w:rFonts w:hint="eastAsia"/>
                <w:color w:val="990000"/>
                <w:kern w:val="36"/>
                <w:sz w:val="24"/>
              </w:rPr>
              <w:t>》</w:t>
            </w:r>
            <w:r w:rsidR="0049577B" w:rsidRPr="00865ADB">
              <w:rPr>
                <w:color w:val="990000"/>
                <w:sz w:val="24"/>
              </w:rPr>
              <w:t>三、</w:t>
            </w:r>
            <w:hyperlink w:anchor="_三、從防制跨國（境）人口販運經驗切入探討大陸地區人民來臺源頭安全管理" w:history="1">
              <w:r w:rsidR="0049577B" w:rsidRPr="00692A7A">
                <w:rPr>
                  <w:rStyle w:val="a7"/>
                  <w:rFonts w:cs="Times New Roman"/>
                  <w:sz w:val="24"/>
                  <w:lang w:eastAsia="zh-TW" w:bidi="ar-SA"/>
                </w:rPr>
                <w:t>從防制跨國（境）人口販運經驗切入探討大陸地區人民來臺源頭安全管理</w:t>
              </w:r>
            </w:hyperlink>
            <w:r w:rsidR="005F2057" w:rsidRPr="005F2057">
              <w:rPr>
                <w:rFonts w:hint="eastAsia"/>
                <w:b/>
                <w:color w:val="FFFFFF" w:themeColor="background1"/>
                <w:sz w:val="22"/>
              </w:rPr>
              <w:t>*</w:t>
            </w:r>
          </w:p>
          <w:p w:rsidR="003C1792" w:rsidRDefault="0049577B" w:rsidP="005F2057">
            <w:pPr>
              <w:spacing w:line="240" w:lineRule="auto"/>
              <w:ind w:leftChars="0" w:left="142" w:rightChars="0" w:right="0"/>
            </w:pPr>
            <w:bookmarkStart w:id="147" w:name="a6b6"/>
            <w:bookmarkEnd w:id="147"/>
            <w:r w:rsidRPr="00407EEE">
              <w:rPr>
                <w:color w:val="990000"/>
              </w:rPr>
              <w:t>陸、</w:t>
            </w:r>
            <w:hyperlink w:anchor="_陸、兩岸互設辦事處進行源頭安全管理可行性之初探" w:history="1">
              <w:r w:rsidRPr="007010AD">
                <w:rPr>
                  <w:rStyle w:val="a7"/>
                  <w:rFonts w:cs="Times New Roman"/>
                  <w:lang w:eastAsia="zh-TW" w:bidi="ar-SA"/>
                </w:rPr>
                <w:t>兩岸互設辦事機構進行源頭安全管理可行性之初探</w:t>
              </w:r>
            </w:hyperlink>
            <w:r w:rsidRPr="00142B72">
              <w:t xml:space="preserve"> </w:t>
            </w:r>
          </w:p>
          <w:p w:rsidR="0049577B"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一、</w:t>
            </w:r>
            <w:hyperlink w:anchor="_一、兩岸互設辦事處之緣起與發展進程" w:history="1">
              <w:r w:rsidR="0049577B" w:rsidRPr="004D607D">
                <w:rPr>
                  <w:rStyle w:val="a7"/>
                  <w:rFonts w:cs="Times New Roman"/>
                  <w:sz w:val="24"/>
                  <w:lang w:eastAsia="zh-TW" w:bidi="ar-SA"/>
                </w:rPr>
                <w:t>兩岸互設辦事處之緣起與發展進程</w:t>
              </w:r>
            </w:hyperlink>
          </w:p>
          <w:p w:rsidR="003C1792"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二、</w:t>
            </w:r>
            <w:hyperlink w:anchor="_二、兩岸互設辦事處之法源依據與「嚴格國會保留」機制之折衝" w:history="1">
              <w:r w:rsidR="0049577B" w:rsidRPr="004D607D">
                <w:rPr>
                  <w:rStyle w:val="a7"/>
                  <w:rFonts w:cs="Times New Roman"/>
                  <w:sz w:val="24"/>
                  <w:lang w:eastAsia="zh-TW" w:bidi="ar-SA"/>
                </w:rPr>
                <w:t>兩岸互設辦事處之法源依據與「嚴格國會保留」機制之折衝</w:t>
              </w:r>
            </w:hyperlink>
            <w:r w:rsidR="0049577B" w:rsidRPr="00865ADB">
              <w:rPr>
                <w:color w:val="990000"/>
                <w:sz w:val="24"/>
              </w:rPr>
              <w:t xml:space="preserve"> </w:t>
            </w:r>
          </w:p>
          <w:p w:rsidR="003C1792"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三、</w:t>
            </w:r>
            <w:hyperlink w:anchor="_三、駐員身分、人力、發證方式及源頭安全管理機制" w:history="1">
              <w:r w:rsidR="0049577B" w:rsidRPr="004D607D">
                <w:rPr>
                  <w:rStyle w:val="a7"/>
                  <w:rFonts w:cs="Times New Roman"/>
                  <w:sz w:val="24"/>
                  <w:lang w:eastAsia="zh-TW" w:bidi="ar-SA"/>
                </w:rPr>
                <w:t>駐員身分、人力、發證方式及源頭安全管理機制</w:t>
              </w:r>
            </w:hyperlink>
            <w:r w:rsidR="0049577B" w:rsidRPr="00865ADB">
              <w:rPr>
                <w:color w:val="990000"/>
                <w:sz w:val="24"/>
              </w:rPr>
              <w:t xml:space="preserve"> </w:t>
            </w:r>
          </w:p>
          <w:p w:rsidR="0049577B"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四、</w:t>
            </w:r>
            <w:hyperlink w:anchor="_四、辦事處之性質及定位" w:history="1">
              <w:r w:rsidR="0049577B" w:rsidRPr="004D607D">
                <w:rPr>
                  <w:rStyle w:val="a7"/>
                  <w:rFonts w:cs="Times New Roman"/>
                  <w:sz w:val="24"/>
                  <w:lang w:eastAsia="zh-TW" w:bidi="ar-SA"/>
                </w:rPr>
                <w:t>辦事處之性質及定位</w:t>
              </w:r>
            </w:hyperlink>
            <w:r w:rsidR="005F2057" w:rsidRPr="00865ADB">
              <w:rPr>
                <w:rFonts w:hint="eastAsia"/>
                <w:b/>
                <w:color w:val="FFFFFF" w:themeColor="background1"/>
                <w:sz w:val="20"/>
              </w:rPr>
              <w:t>*</w:t>
            </w:r>
          </w:p>
          <w:p w:rsidR="0049577B" w:rsidRPr="00B40DC1" w:rsidRDefault="00407EEE" w:rsidP="005F2057">
            <w:pPr>
              <w:spacing w:line="240" w:lineRule="auto"/>
              <w:ind w:leftChars="0" w:left="142" w:rightChars="0" w:right="0"/>
            </w:pPr>
            <w:bookmarkStart w:id="148" w:name="a6b7"/>
            <w:bookmarkEnd w:id="148"/>
            <w:r w:rsidRPr="00496946">
              <w:rPr>
                <w:rFonts w:hint="eastAsia"/>
                <w:color w:val="990000"/>
                <w:kern w:val="36"/>
              </w:rPr>
              <w:t>柒、</w:t>
            </w:r>
            <w:hyperlink w:anchor="_柒、結論與建議_1" w:history="1">
              <w:r w:rsidRPr="00857650">
                <w:rPr>
                  <w:rStyle w:val="a7"/>
                  <w:rFonts w:cs="Times New Roman" w:hint="eastAsia"/>
                  <w:kern w:val="36"/>
                  <w:lang w:eastAsia="zh-TW" w:bidi="ar-SA"/>
                </w:rPr>
                <w:t>結論與建議</w:t>
              </w:r>
            </w:hyperlink>
          </w:p>
          <w:p w:rsidR="0049577B" w:rsidRPr="00865ADB" w:rsidRDefault="00407EEE" w:rsidP="005F2057">
            <w:pPr>
              <w:spacing w:line="240" w:lineRule="auto"/>
              <w:ind w:leftChars="0" w:left="142" w:rightChars="0" w:right="0"/>
              <w:rPr>
                <w:color w:val="990000"/>
                <w:sz w:val="24"/>
              </w:rPr>
            </w:pPr>
            <w:r w:rsidRPr="00865ADB">
              <w:rPr>
                <w:rFonts w:hint="eastAsia"/>
                <w:color w:val="990000"/>
                <w:kern w:val="36"/>
                <w:sz w:val="24"/>
              </w:rPr>
              <w:t>》</w:t>
            </w:r>
            <w:r w:rsidR="0049577B" w:rsidRPr="00865ADB">
              <w:rPr>
                <w:color w:val="990000"/>
                <w:sz w:val="24"/>
              </w:rPr>
              <w:t>一、</w:t>
            </w:r>
            <w:hyperlink w:anchor="_一、由大陸先行審批大陸居民往來台灣通行證及簽注，我方再憑證審發大陸地區" w:history="1">
              <w:r w:rsidR="0049577B" w:rsidRPr="004D607D">
                <w:rPr>
                  <w:rStyle w:val="a7"/>
                  <w:rFonts w:cs="Times New Roman"/>
                  <w:sz w:val="24"/>
                  <w:lang w:eastAsia="zh-TW" w:bidi="ar-SA"/>
                </w:rPr>
                <w:t>由大陸先行審批大陸居民往來台灣通行證及簽注，我方再憑證審發大陸地區人民來台之入出境許可證</w:t>
              </w:r>
            </w:hyperlink>
          </w:p>
          <w:p w:rsidR="0049577B" w:rsidRPr="00865ADB" w:rsidRDefault="00407EEE" w:rsidP="005F2057">
            <w:pPr>
              <w:spacing w:line="240" w:lineRule="auto"/>
              <w:ind w:leftChars="0" w:left="142" w:rightChars="0" w:right="0"/>
              <w:rPr>
                <w:color w:val="990000"/>
                <w:sz w:val="24"/>
                <w:lang w:bidi="ta-IN"/>
              </w:rPr>
            </w:pPr>
            <w:r w:rsidRPr="00865ADB">
              <w:rPr>
                <w:rFonts w:hint="eastAsia"/>
                <w:color w:val="990000"/>
                <w:kern w:val="36"/>
                <w:sz w:val="24"/>
              </w:rPr>
              <w:t>》</w:t>
            </w:r>
            <w:r w:rsidR="0049577B" w:rsidRPr="00865ADB">
              <w:rPr>
                <w:color w:val="990000"/>
                <w:sz w:val="24"/>
              </w:rPr>
              <w:t>二、</w:t>
            </w:r>
            <w:hyperlink w:anchor="_二、簽署兩岸境管合作協議" w:history="1">
              <w:r w:rsidR="0049577B" w:rsidRPr="004D607D">
                <w:rPr>
                  <w:rStyle w:val="a7"/>
                  <w:rFonts w:cs="Times New Roman"/>
                  <w:sz w:val="24"/>
                  <w:lang w:eastAsia="zh-TW" w:bidi="ta-IN"/>
                </w:rPr>
                <w:t>簽署兩岸境管合作協議</w:t>
              </w:r>
            </w:hyperlink>
          </w:p>
          <w:p w:rsidR="0049577B" w:rsidRPr="00865ADB" w:rsidRDefault="00407EEE" w:rsidP="005F2057">
            <w:pPr>
              <w:spacing w:line="240" w:lineRule="auto"/>
              <w:ind w:leftChars="0" w:left="142" w:rightChars="0" w:right="0"/>
              <w:rPr>
                <w:color w:val="990000"/>
                <w:sz w:val="24"/>
                <w:lang w:bidi="ta-IN"/>
              </w:rPr>
            </w:pPr>
            <w:r w:rsidRPr="00865ADB">
              <w:rPr>
                <w:rFonts w:hint="eastAsia"/>
                <w:color w:val="990000"/>
                <w:kern w:val="36"/>
                <w:sz w:val="24"/>
              </w:rPr>
              <w:t>》</w:t>
            </w:r>
            <w:r w:rsidR="0049577B" w:rsidRPr="00865ADB">
              <w:rPr>
                <w:color w:val="990000"/>
                <w:sz w:val="24"/>
                <w:lang w:bidi="ta-IN"/>
              </w:rPr>
              <w:t>三、</w:t>
            </w:r>
            <w:hyperlink w:anchor="_三、建立跨境人流管理之資訊交流平台" w:history="1">
              <w:r w:rsidR="0049577B" w:rsidRPr="004D607D">
                <w:rPr>
                  <w:rStyle w:val="a7"/>
                  <w:rFonts w:cs="Times New Roman"/>
                  <w:sz w:val="24"/>
                  <w:lang w:eastAsia="zh-TW" w:bidi="ta-IN"/>
                </w:rPr>
                <w:t>建立</w:t>
              </w:r>
              <w:r w:rsidR="0049577B" w:rsidRPr="004D607D">
                <w:rPr>
                  <w:rStyle w:val="a7"/>
                  <w:rFonts w:cs="Times New Roman"/>
                  <w:sz w:val="24"/>
                  <w:lang w:eastAsia="zh-TW" w:bidi="ar-SA"/>
                </w:rPr>
                <w:t>跨境人流管理之</w:t>
              </w:r>
              <w:r w:rsidR="0049577B" w:rsidRPr="004D607D">
                <w:rPr>
                  <w:rStyle w:val="a7"/>
                  <w:rFonts w:cs="Times New Roman"/>
                  <w:sz w:val="24"/>
                  <w:lang w:eastAsia="zh-TW" w:bidi="ta-IN"/>
                </w:rPr>
                <w:t>資訊交流平臺</w:t>
              </w:r>
            </w:hyperlink>
          </w:p>
          <w:p w:rsidR="0049577B" w:rsidRPr="005F2057" w:rsidRDefault="00407EEE" w:rsidP="005F2057">
            <w:pPr>
              <w:spacing w:line="240" w:lineRule="auto"/>
              <w:ind w:leftChars="0" w:left="142" w:rightChars="0" w:right="0"/>
              <w:rPr>
                <w:color w:val="990000"/>
              </w:rPr>
            </w:pPr>
            <w:r w:rsidRPr="005F2057">
              <w:rPr>
                <w:rFonts w:hint="eastAsia"/>
                <w:color w:val="990000"/>
                <w:kern w:val="36"/>
              </w:rPr>
              <w:t>》</w:t>
            </w:r>
            <w:r w:rsidR="0049577B" w:rsidRPr="005F2057">
              <w:rPr>
                <w:color w:val="990000"/>
              </w:rPr>
              <w:t>四、</w:t>
            </w:r>
            <w:hyperlink w:anchor="_四、建立兩岸境管機關人員即時通管道" w:history="1">
              <w:r w:rsidR="0049577B" w:rsidRPr="004D607D">
                <w:rPr>
                  <w:rStyle w:val="a7"/>
                  <w:rFonts w:cs="Times New Roman"/>
                  <w:lang w:eastAsia="zh-TW" w:bidi="ar-SA"/>
                </w:rPr>
                <w:t>建立兩岸境管機關人員即時通管道</w:t>
              </w:r>
            </w:hyperlink>
          </w:p>
          <w:p w:rsidR="0049577B" w:rsidRPr="00B40DC1" w:rsidRDefault="00407EEE" w:rsidP="005F2057">
            <w:pPr>
              <w:spacing w:line="240" w:lineRule="auto"/>
              <w:ind w:leftChars="0" w:left="142" w:rightChars="0" w:right="0"/>
              <w:rPr>
                <w:kern w:val="0"/>
              </w:rPr>
            </w:pPr>
            <w:r w:rsidRPr="005F2057">
              <w:rPr>
                <w:rFonts w:hint="eastAsia"/>
                <w:color w:val="990000"/>
                <w:kern w:val="36"/>
              </w:rPr>
              <w:t>》</w:t>
            </w:r>
            <w:r w:rsidR="0049577B" w:rsidRPr="005F2057">
              <w:rPr>
                <w:color w:val="990000"/>
                <w:kern w:val="0"/>
                <w:lang w:bidi="ta-IN"/>
              </w:rPr>
              <w:t>五、</w:t>
            </w:r>
            <w:hyperlink w:anchor="_五、兩岸互設辦事機構增設審發入出境許可證及面談功能" w:history="1">
              <w:r w:rsidR="0049577B" w:rsidRPr="004D607D">
                <w:rPr>
                  <w:rStyle w:val="a7"/>
                  <w:rFonts w:cs="Times New Roman"/>
                  <w:lang w:eastAsia="zh-TW" w:bidi="ar-SA"/>
                </w:rPr>
                <w:t>兩岸互設辦事機構增設審發入出境許可證及面談功能</w:t>
              </w:r>
            </w:hyperlink>
          </w:p>
        </w:tc>
      </w:tr>
    </w:tbl>
    <w:p w:rsidR="0049577B" w:rsidRPr="00B40DC1" w:rsidRDefault="0049577B" w:rsidP="005F2057">
      <w:pPr>
        <w:spacing w:line="240" w:lineRule="auto"/>
        <w:ind w:leftChars="0" w:left="0" w:rightChars="0" w:right="0"/>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9577B" w:rsidRPr="00B40DC1" w:rsidTr="0000380F">
        <w:tc>
          <w:tcPr>
            <w:tcW w:w="9776" w:type="dxa"/>
            <w:shd w:val="clear" w:color="auto" w:fill="auto"/>
          </w:tcPr>
          <w:p w:rsidR="0049577B" w:rsidRPr="0000380F" w:rsidRDefault="0049577B" w:rsidP="005F2057">
            <w:pPr>
              <w:spacing w:line="240" w:lineRule="auto"/>
              <w:ind w:leftChars="0" w:left="0" w:rightChars="0" w:right="0"/>
              <w:rPr>
                <w:b/>
              </w:rPr>
            </w:pPr>
            <w:r w:rsidRPr="0000380F">
              <w:rPr>
                <w:b/>
              </w:rPr>
              <w:t>中文摘要</w:t>
            </w:r>
          </w:p>
          <w:p w:rsidR="0049577B" w:rsidRPr="00B40DC1" w:rsidRDefault="0000380F" w:rsidP="005F2057">
            <w:pPr>
              <w:spacing w:line="240" w:lineRule="auto"/>
              <w:ind w:leftChars="0" w:left="0" w:rightChars="0" w:right="0"/>
            </w:pPr>
            <w:r>
              <w:rPr>
                <w:lang w:eastAsia="zh-HK"/>
              </w:rPr>
              <w:t xml:space="preserve">　　</w:t>
            </w:r>
            <w:r w:rsidR="0049577B" w:rsidRPr="00B40DC1">
              <w:rPr>
                <w:lang w:eastAsia="zh-HK"/>
              </w:rPr>
              <w:t>在</w:t>
            </w:r>
            <w:r w:rsidR="0049577B" w:rsidRPr="00B40DC1">
              <w:t>2008</w:t>
            </w:r>
            <w:r w:rsidR="0049577B" w:rsidRPr="00B40DC1">
              <w:rPr>
                <w:lang w:eastAsia="zh-HK"/>
              </w:rPr>
              <w:t>至2016年</w:t>
            </w:r>
            <w:r w:rsidR="0049577B" w:rsidRPr="00B40DC1">
              <w:t>前總統馬英九執政</w:t>
            </w:r>
            <w:r w:rsidR="0049577B" w:rsidRPr="00B40DC1">
              <w:rPr>
                <w:lang w:eastAsia="zh-HK"/>
              </w:rPr>
              <w:t>期間</w:t>
            </w:r>
            <w:r w:rsidR="0049577B" w:rsidRPr="00B40DC1">
              <w:t>，台灣與大陸各階層交流相當頻繁，台灣對於大陸人民申請來台之法規</w:t>
            </w:r>
            <w:r w:rsidR="0049577B" w:rsidRPr="00B40DC1">
              <w:rPr>
                <w:lang w:eastAsia="zh-HK"/>
              </w:rPr>
              <w:t>亦大幅度</w:t>
            </w:r>
            <w:r w:rsidR="0049577B" w:rsidRPr="00B40DC1">
              <w:t>開放，因而促使大陸人民來台灣之人數屢創新高，</w:t>
            </w:r>
            <w:r w:rsidR="0049577B" w:rsidRPr="00B40DC1">
              <w:rPr>
                <w:lang w:eastAsia="zh-HK"/>
              </w:rPr>
              <w:t>就當時</w:t>
            </w:r>
            <w:r w:rsidR="0049577B" w:rsidRPr="00B40DC1">
              <w:t>台灣政府對於兩岸政策之推行方向與台灣社會整體之氛圍觀察，均朝著寬鬆政策，及擴大交流之方向推進，而較令重視安全管理課題之人士擔憂者，在寬鬆政策之法令開放，以及擴大交流之經濟利益背後，台灣政府及社會是否已有完整之安全管理配套措施？或僅因落實國家政策，為開放而開放。就實務上觀察，台灣政府機關在協助推動兩岸政策之過程，均先採取放寬法令後，再視執行現況加以檢討；亦即，待政策執行一段時間之後，再從實際發生之問題，檢討政策之優劣面，始作為加強安全管理作為之依據；以如此亡羊補牢之作法，並不符合安全管理之預防措施；截至目前為止，政府陸續開放許多大陸人民來台之法規，雖然會伴隨而來產生一些問題，但其衍生之相關問題，大部分仍是以社會問題及治安問題居多，較少涉及危害國家安全之議題。故即使是亡羊補牢之事後安全管理作為，亦並未造成國家之嚴重危害，因此，從全面性來看，政府對於兩岸政策推動之方式，尚可在接受之範圍內。雖然，目前尚未發生危害國家安全之重大案例，但在持續開放大陸人民來台之這段期間以來，是否早已經潛藏影響國家安全之危機因數？而僅是尚未被引爆。例如目前在台灣行方不明之大陸人民中，是否業已隱藏著危安分子，並無法證實，假設國安危機之炸彈一旦引爆，所影響之範圍恐難以估計，並非可用處理社會問題和治安問題之模式，進行安全管理，兩者之間恐無法相提併論。</w:t>
            </w:r>
          </w:p>
          <w:p w:rsidR="0049577B" w:rsidRPr="00B40DC1" w:rsidRDefault="0049577B" w:rsidP="005F2057">
            <w:pPr>
              <w:spacing w:line="240" w:lineRule="auto"/>
              <w:ind w:leftChars="0" w:left="0" w:rightChars="0" w:right="0"/>
            </w:pPr>
            <w:r w:rsidRPr="00B40DC1">
              <w:t xml:space="preserve">　　以國家安全至上之管理觀念，所有會影響國安之可能因素，均宜列入審慎評估之範圍。其實，安全管理與保險之觀念有所雷同，均為一種未雨綢繆之作為，須先假設作最壞之打算，再從中規劃最萬全之準備，所以，過去及現在沒有發生之事，並不代表未來就不會發生，此乃安全管理最基本之概念。正所謂事出必有因，要找出解決問題之方法，必然先要探索問題發生之起因，換言之，須追尋問題之起源；同理，欲達到安全管理最好之方式，須從源頭安全管理進行之。大陸人民來台之管理作為，是屬於跨境人流管理之一種，故若要從源頭方面進行安全管理，就必須從大陸地區實施源頭管理作為，台灣方面不能以被動之方式，等待大陸人民入境時，始啟動相關之安全管理作為。以外交部審發外國人來台簽證之安全管理概念來看，阻絕危險於境外，是最佳源頭安全管理之方法；但考量現實之狀況、兩岸之歷史背景、領導人政策取向及目前兩岸之互動關係，台灣與大陸之間之互信基礎尚不足夠，我方與陸方對於跨境人流管理之工作上，仍然無法就實務面進行全面性之合作，因此若欲由政府派員進駐大陸地區執行源頭安全管理作為，審發大陸地區人民之入出境許可證，恐仍有相當之困難度尚待解決之；再者，審發許可證之概念，可視同國家簽證之核發性質，如此，即涉及國家主權之表現，恐挑動兩岸敏感之政治神經。兩岸之間是否能找到彼此均能接受之做法，令兩岸互設辦事機構加入審發入出境許可證之功能，仍考驗著兩岸領導人與相關部門之智慧。</w:t>
            </w:r>
          </w:p>
          <w:p w:rsidR="0049577B" w:rsidRPr="00B40DC1" w:rsidRDefault="0049577B" w:rsidP="005F2057">
            <w:pPr>
              <w:spacing w:line="240" w:lineRule="auto"/>
              <w:ind w:leftChars="0" w:left="0" w:rightChars="0" w:right="0"/>
            </w:pPr>
            <w:r w:rsidRPr="00B40DC1">
              <w:t xml:space="preserve">　　本文將偏重於實務探討，從實務狀況分析源頭安全管理之成效，並以陸客來台自由行及醫美健檢兩種事由作為比較分析，以數據方式呈現兩者之安全管理之差異性，藉以佐證源頭安全管理之重要性，並藉此提出以下之政策建議，俾供各界參考：</w:t>
            </w:r>
          </w:p>
          <w:p w:rsidR="0049577B" w:rsidRPr="00B40DC1" w:rsidRDefault="0000380F" w:rsidP="005F2057">
            <w:pPr>
              <w:spacing w:line="240" w:lineRule="auto"/>
              <w:ind w:leftChars="0" w:left="0" w:rightChars="0" w:right="0"/>
            </w:pPr>
            <w:r>
              <w:t xml:space="preserve">　　</w:t>
            </w:r>
            <w:r w:rsidR="0049577B" w:rsidRPr="00B40DC1">
              <w:t>1.由大陸先行審批大陸居民往來台灣通行證及簽注，我方再憑證審發大陸地區人民來台之入出境許可證；</w:t>
            </w:r>
          </w:p>
          <w:p w:rsidR="0049577B" w:rsidRPr="00B40DC1" w:rsidRDefault="0000380F" w:rsidP="005F2057">
            <w:pPr>
              <w:spacing w:line="240" w:lineRule="auto"/>
              <w:ind w:leftChars="0" w:left="0" w:rightChars="0" w:right="0"/>
              <w:rPr>
                <w:lang w:bidi="ta-IN"/>
              </w:rPr>
            </w:pPr>
            <w:r>
              <w:t xml:space="preserve">　　</w:t>
            </w:r>
            <w:r w:rsidR="0049577B" w:rsidRPr="00B40DC1">
              <w:t>2.</w:t>
            </w:r>
            <w:r w:rsidR="0049577B" w:rsidRPr="00B40DC1">
              <w:rPr>
                <w:lang w:bidi="ta-IN"/>
              </w:rPr>
              <w:t>簽署兩岸境管合作協議；</w:t>
            </w:r>
          </w:p>
          <w:p w:rsidR="0049577B" w:rsidRPr="00B40DC1" w:rsidRDefault="0000380F" w:rsidP="005F2057">
            <w:pPr>
              <w:spacing w:line="240" w:lineRule="auto"/>
              <w:ind w:leftChars="0" w:left="0" w:rightChars="0" w:right="0"/>
              <w:rPr>
                <w:lang w:bidi="ta-IN"/>
              </w:rPr>
            </w:pPr>
            <w:r>
              <w:rPr>
                <w:lang w:bidi="ta-IN"/>
              </w:rPr>
              <w:t xml:space="preserve">　　</w:t>
            </w:r>
            <w:r w:rsidR="0049577B" w:rsidRPr="00B40DC1">
              <w:rPr>
                <w:lang w:bidi="ta-IN"/>
              </w:rPr>
              <w:t>3.建立資訊交流平臺；</w:t>
            </w:r>
          </w:p>
          <w:p w:rsidR="0049577B" w:rsidRPr="00B40DC1" w:rsidRDefault="0000380F" w:rsidP="005F2057">
            <w:pPr>
              <w:spacing w:line="240" w:lineRule="auto"/>
              <w:ind w:leftChars="0" w:left="0" w:rightChars="0" w:right="0"/>
            </w:pPr>
            <w:r>
              <w:t xml:space="preserve">　　</w:t>
            </w:r>
            <w:r w:rsidR="0049577B" w:rsidRPr="00B40DC1">
              <w:t>4、建立兩岸境管機關人員即時通管道；</w:t>
            </w:r>
          </w:p>
          <w:p w:rsidR="0049577B" w:rsidRPr="00B40DC1" w:rsidRDefault="0000380F" w:rsidP="005F2057">
            <w:pPr>
              <w:spacing w:line="240" w:lineRule="auto"/>
              <w:ind w:leftChars="0" w:left="0" w:rightChars="0" w:right="0"/>
            </w:pPr>
            <w:r>
              <w:rPr>
                <w:kern w:val="0"/>
                <w:lang w:bidi="ta-IN"/>
              </w:rPr>
              <w:t xml:space="preserve">　　</w:t>
            </w:r>
            <w:r w:rsidR="0049577B" w:rsidRPr="00B40DC1">
              <w:rPr>
                <w:kern w:val="0"/>
                <w:lang w:bidi="ta-IN"/>
              </w:rPr>
              <w:t>5、</w:t>
            </w:r>
            <w:r w:rsidR="0049577B" w:rsidRPr="00B40DC1">
              <w:t>兩岸互設辦事機構增設審發入出境許可證及面談功能。</w:t>
            </w:r>
          </w:p>
        </w:tc>
      </w:tr>
    </w:tbl>
    <w:p w:rsidR="0049577B" w:rsidRDefault="001B6AED" w:rsidP="0000380F">
      <w:r>
        <w:t>【關鍵詞】</w:t>
      </w:r>
      <w:r w:rsidR="0049577B" w:rsidRPr="0000380F">
        <w:t>源頭安全管理、自由行、健檢醫美、兩岸互設辦事機構</w:t>
      </w:r>
    </w:p>
    <w:p w:rsidR="0000380F" w:rsidRPr="0000380F" w:rsidRDefault="0000380F" w:rsidP="000038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9577B" w:rsidRPr="00B40DC1" w:rsidTr="0000380F">
        <w:tc>
          <w:tcPr>
            <w:tcW w:w="9634" w:type="dxa"/>
            <w:shd w:val="clear" w:color="auto" w:fill="auto"/>
          </w:tcPr>
          <w:p w:rsidR="0049577B" w:rsidRPr="00B40DC1" w:rsidRDefault="0049577B" w:rsidP="0000380F">
            <w:pPr>
              <w:pStyle w:val="Abstract"/>
              <w:autoSpaceDN/>
              <w:adjustRightInd/>
              <w:spacing w:afterLines="0" w:after="0" w:line="240" w:lineRule="auto"/>
              <w:ind w:leftChars="0" w:left="0" w:rightChars="0" w:right="0"/>
              <w:jc w:val="both"/>
            </w:pPr>
            <w:r w:rsidRPr="00B40DC1">
              <w:t>English Abstract</w:t>
            </w:r>
          </w:p>
          <w:p w:rsidR="003C1792" w:rsidRDefault="0000380F" w:rsidP="0000380F">
            <w:pPr>
              <w:pStyle w:val="abstract0"/>
              <w:autoSpaceDN/>
              <w:adjustRightInd/>
              <w:spacing w:line="240" w:lineRule="auto"/>
              <w:ind w:leftChars="0" w:left="0" w:rightChars="0" w:right="0" w:firstLineChars="0" w:firstLine="0"/>
            </w:pPr>
            <w:r>
              <w:t xml:space="preserve">　　</w:t>
            </w:r>
            <w:r w:rsidR="0049577B" w:rsidRPr="00B40DC1">
              <w:t>This article discusses, analyzes and focuses on the source security management mechanism for the China Mainlanders to enter and exit the Taiwan</w:t>
            </w:r>
            <w:r w:rsidR="003C1792">
              <w:t>.</w:t>
            </w:r>
            <w:r w:rsidR="0049577B" w:rsidRPr="00B40DC1">
              <w:t>From the theory perspective, the best way for security management is to control the source or original risk</w:t>
            </w:r>
            <w:r w:rsidR="003C1792">
              <w:t>.</w:t>
            </w:r>
            <w:r w:rsidR="0049577B" w:rsidRPr="00B40DC1">
              <w:t>When the source or original risk is under the Taiwan governmental control, the security management mechanism is more effective and powerful</w:t>
            </w:r>
            <w:r w:rsidR="003C1792">
              <w:t>.</w:t>
            </w:r>
            <w:r w:rsidR="0049577B" w:rsidRPr="00B40DC1">
              <w:t>The aforementioned theory can be applied to the border people movement management implemented by the Taiwan government</w:t>
            </w:r>
            <w:r w:rsidR="003C1792">
              <w:t>.</w:t>
            </w:r>
            <w:r w:rsidR="0049577B" w:rsidRPr="00B40DC1">
              <w:t>The management mechanism for the China Mainlanders to enter and exit the Taiwan belongs to the border people movement management</w:t>
            </w:r>
            <w:r w:rsidR="003C1792">
              <w:t>.</w:t>
            </w:r>
            <w:r w:rsidR="0049577B" w:rsidRPr="00B40DC1">
              <w:t>If the Taiwan government wants to establish the effective source security management mechanism, it must take management measures from the Mainland China side</w:t>
            </w:r>
            <w:r w:rsidR="003C1792">
              <w:t>.</w:t>
            </w:r>
            <w:r w:rsidR="0049577B" w:rsidRPr="00B40DC1">
              <w:t>If the security management mechanism is initiated by the Taiwan government until the China Mainlanders have arrived the Taiwan border, it is too passively and lately.</w:t>
            </w:r>
          </w:p>
          <w:p w:rsidR="003C1792" w:rsidRDefault="0000380F" w:rsidP="0000380F">
            <w:pPr>
              <w:pStyle w:val="abstract0"/>
              <w:autoSpaceDN/>
              <w:adjustRightInd/>
              <w:spacing w:line="240" w:lineRule="auto"/>
              <w:ind w:leftChars="0" w:left="0" w:rightChars="0" w:right="0" w:firstLineChars="0" w:firstLine="0"/>
            </w:pPr>
            <w:r>
              <w:t xml:space="preserve">　　</w:t>
            </w:r>
            <w:r w:rsidR="0049577B" w:rsidRPr="00B40DC1">
              <w:t>The proactive policy for the border people movement management initiated by the Taiwan government is to establish the source security management mechanism on the Mainland China side</w:t>
            </w:r>
            <w:r w:rsidR="003C1792">
              <w:t>.</w:t>
            </w:r>
            <w:r w:rsidR="0049577B" w:rsidRPr="00B40DC1">
              <w:t>The best approach for the source security management is still the way that the Taiwan government sends immigration officers stationing in our side office agency which is located on the Mainland China</w:t>
            </w:r>
            <w:r w:rsidR="003C1792">
              <w:t>.</w:t>
            </w:r>
            <w:r w:rsidR="0049577B" w:rsidRPr="00B40DC1">
              <w:t>The significant and fundamental mission of these immigration officers is to examine and to issue the Travel Permit for China Mainlanders to Enter and Exit Taiwan</w:t>
            </w:r>
            <w:r w:rsidR="003C1792">
              <w:t>.</w:t>
            </w:r>
            <w:r w:rsidR="0049577B" w:rsidRPr="00B40DC1">
              <w:t>Owing to the examining and issuing aforesaid Travel Permit behaviour belonging to the Taiwan national sovereignty , it can be more controversial.</w:t>
            </w:r>
          </w:p>
          <w:p w:rsidR="0049577B" w:rsidRPr="00B40DC1" w:rsidRDefault="0000380F" w:rsidP="0000380F">
            <w:pPr>
              <w:pStyle w:val="abstract0"/>
              <w:autoSpaceDN/>
              <w:adjustRightInd/>
              <w:spacing w:line="240" w:lineRule="auto"/>
              <w:ind w:leftChars="0" w:left="0" w:rightChars="0" w:right="0" w:firstLineChars="0" w:firstLine="0"/>
            </w:pPr>
            <w:r>
              <w:t xml:space="preserve">　　</w:t>
            </w:r>
            <w:r w:rsidR="0049577B" w:rsidRPr="00B40DC1">
              <w:t>This article compares two different types of border people movement management for China Mainlanders to enter and exit the Taiwan; the first one which has implemented the source security management mechanism is the Free Sightseeing for China Mainlanders to the Taiwan, and the second type which lacks the source security management mechanism is the Physical Examination &amp; Medical Cosmetic Surgery for China Mainlanders to the Taiwan</w:t>
            </w:r>
            <w:r w:rsidR="003C1792">
              <w:t>.</w:t>
            </w:r>
            <w:r w:rsidR="0049577B" w:rsidRPr="00B40DC1">
              <w:t>This article analyzes the situations, compares the impact and social problems resulting from aforestated two types management mechanisms, and finally proposes following suggestions : 1</w:t>
            </w:r>
            <w:r w:rsidR="003C1792">
              <w:t>.</w:t>
            </w:r>
            <w:r w:rsidR="0049577B" w:rsidRPr="00B40DC1">
              <w:t>the Travel Permit for China Mainlanders to Enter and Exit the Taiwan can be firstly examined and issued by the Mainland China, and then the Permit of Entry and Exit the Taiwan for China Mainlanders can be secondly examined and issued by the Taiwan government; 2.the both sides of governments can sign the cooperation protocol on the border people movement management; 3.to establish the information communication platform by the both sides governments; 4</w:t>
            </w:r>
            <w:r w:rsidR="003C1792">
              <w:t>.</w:t>
            </w:r>
            <w:r w:rsidR="0049577B" w:rsidRPr="00B40DC1">
              <w:t>to establish office agency on other side land in order to examine and to issue the Entry and Exit Permit and to implement the interviewing functions.</w:t>
            </w:r>
          </w:p>
        </w:tc>
      </w:tr>
    </w:tbl>
    <w:p w:rsidR="0049577B" w:rsidRPr="005F2057" w:rsidRDefault="005F2057" w:rsidP="005F2057">
      <w:pPr>
        <w:spacing w:line="240" w:lineRule="auto"/>
        <w:ind w:leftChars="0" w:left="0" w:rightChars="0" w:right="0"/>
        <w:rPr>
          <w:sz w:val="24"/>
        </w:rPr>
      </w:pPr>
      <w:r w:rsidRPr="005F2057">
        <w:rPr>
          <w:rFonts w:hint="eastAsia"/>
          <w:sz w:val="24"/>
        </w:rPr>
        <w:t>【</w:t>
      </w:r>
      <w:r w:rsidR="0049577B" w:rsidRPr="005F2057">
        <w:rPr>
          <w:sz w:val="24"/>
        </w:rPr>
        <w:t>Keywords</w:t>
      </w:r>
      <w:r w:rsidRPr="005F2057">
        <w:rPr>
          <w:rFonts w:hint="eastAsia"/>
          <w:sz w:val="24"/>
        </w:rPr>
        <w:t>】</w:t>
      </w:r>
      <w:r w:rsidR="0049577B" w:rsidRPr="005F2057">
        <w:rPr>
          <w:sz w:val="24"/>
        </w:rPr>
        <w:t>the source security management mechanism, risk minimization, opportunities maximization, the Physical Examination &amp; Medical Cosmetic Surgery, office agency established by the both side governments</w:t>
      </w:r>
    </w:p>
    <w:p w:rsidR="005F2057" w:rsidRPr="005F2057" w:rsidRDefault="00865ADB" w:rsidP="00AB1C64">
      <w:pPr>
        <w:jc w:val="right"/>
      </w:pPr>
      <w:r w:rsidRPr="00865ADB">
        <w:rPr>
          <w:rFonts w:hint="eastAsia"/>
          <w:sz w:val="22"/>
          <w:szCs w:val="22"/>
        </w:rPr>
        <w:t>。。。。。。。。。。。。。</w:t>
      </w:r>
      <w:hyperlink w:anchor="a6" w:history="1">
        <w:r w:rsidRPr="00865ADB">
          <w:rPr>
            <w:rStyle w:val="a7"/>
            <w:sz w:val="22"/>
            <w:szCs w:val="22"/>
            <w:lang w:eastAsia="zh-TW"/>
          </w:rPr>
          <w:t>回本章</w:t>
        </w:r>
      </w:hyperlink>
      <w:r w:rsidRPr="00865ADB">
        <w:rPr>
          <w:color w:val="808000"/>
          <w:sz w:val="22"/>
          <w:szCs w:val="22"/>
        </w:rPr>
        <w:t>〉〉</w:t>
      </w:r>
      <w:hyperlink w:anchor="a目次6" w:history="1">
        <w:r w:rsidR="00E9715D">
          <w:rPr>
            <w:rStyle w:val="a7"/>
            <w:sz w:val="22"/>
            <w:lang w:eastAsia="zh-TW"/>
          </w:rPr>
          <w:t>回總目次</w:t>
        </w:r>
      </w:hyperlink>
      <w:r w:rsidR="00E9715D" w:rsidRPr="00D45AD2">
        <w:rPr>
          <w:color w:val="808000"/>
          <w:sz w:val="22"/>
        </w:rPr>
        <w:t>〉〉</w:t>
      </w:r>
    </w:p>
    <w:p w:rsidR="003C1792" w:rsidRDefault="0049577B" w:rsidP="002F19DE">
      <w:pPr>
        <w:pStyle w:val="2"/>
      </w:pPr>
      <w:bookmarkStart w:id="149" w:name="_壹、前言_3"/>
      <w:bookmarkEnd w:id="149"/>
      <w:r w:rsidRPr="00B40DC1">
        <w:t xml:space="preserve">壹、前言 </w:t>
      </w:r>
    </w:p>
    <w:p w:rsidR="0049577B" w:rsidRPr="00B40DC1" w:rsidRDefault="00EC027F" w:rsidP="00E06226">
      <w:pPr>
        <w:ind w:leftChars="0" w:left="0" w:rightChars="0" w:right="-1"/>
      </w:pPr>
      <w:r>
        <w:rPr>
          <w:lang w:eastAsia="zh-HK"/>
        </w:rPr>
        <w:t xml:space="preserve">　　</w:t>
      </w:r>
      <w:r w:rsidR="0049577B" w:rsidRPr="00B40DC1">
        <w:rPr>
          <w:lang w:eastAsia="zh-HK"/>
        </w:rPr>
        <w:t>在</w:t>
      </w:r>
      <w:r w:rsidR="0049577B" w:rsidRPr="00B40DC1">
        <w:t>2008</w:t>
      </w:r>
      <w:r w:rsidR="0049577B" w:rsidRPr="00B40DC1">
        <w:rPr>
          <w:lang w:eastAsia="zh-HK"/>
        </w:rPr>
        <w:t>至2016年</w:t>
      </w:r>
      <w:r w:rsidR="0049577B" w:rsidRPr="00B40DC1">
        <w:t>前總統馬英九執政</w:t>
      </w:r>
      <w:r w:rsidR="0049577B" w:rsidRPr="00B40DC1">
        <w:rPr>
          <w:lang w:eastAsia="zh-HK"/>
        </w:rPr>
        <w:t>期間</w:t>
      </w:r>
      <w:r w:rsidR="0049577B" w:rsidRPr="00B40DC1">
        <w:t>，台灣與大陸兩地區在各方面的交流都相當頻繁，彼此之間人員往來數量也日益增加，隨著台灣方面開放大陸居民來台的相關法令愈來愈寬鬆，大陸地區專業人士及商務人士來台的人數更蓬勃發展，陸客來臺觀光旅遊的人數更是屢創新高，個人旅遊的開放，讓大陸居民可以隨時隨地申請來台自由行，且最近台灣方面為推廣高水準的醫療市場，也開放讓大陸居民可以來台享受高品質的健檢醫美服務，充分顯現出兩岸友善且頻繁的交流關係，而這些交流的主要對象都是「人」，最直接影響的就是跨境的人流管理，在這樣密集且頻繁的人流往來下，兩岸公務員在邊境管理的工作上就顯得特別吃重，一旦在跨境人流管理工作上稍有不慎，就會出現破壞兩岸友善關係的老鼠屎，也會影響到兩岸好不容易建立的互信，所以，兩岸的入出境管理機關真的是背負著重責大任。</w:t>
      </w:r>
    </w:p>
    <w:p w:rsidR="0049577B" w:rsidRPr="00B40DC1" w:rsidRDefault="0000380F" w:rsidP="00E06226">
      <w:pPr>
        <w:ind w:leftChars="0" w:left="0" w:rightChars="0" w:right="-1"/>
      </w:pPr>
      <w:r>
        <w:t xml:space="preserve">　　</w:t>
      </w:r>
      <w:r w:rsidR="0049577B" w:rsidRPr="00B40DC1">
        <w:t>目前兩岸的入出境管理機關各自有一套跨境人流管理的機制，兩套管理機制</w:t>
      </w:r>
      <w:r w:rsidR="0049577B" w:rsidRPr="00B40DC1">
        <w:rPr>
          <w:lang w:eastAsia="zh-HK"/>
        </w:rPr>
        <w:t>雖</w:t>
      </w:r>
      <w:r w:rsidR="0049577B" w:rsidRPr="00B40DC1">
        <w:t>互不干涉，卻也互不支援，兩岸目前對於跨境人流管理並無簽署任何協議，因此在人流管理機制上出了問題，也沒有一定的作業程序去處理，使得實際管理作為上產生了許多漏洞，站在台灣的立場來看，這些問題確實造成了人員入出境的不方便，也造成了台灣社會的一些困擾，讓部分台灣人民對於兩岸交流產生了負面的印象，這也會間接的影響持續開放兩岸交流的政策。本文將從大陸居民來台</w:t>
      </w:r>
      <w:r w:rsidR="0049577B" w:rsidRPr="00B40DC1">
        <w:rPr>
          <w:lang w:eastAsia="zh-HK"/>
        </w:rPr>
        <w:t>個人旅遊（俗稱：</w:t>
      </w:r>
      <w:r w:rsidR="0049577B" w:rsidRPr="00B40DC1">
        <w:t>自由行）及健檢醫美所發生的一些案例來探討跨境人流管理機制的優劣，並嚐試提出兩岸境管合作的雛型，期待能達到拋磚引玉的效果，逐漸的讓這個議題成熟化，讓兩岸在跨境人流管理上能達到相當的安全性，讓雙方人民對於兩岸交流事項都能有正面的評價，有了人民的信賴作為基礎，兩岸才可能深化交流，邁向進一步的里程碑。</w:t>
      </w:r>
    </w:p>
    <w:p w:rsidR="0049577B" w:rsidRPr="00B40DC1" w:rsidRDefault="00EC027F" w:rsidP="00E06226">
      <w:pPr>
        <w:ind w:leftChars="0" w:left="0" w:rightChars="0" w:right="-1"/>
      </w:pPr>
      <w:r>
        <w:t xml:space="preserve">　　</w:t>
      </w:r>
      <w:r w:rsidR="0049577B" w:rsidRPr="00B40DC1">
        <w:t>前總統馬英九先生在其任內，曾表示：過去幾年多來，台灣持續以「風險極小化、機會極大化」為原則推展兩岸關係，並使其達到過去60年來最好、最穩定的時刻。而前總統馬英九先生所提出「風險極小化、機會極大化」的原則，也就是兩岸往來的安全管理準則，台灣各部門在推動兩岸事務時，都是遵循著這樣的準則方向前進。但如何才能達到風險極小化、機會極大化，卻是非常值得深入探討的議題。</w:t>
      </w:r>
    </w:p>
    <w:p w:rsidR="0049577B" w:rsidRPr="00B40DC1" w:rsidRDefault="00EC027F" w:rsidP="00E06226">
      <w:pPr>
        <w:ind w:leftChars="0" w:left="0" w:rightChars="0" w:right="-1"/>
      </w:pPr>
      <w:r>
        <w:t xml:space="preserve">　　</w:t>
      </w:r>
      <w:r w:rsidR="0049577B" w:rsidRPr="00B40DC1">
        <w:t>就台灣而言，兩岸政策開放的重要指標，莫過於大陸居民來台的人數的多寡，人數一增多，伴隨而來的，就是台灣各種產業的經濟效益也會提升，如大陸地區商務人士來台，有助提升台灣企業的商業利益，陸客來台觀光旅遊，也能增加台灣的在地消費，近年來又開放大陸居民來台接受健康檢查或醫學美容服務，也提供了高品質的醫療市場。但是，政策指標是兩面刃，若來台的大陸居民都在水平以上，則能達到政策的預期成果；反之，大陸居民來台後若造成台灣的社會問題，則台灣民眾對於兩岸政策的觀點將大打折扣。因此，如何有效的做好跨境人流管理的工作，相信對於台灣方面或是大陸方面而言，都是相當重要的，但真正要達到跨境人流管理的成效，是無法單憑任何一方的管理作為就能完成，因為，跨境的人流所涉及到的是雙方的境管機關，如果只有單方面在管理，那是不足夠的，還是需要雙方有合作的機制，共同的管理方向，始能完成管理的機制。</w:t>
      </w:r>
    </w:p>
    <w:p w:rsidR="0049577B" w:rsidRPr="00B40DC1" w:rsidRDefault="00EC027F" w:rsidP="00E06226">
      <w:pPr>
        <w:ind w:leftChars="0" w:left="0" w:rightChars="0" w:right="-1"/>
      </w:pPr>
      <w:r>
        <w:t xml:space="preserve">　　</w:t>
      </w:r>
      <w:r w:rsidR="0049577B" w:rsidRPr="00B40DC1">
        <w:t>兩岸政策隨著時空背景之轉變，以及國家領導人之政治理念不同，在前馬政府之時代，</w:t>
      </w:r>
      <w:r w:rsidR="0049577B" w:rsidRPr="00B40DC1">
        <w:rPr>
          <w:lang w:eastAsia="zh-HK"/>
        </w:rPr>
        <w:t>係</w:t>
      </w:r>
      <w:r w:rsidR="0049577B" w:rsidRPr="00B40DC1">
        <w:t>轉向平穩開放之方向持續邁進，前馬政府相當強調兩岸政策之開放，係屬政府執行之重要績效，而其績效指標，除了大陸人民來臺後所帶來之經濟效益外，陸客來台之人數，亦為非常重要之政府施政成效。2016年5月</w:t>
      </w:r>
      <w:r w:rsidR="0049577B" w:rsidRPr="00B40DC1">
        <w:rPr>
          <w:lang w:eastAsia="zh-HK"/>
        </w:rPr>
        <w:t>政黨輪替後，</w:t>
      </w:r>
      <w:r w:rsidR="0049577B" w:rsidRPr="00B40DC1">
        <w:t>蔡</w:t>
      </w:r>
      <w:r w:rsidR="0049577B" w:rsidRPr="00B40DC1">
        <w:rPr>
          <w:lang w:eastAsia="zh-HK"/>
        </w:rPr>
        <w:t>英文當選總統</w:t>
      </w:r>
      <w:r w:rsidR="0049577B" w:rsidRPr="00B40DC1">
        <w:t>之後，力主新南向政策，兩岸之官方交流，</w:t>
      </w:r>
      <w:r w:rsidR="0049577B" w:rsidRPr="00B40DC1">
        <w:rPr>
          <w:lang w:eastAsia="zh-HK"/>
        </w:rPr>
        <w:t>也因蔡政府不正面回應「九二共識」而陷入交流中斷危機</w:t>
      </w:r>
      <w:r w:rsidR="0049577B" w:rsidRPr="00B40DC1">
        <w:t>，但</w:t>
      </w:r>
      <w:r w:rsidR="0049577B" w:rsidRPr="00B40DC1">
        <w:rPr>
          <w:lang w:eastAsia="zh-HK"/>
        </w:rPr>
        <w:t>在蔡政府的「維持現狀」之兩岸政策下，</w:t>
      </w:r>
      <w:r w:rsidR="0049577B" w:rsidRPr="00B40DC1">
        <w:t>陸客來台之人數，仍</w:t>
      </w:r>
      <w:r w:rsidR="0049577B" w:rsidRPr="00B40DC1">
        <w:rPr>
          <w:lang w:eastAsia="zh-HK"/>
        </w:rPr>
        <w:t>被</w:t>
      </w:r>
      <w:r w:rsidR="0049577B" w:rsidRPr="00B40DC1">
        <w:t>蔡政府</w:t>
      </w:r>
      <w:r w:rsidR="0049577B" w:rsidRPr="00B40DC1">
        <w:rPr>
          <w:lang w:eastAsia="zh-HK"/>
        </w:rPr>
        <w:t>視為</w:t>
      </w:r>
      <w:r w:rsidR="0049577B" w:rsidRPr="00B40DC1">
        <w:t>重要之政府施政成效之一。然由於兩岸交流頻繁，台灣逐漸有部分之學者專家，開始主張國境管理虛位化之思維，並進一步提出所謂之「國境人流管理無效論」</w:t>
      </w:r>
      <w:r w:rsidR="0049577B" w:rsidRPr="00EC027F">
        <w:rPr>
          <w:rStyle w:val="af7"/>
          <w:rFonts w:eastAsia="新細明體"/>
          <w:sz w:val="20"/>
        </w:rPr>
        <w:footnoteReference w:id="603"/>
      </w:r>
      <w:r w:rsidR="0049577B" w:rsidRPr="00B40DC1">
        <w:t>，其主張重點如下：</w:t>
      </w:r>
    </w:p>
    <w:p w:rsidR="0049577B" w:rsidRPr="00EC027F" w:rsidRDefault="00EC027F" w:rsidP="00E06226">
      <w:pPr>
        <w:ind w:leftChars="0" w:left="0" w:rightChars="0" w:right="-1"/>
      </w:pPr>
      <w:r>
        <w:t xml:space="preserve">　　</w:t>
      </w:r>
      <w:r w:rsidR="0049577B" w:rsidRPr="00EC027F">
        <w:t>一、兩岸之間交流實應正常化，台灣人民與大陸人民入出境兩岸境內均應給予全面性之遷徙自由權。</w:t>
      </w:r>
    </w:p>
    <w:p w:rsidR="0049577B" w:rsidRPr="00EC027F" w:rsidRDefault="00EC027F" w:rsidP="00E06226">
      <w:pPr>
        <w:ind w:leftChars="0" w:left="0" w:rightChars="0" w:right="-1"/>
      </w:pPr>
      <w:r>
        <w:t xml:space="preserve">　　</w:t>
      </w:r>
      <w:r w:rsidR="0049577B" w:rsidRPr="00EC027F">
        <w:t>二、我國業已規劃成立六港一空「自由經濟示範區」</w:t>
      </w:r>
      <w:r w:rsidR="0049577B" w:rsidRPr="00EC027F">
        <w:rPr>
          <w:rFonts w:ascii="Arial Unicode MS" w:eastAsia="新細明體" w:hAnsi="Arial Unicode MS"/>
          <w:color w:val="FF6600"/>
          <w:sz w:val="20"/>
        </w:rPr>
        <w:footnoteReference w:id="604"/>
      </w:r>
      <w:r w:rsidR="0049577B" w:rsidRPr="00EC027F">
        <w:t>，外籍人士及大陸人民未來來台之管道更多元，且更便利，不應用國境安全管理之思維，阻礙自由經貿之精神。</w:t>
      </w:r>
    </w:p>
    <w:p w:rsidR="0049577B" w:rsidRPr="00EC027F" w:rsidRDefault="00EC027F" w:rsidP="00E06226">
      <w:pPr>
        <w:ind w:leftChars="0" w:left="0" w:rightChars="0" w:right="-1"/>
      </w:pPr>
      <w:r>
        <w:t xml:space="preserve">　　</w:t>
      </w:r>
      <w:r w:rsidR="0049577B" w:rsidRPr="00EC027F">
        <w:t>三、再者，為避免政治歧視，宜撤除台灣對大陸人民入境之境管措施。</w:t>
      </w:r>
    </w:p>
    <w:p w:rsidR="0049577B" w:rsidRPr="00B40DC1" w:rsidRDefault="0049577B" w:rsidP="00E06226">
      <w:pPr>
        <w:ind w:leftChars="0" w:left="0" w:rightChars="0" w:right="-1"/>
      </w:pPr>
      <w:r w:rsidRPr="00B40DC1">
        <w:t>筆者認為，</w:t>
      </w:r>
      <w:r w:rsidRPr="00B40DC1">
        <w:rPr>
          <w:lang w:eastAsia="zh-HK"/>
        </w:rPr>
        <w:t>既</w:t>
      </w:r>
      <w:r w:rsidRPr="00B40DC1">
        <w:t>有專家學者提出上述「國境人流管理無效論」之觀念，代表大陸對於台灣逐漸劄根之統戰成果，已有逐漸發芽之跡象，故對於大陸人民來台之安全管理，反而不宜鬆懈，益發須重視國境人流管理之重要性與必要性，</w:t>
      </w:r>
      <w:r w:rsidRPr="00B40DC1">
        <w:rPr>
          <w:lang w:eastAsia="zh-HK"/>
        </w:rPr>
        <w:t>因此，</w:t>
      </w:r>
      <w:r w:rsidRPr="00B40DC1">
        <w:t>本文之研究確實有其價值性存在。</w:t>
      </w:r>
    </w:p>
    <w:p w:rsidR="0049577B" w:rsidRDefault="00EC027F" w:rsidP="00E06226">
      <w:pPr>
        <w:ind w:leftChars="0" w:left="0" w:rightChars="0" w:right="-1"/>
      </w:pPr>
      <w:r>
        <w:t xml:space="preserve">　　</w:t>
      </w:r>
      <w:r w:rsidR="0049577B" w:rsidRPr="00B40DC1">
        <w:t>兩岸分屬不同治權，乃不爭之事實，不論就</w:t>
      </w:r>
      <w:r w:rsidR="0049577B" w:rsidRPr="00B40DC1">
        <w:rPr>
          <w:lang w:eastAsia="zh-HK"/>
        </w:rPr>
        <w:t>法令</w:t>
      </w:r>
      <w:r w:rsidR="0049577B" w:rsidRPr="00B40DC1">
        <w:t>面或</w:t>
      </w:r>
      <w:r w:rsidR="0049577B" w:rsidRPr="00B40DC1">
        <w:rPr>
          <w:lang w:eastAsia="zh-HK"/>
        </w:rPr>
        <w:t>實務</w:t>
      </w:r>
      <w:r w:rsidR="0049577B" w:rsidRPr="00B40DC1">
        <w:t>面</w:t>
      </w:r>
      <w:r w:rsidR="0049577B" w:rsidRPr="00B40DC1">
        <w:rPr>
          <w:lang w:eastAsia="zh-HK"/>
        </w:rPr>
        <w:t>之角度</w:t>
      </w:r>
      <w:r w:rsidR="0049577B" w:rsidRPr="00B40DC1">
        <w:t>，大陸地區人民尚</w:t>
      </w:r>
      <w:r w:rsidR="0049577B" w:rsidRPr="00B40DC1">
        <w:rPr>
          <w:lang w:eastAsia="zh-HK"/>
        </w:rPr>
        <w:t>畢竟</w:t>
      </w:r>
      <w:r w:rsidR="0049577B" w:rsidRPr="00B40DC1">
        <w:t>屬於境外人口，欲入境台灣地區，仍然須經過我方政府移民行政機關之許可</w:t>
      </w:r>
      <w:r w:rsidR="0049577B" w:rsidRPr="00EC027F">
        <w:rPr>
          <w:rStyle w:val="af7"/>
          <w:rFonts w:eastAsia="新細明體"/>
          <w:sz w:val="20"/>
        </w:rPr>
        <w:footnoteReference w:id="605"/>
      </w:r>
      <w:r w:rsidR="0049577B" w:rsidRPr="00B40DC1">
        <w:t>，此係展現我國主權之手段，亦是代表中華民國存在之事實，在國家之主權理念不變之大前提下，大陸地區人民來台之安全管理作為，仍是屬於台灣不容忽視之重大安全管理之議題，甚至，須將安全管理之手段，延伸到境外，亦即，在對岸端，即進行源頭安全之管理。如此，始能落實阻絕非法或危害於境外，達到令大陸地區人民來台之風險極小化，而台灣獲利之機會，可極大化之政策上預設之目標。</w:t>
      </w:r>
    </w:p>
    <w:p w:rsidR="00EC027F" w:rsidRPr="00865ADB" w:rsidRDefault="00865ADB" w:rsidP="00865ADB">
      <w:pPr>
        <w:jc w:val="right"/>
        <w:rPr>
          <w:sz w:val="22"/>
          <w:szCs w:val="22"/>
        </w:rPr>
      </w:pPr>
      <w:r w:rsidRPr="00865ADB">
        <w:rPr>
          <w:rFonts w:hint="eastAsia"/>
          <w:sz w:val="22"/>
          <w:szCs w:val="22"/>
        </w:rPr>
        <w:t>。。。。。。。。。。。。。</w:t>
      </w:r>
      <w:hyperlink w:anchor="a6" w:history="1">
        <w:r w:rsidRPr="00865ADB">
          <w:rPr>
            <w:rStyle w:val="a7"/>
            <w:sz w:val="22"/>
            <w:szCs w:val="22"/>
            <w:lang w:eastAsia="zh-TW"/>
          </w:rPr>
          <w:t>回本章</w:t>
        </w:r>
      </w:hyperlink>
      <w:r w:rsidRPr="00865ADB">
        <w:rPr>
          <w:color w:val="808000"/>
          <w:sz w:val="22"/>
          <w:szCs w:val="22"/>
        </w:rPr>
        <w:t>〉〉</w:t>
      </w:r>
      <w:hyperlink w:anchor="a目次6"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50" w:name="_貳、源頭安全管理概論"/>
      <w:bookmarkEnd w:id="150"/>
      <w:r w:rsidRPr="00B40DC1">
        <w:t>貳、源頭安全管理概論</w:t>
      </w:r>
    </w:p>
    <w:p w:rsidR="003C1792" w:rsidRPr="00EC027F" w:rsidRDefault="0049577B" w:rsidP="007010AD">
      <w:pPr>
        <w:pStyle w:val="3"/>
        <w:rPr>
          <w:lang w:eastAsia="zh-TW"/>
        </w:rPr>
      </w:pPr>
      <w:bookmarkStart w:id="151" w:name="_一、「源頭」之概念"/>
      <w:bookmarkEnd w:id="151"/>
      <w:r w:rsidRPr="00EC027F">
        <w:rPr>
          <w:lang w:eastAsia="zh-TW"/>
        </w:rPr>
        <w:t xml:space="preserve">一、「源頭」之概念 </w:t>
      </w:r>
    </w:p>
    <w:p w:rsidR="0049577B" w:rsidRPr="00B40DC1" w:rsidRDefault="0049577B" w:rsidP="0000380F">
      <w:pPr>
        <w:spacing w:line="240" w:lineRule="auto"/>
        <w:ind w:leftChars="0" w:left="0" w:rightChars="0" w:right="0"/>
      </w:pPr>
      <w:r w:rsidRPr="00B40DC1">
        <w:t xml:space="preserve">　　正所謂事出必有因，欲找出解決問題之道，必然先要探索問題之起因，亦即須追尋事件之源頭。玆先舉一實例說明，以2013年5月份國內爆發之毒澱粉事件為例，多家知名食品公司被檢出產品含有工業原料順丁烯二酸化製澱粉添加物，使得一般人喜愛吃之豆花、粉圓、米粉、黑輪…等食品，均蒙上有毒食品之陰影，重創台灣一向聞名國際之飲食小吃業，甚至登上國際媒體版面，新加坡、香港、馬來西亞及韓國紛紛禁止台灣食品上架販賣，對我國不論在經濟面或國際形象層面，均產生重大之影響</w:t>
      </w:r>
      <w:r w:rsidRPr="0000380F">
        <w:rPr>
          <w:rStyle w:val="af7"/>
          <w:rFonts w:eastAsia="新細明體"/>
          <w:sz w:val="20"/>
        </w:rPr>
        <w:footnoteReference w:id="606"/>
      </w:r>
      <w:r w:rsidRPr="00B40DC1">
        <w:t>。</w:t>
      </w:r>
    </w:p>
    <w:p w:rsidR="0049577B" w:rsidRPr="00B40DC1" w:rsidRDefault="00EC027F" w:rsidP="0000380F">
      <w:pPr>
        <w:spacing w:line="240" w:lineRule="auto"/>
        <w:ind w:leftChars="0" w:left="0" w:rightChars="0" w:right="0"/>
      </w:pPr>
      <w:r>
        <w:t xml:space="preserve">　　</w:t>
      </w:r>
      <w:r w:rsidR="0049577B" w:rsidRPr="00B40DC1">
        <w:t>我國政府對於此一事件第一時間之處理方式，為通知銷售通路商下架所有可能有毒之產品，並由下往上追查產品來源，此種追查之流程頗遭質疑，有專家即提出，為何政府不從製造生產順丁烯二酸之原料供貨鏈追查，反而採取比較容易斷線之由下而上之查緝方法。問題起源在於工業原料順丁烯二酸，僅要查出製造原料工廠及供貨廠商，即可查出利用此原料製造澱粉之非法廠商，全面斷絕非法廠商供貨，再追查非法廠商供貨之下游廠商，自然可有效全面追回有毒食品，將事件風險降到最低，民眾傷害減到最少，此始為解決問題之最佳方法，亦即為最為典型之源頭管理概念。亦即從事件之源頭找出問題，始能用最快速及最正確之方法處理問題，達到解決問題之實際效果。</w:t>
      </w:r>
    </w:p>
    <w:p w:rsidR="0049577B" w:rsidRPr="00B40DC1" w:rsidRDefault="0049577B" w:rsidP="0000380F">
      <w:pPr>
        <w:spacing w:line="240" w:lineRule="auto"/>
        <w:ind w:leftChars="0" w:left="0" w:rightChars="0" w:right="0"/>
      </w:pPr>
      <w:r w:rsidRPr="00B40DC1">
        <w:t xml:space="preserve">　　藉由上開單一社會事件來探討，可清楚地瞭解尋找問題源頭之重要性，而處理問題之最佳方法，即是避免問題發生。梅可望博士於處理警察業務基本原則中提及，其第一重要之原則，即是「事前預防重於事後處置」</w:t>
      </w:r>
      <w:r w:rsidRPr="00EC027F">
        <w:rPr>
          <w:rStyle w:val="af7"/>
          <w:rFonts w:eastAsia="新細明體"/>
          <w:sz w:val="20"/>
        </w:rPr>
        <w:footnoteReference w:id="607"/>
      </w:r>
      <w:r w:rsidRPr="00B40DC1">
        <w:t>之觀念。而要達到事前預防之效果，除找出問題之源頭之外，更要進一步將安全管理與問題源頭作有效之結合。以上述之社會事件為例，找尋到製造工業原料順丁烯二酸之工廠（源頭），發現供貨至食品公司之情形（問題），即可研議是否立法禁止此類有毒原料供貨至食品公司，並定期追查其供貨鏈之狀況，達到安全管理之作為，對於整個事件而言，即能達到源頭安全管理，做好源頭安全管理，即會降低危害之程度，作為源頭安全管理之典範。</w:t>
      </w:r>
    </w:p>
    <w:p w:rsidR="003C1792" w:rsidRPr="00EC027F" w:rsidRDefault="0049577B" w:rsidP="007010AD">
      <w:pPr>
        <w:pStyle w:val="3"/>
        <w:rPr>
          <w:lang w:eastAsia="zh-TW"/>
        </w:rPr>
      </w:pPr>
      <w:bookmarkStart w:id="152" w:name="_二、安全管理之概念"/>
      <w:bookmarkEnd w:id="152"/>
      <w:r w:rsidRPr="00EC027F">
        <w:rPr>
          <w:lang w:eastAsia="zh-TW"/>
        </w:rPr>
        <w:t xml:space="preserve">二、安全管理之概念 </w:t>
      </w:r>
    </w:p>
    <w:p w:rsidR="0049577B" w:rsidRPr="00B40DC1" w:rsidRDefault="00EC027F" w:rsidP="0000380F">
      <w:pPr>
        <w:spacing w:line="240" w:lineRule="auto"/>
        <w:ind w:leftChars="0" w:left="0" w:rightChars="0" w:right="0"/>
      </w:pPr>
      <w:r w:rsidRPr="00EC027F">
        <w:t xml:space="preserve">　　</w:t>
      </w:r>
      <w:r w:rsidR="0049577B" w:rsidRPr="00EC027F">
        <w:t>安全雖然是可以進行管理的，但「安全」本身並不是一個的管理標的，而是要對安全的主體進行管理。例如「邊境安全」(border security)的管理，其管理標的是對於在邊境上來往的人和物進行管理配套措施，以達到安全維護的目標。因此，</w:t>
      </w:r>
      <w:r w:rsidR="0049577B" w:rsidRPr="00B40DC1">
        <w:t>安全管理的作為，也是因安全主體不同，而有不同的配套措施</w:t>
      </w:r>
      <w:r w:rsidR="0049577B" w:rsidRPr="00EC027F">
        <w:rPr>
          <w:rStyle w:val="af7"/>
          <w:rFonts w:eastAsia="新細明體"/>
          <w:sz w:val="20"/>
        </w:rPr>
        <w:footnoteReference w:id="608"/>
      </w:r>
      <w:r w:rsidR="0049577B" w:rsidRPr="00B40DC1">
        <w:t>。</w:t>
      </w:r>
    </w:p>
    <w:p w:rsidR="003C1792" w:rsidRPr="00EC027F" w:rsidRDefault="0049577B" w:rsidP="007010AD">
      <w:pPr>
        <w:pStyle w:val="3"/>
        <w:rPr>
          <w:lang w:eastAsia="zh-TW"/>
        </w:rPr>
      </w:pPr>
      <w:bookmarkStart w:id="153" w:name="_三、國境人流之源頭安全管理"/>
      <w:bookmarkEnd w:id="153"/>
      <w:r w:rsidRPr="00EC027F">
        <w:rPr>
          <w:lang w:eastAsia="zh-TW"/>
        </w:rPr>
        <w:t>三、國境人流之源頭安全管理</w:t>
      </w:r>
    </w:p>
    <w:p w:rsidR="0049577B" w:rsidRPr="00B40DC1" w:rsidRDefault="0049577B" w:rsidP="0000380F">
      <w:pPr>
        <w:spacing w:line="240" w:lineRule="auto"/>
        <w:ind w:leftChars="0" w:left="0" w:rightChars="0" w:right="0"/>
      </w:pPr>
      <w:r w:rsidRPr="00EC027F">
        <w:t xml:space="preserve">　　 延伸以上的安全概念，所謂安全管理，當然是屬於預防性的措施，除了在於預防危害的情形發生以外，更要進一步進行管理作為。以跨境人流的管理而言，人員</w:t>
      </w:r>
      <w:r w:rsidRPr="00B40DC1">
        <w:t>的入出境管理，大致上可分為4個階段：入境前的身分審查、入境時證照查驗、入境後的居停留管理、必要時的強制出境手段。在這四個階段之中，入境前的身分審查及入境時的證照查驗是屬於預防性的安全管理作為，而要確實達到阻絕非法於境外，落實源頭安全管理，就非得從入境前的身分審查階段做起</w:t>
      </w:r>
      <w:r w:rsidRPr="00E06226">
        <w:rPr>
          <w:rStyle w:val="af7"/>
          <w:rFonts w:eastAsia="新細明體"/>
          <w:sz w:val="20"/>
        </w:rPr>
        <w:footnoteReference w:id="609"/>
      </w:r>
      <w:r w:rsidRPr="00B40DC1">
        <w:t>。</w:t>
      </w:r>
    </w:p>
    <w:p w:rsidR="0049577B" w:rsidRPr="004D607D" w:rsidRDefault="00E02D2A" w:rsidP="00E02D2A">
      <w:pPr>
        <w:jc w:val="right"/>
        <w:rPr>
          <w:sz w:val="22"/>
          <w:szCs w:val="22"/>
        </w:rPr>
      </w:pPr>
      <w:r w:rsidRPr="004D607D">
        <w:rPr>
          <w:rFonts w:hint="eastAsia"/>
          <w:sz w:val="22"/>
          <w:szCs w:val="22"/>
        </w:rPr>
        <w:t>。。。。。。。。。。。。。</w:t>
      </w:r>
      <w:hyperlink w:anchor="a6" w:history="1">
        <w:r w:rsidRPr="004D607D">
          <w:rPr>
            <w:rStyle w:val="a7"/>
            <w:sz w:val="22"/>
            <w:szCs w:val="22"/>
            <w:lang w:eastAsia="zh-TW"/>
          </w:rPr>
          <w:t>回本章</w:t>
        </w:r>
      </w:hyperlink>
      <w:r w:rsidRPr="004D607D">
        <w:rPr>
          <w:color w:val="808000"/>
          <w:sz w:val="22"/>
          <w:szCs w:val="22"/>
        </w:rPr>
        <w:t>〉〉</w:t>
      </w:r>
      <w:hyperlink w:anchor="a目次6" w:history="1">
        <w:r w:rsidR="00E9715D">
          <w:rPr>
            <w:rStyle w:val="a7"/>
            <w:sz w:val="22"/>
            <w:lang w:eastAsia="zh-TW"/>
          </w:rPr>
          <w:t>回總目次</w:t>
        </w:r>
      </w:hyperlink>
      <w:r w:rsidR="00E9715D" w:rsidRPr="00D45AD2">
        <w:rPr>
          <w:color w:val="808000"/>
          <w:sz w:val="22"/>
        </w:rPr>
        <w:t>〉〉</w:t>
      </w:r>
    </w:p>
    <w:p w:rsidR="0049577B" w:rsidRPr="00EC027F" w:rsidRDefault="0049577B" w:rsidP="002F19DE">
      <w:pPr>
        <w:pStyle w:val="2"/>
      </w:pPr>
      <w:bookmarkStart w:id="154" w:name="_參、兩岸關係淺析"/>
      <w:bookmarkEnd w:id="154"/>
      <w:r w:rsidRPr="00B40DC1">
        <w:t>參、兩岸關係淺析</w:t>
      </w:r>
    </w:p>
    <w:p w:rsidR="003C1792" w:rsidRPr="00EC027F" w:rsidRDefault="0049577B" w:rsidP="007010AD">
      <w:pPr>
        <w:pStyle w:val="3"/>
        <w:rPr>
          <w:lang w:eastAsia="zh-TW"/>
        </w:rPr>
      </w:pPr>
      <w:bookmarkStart w:id="155" w:name="_一、兩岸關係歷史概述"/>
      <w:bookmarkEnd w:id="155"/>
      <w:r w:rsidRPr="00EC027F">
        <w:rPr>
          <w:lang w:eastAsia="zh-TW"/>
        </w:rPr>
        <w:t xml:space="preserve">一、兩岸關係歷史概述 </w:t>
      </w:r>
    </w:p>
    <w:p w:rsidR="0049577B" w:rsidRPr="00B40DC1" w:rsidRDefault="00EC027F" w:rsidP="0000380F">
      <w:pPr>
        <w:spacing w:line="240" w:lineRule="auto"/>
        <w:ind w:leftChars="0" w:left="0" w:rightChars="0" w:right="0"/>
      </w:pPr>
      <w:r>
        <w:t xml:space="preserve">　　</w:t>
      </w:r>
      <w:r w:rsidR="0049577B" w:rsidRPr="00B40DC1">
        <w:t>大陸人民來台與外國人來台之安全管理，雖然表面上看來，均是屬於外來人口之管理作為，但對台灣政府而言，兩者之間還是有明顯不同之管理方式，最主要差異之處，在於台灣與大陸之間之「政治問題」，論及兩岸之政治問題，較具爭議性之部分，即在於「一個中國」之政治性問題，此要追溯至國民黨軍與共產黨軍戰爭之歷史因素，從1948年9月到1949年1月，遼瀋戰役、平津戰役、准海戰役（徐蚌會戰），係國共軍方所經歷之三大戰役，僅是最後一役，國軍被共軍殲滅之兵力人數，即高達50萬人，因為國軍之挫敗，共軍得於1949年10月1日，在北京宣告「中華人民共和國」成立，亦決定中華民國於1949年12月9日遷台之命運</w:t>
      </w:r>
      <w:r w:rsidR="0049577B" w:rsidRPr="00E06226">
        <w:rPr>
          <w:rStyle w:val="af7"/>
          <w:rFonts w:eastAsia="新細明體"/>
          <w:sz w:val="20"/>
        </w:rPr>
        <w:footnoteReference w:id="610"/>
      </w:r>
      <w:r w:rsidR="0049577B" w:rsidRPr="00B40DC1">
        <w:t>。國軍對於戰敗且喪失國土之恥，耿耿於懷，在當時之時空背景下，僅有滿腹反共之熱血，又怎會承認共軍建國之事實，國軍仍然是以中華民國領導地位自居，認為中華民國總會有反攻大陸之一日。然而，國際關係之交流係相當現實，兩國之間交流所講求之條件與前提，係國家實力，中華人民共和國政權治理著大陸地區4億人民</w:t>
      </w:r>
      <w:r w:rsidR="0049577B" w:rsidRPr="00E06226">
        <w:rPr>
          <w:rStyle w:val="af7"/>
          <w:rFonts w:eastAsia="新細明體"/>
          <w:sz w:val="20"/>
        </w:rPr>
        <w:footnoteReference w:id="611"/>
      </w:r>
      <w:r w:rsidR="0049577B" w:rsidRPr="00B40DC1">
        <w:t>，是國際上有目共睹之事實，亦因此國際間逐漸將中華人民共和國視為所謂之中國，而非遷移來台，僅有2千萬3百餘人口之中華民國。相對而論，中華民國在國際上被重視之地位，遂大幅之降低，亦因此，國民黨政權在遷台之前用中華民國名義在國際上所建立之關係，逐漸被中華人民共和國所取代，亦造成現今一個中國之問題持續發酵。</w:t>
      </w:r>
    </w:p>
    <w:p w:rsidR="0049577B" w:rsidRDefault="0049577B" w:rsidP="0000380F">
      <w:pPr>
        <w:spacing w:line="240" w:lineRule="auto"/>
        <w:ind w:leftChars="0" w:left="0" w:rightChars="0" w:right="0"/>
      </w:pPr>
      <w:r w:rsidRPr="00B40DC1">
        <w:t xml:space="preserve">　　近年來，兩岸政策隨著各自領導人之思維及不同時空背景之影響之下，變化起伏相當大。1995年到2007年之間，兩岸交流幾乎斷絕，衝突狀況頻傳。1995年江澤民先生延續鄧小平先生「和平統一，一國兩制」政策，提出中國人不打中國人之「江八點」，但仍發生1995年到1996年間之台海飛彈危機</w:t>
      </w:r>
      <w:r w:rsidRPr="00E06226">
        <w:rPr>
          <w:rStyle w:val="af7"/>
          <w:rFonts w:eastAsia="新細明體"/>
          <w:sz w:val="20"/>
        </w:rPr>
        <w:footnoteReference w:id="612"/>
      </w:r>
      <w:r w:rsidRPr="00B40DC1">
        <w:t>；至1999年大陸更以台灣為假想敵，進行大規模軍事演習</w:t>
      </w:r>
      <w:r w:rsidRPr="00E06226">
        <w:rPr>
          <w:rStyle w:val="af7"/>
          <w:rFonts w:eastAsia="新細明體"/>
          <w:sz w:val="20"/>
        </w:rPr>
        <w:footnoteReference w:id="613"/>
      </w:r>
      <w:r w:rsidRPr="00B40DC1">
        <w:t>；於2005年，胡錦濤先生發表「胡四點」，提出對台工作之四點「絕不」，緊接著頒布</w:t>
      </w:r>
      <w:hyperlink r:id="rId687" w:history="1">
        <w:r w:rsidRPr="00F427DA">
          <w:rPr>
            <w:rStyle w:val="a7"/>
            <w:rFonts w:cs="Times New Roman"/>
            <w:lang w:eastAsia="zh-TW" w:bidi="ar-SA"/>
          </w:rPr>
          <w:t>反國家分裂法</w:t>
        </w:r>
      </w:hyperlink>
      <w:r w:rsidRPr="00E06226">
        <w:rPr>
          <w:rStyle w:val="af7"/>
          <w:rFonts w:eastAsia="新細明體"/>
          <w:sz w:val="20"/>
        </w:rPr>
        <w:footnoteReference w:id="614"/>
      </w:r>
      <w:r w:rsidRPr="00B40DC1">
        <w:t>，將「台獨」視為違法之行為；直至2008年，胡錦濤再提出「胡六點」，雖不脫離對台政策之基調，但已經表現出對台之善意，並突破兩岸之困境</w:t>
      </w:r>
      <w:r w:rsidRPr="00E06226">
        <w:rPr>
          <w:rStyle w:val="af7"/>
          <w:rFonts w:eastAsia="新細明體"/>
          <w:sz w:val="20"/>
        </w:rPr>
        <w:footnoteReference w:id="615"/>
      </w:r>
      <w:r w:rsidRPr="00B40DC1">
        <w:t>，兩岸交流開始漸露曙光，</w:t>
      </w:r>
      <w:r w:rsidRPr="00B40DC1">
        <w:rPr>
          <w:lang w:eastAsia="zh-HK"/>
        </w:rPr>
        <w:t>至2015年11月7日，當時之兩岸領導人馬英九與習近平會新加坡會面，可稱是自1949年以來，兩岸交流的最高峰，也是一個重要的里程埤；直到2016年蔡英文當選總統後，兩岸又進入冷和時期。</w:t>
      </w:r>
      <w:r w:rsidRPr="00B40DC1">
        <w:t>兩岸之間之政治問題並未隨著兩岸交流之開放而淡化，兩岸之執政者隨著兩岸交流之正常化，不得不正視及處理兩岸之政治問題。在政治問題尚未解決之前，兩岸政府仍然對彼此存有顧忌，因此，在民間與官方之交流上，仍然相當重視安全議題，處處及時時提防，亦使得本文所探討之源頭安全，在如此之兩岸關係中，更顯現出其重要性。</w:t>
      </w:r>
    </w:p>
    <w:p w:rsidR="00E02D2A" w:rsidRPr="00B40DC1" w:rsidRDefault="00E02D2A" w:rsidP="00E02D2A">
      <w:pPr>
        <w:spacing w:line="240" w:lineRule="auto"/>
        <w:ind w:leftChars="0" w:left="0" w:rightChars="0" w:right="0"/>
        <w:jc w:val="right"/>
      </w:pPr>
      <w:r w:rsidRPr="00D45AD2">
        <w:rPr>
          <w:rFonts w:hint="eastAsia"/>
          <w:sz w:val="22"/>
        </w:rPr>
        <w:t>。。。。。。。。。。。。。</w:t>
      </w:r>
      <w:hyperlink w:anchor="a6" w:history="1">
        <w:r>
          <w:rPr>
            <w:rStyle w:val="a7"/>
            <w:sz w:val="24"/>
            <w:lang w:eastAsia="zh-TW"/>
          </w:rPr>
          <w:t>回本章</w:t>
        </w:r>
      </w:hyperlink>
      <w:r w:rsidRPr="0008714D">
        <w:rPr>
          <w:color w:val="808000"/>
          <w:sz w:val="20"/>
        </w:rPr>
        <w:t>〉〉</w:t>
      </w:r>
      <w:hyperlink w:anchor="a目次6" w:history="1">
        <w:r w:rsidR="00E9715D">
          <w:rPr>
            <w:rStyle w:val="a7"/>
            <w:sz w:val="22"/>
            <w:lang w:eastAsia="zh-TW"/>
          </w:rPr>
          <w:t>回總目次</w:t>
        </w:r>
      </w:hyperlink>
      <w:r w:rsidR="00E9715D" w:rsidRPr="00D45AD2">
        <w:rPr>
          <w:color w:val="808000"/>
          <w:sz w:val="22"/>
        </w:rPr>
        <w:t>〉〉</w:t>
      </w:r>
    </w:p>
    <w:p w:rsidR="003C1792" w:rsidRPr="00EC027F" w:rsidRDefault="0049577B" w:rsidP="007010AD">
      <w:pPr>
        <w:pStyle w:val="3"/>
        <w:rPr>
          <w:lang w:eastAsia="zh-TW"/>
        </w:rPr>
      </w:pPr>
      <w:bookmarkStart w:id="156" w:name="_二、中國大陸仍是台灣國家安全之最大威脅者"/>
      <w:bookmarkEnd w:id="156"/>
      <w:r w:rsidRPr="00EC027F">
        <w:rPr>
          <w:lang w:eastAsia="zh-TW"/>
        </w:rPr>
        <w:t xml:space="preserve">二、中國大陸仍是台灣國家安全之最大威脅者 </w:t>
      </w:r>
    </w:p>
    <w:p w:rsidR="0049577B" w:rsidRPr="00B40DC1" w:rsidRDefault="00EC027F" w:rsidP="0000380F">
      <w:pPr>
        <w:spacing w:line="240" w:lineRule="auto"/>
        <w:ind w:leftChars="0" w:left="0" w:rightChars="0" w:right="0"/>
      </w:pPr>
      <w:r>
        <w:t xml:space="preserve">　　</w:t>
      </w:r>
      <w:r w:rsidR="0049577B" w:rsidRPr="00B40DC1">
        <w:t>依據日本防衛省之觀察與瞭解，中國大陸對於台灣之政治主張，係認為台灣是屬於中國大陸之一部分，而關於台灣問題之政治屬性，中國大陸則堅持所謂之台灣問題，是屬於中國之內政問題，並非國與國之國際問題。中國大陸與台灣間相關議題之討論與研究，均須植基於一個大前提(大原則)之上，即一個中國。在兩岸問題上，中國大陸仍未放棄以和平之手段，促使兩岸在政治上之統一；有關於運用和平之手段以達統一之目標，是中國大陸努力之方向。就兩岸在政治上之統一議題而論，這是台灣人民非常關切之問題；在中國大陸方面，中國則極力反對外國勢力從中阻撓或干涉兩岸政治上之統一，及台灣獨立之行為。中國大陸為了有效地反制外國勢力阻撓兩岸之統一，及台灣之獨立，經常表明仍未放棄軍事武力之行使與運用。亦即，於必要時，透由人民解放軍之軍力，排除外國勢力之阻撓，並殲滅台獨。為了令上述之軍事行動具有法律之基礎，於2005年3月，中國大陸制定「</w:t>
      </w:r>
      <w:hyperlink r:id="rId688" w:history="1">
        <w:r w:rsidR="00F427DA" w:rsidRPr="00F427DA">
          <w:rPr>
            <w:rStyle w:val="a7"/>
            <w:rFonts w:cs="Times New Roman"/>
            <w:lang w:eastAsia="zh-TW" w:bidi="ar-SA"/>
          </w:rPr>
          <w:t>反國家分裂法</w:t>
        </w:r>
      </w:hyperlink>
      <w:r w:rsidR="0049577B" w:rsidRPr="00B40DC1">
        <w:t>」，將不放棄使用武力之原則，透由</w:t>
      </w:r>
      <w:r w:rsidR="00F427DA" w:rsidRPr="00B40DC1">
        <w:t>「</w:t>
      </w:r>
      <w:hyperlink r:id="rId689" w:history="1">
        <w:r w:rsidR="00F427DA" w:rsidRPr="00F427DA">
          <w:rPr>
            <w:rStyle w:val="a7"/>
            <w:rFonts w:cs="Times New Roman"/>
            <w:lang w:eastAsia="zh-TW" w:bidi="ar-SA"/>
          </w:rPr>
          <w:t>反國家分裂法</w:t>
        </w:r>
      </w:hyperlink>
      <w:r w:rsidR="0049577B" w:rsidRPr="00B40DC1">
        <w:t>」之制定與頒布，使其明文化與合法化</w:t>
      </w:r>
      <w:r w:rsidR="0049577B" w:rsidRPr="00E06226">
        <w:rPr>
          <w:rStyle w:val="af7"/>
          <w:rFonts w:eastAsia="新細明體"/>
          <w:sz w:val="20"/>
        </w:rPr>
        <w:footnoteReference w:id="616"/>
      </w:r>
      <w:r w:rsidR="0049577B" w:rsidRPr="00B40DC1">
        <w:t>。</w:t>
      </w:r>
    </w:p>
    <w:p w:rsidR="0049577B" w:rsidRPr="00B40DC1" w:rsidRDefault="00EC027F" w:rsidP="0000380F">
      <w:pPr>
        <w:spacing w:line="240" w:lineRule="auto"/>
        <w:ind w:leftChars="0" w:left="0" w:rightChars="0" w:right="0"/>
      </w:pPr>
      <w:r>
        <w:t xml:space="preserve">　　</w:t>
      </w:r>
      <w:r w:rsidR="0049577B" w:rsidRPr="00B40DC1">
        <w:t>於2012年，馬英九總統連任第二個任期，台灣所追求之政治與經濟目標，在政治目標部分，馬英九總統並未主張台灣獨立，亦即，不從事台獨運動，相對而論，台灣設定之政治目標，係為「維持現狀」。「維持現狀」之態勢，是馬英九總統施政之重點。在經濟目標部分，則擴大台灣與中國大陸之經濟交流與貿易，俾利促使台灣經濟之發展。由於海峽兩岸相互簽署ECFA(Economic Cooperation Framework Agreement），且ECFA業已正式生效，故海峽兩岸現階段之關係，乃是以經濟發展為主要之範疇，以經濟交流為兩岸關係之核心，以此開展兩岸之關係</w:t>
      </w:r>
      <w:r w:rsidR="0049577B" w:rsidRPr="00E06226">
        <w:rPr>
          <w:rStyle w:val="af7"/>
          <w:rFonts w:eastAsia="新細明體"/>
          <w:sz w:val="20"/>
        </w:rPr>
        <w:footnoteReference w:id="617"/>
      </w:r>
      <w:r w:rsidR="0049577B" w:rsidRPr="00B40DC1">
        <w:t>。</w:t>
      </w:r>
    </w:p>
    <w:p w:rsidR="0049577B" w:rsidRPr="00B40DC1" w:rsidRDefault="00EC027F" w:rsidP="0000380F">
      <w:pPr>
        <w:spacing w:line="240" w:lineRule="auto"/>
        <w:ind w:leftChars="0" w:left="0" w:rightChars="0" w:right="0"/>
      </w:pPr>
      <w:r>
        <w:t xml:space="preserve">　　</w:t>
      </w:r>
      <w:r w:rsidR="0049577B" w:rsidRPr="00B40DC1">
        <w:t>截至2017年為止，中國對台之飛彈部署之數量，包括戰術彈道飛彈以及巡弋飛彈在內，在數量上，已高達1600枚之多，再者，在精準度部分，亦是越來越高</w:t>
      </w:r>
      <w:r w:rsidR="0049577B" w:rsidRPr="00E06226">
        <w:rPr>
          <w:rStyle w:val="af7"/>
          <w:rFonts w:eastAsia="新細明體"/>
          <w:sz w:val="20"/>
        </w:rPr>
        <w:footnoteReference w:id="618"/>
      </w:r>
      <w:r w:rsidR="0049577B" w:rsidRPr="00B40DC1">
        <w:t>，中國共軍並宣稱，中國對台之飛彈之高命中率，可不偏不倚、直接、精準地命中總統府內小英總統之辦公桌。再者，在上述中國各式攻台之飛彈之中，攻擊力道最強者，係為中國「東風16型」彈道飛彈，據上，兩岸仍是處在極高度之軍事、政治衝突與對立之中。「東風16型」彈道飛彈之特色如下</w:t>
      </w:r>
      <w:r w:rsidR="0049577B" w:rsidRPr="00E06226">
        <w:rPr>
          <w:rStyle w:val="af7"/>
          <w:rFonts w:eastAsia="新細明體"/>
          <w:sz w:val="20"/>
        </w:rPr>
        <w:footnoteReference w:id="619"/>
      </w:r>
      <w:r w:rsidR="0049577B" w:rsidRPr="00B40DC1">
        <w:t>：</w:t>
      </w:r>
    </w:p>
    <w:p w:rsidR="0049577B" w:rsidRPr="00B40DC1" w:rsidRDefault="0000380F" w:rsidP="0000380F">
      <w:pPr>
        <w:spacing w:line="240" w:lineRule="auto"/>
        <w:ind w:leftChars="0" w:left="0" w:rightChars="0" w:right="0"/>
      </w:pPr>
      <w:r>
        <w:t xml:space="preserve">　　</w:t>
      </w:r>
      <w:r w:rsidR="0049577B" w:rsidRPr="00B40DC1">
        <w:t>1、「東風16型」可對台灣進行高精準打擊；</w:t>
      </w:r>
    </w:p>
    <w:p w:rsidR="0049577B" w:rsidRPr="00B40DC1" w:rsidRDefault="0000380F" w:rsidP="0000380F">
      <w:pPr>
        <w:spacing w:line="240" w:lineRule="auto"/>
        <w:ind w:leftChars="0" w:left="0" w:rightChars="0" w:right="0"/>
      </w:pPr>
      <w:r>
        <w:t xml:space="preserve">　　</w:t>
      </w:r>
      <w:r w:rsidR="0049577B" w:rsidRPr="00B40DC1">
        <w:t>2、「東風16型」可執行「斬首行動」，「東風16型」可直接命中小英總統之辦公桌；</w:t>
      </w:r>
    </w:p>
    <w:p w:rsidR="0049577B" w:rsidRPr="00B40DC1" w:rsidRDefault="0000380F" w:rsidP="0000380F">
      <w:pPr>
        <w:spacing w:line="240" w:lineRule="auto"/>
        <w:ind w:leftChars="0" w:left="0" w:rightChars="0" w:right="0"/>
      </w:pPr>
      <w:r>
        <w:t xml:space="preserve">　　</w:t>
      </w:r>
      <w:r w:rsidR="0049577B" w:rsidRPr="00B40DC1">
        <w:t>3、東風16型飛彈極速可達8馬赫、攔截難度高；</w:t>
      </w:r>
    </w:p>
    <w:p w:rsidR="0049577B" w:rsidRPr="00B40DC1" w:rsidRDefault="0000380F" w:rsidP="0000380F">
      <w:pPr>
        <w:spacing w:line="240" w:lineRule="auto"/>
        <w:ind w:leftChars="0" w:left="0" w:rightChars="0" w:right="0"/>
      </w:pPr>
      <w:r>
        <w:t xml:space="preserve">　　</w:t>
      </w:r>
      <w:r w:rsidR="0049577B" w:rsidRPr="00B40DC1">
        <w:t>4、「東風16型」可改裝「鑽地彈頭」；</w:t>
      </w:r>
    </w:p>
    <w:p w:rsidR="0049577B" w:rsidRPr="00B40DC1" w:rsidRDefault="0000380F" w:rsidP="0000380F">
      <w:pPr>
        <w:spacing w:line="240" w:lineRule="auto"/>
        <w:ind w:leftChars="0" w:left="0" w:rightChars="0" w:right="0"/>
      </w:pPr>
      <w:r>
        <w:t xml:space="preserve">　　</w:t>
      </w:r>
      <w:r w:rsidR="0049577B" w:rsidRPr="00B40DC1">
        <w:t>5、「東風16型」可穿透炸毀衡山指揮所；</w:t>
      </w:r>
    </w:p>
    <w:p w:rsidR="0049577B" w:rsidRPr="00B40DC1" w:rsidRDefault="0000380F" w:rsidP="0000380F">
      <w:pPr>
        <w:spacing w:line="240" w:lineRule="auto"/>
        <w:ind w:leftChars="0" w:left="0" w:rightChars="0" w:right="0"/>
      </w:pPr>
      <w:r>
        <w:t xml:space="preserve">　　</w:t>
      </w:r>
      <w:r w:rsidR="0049577B" w:rsidRPr="00B40DC1">
        <w:t>6、「東風16型」對台灣最具殺傷力；</w:t>
      </w:r>
    </w:p>
    <w:p w:rsidR="0049577B" w:rsidRPr="00B40DC1" w:rsidRDefault="0000380F" w:rsidP="0000380F">
      <w:pPr>
        <w:spacing w:line="240" w:lineRule="auto"/>
        <w:ind w:leftChars="0" w:left="0" w:rightChars="0" w:right="0"/>
      </w:pPr>
      <w:r>
        <w:t xml:space="preserve">　　</w:t>
      </w:r>
      <w:r w:rsidR="0049577B" w:rsidRPr="00B40DC1">
        <w:t>7、我國之「重層嚇阻」戰略，無法有效攔截「東風16型」；</w:t>
      </w:r>
    </w:p>
    <w:p w:rsidR="0049577B" w:rsidRPr="00B40DC1" w:rsidRDefault="0000380F" w:rsidP="0000380F">
      <w:pPr>
        <w:spacing w:line="240" w:lineRule="auto"/>
        <w:ind w:leftChars="0" w:left="0" w:rightChars="0" w:right="0"/>
      </w:pPr>
      <w:r>
        <w:t xml:space="preserve">　　</w:t>
      </w:r>
      <w:r w:rsidR="0049577B" w:rsidRPr="00B40DC1">
        <w:t>8、東風16型飛彈可機動部署，不利預警偵搜；</w:t>
      </w:r>
    </w:p>
    <w:p w:rsidR="0049577B" w:rsidRPr="00B40DC1" w:rsidRDefault="0000380F" w:rsidP="0000380F">
      <w:pPr>
        <w:spacing w:line="240" w:lineRule="auto"/>
        <w:ind w:leftChars="0" w:left="0" w:rightChars="0" w:right="0"/>
      </w:pPr>
      <w:r>
        <w:t xml:space="preserve">　　</w:t>
      </w:r>
      <w:r w:rsidR="0049577B" w:rsidRPr="00B40DC1">
        <w:t>9、「東風16型」採用機動發射車、全數位化發射；</w:t>
      </w:r>
    </w:p>
    <w:p w:rsidR="0049577B" w:rsidRPr="00B40DC1" w:rsidRDefault="0000380F" w:rsidP="00E06226">
      <w:pPr>
        <w:ind w:leftChars="0" w:left="0"/>
      </w:pPr>
      <w:r>
        <w:t xml:space="preserve">　　</w:t>
      </w:r>
      <w:r w:rsidR="0049577B" w:rsidRPr="00B40DC1">
        <w:t>10、「東風16型」具反飛彈防禦能力</w:t>
      </w:r>
    </w:p>
    <w:p w:rsidR="0049577B" w:rsidRPr="00B40DC1" w:rsidRDefault="0000380F" w:rsidP="00E06226">
      <w:pPr>
        <w:ind w:leftChars="0" w:left="0"/>
      </w:pPr>
      <w:r>
        <w:t xml:space="preserve">　　</w:t>
      </w:r>
      <w:r w:rsidR="0049577B" w:rsidRPr="00B40DC1">
        <w:t>11、「東風16型」在進入終端彈道時會放出大批誘餌目標</w:t>
      </w:r>
    </w:p>
    <w:p w:rsidR="0049577B" w:rsidRPr="00B40DC1" w:rsidRDefault="0000380F" w:rsidP="00E06226">
      <w:pPr>
        <w:ind w:leftChars="0" w:left="0"/>
      </w:pPr>
      <w:r>
        <w:t xml:space="preserve">　　</w:t>
      </w:r>
      <w:r w:rsidR="0049577B" w:rsidRPr="00B40DC1">
        <w:t>12、我國之愛國者飛彈系統難以偵測「東風16型」</w:t>
      </w:r>
    </w:p>
    <w:p w:rsidR="0049577B" w:rsidRPr="00B40DC1" w:rsidRDefault="0000380F" w:rsidP="00E06226">
      <w:pPr>
        <w:ind w:leftChars="0" w:left="0"/>
      </w:pPr>
      <w:r>
        <w:t xml:space="preserve">　　</w:t>
      </w:r>
      <w:r w:rsidR="0049577B" w:rsidRPr="00B40DC1">
        <w:t>13、「東風16型」彈頭型式為：多彈頭、子母彈、高爆彈、鑽地彈彈頭，亦即，可裝置子母彈頭</w:t>
      </w:r>
    </w:p>
    <w:p w:rsidR="0049577B" w:rsidRPr="00B40DC1" w:rsidRDefault="0000380F" w:rsidP="00E06226">
      <w:pPr>
        <w:ind w:leftChars="0" w:left="0"/>
      </w:pPr>
      <w:r>
        <w:t xml:space="preserve">　　</w:t>
      </w:r>
      <w:r w:rsidR="0049577B" w:rsidRPr="00B40DC1">
        <w:t>14、「東風16型」可摧毀跑道或機堡</w:t>
      </w:r>
    </w:p>
    <w:p w:rsidR="0049577B" w:rsidRPr="00B40DC1" w:rsidRDefault="0000380F" w:rsidP="00E06226">
      <w:pPr>
        <w:ind w:leftChars="0" w:left="0"/>
      </w:pPr>
      <w:r>
        <w:t xml:space="preserve">　　</w:t>
      </w:r>
      <w:r w:rsidR="0049577B" w:rsidRPr="00B40DC1">
        <w:t>15、「東風16型」射程逾1000公里</w:t>
      </w:r>
    </w:p>
    <w:p w:rsidR="0049577B" w:rsidRPr="00B40DC1" w:rsidRDefault="0000380F" w:rsidP="00E06226">
      <w:pPr>
        <w:ind w:leftChars="0" w:left="0"/>
      </w:pPr>
      <w:r>
        <w:t xml:space="preserve">　　</w:t>
      </w:r>
      <w:r w:rsidR="0049577B" w:rsidRPr="00B40DC1">
        <w:t>16、「東風16型」以大卡車為載台</w:t>
      </w:r>
    </w:p>
    <w:p w:rsidR="0049577B" w:rsidRPr="00B40DC1" w:rsidRDefault="0000380F" w:rsidP="00E06226">
      <w:pPr>
        <w:ind w:leftChars="0" w:left="0"/>
      </w:pPr>
      <w:r>
        <w:t xml:space="preserve">　　</w:t>
      </w:r>
      <w:r w:rsidR="0049577B" w:rsidRPr="00B40DC1">
        <w:t>17、「東風16型」可經由公路機動運輸變換位置</w:t>
      </w:r>
    </w:p>
    <w:p w:rsidR="0049577B" w:rsidRPr="00B40DC1" w:rsidRDefault="0000380F" w:rsidP="00E06226">
      <w:pPr>
        <w:ind w:leftChars="0" w:left="0"/>
      </w:pPr>
      <w:r>
        <w:t xml:space="preserve">　　</w:t>
      </w:r>
      <w:r w:rsidR="0049577B" w:rsidRPr="00B40DC1">
        <w:t>18、「東風16型」能在雨天等惡劣環境下發射</w:t>
      </w:r>
    </w:p>
    <w:p w:rsidR="0049577B" w:rsidRPr="00B40DC1" w:rsidRDefault="0000380F" w:rsidP="00E06226">
      <w:pPr>
        <w:ind w:leftChars="0" w:left="0"/>
      </w:pPr>
      <w:r>
        <w:t xml:space="preserve">　　</w:t>
      </w:r>
      <w:r w:rsidR="0049577B" w:rsidRPr="00B40DC1">
        <w:t>19、「東風16型」可從中國大陸之內陸陣地發射</w:t>
      </w:r>
    </w:p>
    <w:p w:rsidR="0049577B" w:rsidRPr="00B40DC1" w:rsidRDefault="0000380F" w:rsidP="00E06226">
      <w:pPr>
        <w:ind w:leftChars="0" w:left="0"/>
      </w:pPr>
      <w:r>
        <w:t xml:space="preserve">　　</w:t>
      </w:r>
      <w:r w:rsidR="0049577B" w:rsidRPr="00B40DC1">
        <w:t>20、我國須部署美軍薩德「THAAD終端高空域防禦系統」，始可加以攔阻「東風16型」，但我國無意採購美軍薩德「THAAD終端高空域防禦系統」；</w:t>
      </w:r>
    </w:p>
    <w:p w:rsidR="0049577B" w:rsidRPr="00B40DC1" w:rsidRDefault="0000380F" w:rsidP="00E06226">
      <w:pPr>
        <w:ind w:leftChars="0" w:left="0"/>
      </w:pPr>
      <w:r>
        <w:t xml:space="preserve">　　</w:t>
      </w:r>
      <w:r w:rsidR="0049577B" w:rsidRPr="00B40DC1">
        <w:t>21、「東風16型」隸屬於安徽黃山祁門火箭軍第52基地</w:t>
      </w:r>
    </w:p>
    <w:p w:rsidR="0049577B" w:rsidRPr="00B40DC1" w:rsidRDefault="0000380F" w:rsidP="00E06226">
      <w:pPr>
        <w:ind w:leftChars="0" w:left="0"/>
      </w:pPr>
      <w:r>
        <w:t xml:space="preserve">　　</w:t>
      </w:r>
      <w:r w:rsidR="0049577B" w:rsidRPr="00B40DC1">
        <w:t>22、「東風16型」負載重量約1千~2千公斤</w:t>
      </w:r>
    </w:p>
    <w:p w:rsidR="0049577B" w:rsidRPr="00B40DC1" w:rsidRDefault="0000380F" w:rsidP="00E06226">
      <w:pPr>
        <w:ind w:leftChars="0" w:left="0"/>
      </w:pPr>
      <w:r>
        <w:t xml:space="preserve">　　</w:t>
      </w:r>
      <w:r w:rsidR="0049577B" w:rsidRPr="00B40DC1">
        <w:t>23、「東風16型」彈頭重量超過500公斤</w:t>
      </w:r>
    </w:p>
    <w:p w:rsidR="0049577B" w:rsidRPr="00B40DC1" w:rsidRDefault="0000380F" w:rsidP="00E06226">
      <w:pPr>
        <w:ind w:leftChars="0" w:left="0"/>
      </w:pPr>
      <w:r>
        <w:t xml:space="preserve">　　</w:t>
      </w:r>
      <w:r w:rsidR="0049577B" w:rsidRPr="00B40DC1">
        <w:t>24、「東風16型」長度約為12公尺</w:t>
      </w:r>
    </w:p>
    <w:p w:rsidR="0049577B" w:rsidRPr="00EC027F" w:rsidRDefault="00EC027F" w:rsidP="00E06226">
      <w:pPr>
        <w:ind w:leftChars="0" w:left="0"/>
      </w:pPr>
      <w:r w:rsidRPr="00EC027F">
        <w:t xml:space="preserve">　　</w:t>
      </w:r>
      <w:r w:rsidR="0049577B" w:rsidRPr="00EC027F">
        <w:t>根據上述之資料，及其他之相關文獻，本文發現海峽兩岸之軍事、政治關係，具有以下之重要特色：</w:t>
      </w:r>
    </w:p>
    <w:p w:rsidR="003C1792" w:rsidRPr="00EC027F" w:rsidRDefault="00EC027F" w:rsidP="00E06226">
      <w:pPr>
        <w:ind w:leftChars="0" w:left="0"/>
      </w:pPr>
      <w:r w:rsidRPr="00EC027F">
        <w:t xml:space="preserve">　　</w:t>
      </w:r>
      <w:r w:rsidR="0049577B" w:rsidRPr="00EC027F">
        <w:t>1、針對台灣問題而論，中國大陸認為台灣是屬於中國大陸之一部分，這是中國國家主權之「核心問題」，及「內政問題」，而非國與國之國際關係問題，不容美、日等國外國勢力之幹預及阻礙；</w:t>
      </w:r>
    </w:p>
    <w:p w:rsidR="0049577B" w:rsidRPr="00EC027F" w:rsidRDefault="00EC027F" w:rsidP="00E06226">
      <w:pPr>
        <w:ind w:leftChars="0" w:left="0"/>
      </w:pPr>
      <w:r w:rsidRPr="00EC027F">
        <w:t xml:space="preserve">　　</w:t>
      </w:r>
      <w:r w:rsidR="0049577B" w:rsidRPr="00EC027F">
        <w:t>2、中國大陸軍事力量之現代化之主要目標之一，即在於阻止與打擊台灣之獨立；</w:t>
      </w:r>
    </w:p>
    <w:p w:rsidR="0049577B" w:rsidRPr="00EC027F" w:rsidRDefault="00EC027F" w:rsidP="00E06226">
      <w:pPr>
        <w:ind w:leftChars="0" w:left="0"/>
      </w:pPr>
      <w:r w:rsidRPr="00EC027F">
        <w:t xml:space="preserve">　　</w:t>
      </w:r>
      <w:r w:rsidR="0049577B" w:rsidRPr="00EC027F">
        <w:t>3、中國大陸有關於軍事與戰爭之定義，係採取廣義之觀點，軍事與戰爭除涉及「物理之手段」之外，尚包括「非物理之手段」。所謂之「非物理之手段」，此包括三戰，即輿論戰、心理戰及法律戰。而與軍事與戰爭實際之工作項目，則包括：軍事戰爭(物理手段)、政治戰、外交戰、經濟戰、文化戰、輿論戰、心理戰及法律戰。一般而論，台灣民眾較易忽略：經濟戰、文化戰、輿論戰、心理戰及法律戰之戰法；</w:t>
      </w:r>
    </w:p>
    <w:p w:rsidR="0049577B" w:rsidRPr="00EC027F" w:rsidRDefault="00EC027F" w:rsidP="00E06226">
      <w:pPr>
        <w:ind w:leftChars="0" w:left="0"/>
      </w:pPr>
      <w:r w:rsidRPr="00EC027F">
        <w:t xml:space="preserve">　　</w:t>
      </w:r>
      <w:r w:rsidR="0049577B" w:rsidRPr="00EC027F">
        <w:t>4、中國人民解放軍最優先面臨之課題與主要任務，係為：(1)殲滅台獨勢力；(2)阻止美、日等外國軍隊支援台獨；亦即，人民解放軍之任務中，最嚴肅與最主要之問題，即為殲滅台獨反動之勢力；人民解放軍之現代化，不僅須具有擊敗台灣軍力之能力，更進一步言，須有能力對抗美、日等國之軍力，以有效地阻止外國軍隊支援台獨；</w:t>
      </w:r>
    </w:p>
    <w:p w:rsidR="0049577B" w:rsidRPr="00EC027F" w:rsidRDefault="00EC027F" w:rsidP="00E06226">
      <w:pPr>
        <w:ind w:leftChars="0" w:left="0"/>
      </w:pPr>
      <w:r w:rsidRPr="00EC027F">
        <w:t xml:space="preserve">　　</w:t>
      </w:r>
      <w:r w:rsidR="0049577B" w:rsidRPr="00EC027F">
        <w:t>5、中國正推動「2020年前實現人民解放軍機械化及情報化(信息化)建設計畫」，中國特別重視如何建構良善之情報化(資訊化)機制；如將其運用於兩岸關係，從中國人民解放軍之觀點出發，如欲取得台海戰事之勝利，須特別重視情報戰；從台灣國境人流管理機關之反製作為角度出發，台灣則須建構一套境外人流管理機制，有效地防制中國人民解放軍或相關國安機關之諜報人員進出臺灣。</w:t>
      </w:r>
    </w:p>
    <w:p w:rsidR="0049577B" w:rsidRPr="00EC027F" w:rsidRDefault="00EC027F" w:rsidP="00E06226">
      <w:pPr>
        <w:ind w:leftChars="0" w:left="0"/>
      </w:pPr>
      <w:r w:rsidRPr="00EC027F">
        <w:t xml:space="preserve">　　</w:t>
      </w:r>
      <w:r w:rsidR="0049577B" w:rsidRPr="00EC027F">
        <w:t>6、兩岸相關議題之討論，中國大陸設定一個大原則，即須植基於一個大前提之下，即一個中國；</w:t>
      </w:r>
    </w:p>
    <w:p w:rsidR="0049577B" w:rsidRPr="00EC027F" w:rsidRDefault="00EC027F" w:rsidP="00E06226">
      <w:pPr>
        <w:ind w:leftChars="0" w:left="0"/>
      </w:pPr>
      <w:r w:rsidRPr="00EC027F">
        <w:t xml:space="preserve">　　</w:t>
      </w:r>
      <w:r w:rsidR="0049577B" w:rsidRPr="00EC027F">
        <w:t>7、中國大陸對台之政策，仍不放棄使用武力之原則，制定</w:t>
      </w:r>
      <w:r w:rsidR="00F427DA" w:rsidRPr="00B40DC1">
        <w:t>「</w:t>
      </w:r>
      <w:hyperlink r:id="rId690" w:history="1">
        <w:r w:rsidR="00F427DA" w:rsidRPr="00F427DA">
          <w:rPr>
            <w:rStyle w:val="a7"/>
            <w:rFonts w:cs="Times New Roman"/>
            <w:lang w:eastAsia="zh-TW" w:bidi="ar-SA"/>
          </w:rPr>
          <w:t>反國家分裂法</w:t>
        </w:r>
      </w:hyperlink>
      <w:r w:rsidR="0049577B" w:rsidRPr="00EC027F">
        <w:t>」，使武力之使用能合法化；</w:t>
      </w:r>
    </w:p>
    <w:p w:rsidR="0049577B" w:rsidRPr="00EC027F" w:rsidRDefault="00EC027F" w:rsidP="00E06226">
      <w:pPr>
        <w:ind w:leftChars="0" w:left="0"/>
      </w:pPr>
      <w:r w:rsidRPr="00EC027F">
        <w:t xml:space="preserve">　　</w:t>
      </w:r>
      <w:r w:rsidR="0049577B" w:rsidRPr="00EC027F">
        <w:t>8、面對中國大陸巨大之軍事威脅，台灣設定之政治目標，就目前而論，係為「維持現狀」，而非兩岸政治上之統一；為了維持中華民國民主自由憲政之體制，台灣仍堅持中華民國之獨立自主性，拒絕成為中國大陸之一省；在此一民主自由政治體制之選擇下，台灣之國境管理執法機關，勢必須付出相當大之努力與代價，始能反制中國大陸之情報作為，達到良善化國境人流管理之目標；</w:t>
      </w:r>
    </w:p>
    <w:p w:rsidR="0049577B" w:rsidRPr="00EC027F" w:rsidRDefault="00EC027F" w:rsidP="00E06226">
      <w:pPr>
        <w:ind w:leftChars="0" w:left="0"/>
      </w:pPr>
      <w:r w:rsidRPr="00EC027F">
        <w:t xml:space="preserve">　　</w:t>
      </w:r>
      <w:r w:rsidR="0049577B" w:rsidRPr="00EC027F">
        <w:t>9、雖然兩岸處於高度之軍事對抗，但海峽兩岸現階段之關係，乃是以經濟發展為主要之範疇；</w:t>
      </w:r>
    </w:p>
    <w:p w:rsidR="0049577B" w:rsidRPr="00EC027F" w:rsidRDefault="00EC027F" w:rsidP="00E06226">
      <w:pPr>
        <w:ind w:leftChars="0" w:left="0"/>
      </w:pPr>
      <w:r w:rsidRPr="00EC027F">
        <w:t xml:space="preserve">　　</w:t>
      </w:r>
      <w:r w:rsidR="0049577B" w:rsidRPr="00EC027F">
        <w:t>10、有關於建構一套海峽兩岸相互信賴之軍事安全保障之機制，本文認為，這是一條可行之道路；除了軍事安全保障機制之外，兩岸亦可針對國境人流管理之議題，建構一套良善化之境管機制，以防制跨境犯罪分子之竄流。</w:t>
      </w:r>
    </w:p>
    <w:p w:rsidR="0049577B" w:rsidRDefault="00EC027F" w:rsidP="00E06226">
      <w:pPr>
        <w:ind w:leftChars="0" w:left="0"/>
      </w:pPr>
      <w:r w:rsidRPr="00EC027F">
        <w:t xml:space="preserve">　　</w:t>
      </w:r>
      <w:r w:rsidR="0049577B" w:rsidRPr="00EC027F">
        <w:t>11、台灣國境人流管理所建構之境管機制，除了須防制跨境犯罪、不法及違法分子之竄流外，亦須有能力有效地阻絕中國大陸軍事或相關從事諜報工作人員入出臺灣，以斷絕其情報作為與活動。如何有效地過濾出上述之諜報工作人員，此一極重要之工作，亦宜成為台灣國境人流管理機關之核心工作之一。</w:t>
      </w:r>
    </w:p>
    <w:p w:rsidR="00EC027F" w:rsidRPr="00EC027F" w:rsidRDefault="00E02D2A" w:rsidP="00E02D2A">
      <w:pPr>
        <w:ind w:leftChars="0"/>
        <w:jc w:val="right"/>
      </w:pPr>
      <w:r w:rsidRPr="00D45AD2">
        <w:rPr>
          <w:rFonts w:hint="eastAsia"/>
          <w:sz w:val="22"/>
        </w:rPr>
        <w:t>。。。。。。。。。。。。。</w:t>
      </w:r>
      <w:hyperlink w:anchor="a6" w:history="1">
        <w:r>
          <w:rPr>
            <w:rStyle w:val="a7"/>
            <w:sz w:val="24"/>
            <w:lang w:eastAsia="zh-TW"/>
          </w:rPr>
          <w:t>回本章</w:t>
        </w:r>
      </w:hyperlink>
      <w:r w:rsidRPr="0008714D">
        <w:rPr>
          <w:color w:val="808000"/>
          <w:sz w:val="20"/>
        </w:rPr>
        <w:t>〉〉</w:t>
      </w:r>
      <w:hyperlink w:anchor="a目次6"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57" w:name="_肆、大陸人民來台現況概述"/>
      <w:bookmarkEnd w:id="157"/>
      <w:r w:rsidRPr="00B40DC1">
        <w:t>肆、大陸人民來台現況概述</w:t>
      </w:r>
    </w:p>
    <w:p w:rsidR="0049577B" w:rsidRPr="00B40DC1" w:rsidRDefault="00EC027F" w:rsidP="00E06226">
      <w:pPr>
        <w:ind w:leftChars="0" w:left="0"/>
      </w:pPr>
      <w:r>
        <w:t xml:space="preserve">　　</w:t>
      </w:r>
      <w:r w:rsidR="0049577B" w:rsidRPr="00B40DC1">
        <w:t>台灣自1989年開放大陸居民來台，至2007年之間，台灣社會的氛圍對大陸居民是不</w:t>
      </w:r>
      <w:r w:rsidR="0049577B" w:rsidRPr="00B40DC1">
        <w:rPr>
          <w:lang w:eastAsia="zh-HK"/>
        </w:rPr>
        <w:t>友善</w:t>
      </w:r>
      <w:r w:rsidR="0049577B" w:rsidRPr="00B40DC1">
        <w:t>的，而台灣入出境管理機關對於大陸居民來台申請案件審查也相當嚴格，一部分的原因是受台灣領導人的政治</w:t>
      </w:r>
      <w:r w:rsidR="0049577B" w:rsidRPr="00B40DC1">
        <w:rPr>
          <w:lang w:eastAsia="zh-HK"/>
        </w:rPr>
        <w:t>傾向</w:t>
      </w:r>
      <w:r w:rsidR="0049577B" w:rsidRPr="00B40DC1">
        <w:t>影響，而另一部分的原因則是因為兩岸人民互不瞭解所致。當時</w:t>
      </w:r>
      <w:r w:rsidR="0049577B" w:rsidRPr="00B40DC1">
        <w:rPr>
          <w:lang w:eastAsia="zh-HK"/>
        </w:rPr>
        <w:t>大陸經濟尚未發達</w:t>
      </w:r>
      <w:r w:rsidR="0049577B" w:rsidRPr="00B40DC1">
        <w:t>，</w:t>
      </w:r>
      <w:r w:rsidR="0049577B" w:rsidRPr="00B40DC1">
        <w:rPr>
          <w:lang w:eastAsia="zh-HK"/>
        </w:rPr>
        <w:t>且生活水平較低，又</w:t>
      </w:r>
      <w:r w:rsidR="0049577B" w:rsidRPr="00B40DC1">
        <w:t>兩岸政策的封閉，造成台灣民眾的普遍觀念，都認為大陸居民來台就是要打工賺錢的，是要和台灣人爭一口飯吃的，所以兩岸關係並不友善。</w:t>
      </w:r>
    </w:p>
    <w:p w:rsidR="0049577B" w:rsidRPr="00B40DC1" w:rsidRDefault="0000380F" w:rsidP="00E06226">
      <w:pPr>
        <w:ind w:leftChars="0" w:left="0"/>
      </w:pPr>
      <w:r>
        <w:t xml:space="preserve">　　</w:t>
      </w:r>
      <w:r w:rsidR="0049577B" w:rsidRPr="00B40DC1">
        <w:t>承上所述，台灣入出境管理機關對於大陸居民來台申請案件之審查，之所以會相當嚴格，因我國對大陸居民來台之管制機制，係採取事前審查制，而非事後報備制。在事前審查制之法理方面，司法院大法官會議釋字</w:t>
      </w:r>
      <w:hyperlink r:id="rId691" w:anchor="r497" w:history="1">
        <w:r w:rsidR="0049577B" w:rsidRPr="00430C9D">
          <w:rPr>
            <w:rStyle w:val="a7"/>
            <w:rFonts w:cs="Times New Roman"/>
            <w:lang w:eastAsia="zh-TW" w:bidi="ar-SA"/>
          </w:rPr>
          <w:t>第497號</w:t>
        </w:r>
      </w:hyperlink>
      <w:r w:rsidR="0049577B" w:rsidRPr="00B40DC1">
        <w:t>之解釋文</w:t>
      </w:r>
      <w:r w:rsidR="0049577B" w:rsidRPr="00E02D2A">
        <w:rPr>
          <w:rStyle w:val="af7"/>
          <w:rFonts w:eastAsia="新細明體"/>
          <w:sz w:val="20"/>
        </w:rPr>
        <w:footnoteReference w:id="620"/>
      </w:r>
      <w:r w:rsidR="0049577B" w:rsidRPr="00B40DC1">
        <w:t>(民國 88年12月3日公布)，或可作為我國對大陸居民來台採事前審查制之憲法上之法理基石。</w:t>
      </w:r>
    </w:p>
    <w:p w:rsidR="0049577B" w:rsidRPr="00B40DC1" w:rsidRDefault="00EC027F" w:rsidP="00E06226">
      <w:pPr>
        <w:ind w:leftChars="0" w:left="0"/>
      </w:pPr>
      <w:r>
        <w:t xml:space="preserve">　　</w:t>
      </w:r>
      <w:r w:rsidR="0049577B" w:rsidRPr="00B40DC1">
        <w:t>依司法院大法官會議釋</w:t>
      </w:r>
      <w:r w:rsidR="00430C9D" w:rsidRPr="00B40DC1">
        <w:t>字</w:t>
      </w:r>
      <w:hyperlink r:id="rId692" w:anchor="r497" w:history="1">
        <w:r w:rsidR="00430C9D" w:rsidRPr="00430C9D">
          <w:rPr>
            <w:rStyle w:val="a7"/>
            <w:rFonts w:cs="Times New Roman"/>
            <w:lang w:eastAsia="zh-TW" w:bidi="ar-SA"/>
          </w:rPr>
          <w:t>第497號</w:t>
        </w:r>
      </w:hyperlink>
      <w:r w:rsidR="0049577B" w:rsidRPr="00B40DC1">
        <w:t>之理由書所指：「人民有居住遷徙之自由，固為憲法</w:t>
      </w:r>
      <w:hyperlink r:id="rId693" w:anchor="a10" w:history="1">
        <w:r w:rsidR="0049577B" w:rsidRPr="00430C9D">
          <w:rPr>
            <w:rStyle w:val="a7"/>
            <w:rFonts w:cs="Times New Roman"/>
            <w:lang w:eastAsia="zh-TW" w:bidi="ar-SA"/>
          </w:rPr>
          <w:t>第十條</w:t>
        </w:r>
      </w:hyperlink>
      <w:r w:rsidR="0049577B" w:rsidRPr="00B40DC1">
        <w:t>所保障，惟為防止妨礙他人自由、避免緊急危難、維持社會秩序或增進公共利益之必要，得以法律限制之，憲法</w:t>
      </w:r>
      <w:r w:rsidR="00FD5837" w:rsidRPr="00B40DC1">
        <w:t>第</w:t>
      </w:r>
      <w:hyperlink r:id="rId694" w:anchor="a23" w:history="1">
        <w:r w:rsidR="00FD5837" w:rsidRPr="00FD5837">
          <w:rPr>
            <w:rStyle w:val="a7"/>
            <w:rFonts w:cs="Times New Roman"/>
            <w:lang w:eastAsia="zh-TW" w:bidi="ar-SA"/>
          </w:rPr>
          <w:t>二十三</w:t>
        </w:r>
      </w:hyperlink>
      <w:r w:rsidR="00FD5837" w:rsidRPr="00B40DC1">
        <w:t>條</w:t>
      </w:r>
      <w:r w:rsidR="0049577B" w:rsidRPr="00B40DC1">
        <w:t>亦有明文。又八十年五月一日公布之憲法增修條文</w:t>
      </w:r>
      <w:hyperlink r:id="rId695" w:anchor="b10" w:history="1">
        <w:r w:rsidR="0049577B" w:rsidRPr="00430C9D">
          <w:rPr>
            <w:rStyle w:val="a7"/>
            <w:rFonts w:cs="Times New Roman"/>
            <w:lang w:eastAsia="zh-TW" w:bidi="ar-SA"/>
          </w:rPr>
          <w:t>第十條</w:t>
        </w:r>
      </w:hyperlink>
      <w:r w:rsidR="0049577B" w:rsidRPr="00B40DC1">
        <w:t>（現行增修條文改列為第</w:t>
      </w:r>
      <w:hyperlink r:id="rId696" w:anchor="b11" w:history="1">
        <w:r w:rsidR="0049577B" w:rsidRPr="00430C9D">
          <w:rPr>
            <w:rStyle w:val="a7"/>
            <w:rFonts w:cs="Times New Roman"/>
            <w:lang w:eastAsia="zh-TW" w:bidi="ar-SA"/>
          </w:rPr>
          <w:t>十一</w:t>
        </w:r>
      </w:hyperlink>
      <w:r w:rsidR="0049577B" w:rsidRPr="00B40DC1">
        <w:t>條）規定：「自由地區與大陸地區間人民權利義務關係及其他事務之處理，得以法律為特別之規定。」八十一年七月三十一日公布之</w:t>
      </w:r>
      <w:hyperlink r:id="rId697" w:history="1">
        <w:r w:rsidR="0049577B" w:rsidRPr="00FD5837">
          <w:rPr>
            <w:rStyle w:val="a7"/>
            <w:rFonts w:cs="Times New Roman"/>
            <w:lang w:eastAsia="zh-TW" w:bidi="ar-SA"/>
          </w:rPr>
          <w:t>臺灣地區與大陸地區人民關係條例</w:t>
        </w:r>
      </w:hyperlink>
      <w:r w:rsidR="0049577B" w:rsidRPr="00B40DC1">
        <w:t>係依上開增修條文所制定，為國家統一前確保臺灣地區安全與民眾福祉，規範臺灣地區與大陸地區人民間權利義務之特別立法。再者，法律授權訂定命令，如涉及限制人民之自由權利時，其授權之目的、範圍及內容固須符合具體明確之要件；若法律僅為概括授權時，則應就該項法律整體所表現之關聯意義以推知立法者授權之意旨，而非拘泥於特定法條之文字（參照本院釋字第</w:t>
      </w:r>
      <w:hyperlink r:id="rId698" w:anchor="r394" w:history="1">
        <w:r w:rsidR="0049577B" w:rsidRPr="00430C9D">
          <w:rPr>
            <w:rStyle w:val="a7"/>
            <w:rFonts w:cs="Times New Roman"/>
            <w:lang w:eastAsia="zh-TW" w:bidi="ar-SA"/>
          </w:rPr>
          <w:t>三九四</w:t>
        </w:r>
      </w:hyperlink>
      <w:r w:rsidR="0049577B" w:rsidRPr="00B40DC1">
        <w:t>號解釋）。內政部依該條例</w:t>
      </w:r>
      <w:hyperlink r:id="rId699" w:anchor="b10" w:history="1">
        <w:r w:rsidR="0049577B" w:rsidRPr="001F226D">
          <w:rPr>
            <w:rStyle w:val="a7"/>
            <w:rFonts w:cs="Times New Roman"/>
            <w:lang w:eastAsia="zh-TW" w:bidi="ar-SA"/>
          </w:rPr>
          <w:t>第十條</w:t>
        </w:r>
      </w:hyperlink>
      <w:r w:rsidR="0049577B" w:rsidRPr="00B40DC1">
        <w:t>「大陸地區人民非經主管機關許可，不得進入臺灣地區」（第一項）、「經許可進入臺灣地區之大陸地區人民，不得從事與許可目的不符之活動或工作」（第二項）、「前二項許可辦法，由有關主管機關擬訂，報請行政院核定後發布之」（第三項），第</w:t>
      </w:r>
      <w:hyperlink r:id="rId700" w:anchor="b17" w:history="1">
        <w:r w:rsidR="0049577B" w:rsidRPr="001F226D">
          <w:rPr>
            <w:rStyle w:val="a7"/>
            <w:rFonts w:cs="Times New Roman"/>
            <w:lang w:eastAsia="zh-TW" w:bidi="ar-SA"/>
          </w:rPr>
          <w:t>十七</w:t>
        </w:r>
      </w:hyperlink>
      <w:r w:rsidR="0049577B" w:rsidRPr="00B40DC1">
        <w:t>條第一項「大陸地區人民有左列情形之一者，得申請在臺灣地區居留：一、臺灣地區人民之配偶，結婚已滿二年或已生產子女者。二、其他基於政治、經濟、社會、教育、科技或文化之考量，經主管機關認為確有必要者」，同條第七項（現行條文為第八項）「前條及第一項申請定居或居留之許可辦法，由內政部會同有關機關擬訂，報請行政院核定後發布之」，及同條例第</w:t>
      </w:r>
      <w:hyperlink r:id="rId701" w:anchor="b18" w:history="1">
        <w:r w:rsidR="0049577B" w:rsidRPr="001F226D">
          <w:rPr>
            <w:rStyle w:val="a7"/>
            <w:rFonts w:cs="Times New Roman"/>
            <w:lang w:eastAsia="zh-TW" w:bidi="ar-SA"/>
          </w:rPr>
          <w:t>十八</w:t>
        </w:r>
      </w:hyperlink>
      <w:r w:rsidR="0049577B" w:rsidRPr="00B40DC1">
        <w:t>條第一項第二款，進入臺灣地區之大陸地區人民，經許可入境，已逾停留期限者，治安機關得逕行強制出境等規定，於八十二年二月八日以內政部臺（八二）內警字第八二七三四六六號令發布</w:t>
      </w:r>
      <w:r w:rsidR="00196F1E" w:rsidRPr="00B40DC1">
        <w:t>「</w:t>
      </w:r>
      <w:hyperlink r:id="rId702" w:history="1">
        <w:r w:rsidR="00196F1E" w:rsidRPr="00196F1E">
          <w:rPr>
            <w:rStyle w:val="a7"/>
            <w:rFonts w:cs="Times New Roman"/>
            <w:lang w:eastAsia="zh-TW" w:bidi="ar-SA"/>
          </w:rPr>
          <w:t>大陸地區人民進入臺灣地區許可辦法</w:t>
        </w:r>
      </w:hyperlink>
      <w:r w:rsidR="0049577B" w:rsidRPr="00B40DC1">
        <w:t>」、臺（八二）內警字第八二七三四五九號令發布「</w:t>
      </w:r>
      <w:hyperlink r:id="rId703" w:history="1">
        <w:r w:rsidR="0049577B" w:rsidRPr="00430C9D">
          <w:rPr>
            <w:rStyle w:val="a7"/>
            <w:rFonts w:cs="Times New Roman"/>
            <w:lang w:eastAsia="zh-TW" w:bidi="ar-SA"/>
          </w:rPr>
          <w:t>大陸地區人民在臺灣地區定居或居留許可辦法</w:t>
        </w:r>
      </w:hyperlink>
      <w:r w:rsidR="0049577B" w:rsidRPr="00B40DC1">
        <w:t>」，明文規定大陸地區人民進入臺灣地區之資格要件、許可程序、定居或停留期限及逾期停留之處分等規定，符合該條例之立法意旨，尚未逾越母法之授權範圍，為維持社會秩序或增進公共利益所必要，與上揭</w:t>
      </w:r>
      <w:hyperlink r:id="rId704" w:history="1">
        <w:r w:rsidR="0049577B" w:rsidRPr="001F226D">
          <w:rPr>
            <w:rStyle w:val="a7"/>
            <w:rFonts w:cs="Times New Roman"/>
            <w:lang w:eastAsia="zh-TW" w:bidi="ar-SA"/>
          </w:rPr>
          <w:t>憲法增修條文</w:t>
        </w:r>
      </w:hyperlink>
      <w:r w:rsidR="0049577B" w:rsidRPr="00B40DC1">
        <w:t>無違，於憲法</w:t>
      </w:r>
      <w:r w:rsidR="00FD5837" w:rsidRPr="00B40DC1">
        <w:t>第</w:t>
      </w:r>
      <w:hyperlink r:id="rId705" w:anchor="a23" w:history="1">
        <w:r w:rsidR="00FD5837" w:rsidRPr="00FD5837">
          <w:rPr>
            <w:rStyle w:val="a7"/>
            <w:rFonts w:cs="Times New Roman"/>
            <w:lang w:eastAsia="zh-TW" w:bidi="ar-SA"/>
          </w:rPr>
          <w:t>二十三</w:t>
        </w:r>
      </w:hyperlink>
      <w:r w:rsidR="00FD5837" w:rsidRPr="00B40DC1">
        <w:t>條</w:t>
      </w:r>
      <w:r w:rsidR="0049577B" w:rsidRPr="00B40DC1">
        <w:t>之規定亦無牴觸。」</w:t>
      </w:r>
    </w:p>
    <w:p w:rsidR="0049577B" w:rsidRPr="00B40DC1" w:rsidRDefault="00EC027F" w:rsidP="00E06226">
      <w:pPr>
        <w:ind w:leftChars="0" w:left="0"/>
      </w:pPr>
      <w:r>
        <w:t xml:space="preserve">　　</w:t>
      </w:r>
      <w:r w:rsidR="0049577B" w:rsidRPr="00B40DC1">
        <w:t>2008年5月之後，前總統馬英九先生以開放兩岸交流為主要施政方針，且以兩岸政策作為施政績效，逐漸開放兩岸各階層人民的交流，使來台的大陸居民人數大幅增加，兩岸交流也日趨平穩。</w:t>
      </w:r>
    </w:p>
    <w:p w:rsidR="0049577B" w:rsidRPr="00B40DC1" w:rsidRDefault="0049577B" w:rsidP="00E06226">
      <w:pPr>
        <w:ind w:leftChars="0" w:left="0"/>
        <w:rPr>
          <w:lang w:eastAsia="zh-HK"/>
        </w:rPr>
      </w:pPr>
      <w:r w:rsidRPr="00B40DC1">
        <w:rPr>
          <w:lang w:eastAsia="zh-HK"/>
        </w:rPr>
        <w:t>另</w:t>
      </w:r>
      <w:r w:rsidRPr="00B40DC1">
        <w:t>我國之陸委會，</w:t>
      </w:r>
      <w:r w:rsidRPr="00B40DC1">
        <w:rPr>
          <w:lang w:eastAsia="zh-HK"/>
        </w:rPr>
        <w:t>每隔一段期間均</w:t>
      </w:r>
      <w:r w:rsidRPr="00B40DC1">
        <w:t>委託政治大學選舉研究中心</w:t>
      </w:r>
      <w:r w:rsidRPr="00B40DC1">
        <w:rPr>
          <w:lang w:eastAsia="zh-HK"/>
        </w:rPr>
        <w:t>針對「民眾對當前兩岸關係之看法」進行民意調查</w:t>
      </w:r>
      <w:r w:rsidRPr="0000380F">
        <w:rPr>
          <w:rStyle w:val="af7"/>
          <w:rFonts w:eastAsia="新細明體"/>
          <w:sz w:val="20"/>
        </w:rPr>
        <w:footnoteReference w:id="621"/>
      </w:r>
      <w:r w:rsidRPr="00B40DC1">
        <w:t>，</w:t>
      </w:r>
      <w:r w:rsidRPr="00B40DC1">
        <w:rPr>
          <w:lang w:eastAsia="zh-HK"/>
        </w:rPr>
        <w:t>本文以馬前總統第二任任期開始之2012年之調查數據，與現任蔡英文總統任期之2017年之數據，進行比較如下：</w:t>
      </w:r>
    </w:p>
    <w:p w:rsidR="0049577B" w:rsidRPr="00B40DC1" w:rsidRDefault="00A35933" w:rsidP="00E06226">
      <w:pPr>
        <w:ind w:leftChars="0" w:left="0"/>
      </w:pPr>
      <w:r>
        <w:rPr>
          <w:lang w:eastAsia="zh-HK"/>
        </w:rPr>
        <w:t xml:space="preserve">　　</w:t>
      </w:r>
      <w:r w:rsidR="0049577B" w:rsidRPr="00B40DC1">
        <w:rPr>
          <w:lang w:eastAsia="zh-HK"/>
        </w:rPr>
        <w:t>一、2012年，</w:t>
      </w:r>
      <w:r w:rsidR="0049577B" w:rsidRPr="00B40DC1">
        <w:t>完成1,070個有效樣本，信賴度為95%，抽樣誤差在±2.99%，其中對於「對兩岸交流速度的看法」，認為「剛剛好」的民眾有39.8%，另有31.7%的民眾認為「太快」，17.8%的民眾認為「太慢」，而高達3成以上的民眾會認為兩岸交流開放太快也不是沒有原因的，這可以從台灣主要的陸務法令修正的速度及內容觀察（如下表），就可顯而易見。另外，台灣民眾認知陸方對我方的態度，「不友善」（52.2%）比例高於「友善」（28.2%）；而陸方在對我人民態度上，有44.4%的民眾認為不友善，38.8%的民眾認為友善，也清楚的顯示多數的民眾對於陸方還是不太放心，這和我方一心想開放兩岸政策的方針是有衝突性的，也可說明，在開放的同時，我方還是要提出相對的安全管理配套措施讓民眾可以更安心的接受兩岸開放的交流，而不是對於兩岸開放的狀況提心吊膽。</w:t>
      </w:r>
    </w:p>
    <w:p w:rsidR="0049577B" w:rsidRPr="00B40DC1" w:rsidRDefault="00A35933" w:rsidP="00E06226">
      <w:pPr>
        <w:ind w:leftChars="0" w:left="0"/>
        <w:rPr>
          <w:lang w:eastAsia="zh-HK"/>
        </w:rPr>
      </w:pPr>
      <w:r>
        <w:t xml:space="preserve">　　</w:t>
      </w:r>
      <w:r w:rsidR="0049577B" w:rsidRPr="00B40DC1">
        <w:rPr>
          <w:lang w:eastAsia="zh-HK"/>
        </w:rPr>
        <w:t>二、2017年，完成1,073個有效樣本，</w:t>
      </w:r>
      <w:r w:rsidR="0049577B" w:rsidRPr="00B40DC1">
        <w:t>信賴度為95%，抽樣誤差在±2.99%，其中對於「對兩岸交流速度的看法」，認為「剛剛好」的民眾有37.6%（</w:t>
      </w:r>
      <w:r w:rsidR="0049577B" w:rsidRPr="00B40DC1">
        <w:rPr>
          <w:lang w:eastAsia="zh-HK"/>
        </w:rPr>
        <w:t>與馬政府時期相當）</w:t>
      </w:r>
      <w:r w:rsidR="0049577B" w:rsidRPr="00B40DC1">
        <w:t>，另有12.8%的民眾認為「太快」，34.7%的民眾認為「太慢」，</w:t>
      </w:r>
      <w:r w:rsidR="0049577B" w:rsidRPr="00B40DC1">
        <w:rPr>
          <w:lang w:eastAsia="zh-HK"/>
        </w:rPr>
        <w:t>與馬政府時期呈現反比，可見蔡政府兩岸政策對民眾而言，確實產生了交流停頓的觀感；另外，而陸方在對我人民態度上，有49.5%的民眾認為不友善，35.8%的民眾認為友善，與馬政府時期相差不大；惟陸委會於2017年卻未公布台灣民眾對於陸方之友善觀感比例，無法完整呈現民調結果，較令人遺憾。</w:t>
      </w:r>
    </w:p>
    <w:p w:rsidR="0049577B" w:rsidRPr="00B40DC1" w:rsidRDefault="00E02D2A" w:rsidP="00E02D2A">
      <w:pPr>
        <w:jc w:val="right"/>
      </w:pPr>
      <w:r w:rsidRPr="00D45AD2">
        <w:rPr>
          <w:rFonts w:hint="eastAsia"/>
          <w:sz w:val="22"/>
        </w:rPr>
        <w:t>。。。。。。。。。。。。。</w:t>
      </w:r>
      <w:hyperlink w:anchor="a6" w:history="1">
        <w:r>
          <w:rPr>
            <w:rStyle w:val="a7"/>
            <w:sz w:val="24"/>
            <w:lang w:eastAsia="zh-TW"/>
          </w:rPr>
          <w:t>回本章</w:t>
        </w:r>
      </w:hyperlink>
      <w:r w:rsidRPr="0008714D">
        <w:rPr>
          <w:color w:val="808000"/>
          <w:sz w:val="20"/>
        </w:rPr>
        <w:t>〉〉</w:t>
      </w:r>
      <w:hyperlink w:anchor="a目次6" w:history="1">
        <w:r w:rsidR="00E9715D">
          <w:rPr>
            <w:rStyle w:val="a7"/>
            <w:sz w:val="22"/>
            <w:lang w:eastAsia="zh-TW"/>
          </w:rPr>
          <w:t>回總目次</w:t>
        </w:r>
      </w:hyperlink>
      <w:r w:rsidR="00E9715D" w:rsidRPr="00D45AD2">
        <w:rPr>
          <w:color w:val="808000"/>
          <w:sz w:val="22"/>
        </w:rPr>
        <w:t>〉〉</w:t>
      </w:r>
    </w:p>
    <w:p w:rsidR="0049577B" w:rsidRPr="0000380F" w:rsidRDefault="0049577B" w:rsidP="00D162A0">
      <w:pPr>
        <w:pStyle w:val="4"/>
        <w:rPr>
          <w:lang w:eastAsia="zh-TW"/>
        </w:rPr>
      </w:pPr>
      <w:r w:rsidRPr="0000380F">
        <w:rPr>
          <w:lang w:eastAsia="zh-TW"/>
        </w:rPr>
        <w:t>表1</w:t>
      </w:r>
      <w:r w:rsidR="00865ADB">
        <w:rPr>
          <w:rFonts w:ascii="新細明體" w:eastAsia="新細明體" w:hAnsi="新細明體" w:hint="eastAsia"/>
          <w:lang w:eastAsia="zh-TW"/>
        </w:rPr>
        <w:t>、</w:t>
      </w:r>
      <w:r w:rsidRPr="0000380F">
        <w:rPr>
          <w:lang w:eastAsia="zh-TW"/>
        </w:rPr>
        <w:t>大陸地區人民申請來台法規修正情形及重要修正內容一覽表</w:t>
      </w:r>
      <w:r w:rsidRPr="0000380F">
        <w:rPr>
          <w:rFonts w:ascii="Arial Unicode MS" w:eastAsia="新細明體" w:hAnsi="Arial Unicode MS"/>
          <w:color w:val="FF6600"/>
          <w:sz w:val="20"/>
        </w:rPr>
        <w:footnoteReference w:id="622"/>
      </w:r>
    </w:p>
    <w:tbl>
      <w:tblPr>
        <w:tblW w:w="0" w:type="auto"/>
        <w:tblInd w:w="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0"/>
        <w:gridCol w:w="3349"/>
        <w:gridCol w:w="4394"/>
      </w:tblGrid>
      <w:tr w:rsidR="0049577B" w:rsidRPr="0000380F" w:rsidTr="00C2607C">
        <w:trPr>
          <w:trHeight w:val="171"/>
          <w:tblHeader/>
        </w:trPr>
        <w:tc>
          <w:tcPr>
            <w:tcW w:w="2000" w:type="dxa"/>
            <w:tcBorders>
              <w:top w:val="single" w:sz="8" w:space="0" w:color="auto"/>
              <w:bottom w:val="single" w:sz="4" w:space="0" w:color="auto"/>
            </w:tcBorders>
            <w:shd w:val="clear" w:color="auto" w:fill="EFFDFF"/>
            <w:vAlign w:val="center"/>
          </w:tcPr>
          <w:p w:rsidR="0049577B" w:rsidRPr="0000380F" w:rsidRDefault="0049577B" w:rsidP="00002E50">
            <w:pPr>
              <w:pStyle w:val="afffffffa"/>
              <w:ind w:leftChars="29" w:left="75" w:rightChars="9" w:right="23"/>
              <w:jc w:val="center"/>
              <w:rPr>
                <w:sz w:val="26"/>
                <w:szCs w:val="26"/>
              </w:rPr>
            </w:pPr>
            <w:r w:rsidRPr="0000380F">
              <w:rPr>
                <w:sz w:val="26"/>
                <w:szCs w:val="26"/>
              </w:rPr>
              <w:t>法規名稱</w:t>
            </w:r>
          </w:p>
        </w:tc>
        <w:tc>
          <w:tcPr>
            <w:tcW w:w="3349" w:type="dxa"/>
            <w:tcBorders>
              <w:top w:val="single" w:sz="8" w:space="0" w:color="auto"/>
              <w:bottom w:val="single" w:sz="4" w:space="0" w:color="auto"/>
            </w:tcBorders>
            <w:shd w:val="clear" w:color="auto" w:fill="EFFDFF"/>
            <w:vAlign w:val="center"/>
          </w:tcPr>
          <w:p w:rsidR="0049577B" w:rsidRPr="0000380F" w:rsidRDefault="0049577B" w:rsidP="00002E50">
            <w:pPr>
              <w:pStyle w:val="afffffffa"/>
              <w:ind w:leftChars="76" w:left="198" w:rightChars="43" w:right="112"/>
              <w:jc w:val="center"/>
              <w:rPr>
                <w:sz w:val="26"/>
                <w:szCs w:val="26"/>
              </w:rPr>
            </w:pPr>
            <w:r w:rsidRPr="0000380F">
              <w:rPr>
                <w:sz w:val="26"/>
                <w:szCs w:val="26"/>
              </w:rPr>
              <w:t>修正法令頻率</w:t>
            </w:r>
          </w:p>
        </w:tc>
        <w:tc>
          <w:tcPr>
            <w:tcW w:w="4394" w:type="dxa"/>
            <w:tcBorders>
              <w:top w:val="single" w:sz="8" w:space="0" w:color="auto"/>
              <w:bottom w:val="single" w:sz="4" w:space="0" w:color="auto"/>
            </w:tcBorders>
            <w:shd w:val="clear" w:color="auto" w:fill="EFFDFF"/>
            <w:vAlign w:val="center"/>
          </w:tcPr>
          <w:p w:rsidR="0049577B" w:rsidRPr="0000380F" w:rsidRDefault="0049577B" w:rsidP="00002E50">
            <w:pPr>
              <w:pStyle w:val="afffffffa"/>
              <w:ind w:leftChars="43" w:left="112" w:rightChars="98" w:right="255"/>
              <w:jc w:val="center"/>
              <w:rPr>
                <w:sz w:val="26"/>
                <w:szCs w:val="26"/>
              </w:rPr>
            </w:pPr>
            <w:r w:rsidRPr="0000380F">
              <w:rPr>
                <w:sz w:val="26"/>
                <w:szCs w:val="26"/>
              </w:rPr>
              <w:t>重要修正內容簡述</w:t>
            </w:r>
          </w:p>
        </w:tc>
      </w:tr>
      <w:tr w:rsidR="0049577B" w:rsidRPr="0000380F" w:rsidTr="00C2607C">
        <w:trPr>
          <w:trHeight w:val="171"/>
        </w:trPr>
        <w:tc>
          <w:tcPr>
            <w:tcW w:w="2000" w:type="dxa"/>
            <w:tcBorders>
              <w:top w:val="single" w:sz="4" w:space="0" w:color="auto"/>
            </w:tcBorders>
          </w:tcPr>
          <w:p w:rsidR="0049577B" w:rsidRPr="0000380F" w:rsidRDefault="00340832" w:rsidP="00002E50">
            <w:pPr>
              <w:pStyle w:val="afffffffa"/>
              <w:ind w:leftChars="29" w:left="75" w:rightChars="9" w:right="23"/>
              <w:rPr>
                <w:sz w:val="26"/>
                <w:szCs w:val="26"/>
              </w:rPr>
            </w:pPr>
            <w:hyperlink r:id="rId706" w:history="1">
              <w:r w:rsidR="009F0458" w:rsidRPr="00196F1E">
                <w:rPr>
                  <w:rStyle w:val="a7"/>
                  <w:rFonts w:cs="Times New Roman"/>
                  <w:sz w:val="24"/>
                  <w:szCs w:val="24"/>
                  <w:lang w:eastAsia="zh-TW" w:bidi="ar-SA"/>
                </w:rPr>
                <w:t>大陸地區人民進入台灣地區許可辦法</w:t>
              </w:r>
            </w:hyperlink>
            <w:r w:rsidR="0049577B" w:rsidRPr="00002E50">
              <w:rPr>
                <w:rStyle w:val="af7"/>
                <w:rFonts w:eastAsia="新細明體"/>
                <w:sz w:val="20"/>
              </w:rPr>
              <w:footnoteReference w:id="623"/>
            </w:r>
          </w:p>
        </w:tc>
        <w:tc>
          <w:tcPr>
            <w:tcW w:w="3349" w:type="dxa"/>
            <w:tcBorders>
              <w:top w:val="single" w:sz="4" w:space="0" w:color="auto"/>
            </w:tcBorders>
          </w:tcPr>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1.2008年修正1次。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2.2009年修正2次。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3.2010年修正１次。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4</w:t>
            </w:r>
            <w:r w:rsidR="003C1792" w:rsidRPr="0000380F">
              <w:rPr>
                <w:sz w:val="26"/>
                <w:szCs w:val="26"/>
              </w:rPr>
              <w:t>.</w:t>
            </w:r>
            <w:r w:rsidRPr="0000380F">
              <w:rPr>
                <w:sz w:val="26"/>
                <w:szCs w:val="26"/>
              </w:rPr>
              <w:t>2011年修正2次。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5.2012年修正1次。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6.2014年與</w:t>
            </w:r>
            <w:r w:rsidR="00C2607C" w:rsidRPr="0000380F">
              <w:rPr>
                <w:sz w:val="26"/>
                <w:szCs w:val="26"/>
              </w:rPr>
              <w:t>「</w:t>
            </w:r>
            <w:hyperlink r:id="rId707" w:history="1">
              <w:r w:rsidR="00C2607C" w:rsidRPr="00C2607C">
                <w:rPr>
                  <w:rStyle w:val="a7"/>
                  <w:rFonts w:cs="Times New Roman"/>
                  <w:lang w:eastAsia="ja-JP" w:bidi="ar-SA"/>
                </w:rPr>
                <w:t>跨國企業內部調動之大陸地區人民申請來臺服務許可辦法</w:t>
              </w:r>
            </w:hyperlink>
            <w:r w:rsidRPr="0000380F">
              <w:rPr>
                <w:sz w:val="26"/>
                <w:szCs w:val="26"/>
              </w:rPr>
              <w:t>」、「</w:t>
            </w:r>
            <w:hyperlink r:id="rId708" w:history="1">
              <w:r w:rsidRPr="009F0458">
                <w:rPr>
                  <w:rStyle w:val="a7"/>
                  <w:rFonts w:cs="Times New Roman"/>
                  <w:lang w:eastAsia="ja-JP" w:bidi="ar-SA"/>
                </w:rPr>
                <w:t>大陸地區專業人士來臺從事專業活動許可辦法</w:t>
              </w:r>
            </w:hyperlink>
            <w:r w:rsidRPr="0000380F">
              <w:rPr>
                <w:sz w:val="26"/>
                <w:szCs w:val="26"/>
              </w:rPr>
              <w:t>」及「</w:t>
            </w:r>
            <w:hyperlink r:id="rId709" w:history="1">
              <w:r w:rsidRPr="009F0458">
                <w:rPr>
                  <w:rStyle w:val="a7"/>
                  <w:rFonts w:cs="Times New Roman"/>
                  <w:lang w:eastAsia="ja-JP" w:bidi="ar-SA"/>
                </w:rPr>
                <w:t>大陸地區人民來臺從事商務活動許可辦法</w:t>
              </w:r>
            </w:hyperlink>
            <w:r w:rsidRPr="0000380F">
              <w:rPr>
                <w:sz w:val="26"/>
                <w:szCs w:val="26"/>
              </w:rPr>
              <w:t>」整併成為一。</w:t>
            </w:r>
          </w:p>
        </w:tc>
        <w:tc>
          <w:tcPr>
            <w:tcW w:w="4394" w:type="dxa"/>
            <w:tcBorders>
              <w:top w:val="single" w:sz="4" w:space="0" w:color="auto"/>
            </w:tcBorders>
          </w:tcPr>
          <w:p w:rsidR="0049577B" w:rsidRPr="0000380F" w:rsidRDefault="0049577B" w:rsidP="00002E50">
            <w:pPr>
              <w:pStyle w:val="afffffffa"/>
              <w:ind w:leftChars="43" w:left="112" w:rightChars="98" w:right="255"/>
              <w:rPr>
                <w:sz w:val="26"/>
                <w:szCs w:val="26"/>
                <w:lang w:eastAsia="zh-TW"/>
              </w:rPr>
            </w:pPr>
            <w:r w:rsidRPr="0000380F">
              <w:rPr>
                <w:sz w:val="26"/>
                <w:szCs w:val="26"/>
              </w:rPr>
              <w:t>1.放寬大陸地區航運、海運機組人員及駐點人員來台規定。</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2.放寬大陸地區人民來台探親、探病及停留期間條件，並開放大陸地區人民得申請來台接受醫療服務。</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3.放寬大陸地區人民來台人道探視等條件</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4.開放大陸官方人員以非官方身分駐台，及其家人隨行。</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5.開放大陸學生父母來台探親。</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6.開放大陸地區人民來台接受健檢醫美服務。</w:t>
            </w:r>
          </w:p>
        </w:tc>
      </w:tr>
      <w:tr w:rsidR="0049577B" w:rsidRPr="0000380F" w:rsidTr="00C2607C">
        <w:trPr>
          <w:trHeight w:val="171"/>
        </w:trPr>
        <w:tc>
          <w:tcPr>
            <w:tcW w:w="2000" w:type="dxa"/>
          </w:tcPr>
          <w:p w:rsidR="0049577B" w:rsidRPr="0000380F" w:rsidRDefault="00340832" w:rsidP="00002E50">
            <w:pPr>
              <w:pStyle w:val="afffffffa"/>
              <w:ind w:leftChars="29" w:left="75" w:rightChars="9" w:right="23"/>
              <w:rPr>
                <w:sz w:val="26"/>
                <w:szCs w:val="26"/>
              </w:rPr>
            </w:pPr>
            <w:hyperlink r:id="rId710" w:history="1">
              <w:r w:rsidR="009F0458" w:rsidRPr="00196F1E">
                <w:rPr>
                  <w:rStyle w:val="a7"/>
                  <w:rFonts w:cs="Times New Roman"/>
                  <w:lang w:eastAsia="zh-TW" w:bidi="ar-SA"/>
                </w:rPr>
                <w:t>大陸地區人民在臺灣地區依親居留長期居留或定居許可辦法</w:t>
              </w:r>
            </w:hyperlink>
          </w:p>
        </w:tc>
        <w:tc>
          <w:tcPr>
            <w:tcW w:w="3349" w:type="dxa"/>
          </w:tcPr>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1.2009年修正1次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2.2010年修正1次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3.2012年修正1次</w:t>
            </w:r>
          </w:p>
        </w:tc>
        <w:tc>
          <w:tcPr>
            <w:tcW w:w="4394" w:type="dxa"/>
          </w:tcPr>
          <w:p w:rsidR="0049577B" w:rsidRPr="0000380F" w:rsidRDefault="0049577B" w:rsidP="00002E50">
            <w:pPr>
              <w:pStyle w:val="afffffffa"/>
              <w:ind w:leftChars="43" w:left="112" w:rightChars="98" w:right="255"/>
              <w:rPr>
                <w:sz w:val="26"/>
                <w:szCs w:val="26"/>
              </w:rPr>
            </w:pPr>
            <w:r w:rsidRPr="0000380F">
              <w:rPr>
                <w:sz w:val="26"/>
                <w:szCs w:val="26"/>
              </w:rPr>
              <w:t>1.大陸配偶在台取得身分證期間自8年改成6年</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2.開放及簡化大陸地區人民申請來台居留、定居程式及居留數額。</w:t>
            </w:r>
          </w:p>
        </w:tc>
      </w:tr>
      <w:tr w:rsidR="0049577B" w:rsidRPr="0000380F" w:rsidTr="00C2607C">
        <w:trPr>
          <w:trHeight w:val="171"/>
        </w:trPr>
        <w:tc>
          <w:tcPr>
            <w:tcW w:w="2000" w:type="dxa"/>
          </w:tcPr>
          <w:p w:rsidR="0049577B" w:rsidRPr="0000380F" w:rsidRDefault="00340832" w:rsidP="00002E50">
            <w:pPr>
              <w:pStyle w:val="afffffffa"/>
              <w:ind w:leftChars="29" w:left="75" w:rightChars="9" w:right="23"/>
              <w:rPr>
                <w:sz w:val="26"/>
                <w:szCs w:val="26"/>
              </w:rPr>
            </w:pPr>
            <w:hyperlink r:id="rId711" w:history="1">
              <w:r w:rsidR="00C2607C" w:rsidRPr="00C2607C">
                <w:rPr>
                  <w:rStyle w:val="a7"/>
                  <w:rFonts w:cs="Times New Roman"/>
                  <w:sz w:val="24"/>
                  <w:szCs w:val="24"/>
                  <w:lang w:eastAsia="ja-JP" w:bidi="ar-SA"/>
                </w:rPr>
                <w:t>大陸地區人民來臺從事觀光活動許可辦法</w:t>
              </w:r>
            </w:hyperlink>
          </w:p>
        </w:tc>
        <w:tc>
          <w:tcPr>
            <w:tcW w:w="3349" w:type="dxa"/>
          </w:tcPr>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1.2008年修正1次。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2.2009年修正3次。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3.2010年修正1次。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4.2011年修正1次。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5.2012年修正1次。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6.2013年修正1次。</w:t>
            </w:r>
          </w:p>
        </w:tc>
        <w:tc>
          <w:tcPr>
            <w:tcW w:w="4394" w:type="dxa"/>
          </w:tcPr>
          <w:p w:rsidR="0049577B" w:rsidRPr="0000380F" w:rsidRDefault="0049577B" w:rsidP="00002E50">
            <w:pPr>
              <w:pStyle w:val="afffffffa"/>
              <w:ind w:leftChars="43" w:left="112" w:rightChars="98" w:right="255"/>
              <w:rPr>
                <w:sz w:val="26"/>
                <w:szCs w:val="26"/>
              </w:rPr>
            </w:pPr>
            <w:r w:rsidRPr="0000380F">
              <w:rPr>
                <w:sz w:val="26"/>
                <w:szCs w:val="26"/>
              </w:rPr>
              <w:t>1.全面開放陸客直航來台團體觀光及個人旅遊（自由行）。</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2.放寬來台陸客團體人數限制及申請來台及入境程式規定</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3.簡化陸客申請來台之文件資格</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4.開放陸客優質團，並放寬旅行社申請限制。</w:t>
            </w:r>
          </w:p>
        </w:tc>
      </w:tr>
      <w:tr w:rsidR="0049577B" w:rsidRPr="0000380F" w:rsidTr="00C2607C">
        <w:trPr>
          <w:trHeight w:val="171"/>
        </w:trPr>
        <w:tc>
          <w:tcPr>
            <w:tcW w:w="2000" w:type="dxa"/>
          </w:tcPr>
          <w:p w:rsidR="0049577B" w:rsidRPr="0000380F" w:rsidRDefault="00340832" w:rsidP="00002E50">
            <w:pPr>
              <w:pStyle w:val="afffffffa"/>
              <w:ind w:leftChars="29" w:left="75" w:rightChars="9" w:right="23"/>
              <w:rPr>
                <w:sz w:val="26"/>
                <w:szCs w:val="26"/>
              </w:rPr>
            </w:pPr>
            <w:hyperlink r:id="rId712" w:history="1">
              <w:r w:rsidR="00C2607C" w:rsidRPr="009F0458">
                <w:rPr>
                  <w:rStyle w:val="a7"/>
                  <w:rFonts w:cs="Times New Roman"/>
                  <w:lang w:eastAsia="ja-JP" w:bidi="ar-SA"/>
                </w:rPr>
                <w:t>大陸地區專業人士來臺從事專業活動許可辦法</w:t>
              </w:r>
            </w:hyperlink>
          </w:p>
        </w:tc>
        <w:tc>
          <w:tcPr>
            <w:tcW w:w="3349" w:type="dxa"/>
          </w:tcPr>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1.2008年修正3次。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2.2009修正2次。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3.2010年修正1次。</w:t>
            </w:r>
            <w:r w:rsidR="00C2607C" w:rsidRPr="00C2607C">
              <w:rPr>
                <w:rFonts w:hint="eastAsia"/>
                <w:color w:val="FFFFFF" w:themeColor="background1"/>
                <w:sz w:val="26"/>
                <w:szCs w:val="26"/>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4.2011年修正1次。</w:t>
            </w:r>
            <w:r w:rsidR="00C2607C" w:rsidRPr="00C2607C">
              <w:rPr>
                <w:rFonts w:hint="eastAsia"/>
                <w:color w:val="FFFFFF" w:themeColor="background1"/>
                <w:sz w:val="26"/>
                <w:szCs w:val="26"/>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5.2012年修正1次。</w:t>
            </w:r>
            <w:r w:rsidR="00C2607C" w:rsidRPr="00C2607C">
              <w:rPr>
                <w:rFonts w:hint="eastAsia"/>
                <w:color w:val="FFFFFF" w:themeColor="background1"/>
                <w:sz w:val="26"/>
                <w:szCs w:val="26"/>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6.2014年整併。</w:t>
            </w:r>
          </w:p>
        </w:tc>
        <w:tc>
          <w:tcPr>
            <w:tcW w:w="4394" w:type="dxa"/>
          </w:tcPr>
          <w:p w:rsidR="0049577B" w:rsidRPr="0000380F" w:rsidRDefault="0049577B" w:rsidP="00002E50">
            <w:pPr>
              <w:pStyle w:val="afffffffa"/>
              <w:ind w:leftChars="43" w:left="112" w:rightChars="98" w:right="255"/>
              <w:rPr>
                <w:sz w:val="26"/>
                <w:szCs w:val="26"/>
              </w:rPr>
            </w:pPr>
            <w:r w:rsidRPr="0000380F">
              <w:rPr>
                <w:sz w:val="26"/>
                <w:szCs w:val="26"/>
              </w:rPr>
              <w:t>1.簡化大陸地區專業人士申請來台及入境程式。</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2.開放大陸黨職人員以專業人士事由來台。</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3.放寬大陸專業人士在台停留期間及規定。</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4.放寬大陸專業人士家屬來台條件規定。</w:t>
            </w:r>
          </w:p>
        </w:tc>
      </w:tr>
      <w:tr w:rsidR="0049577B" w:rsidRPr="0000380F" w:rsidTr="00C2607C">
        <w:trPr>
          <w:trHeight w:val="171"/>
        </w:trPr>
        <w:tc>
          <w:tcPr>
            <w:tcW w:w="2000" w:type="dxa"/>
          </w:tcPr>
          <w:p w:rsidR="0049577B" w:rsidRPr="0000380F" w:rsidRDefault="00340832" w:rsidP="00002E50">
            <w:pPr>
              <w:pStyle w:val="afffffffa"/>
              <w:ind w:leftChars="29" w:left="75" w:rightChars="9" w:right="23"/>
              <w:rPr>
                <w:sz w:val="26"/>
                <w:szCs w:val="26"/>
              </w:rPr>
            </w:pPr>
            <w:hyperlink r:id="rId713" w:history="1">
              <w:r w:rsidR="00C2607C" w:rsidRPr="009F0458">
                <w:rPr>
                  <w:rStyle w:val="a7"/>
                  <w:rFonts w:cs="Times New Roman"/>
                  <w:lang w:eastAsia="ja-JP" w:bidi="ar-SA"/>
                </w:rPr>
                <w:t>大陸地區人民來臺從事商務活動許可辦法</w:t>
              </w:r>
            </w:hyperlink>
          </w:p>
        </w:tc>
        <w:tc>
          <w:tcPr>
            <w:tcW w:w="3349" w:type="dxa"/>
          </w:tcPr>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1.2009年修正1次。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2.2010年修正1次。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3.2011年修正1次。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4.2012年修正1次。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5.2013年修正1次。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6.2014年整併。</w:t>
            </w:r>
          </w:p>
        </w:tc>
        <w:tc>
          <w:tcPr>
            <w:tcW w:w="4394" w:type="dxa"/>
          </w:tcPr>
          <w:p w:rsidR="0049577B" w:rsidRPr="0000380F" w:rsidRDefault="0049577B" w:rsidP="00002E50">
            <w:pPr>
              <w:pStyle w:val="afffffffa"/>
              <w:ind w:leftChars="43" w:left="112" w:rightChars="98" w:right="255"/>
              <w:rPr>
                <w:sz w:val="26"/>
                <w:szCs w:val="26"/>
              </w:rPr>
            </w:pPr>
            <w:r w:rsidRPr="0000380F">
              <w:rPr>
                <w:sz w:val="26"/>
                <w:szCs w:val="26"/>
              </w:rPr>
              <w:t>1.放寬台灣邀請單位限制。</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2.簡化大陸地區人民申請來台從事商務活動及入境程式。</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3.放寬大陸地區人民來台從事商務活動之停留限制及證件類別。</w:t>
            </w:r>
          </w:p>
        </w:tc>
      </w:tr>
      <w:tr w:rsidR="0049577B" w:rsidRPr="0000380F" w:rsidTr="00C2607C">
        <w:trPr>
          <w:trHeight w:val="171"/>
        </w:trPr>
        <w:tc>
          <w:tcPr>
            <w:tcW w:w="2000" w:type="dxa"/>
          </w:tcPr>
          <w:p w:rsidR="0049577B" w:rsidRPr="0000380F" w:rsidRDefault="00340832" w:rsidP="00002E50">
            <w:pPr>
              <w:pStyle w:val="afffffffa"/>
              <w:ind w:leftChars="29" w:left="75" w:rightChars="9" w:right="23"/>
              <w:rPr>
                <w:sz w:val="26"/>
                <w:szCs w:val="26"/>
              </w:rPr>
            </w:pPr>
            <w:hyperlink r:id="rId714" w:history="1">
              <w:r w:rsidR="00C2607C" w:rsidRPr="00C2607C">
                <w:rPr>
                  <w:rStyle w:val="a7"/>
                  <w:rFonts w:cs="Times New Roman"/>
                  <w:lang w:eastAsia="ja-JP" w:bidi="ar-SA"/>
                </w:rPr>
                <w:t>跨國企業內部調動之大陸地區人民申請來臺服務許可辦法</w:t>
              </w:r>
            </w:hyperlink>
          </w:p>
        </w:tc>
        <w:tc>
          <w:tcPr>
            <w:tcW w:w="3349" w:type="dxa"/>
          </w:tcPr>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1.2010年修正1次。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2.2013年修正1次。</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3.2013年：內政部令中華民國102年12月30日台內移字第1020958532號廢止「</w:t>
            </w:r>
            <w:hyperlink r:id="rId715" w:history="1">
              <w:r w:rsidRPr="00C2607C">
                <w:rPr>
                  <w:rStyle w:val="a7"/>
                  <w:rFonts w:cs="Times New Roman"/>
                  <w:lang w:eastAsia="ja-JP" w:bidi="ar-SA"/>
                </w:rPr>
                <w:t>跨國企業內部調動之大陸地區人民申請來臺服務許可辦法</w:t>
              </w:r>
            </w:hyperlink>
            <w:r w:rsidRPr="0000380F">
              <w:rPr>
                <w:sz w:val="26"/>
                <w:szCs w:val="26"/>
              </w:rPr>
              <w:t>」。</w:t>
            </w:r>
            <w:r w:rsidR="00C2607C" w:rsidRPr="00C2607C">
              <w:rPr>
                <w:rFonts w:hint="eastAsia"/>
                <w:color w:val="FFFFFF" w:themeColor="background1"/>
                <w:sz w:val="26"/>
                <w:szCs w:val="26"/>
                <w:lang w:eastAsia="zh-TW"/>
              </w:rPr>
              <w:t>*</w:t>
            </w:r>
          </w:p>
          <w:p w:rsidR="0049577B" w:rsidRPr="0000380F" w:rsidRDefault="0049577B" w:rsidP="001775C3">
            <w:pPr>
              <w:pStyle w:val="afffffffa"/>
              <w:autoSpaceDN/>
              <w:adjustRightInd/>
              <w:spacing w:line="240" w:lineRule="auto"/>
              <w:ind w:leftChars="0" w:left="0" w:rightChars="0" w:right="0"/>
              <w:rPr>
                <w:sz w:val="26"/>
                <w:szCs w:val="26"/>
              </w:rPr>
            </w:pPr>
            <w:r w:rsidRPr="0000380F">
              <w:rPr>
                <w:sz w:val="26"/>
                <w:szCs w:val="26"/>
              </w:rPr>
              <w:t>4.</w:t>
            </w:r>
            <w:r w:rsidR="003C1792" w:rsidRPr="0000380F">
              <w:rPr>
                <w:sz w:val="26"/>
                <w:szCs w:val="26"/>
              </w:rPr>
              <w:t>.</w:t>
            </w:r>
            <w:r w:rsidRPr="0000380F">
              <w:rPr>
                <w:sz w:val="26"/>
                <w:szCs w:val="26"/>
              </w:rPr>
              <w:t>2014年整併。</w:t>
            </w:r>
          </w:p>
        </w:tc>
        <w:tc>
          <w:tcPr>
            <w:tcW w:w="4394" w:type="dxa"/>
          </w:tcPr>
          <w:p w:rsidR="0049577B" w:rsidRPr="0000380F" w:rsidRDefault="0049577B" w:rsidP="00002E50">
            <w:pPr>
              <w:pStyle w:val="afffffffa"/>
              <w:ind w:leftChars="43" w:left="112" w:rightChars="98" w:right="255"/>
              <w:rPr>
                <w:sz w:val="26"/>
                <w:szCs w:val="26"/>
              </w:rPr>
            </w:pPr>
            <w:r w:rsidRPr="0000380F">
              <w:rPr>
                <w:sz w:val="26"/>
                <w:szCs w:val="26"/>
              </w:rPr>
              <w:t>1.簡化跨國企業內部調動大陸地區人民來台服務申請程式及條件。</w:t>
            </w:r>
            <w:r w:rsidR="00C2607C" w:rsidRPr="00C2607C">
              <w:rPr>
                <w:rFonts w:hint="eastAsia"/>
                <w:color w:val="FFFFFF" w:themeColor="background1"/>
                <w:sz w:val="26"/>
                <w:szCs w:val="26"/>
                <w:lang w:eastAsia="zh-TW"/>
              </w:rPr>
              <w:t>*</w:t>
            </w:r>
          </w:p>
          <w:p w:rsidR="0049577B" w:rsidRPr="0000380F" w:rsidRDefault="0049577B" w:rsidP="00002E50">
            <w:pPr>
              <w:pStyle w:val="afffffffa"/>
              <w:ind w:leftChars="43" w:left="112" w:rightChars="98" w:right="255"/>
              <w:rPr>
                <w:sz w:val="26"/>
                <w:szCs w:val="26"/>
              </w:rPr>
            </w:pPr>
            <w:r w:rsidRPr="0000380F">
              <w:rPr>
                <w:sz w:val="26"/>
                <w:szCs w:val="26"/>
              </w:rPr>
              <w:t>2.放寬跨國企業內部調動之大陸地區人民來台停留限制。</w:t>
            </w:r>
          </w:p>
        </w:tc>
      </w:tr>
    </w:tbl>
    <w:p w:rsidR="0049577B" w:rsidRPr="00B40DC1" w:rsidRDefault="00817A92" w:rsidP="000D26BB">
      <w:r>
        <w:t>【資料來源】</w:t>
      </w:r>
      <w:r w:rsidR="0049577B" w:rsidRPr="00B40DC1">
        <w:t>作者自行整理。</w:t>
      </w:r>
    </w:p>
    <w:p w:rsidR="0049577B" w:rsidRPr="00B40DC1" w:rsidRDefault="0049577B" w:rsidP="000D26BB"/>
    <w:p w:rsidR="0049577B" w:rsidRPr="00B40DC1" w:rsidRDefault="00002E50" w:rsidP="001775C3">
      <w:pPr>
        <w:spacing w:line="240" w:lineRule="auto"/>
        <w:ind w:leftChars="0" w:left="0" w:rightChars="0" w:right="0"/>
      </w:pPr>
      <w:r>
        <w:t xml:space="preserve">　　</w:t>
      </w:r>
      <w:r w:rsidR="0049577B" w:rsidRPr="00B40DC1">
        <w:t>上表所列法規為大陸地區人民申請來台之主要法令依據，概可分為五大類計五十三種事由；所謂之五大類別，乃指：1、「觀光」；2、「專業人士」；3、「商務人士」；4、「社會交流」；5、「居留定居」等五大類別，前四類大多屬於短期停留性質。其中「觀光」之類別，尚可進一步分為：「第一類」（團進團出團體觀光）</w:t>
      </w:r>
      <w:r w:rsidR="0049577B" w:rsidRPr="00002E50">
        <w:rPr>
          <w:rStyle w:val="af7"/>
          <w:rFonts w:eastAsia="新細明體"/>
          <w:sz w:val="20"/>
        </w:rPr>
        <w:footnoteReference w:id="624"/>
      </w:r>
      <w:r w:rsidR="0049577B" w:rsidRPr="00B40DC1">
        <w:t>、「第二類」（由第三國家中轉來臺）</w:t>
      </w:r>
      <w:r w:rsidR="0049577B" w:rsidRPr="00002E50">
        <w:rPr>
          <w:rStyle w:val="af7"/>
          <w:rFonts w:eastAsia="新細明體"/>
          <w:sz w:val="20"/>
        </w:rPr>
        <w:footnoteReference w:id="625"/>
      </w:r>
      <w:r w:rsidR="0049577B" w:rsidRPr="00B40DC1">
        <w:t>、「第三類」（向我國駐外館處提出申請來臺）</w:t>
      </w:r>
      <w:r w:rsidR="0049577B" w:rsidRPr="00002E50">
        <w:rPr>
          <w:rStyle w:val="af7"/>
          <w:rFonts w:eastAsia="新細明體"/>
          <w:sz w:val="20"/>
        </w:rPr>
        <w:footnoteReference w:id="626"/>
      </w:r>
      <w:r w:rsidR="0049577B" w:rsidRPr="00B40DC1">
        <w:t>及「自由行」等4類事由</w:t>
      </w:r>
      <w:r w:rsidR="0049577B" w:rsidRPr="00002E50">
        <w:rPr>
          <w:rStyle w:val="af7"/>
          <w:rFonts w:eastAsia="新細明體"/>
          <w:sz w:val="20"/>
        </w:rPr>
        <w:footnoteReference w:id="627"/>
      </w:r>
      <w:r w:rsidR="0049577B" w:rsidRPr="00B40DC1">
        <w:t>。</w:t>
      </w:r>
    </w:p>
    <w:p w:rsidR="0049577B" w:rsidRPr="00B40DC1" w:rsidRDefault="00002E50" w:rsidP="001775C3">
      <w:pPr>
        <w:spacing w:line="240" w:lineRule="auto"/>
        <w:ind w:leftChars="0" w:left="0" w:rightChars="0" w:right="0"/>
      </w:pPr>
      <w:r>
        <w:t xml:space="preserve">　　</w:t>
      </w:r>
      <w:r w:rsidR="0049577B" w:rsidRPr="00B40DC1">
        <w:t>大陸地區人民申請來台事由之人數，多為「團體觀光」（第一類）及「個人旅遊」（自由行）。大陸地區人民團體觀光係自2009年7月開放，</w:t>
      </w:r>
      <w:r w:rsidR="0049577B" w:rsidRPr="00B40DC1">
        <w:rPr>
          <w:lang w:eastAsia="zh-HK"/>
        </w:rPr>
        <w:t>開放之初，</w:t>
      </w:r>
      <w:r w:rsidR="0049577B" w:rsidRPr="00B40DC1">
        <w:t>每日限額3,000人，首年來台陸客人次為5萬4,249人，平均每月來台人次為9,041人。自2011年1月1日起，每日限額提高至5,840人，當年度來台總人次為123萬4,395人，平均每月來台人次為10萬2,866人。2013年4月1日起，每日限額提高為7,300人，且不含搭郵輪來台之陸客；另為提升觀光品質，同年5月1日實施優質團措施</w:t>
      </w:r>
      <w:r w:rsidR="0049577B" w:rsidRPr="00002E50">
        <w:rPr>
          <w:rStyle w:val="af7"/>
          <w:rFonts w:eastAsia="新細明體"/>
          <w:sz w:val="20"/>
        </w:rPr>
        <w:footnoteReference w:id="628"/>
      </w:r>
      <w:r w:rsidR="0049577B" w:rsidRPr="00B40DC1">
        <w:t>，將每日限額7,300人區分為優質團3,650人，一般團3,650人，當年度大陸地區人民團體觀光來台總人次為207萬3,020人，平均每月來台人次為17萬2,751人；</w:t>
      </w:r>
      <w:r w:rsidR="0049577B" w:rsidRPr="00B40DC1">
        <w:rPr>
          <w:lang w:eastAsia="zh-HK"/>
        </w:rPr>
        <w:t>至馬政府政權移交之前，2015年全年度</w:t>
      </w:r>
      <w:r w:rsidR="0049577B" w:rsidRPr="00B40DC1">
        <w:t>大陸地區人民團體觀光來台總人次為333萬5,923人，平均每月來台人次為27萬7,993人，2016</w:t>
      </w:r>
      <w:r w:rsidR="0049577B" w:rsidRPr="00B40DC1">
        <w:rPr>
          <w:lang w:eastAsia="zh-HK"/>
        </w:rPr>
        <w:t>年1至4月份</w:t>
      </w:r>
      <w:r w:rsidR="0049577B" w:rsidRPr="00B40DC1">
        <w:t>大陸地區人民團體觀光來台總人次為124萬9,284人</w:t>
      </w:r>
      <w:r w:rsidR="0049577B" w:rsidRPr="00B40DC1">
        <w:rPr>
          <w:lang w:eastAsia="zh-HK"/>
        </w:rPr>
        <w:t>，</w:t>
      </w:r>
      <w:r w:rsidR="0049577B" w:rsidRPr="00B40DC1">
        <w:t>平均每月來台人次為31萬2,321人，</w:t>
      </w:r>
      <w:r w:rsidR="0049577B" w:rsidRPr="00B40DC1">
        <w:rPr>
          <w:lang w:eastAsia="zh-HK"/>
        </w:rPr>
        <w:t>就馬政府期間</w:t>
      </w:r>
      <w:r w:rsidR="0049577B" w:rsidRPr="00B40DC1">
        <w:t>大陸地區人民團體觀光</w:t>
      </w:r>
      <w:r w:rsidR="0049577B" w:rsidRPr="00B40DC1">
        <w:rPr>
          <w:lang w:eastAsia="zh-HK"/>
        </w:rPr>
        <w:t>之效益</w:t>
      </w:r>
      <w:r w:rsidR="0049577B" w:rsidRPr="00B40DC1">
        <w:t>，</w:t>
      </w:r>
      <w:r w:rsidR="0049577B" w:rsidRPr="00B40DC1">
        <w:rPr>
          <w:lang w:eastAsia="zh-HK"/>
        </w:rPr>
        <w:t>以2016</w:t>
      </w:r>
      <w:r w:rsidR="0049577B" w:rsidRPr="00B40DC1">
        <w:t>年之來台月均人次與開放首年(2009年)月均人次相較之結果，其成長速度高達34.54倍</w:t>
      </w:r>
      <w:r w:rsidR="0049577B" w:rsidRPr="00002E50">
        <w:rPr>
          <w:rStyle w:val="af7"/>
          <w:rFonts w:eastAsia="新細明體"/>
          <w:sz w:val="20"/>
        </w:rPr>
        <w:footnoteReference w:id="629"/>
      </w:r>
      <w:r w:rsidR="0049577B" w:rsidRPr="00B40DC1">
        <w:t>。</w:t>
      </w:r>
    </w:p>
    <w:p w:rsidR="0049577B" w:rsidRPr="00B40DC1" w:rsidRDefault="001775C3" w:rsidP="001775C3">
      <w:pPr>
        <w:spacing w:line="240" w:lineRule="auto"/>
        <w:ind w:leftChars="0" w:left="0" w:rightChars="0" w:right="0"/>
        <w:rPr>
          <w:lang w:eastAsia="zh-HK"/>
        </w:rPr>
      </w:pPr>
      <w:r>
        <w:rPr>
          <w:lang w:eastAsia="zh-HK"/>
        </w:rPr>
        <w:t xml:space="preserve">　　</w:t>
      </w:r>
      <w:r w:rsidR="0049577B" w:rsidRPr="00B40DC1">
        <w:rPr>
          <w:lang w:eastAsia="zh-HK"/>
        </w:rPr>
        <w:t>自蔡政府執政以來</w:t>
      </w:r>
      <w:r w:rsidR="0049577B" w:rsidRPr="00B40DC1">
        <w:t>，</w:t>
      </w:r>
      <w:r w:rsidR="0049577B" w:rsidRPr="00B40DC1">
        <w:rPr>
          <w:lang w:eastAsia="zh-HK"/>
        </w:rPr>
        <w:t>採取「維持現狀」之兩岸政策，2016年5月至12月</w:t>
      </w:r>
      <w:r w:rsidR="0049577B" w:rsidRPr="00B40DC1">
        <w:t>大陸地區人民團體觀光來台總人次為148萬6,769人</w:t>
      </w:r>
      <w:r w:rsidR="0049577B" w:rsidRPr="00B40DC1">
        <w:rPr>
          <w:lang w:eastAsia="zh-HK"/>
        </w:rPr>
        <w:t>，</w:t>
      </w:r>
      <w:r w:rsidR="0049577B" w:rsidRPr="00B40DC1">
        <w:t>2017</w:t>
      </w:r>
      <w:r w:rsidR="0049577B" w:rsidRPr="00B40DC1">
        <w:rPr>
          <w:lang w:eastAsia="zh-HK"/>
        </w:rPr>
        <w:t>年全年大陸地區人民團體觀光來台人數為77萬4,664人，自蔡政府執政後至</w:t>
      </w:r>
      <w:r w:rsidR="0049577B" w:rsidRPr="00B40DC1">
        <w:t>2</w:t>
      </w:r>
      <w:r w:rsidR="0049577B" w:rsidRPr="00B40DC1">
        <w:rPr>
          <w:lang w:eastAsia="zh-HK"/>
        </w:rPr>
        <w:t>017年底止</w:t>
      </w:r>
      <w:r w:rsidR="0049577B" w:rsidRPr="00B40DC1">
        <w:t>，</w:t>
      </w:r>
      <w:r w:rsidR="0049577B" w:rsidRPr="00B40DC1">
        <w:rPr>
          <w:lang w:eastAsia="zh-HK"/>
        </w:rPr>
        <w:t>平均每月來</w:t>
      </w:r>
      <w:r w:rsidR="0049577B" w:rsidRPr="00B40DC1">
        <w:t>1</w:t>
      </w:r>
      <w:r w:rsidR="0049577B" w:rsidRPr="00B40DC1">
        <w:rPr>
          <w:lang w:eastAsia="zh-HK"/>
        </w:rPr>
        <w:t>1萬3,071人，較同年馬政府執政時期之月均人數下降約20萬人，降幅高達64%，對兩岸觀光交流衝擊甚大。</w:t>
      </w:r>
    </w:p>
    <w:p w:rsidR="0049577B" w:rsidRPr="00B40DC1" w:rsidRDefault="0049577B" w:rsidP="001775C3">
      <w:pPr>
        <w:spacing w:line="240" w:lineRule="auto"/>
        <w:ind w:leftChars="0" w:left="0" w:rightChars="0" w:right="0"/>
        <w:rPr>
          <w:lang w:eastAsia="zh-HK"/>
        </w:rPr>
      </w:pPr>
      <w:r w:rsidRPr="00B40DC1">
        <w:t xml:space="preserve">　　個人旅遊自2011年6月22日開放，第1波之開放，為首年開放城市僅有北京市、上海市及廈門市等3城市，每日限額500人，當年度(2011年)來台總人次為3萬281人，平均每月來台人次為4,325人。第2波之開放，則分為2個階段開放，第2波第1個階段，為2012年4月20日再開放天津市、重慶市、南京市、廣州市、杭州市及成都市等6城市；第2波第2個階段，則為同年(2012年)8月28日起，再開放濟南市、西安市、福州市、深圳市等4城市，自當年(2012年)4月20日起，每日限額提高至1000人，當年度入境總人次為19萬1,148，平均每月來台人次為15,929人。為舒解陸客來台觀光人潮，於2013年4月1日調整每日限額為2,920人。第3波之開放，亦分為2個階段逐步開放，第3波第1個階段，為2013年6月28日起，再開放瀋陽市、鄭州市、武漢市、蘇州市、寧波市及青島市等6城市；第3波第2個階段，為自2013年8月28日起，再開放石家莊市、長春市、合肥市、長沙市、南寧市、昆明市及泉州市等7城市以上，合計共開放26個城市</w:t>
      </w:r>
      <w:r w:rsidRPr="00002E50">
        <w:rPr>
          <w:rStyle w:val="af7"/>
          <w:rFonts w:eastAsia="新細明體"/>
          <w:sz w:val="20"/>
        </w:rPr>
        <w:footnoteReference w:id="630"/>
      </w:r>
      <w:r w:rsidRPr="00B40DC1">
        <w:t>。2013年至1月份至5月份止，來台總人次為16萬6,187人，平均每月入境人次為3萬3,237人。2013年個人旅遊之來台每月之平均人次，與開放首年(2011年)每月之平均人次相較，成長達7.68倍</w:t>
      </w:r>
      <w:r w:rsidRPr="00002E50">
        <w:rPr>
          <w:rStyle w:val="af7"/>
          <w:rFonts w:eastAsia="新細明體"/>
          <w:sz w:val="20"/>
        </w:rPr>
        <w:footnoteReference w:id="631"/>
      </w:r>
      <w:r w:rsidRPr="00B40DC1">
        <w:t>。</w:t>
      </w:r>
      <w:r w:rsidRPr="00B40DC1">
        <w:rPr>
          <w:lang w:eastAsia="zh-HK"/>
        </w:rPr>
        <w:t>隨著人數的成長，自由行人數的配額仍不敷使用，政府嗣於2013年12月1日調高數額為每日4,380人，又於2014年4月16日調高數額為每日5,840人，接續於2014年8月18日再開放哈爾濱市、太原市、南昌市、貴陽市、大連市、無錫市、溫州市、中山市、煙臺市及漳州市，及於2015年4月15日開放海口、呼和浩特、蘭州、銀川、常州、惠州、威海、桂林、徐州、舟山及龍岩等城市，至此，我方政府總計開放大陸47個城市之設籍居民可來台自由行，並於2015年9月21日將每日來台自由行陸客數額調高至7,300人；惟自蔡政府執政後，由於來台人數有趨緩且兩岸交流有停滯之情形，因此並未再有進一步之開放作為。</w:t>
      </w:r>
    </w:p>
    <w:p w:rsidR="0049577B" w:rsidRDefault="0049577B" w:rsidP="001775C3">
      <w:pPr>
        <w:spacing w:line="240" w:lineRule="auto"/>
        <w:ind w:leftChars="0" w:left="0" w:rightChars="0" w:right="0"/>
      </w:pPr>
      <w:r w:rsidRPr="00B40DC1">
        <w:t xml:space="preserve">　　</w:t>
      </w:r>
      <w:r w:rsidRPr="00B40DC1">
        <w:rPr>
          <w:lang w:eastAsia="zh-HK"/>
        </w:rPr>
        <w:t>從以上</w:t>
      </w:r>
      <w:r w:rsidRPr="00B40DC1">
        <w:t>來台之大陸地區人民人次加以觀察，</w:t>
      </w:r>
      <w:r w:rsidRPr="00B40DC1">
        <w:rPr>
          <w:lang w:eastAsia="zh-HK"/>
        </w:rPr>
        <w:t>馬英九前總統執政時期，</w:t>
      </w:r>
      <w:r w:rsidRPr="00B40DC1">
        <w:t>大陸地區人民來台之方式，愈來愈開放，來台之人數，亦屢創新高，若從推動兩岸政策之角度來看，此是相當亮眼且績效卓著之政策指標，但若從安全管理之角度來看，</w:t>
      </w:r>
      <w:r w:rsidRPr="00B40DC1">
        <w:rPr>
          <w:lang w:eastAsia="zh-HK"/>
        </w:rPr>
        <w:t>卻是</w:t>
      </w:r>
      <w:r w:rsidRPr="00B40DC1">
        <w:t>境管執法者之負擔，</w:t>
      </w:r>
      <w:r w:rsidRPr="00B40DC1">
        <w:rPr>
          <w:lang w:eastAsia="zh-HK"/>
        </w:rPr>
        <w:t>如持續朝向簡政便民之施政理念推行，</w:t>
      </w:r>
      <w:r w:rsidRPr="00B40DC1">
        <w:t>未來，勢必會更簡化大陸地區人民來台之程</w:t>
      </w:r>
      <w:r w:rsidRPr="00B40DC1">
        <w:rPr>
          <w:lang w:eastAsia="zh-HK"/>
        </w:rPr>
        <w:t>序</w:t>
      </w:r>
      <w:r w:rsidRPr="00B40DC1">
        <w:t>，相對地削弱國境安全管理之機制。境管機關若不加速採取因應作為，全面改變安全管理思維，從現行之境內管理，改變成境外源頭管理，將危機因數由境內轉移到境外，恐怕，在推動兩岸政策之美意背後，其帶來潛在危機，及增加之社會成本，將會是另一面傷害台灣之刀刃。</w:t>
      </w:r>
    </w:p>
    <w:p w:rsidR="00002E50" w:rsidRPr="00B40DC1" w:rsidRDefault="001775C3" w:rsidP="001775C3">
      <w:pPr>
        <w:jc w:val="right"/>
      </w:pPr>
      <w:r w:rsidRPr="00D45AD2">
        <w:rPr>
          <w:rFonts w:hint="eastAsia"/>
          <w:sz w:val="22"/>
        </w:rPr>
        <w:t>。。。。。。。。。。。。。</w:t>
      </w:r>
      <w:hyperlink w:anchor="a6b5" w:history="1">
        <w:r w:rsidR="00692A7A">
          <w:rPr>
            <w:rStyle w:val="a7"/>
            <w:sz w:val="24"/>
            <w:lang w:eastAsia="zh-TW"/>
          </w:rPr>
          <w:t>回本章</w:t>
        </w:r>
      </w:hyperlink>
      <w:r w:rsidR="00692A7A" w:rsidRPr="0008714D">
        <w:rPr>
          <w:color w:val="808000"/>
          <w:sz w:val="20"/>
        </w:rPr>
        <w:t>〉〉</w:t>
      </w:r>
      <w:hyperlink w:anchor="a目次6"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58" w:name="_伍、大陸地區人民來台之源頭安全管理之實務探討與分析"/>
      <w:bookmarkEnd w:id="158"/>
      <w:r w:rsidRPr="00B40DC1">
        <w:t>伍、大陸地區人民來台之源頭安全管理之實務探討與分析</w:t>
      </w:r>
    </w:p>
    <w:p w:rsidR="003C1792" w:rsidRPr="00002E50" w:rsidRDefault="0049577B" w:rsidP="00865ADB">
      <w:pPr>
        <w:pStyle w:val="3"/>
        <w:rPr>
          <w:lang w:eastAsia="zh-TW"/>
        </w:rPr>
      </w:pPr>
      <w:bookmarkStart w:id="159" w:name="_一、從大陸地區人民申請來台之兩岸發證機制探討源頭安全管理"/>
      <w:bookmarkEnd w:id="159"/>
      <w:r w:rsidRPr="00002E50">
        <w:rPr>
          <w:lang w:eastAsia="zh-TW"/>
        </w:rPr>
        <w:t xml:space="preserve">一、從大陸地區人民申請來台之兩岸發證機制探討源頭安全管理  </w:t>
      </w:r>
    </w:p>
    <w:p w:rsidR="0049577B" w:rsidRPr="00B40DC1" w:rsidRDefault="00002E50" w:rsidP="00E06226">
      <w:pPr>
        <w:ind w:leftChars="0" w:left="0"/>
        <w:rPr>
          <w:lang w:bidi="ta-IN"/>
        </w:rPr>
      </w:pPr>
      <w:r>
        <w:rPr>
          <w:lang w:bidi="ta-IN"/>
        </w:rPr>
        <w:t xml:space="preserve">　　</w:t>
      </w:r>
      <w:r w:rsidR="0049577B" w:rsidRPr="00B40DC1">
        <w:rPr>
          <w:lang w:bidi="ta-IN"/>
        </w:rPr>
        <w:t>以目前國際上跨國人流之管理機制，一國國民若要前往他國，必須先持有本國(母國)之護照後，始申請他國之簽證，再持憑護照和簽證經查驗進入他國(目的國)；如此之程式，主要之用意，由本國(母國)政府先行查核自己國民之身分，有無虛偽冒用之情形，此乃為最基本之國境人流管理之把關措施，亦係國際人流源頭安全管理之開端。</w:t>
      </w:r>
    </w:p>
    <w:p w:rsidR="00E06226" w:rsidRDefault="00002E50" w:rsidP="00E06226">
      <w:pPr>
        <w:ind w:leftChars="0" w:left="0"/>
        <w:rPr>
          <w:lang w:bidi="ta-IN"/>
        </w:rPr>
      </w:pPr>
      <w:r>
        <w:rPr>
          <w:lang w:bidi="ta-IN"/>
        </w:rPr>
        <w:t xml:space="preserve">　　</w:t>
      </w:r>
      <w:r w:rsidR="0049577B" w:rsidRPr="00B40DC1">
        <w:rPr>
          <w:lang w:bidi="ta-IN"/>
        </w:rPr>
        <w:t>由於兩岸之間並非國與國關係，大陸地區人民來台係不用護照，亦係由陸方審批核發大通證，作為大陸地區人民入出境大陸地區國境時查驗使用；就其本質而言，即為護照之功能，僅因陸方將台灣視為中國之一部分，故大陸地區人民來台之簽證功能，陸方亦統籌辦理，依赴台事由審批簽注，就陸方之立場而言，如此之國境管理功能，完全宣示一個中國之主權。</w:t>
      </w:r>
    </w:p>
    <w:p w:rsidR="003C1792" w:rsidRPr="00002E50" w:rsidRDefault="0049577B" w:rsidP="00865ADB">
      <w:pPr>
        <w:pStyle w:val="3"/>
        <w:rPr>
          <w:lang w:eastAsia="zh-TW"/>
        </w:rPr>
      </w:pPr>
      <w:bookmarkStart w:id="160" w:name="_二、從健檢醫美申辦實務分析源頭安全管理"/>
      <w:bookmarkEnd w:id="160"/>
      <w:r w:rsidRPr="00002E50">
        <w:rPr>
          <w:lang w:eastAsia="zh-TW"/>
        </w:rPr>
        <w:t xml:space="preserve">二、從健檢醫美申辦實務分析源頭安全管理  </w:t>
      </w:r>
    </w:p>
    <w:p w:rsidR="0049577B" w:rsidRPr="00002E50" w:rsidRDefault="00002E50" w:rsidP="00E06226">
      <w:pPr>
        <w:spacing w:line="240" w:lineRule="auto"/>
        <w:ind w:leftChars="0" w:left="0" w:rightChars="0" w:right="0"/>
      </w:pPr>
      <w:r w:rsidRPr="00002E50">
        <w:t xml:space="preserve">　　</w:t>
      </w:r>
      <w:r w:rsidR="0049577B" w:rsidRPr="00002E50">
        <w:t>「消極性之安全管理作為」固然有其風險性，但至少仍由兩岸雙方之入出境管理部門審核合法之證件，亦能達到一定程度之管理效用，但是，筆者發現，大陸地區人民選擇來台旅遊之方式，除了「觀光」事由之外，尚有「健檢醫美」事由，但是，健檢醫美之來台管道，其安全管理程度與作為似付之闕如，幾乎均用最低之安全標準，處理大陸地區人民來台之作業。而引發相當大爭議及社會案件，可以作為本研究源頭安全管理之負面案例，並可從實務面之案例及數據，與落實源頭安全管理之個人旅遊（自由行）案例，進行比較分析。</w:t>
      </w:r>
    </w:p>
    <w:p w:rsidR="0049577B" w:rsidRPr="00B40DC1" w:rsidRDefault="00002E50" w:rsidP="00E06226">
      <w:pPr>
        <w:spacing w:line="240" w:lineRule="auto"/>
        <w:ind w:leftChars="0" w:left="0" w:rightChars="0" w:right="0"/>
      </w:pPr>
      <w:r w:rsidRPr="00002E50">
        <w:t xml:space="preserve">　　</w:t>
      </w:r>
      <w:r w:rsidR="0049577B" w:rsidRPr="00002E50">
        <w:t>從台灣開放大陸地區人民來台個人旅遊前2年之數據觀察，累計來台之人次已</w:t>
      </w:r>
      <w:r w:rsidR="0049577B" w:rsidRPr="00B40DC1">
        <w:t>有38萬餘人，其中僅有20人在臺發生逾期停留行方不明之狀況，其發生率約僅有10萬分5</w:t>
      </w:r>
      <w:r w:rsidR="0049577B" w:rsidRPr="00002E50">
        <w:rPr>
          <w:rStyle w:val="af7"/>
          <w:rFonts w:eastAsia="新細明體"/>
          <w:sz w:val="20"/>
        </w:rPr>
        <w:footnoteReference w:id="632"/>
      </w:r>
      <w:r w:rsidR="0049577B" w:rsidRPr="00B40DC1">
        <w:t>；反觀開放來台健檢醫美</w:t>
      </w:r>
      <w:r w:rsidR="0049577B" w:rsidRPr="00B40DC1">
        <w:rPr>
          <w:lang w:eastAsia="zh-HK"/>
        </w:rPr>
        <w:t>政策</w:t>
      </w:r>
      <w:r w:rsidR="0049577B" w:rsidRPr="00B40DC1">
        <w:t>開放</w:t>
      </w:r>
      <w:r w:rsidR="0049577B" w:rsidRPr="00B40DC1">
        <w:rPr>
          <w:lang w:eastAsia="zh-HK"/>
        </w:rPr>
        <w:t>後不到</w:t>
      </w:r>
      <w:r w:rsidR="0049577B" w:rsidRPr="00B40DC1">
        <w:t>1年半，累計來台人次約10萬人，卻已經有115人在臺發生逾期停留行方不明，其發生率達10萬分之115</w:t>
      </w:r>
      <w:r w:rsidR="0049577B" w:rsidRPr="00002E50">
        <w:rPr>
          <w:rStyle w:val="af7"/>
          <w:rFonts w:eastAsia="新細明體"/>
          <w:sz w:val="20"/>
        </w:rPr>
        <w:footnoteReference w:id="633"/>
      </w:r>
      <w:r w:rsidR="0049577B" w:rsidRPr="00B40DC1">
        <w:t>；除此之外，健檢醫美常有個案被媒體進行負面報導，大多為大陸地區人民利用健檢醫美來台發生詐財、行乞及從事性交易等案件，亦不乏有案件被媒體以頭條版面進行報導</w:t>
      </w:r>
      <w:r w:rsidR="0049577B" w:rsidRPr="00002E50">
        <w:rPr>
          <w:rStyle w:val="af7"/>
          <w:rFonts w:eastAsia="新細明體"/>
          <w:sz w:val="20"/>
        </w:rPr>
        <w:footnoteReference w:id="634"/>
      </w:r>
      <w:r w:rsidR="0049577B" w:rsidRPr="00B40DC1">
        <w:t>，而且發生之頻率相當高，最嚴重時，一個月內即有2至3件之案件在媒體曝光</w:t>
      </w:r>
      <w:r w:rsidR="0049577B" w:rsidRPr="00002E50">
        <w:rPr>
          <w:rStyle w:val="af7"/>
          <w:rFonts w:eastAsia="新細明體"/>
          <w:sz w:val="20"/>
        </w:rPr>
        <w:footnoteReference w:id="635"/>
      </w:r>
      <w:r w:rsidR="0049577B" w:rsidRPr="00B40DC1">
        <w:t>，使政府機關不得不正視此一個政策問題，行政院衛生福利部、內政部入出國及移民署、交通部觀光局及地方衛生局亦組成聯合小組，共同查訪醫療機構，深入瞭解問題之原因，但政府機關之大動作，會造成醫療機構對政府政策之負面觀感，不僅浪費行政資源，亦浪費醫療資源，更影響民眾對於政府及醫院之信任，所造成之影響相當嚴重。</w:t>
      </w:r>
    </w:p>
    <w:p w:rsidR="0049577B" w:rsidRPr="00B40DC1" w:rsidRDefault="00002E50" w:rsidP="00E06226">
      <w:pPr>
        <w:spacing w:line="240" w:lineRule="auto"/>
        <w:ind w:leftChars="0" w:left="0" w:rightChars="0" w:right="0"/>
      </w:pPr>
      <w:r>
        <w:t xml:space="preserve">　　</w:t>
      </w:r>
      <w:r w:rsidR="0049577B" w:rsidRPr="00B40DC1">
        <w:t>從實務上探討原因並進行分析，雖然開放健檢醫美之時間上並未開放個人旅遊來之久，但健檢醫美在台逾期停留人數，卻為個人旅遊之23倍，政府雖然採取積極之作為，比照個人旅遊管理模式，全面修正大陸地區人民申請來台健檢醫美之申請資格和增加處罰規定，希望能引用管理個人旅遊之制度，達到管理健檢醫美之效果，不過成效仍為不彰</w:t>
      </w:r>
      <w:r w:rsidR="0049577B" w:rsidRPr="00002E50">
        <w:rPr>
          <w:rStyle w:val="af7"/>
          <w:rFonts w:eastAsia="新細明體"/>
          <w:sz w:val="20"/>
        </w:rPr>
        <w:footnoteReference w:id="636"/>
      </w:r>
      <w:r w:rsidR="0049577B" w:rsidRPr="00B40DC1">
        <w:t>。根據統計，從開放健檢醫美至2012年12月28日修法之前，1年之期間內，逾期停留行方不明之人數，係為38人，但在修法之後，至2013年6月止，短短6個月之期間，逾期停留行方不明之人數，即快速增加77人，且媒體報導之行乞、詐財及從事性交易之違法案件，均是在修法之後發生之事；雖然政府已宣佈在2013年8月中旬之後，會加強管理及審查機制</w:t>
      </w:r>
      <w:r w:rsidR="0049577B" w:rsidRPr="00002E50">
        <w:rPr>
          <w:rStyle w:val="af7"/>
          <w:rFonts w:eastAsia="新細明體"/>
          <w:sz w:val="20"/>
        </w:rPr>
        <w:footnoteReference w:id="637"/>
      </w:r>
      <w:r w:rsidR="0049577B" w:rsidRPr="00B40DC1">
        <w:t>，但是否能立竿見影，尚待事後分析與檢討。不過，在政府所強調之加強管理機制當中，提及須公證及驗證申請人所檢附之財力證明文件，此即為源頭管理之概念，若能真正落實，對於阻絕不法案件之發生，定會有所助益。</w:t>
      </w:r>
    </w:p>
    <w:p w:rsidR="0049577B" w:rsidRDefault="0049577B" w:rsidP="00E06226">
      <w:pPr>
        <w:spacing w:line="240" w:lineRule="auto"/>
        <w:ind w:leftChars="0" w:left="0" w:rightChars="0" w:right="0"/>
      </w:pPr>
      <w:r w:rsidRPr="00B40DC1">
        <w:t xml:space="preserve">　　另外根據本文之研究發現，個人旅遊和健檢醫美兩種機制相互比較之下，同樣係為大陸地區人民來台，相同之申請資格，相同之申請流程，相同之處罰規定，卻有截然不同之管理效果，原因何在？究其事實而論，經深入分析之結果，兩種機制之間，仍是有些許之差異性（如表</w:t>
      </w:r>
      <w:r w:rsidR="00865ADB">
        <w:t>2</w:t>
      </w:r>
      <w:r w:rsidRPr="00B40DC1">
        <w:t>），但就政府之管理角度而言，對於兩者之管理手段差異性並不大，最重要之處，在於是否落實執行源頭安全管理。</w:t>
      </w:r>
    </w:p>
    <w:p w:rsidR="001775C3" w:rsidRPr="00B40DC1" w:rsidRDefault="004D607D" w:rsidP="001775C3">
      <w:pPr>
        <w:spacing w:line="240" w:lineRule="auto"/>
        <w:ind w:leftChars="0" w:left="0" w:rightChars="0" w:right="0"/>
        <w:jc w:val="right"/>
      </w:pPr>
      <w:r w:rsidRPr="004D607D">
        <w:rPr>
          <w:rFonts w:hint="eastAsia"/>
          <w:sz w:val="20"/>
        </w:rPr>
        <w:t>。。。。。。。。。。。。。</w:t>
      </w:r>
      <w:hyperlink w:anchor="a6b5" w:history="1">
        <w:r w:rsidRPr="004D607D">
          <w:rPr>
            <w:rStyle w:val="a7"/>
            <w:sz w:val="22"/>
            <w:lang w:eastAsia="zh-TW"/>
          </w:rPr>
          <w:t>回本章</w:t>
        </w:r>
      </w:hyperlink>
      <w:r w:rsidRPr="004D607D">
        <w:rPr>
          <w:color w:val="808000"/>
          <w:sz w:val="18"/>
        </w:rPr>
        <w:t>〉〉</w:t>
      </w:r>
      <w:hyperlink w:anchor="a目次6" w:history="1">
        <w:r w:rsidR="00E9715D">
          <w:rPr>
            <w:rStyle w:val="a7"/>
            <w:sz w:val="22"/>
            <w:lang w:eastAsia="zh-TW"/>
          </w:rPr>
          <w:t>回總目次</w:t>
        </w:r>
      </w:hyperlink>
      <w:r w:rsidR="00E9715D" w:rsidRPr="00D45AD2">
        <w:rPr>
          <w:color w:val="808000"/>
          <w:sz w:val="22"/>
        </w:rPr>
        <w:t>〉〉</w:t>
      </w:r>
    </w:p>
    <w:p w:rsidR="0049577B" w:rsidRPr="00B40DC1" w:rsidRDefault="0049577B" w:rsidP="00D162A0">
      <w:pPr>
        <w:pStyle w:val="4"/>
        <w:rPr>
          <w:lang w:eastAsia="zh-TW"/>
        </w:rPr>
      </w:pPr>
      <w:r w:rsidRPr="00B40DC1">
        <w:rPr>
          <w:lang w:eastAsia="zh-TW"/>
        </w:rPr>
        <w:t>表</w:t>
      </w:r>
      <w:r w:rsidR="00865ADB">
        <w:rPr>
          <w:lang w:eastAsia="zh-TW"/>
        </w:rPr>
        <w:t>2</w:t>
      </w:r>
      <w:r w:rsidR="001775C3">
        <w:rPr>
          <w:rFonts w:ascii="新細明體" w:eastAsia="新細明體" w:hAnsi="新細明體" w:hint="eastAsia"/>
          <w:lang w:eastAsia="zh-TW"/>
        </w:rPr>
        <w:t>、</w:t>
      </w:r>
      <w:r w:rsidRPr="00B40DC1">
        <w:rPr>
          <w:lang w:eastAsia="zh-TW"/>
        </w:rPr>
        <w:t>大陸地區人民申請來台個人旅遊及健檢醫美比較表</w:t>
      </w:r>
      <w:r w:rsidRPr="001775C3">
        <w:rPr>
          <w:rStyle w:val="af7"/>
          <w:rFonts w:eastAsia="新細明體"/>
          <w:sz w:val="20"/>
        </w:rPr>
        <w:footnoteReference w:id="638"/>
      </w:r>
    </w:p>
    <w:tbl>
      <w:tblPr>
        <w:tblW w:w="934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77"/>
        <w:gridCol w:w="3180"/>
        <w:gridCol w:w="3989"/>
      </w:tblGrid>
      <w:tr w:rsidR="0049577B" w:rsidRPr="00B40DC1" w:rsidTr="00002E50">
        <w:trPr>
          <w:trHeight w:val="312"/>
          <w:tblHeader/>
          <w:jc w:val="center"/>
        </w:trPr>
        <w:tc>
          <w:tcPr>
            <w:tcW w:w="2177" w:type="dxa"/>
            <w:tcBorders>
              <w:top w:val="single" w:sz="8" w:space="0" w:color="auto"/>
              <w:bottom w:val="single" w:sz="4" w:space="0" w:color="auto"/>
            </w:tcBorders>
            <w:shd w:val="clear" w:color="auto" w:fill="EFFDFF"/>
            <w:vAlign w:val="center"/>
          </w:tcPr>
          <w:p w:rsidR="0049577B" w:rsidRPr="00002E50" w:rsidRDefault="0049577B" w:rsidP="00002E50">
            <w:pPr>
              <w:pStyle w:val="afffffffa"/>
              <w:ind w:left="-39" w:right="-39"/>
              <w:jc w:val="center"/>
              <w:rPr>
                <w:sz w:val="24"/>
                <w:szCs w:val="24"/>
              </w:rPr>
            </w:pPr>
          </w:p>
        </w:tc>
        <w:tc>
          <w:tcPr>
            <w:tcW w:w="3180" w:type="dxa"/>
            <w:tcBorders>
              <w:top w:val="single" w:sz="8" w:space="0" w:color="auto"/>
              <w:bottom w:val="single" w:sz="4" w:space="0" w:color="auto"/>
            </w:tcBorders>
            <w:shd w:val="clear" w:color="auto" w:fill="EFFDFF"/>
          </w:tcPr>
          <w:p w:rsidR="0049577B" w:rsidRPr="00002E50" w:rsidRDefault="0049577B" w:rsidP="00002E50">
            <w:pPr>
              <w:pStyle w:val="afffffffa"/>
              <w:ind w:leftChars="20" w:left="52" w:rightChars="36" w:right="94"/>
              <w:jc w:val="center"/>
              <w:rPr>
                <w:sz w:val="24"/>
                <w:szCs w:val="24"/>
              </w:rPr>
            </w:pPr>
            <w:r w:rsidRPr="00002E50">
              <w:rPr>
                <w:sz w:val="24"/>
                <w:szCs w:val="24"/>
              </w:rPr>
              <w:t>個人旅遊(自由行)</w:t>
            </w:r>
          </w:p>
        </w:tc>
        <w:tc>
          <w:tcPr>
            <w:tcW w:w="3989" w:type="dxa"/>
            <w:tcBorders>
              <w:top w:val="single" w:sz="8" w:space="0" w:color="auto"/>
              <w:bottom w:val="single" w:sz="4" w:space="0" w:color="auto"/>
            </w:tcBorders>
            <w:shd w:val="clear" w:color="auto" w:fill="EFFDFF"/>
          </w:tcPr>
          <w:p w:rsidR="0049577B" w:rsidRPr="00002E50" w:rsidRDefault="0049577B" w:rsidP="00002E50">
            <w:pPr>
              <w:pStyle w:val="afffffffa"/>
              <w:ind w:leftChars="0" w:left="0" w:rightChars="43" w:right="112"/>
              <w:jc w:val="center"/>
              <w:rPr>
                <w:sz w:val="24"/>
                <w:szCs w:val="24"/>
              </w:rPr>
            </w:pPr>
            <w:r w:rsidRPr="00002E50">
              <w:rPr>
                <w:sz w:val="24"/>
                <w:szCs w:val="24"/>
              </w:rPr>
              <w:t>健檢醫美</w:t>
            </w:r>
          </w:p>
        </w:tc>
      </w:tr>
      <w:tr w:rsidR="0049577B" w:rsidRPr="00B40DC1" w:rsidTr="00002E50">
        <w:trPr>
          <w:trHeight w:val="312"/>
          <w:jc w:val="center"/>
        </w:trPr>
        <w:tc>
          <w:tcPr>
            <w:tcW w:w="2177" w:type="dxa"/>
            <w:tcBorders>
              <w:top w:val="single" w:sz="4" w:space="0" w:color="auto"/>
            </w:tcBorders>
            <w:vAlign w:val="center"/>
          </w:tcPr>
          <w:p w:rsidR="0049577B" w:rsidRPr="00002E50" w:rsidRDefault="0049577B" w:rsidP="000D26BB">
            <w:pPr>
              <w:pStyle w:val="afffffffa"/>
              <w:ind w:left="-39" w:right="-39"/>
              <w:rPr>
                <w:sz w:val="24"/>
                <w:szCs w:val="24"/>
              </w:rPr>
            </w:pPr>
            <w:r w:rsidRPr="00002E50">
              <w:rPr>
                <w:sz w:val="24"/>
                <w:szCs w:val="24"/>
              </w:rPr>
              <w:t>兩岸協議</w:t>
            </w:r>
          </w:p>
        </w:tc>
        <w:tc>
          <w:tcPr>
            <w:tcW w:w="3180" w:type="dxa"/>
            <w:tcBorders>
              <w:top w:val="single" w:sz="4" w:space="0" w:color="auto"/>
            </w:tcBorders>
          </w:tcPr>
          <w:p w:rsidR="0049577B" w:rsidRPr="00002E50" w:rsidRDefault="0049577B" w:rsidP="00002E50">
            <w:pPr>
              <w:pStyle w:val="afffffffa"/>
              <w:ind w:leftChars="20" w:left="52" w:rightChars="36" w:right="94"/>
              <w:rPr>
                <w:sz w:val="24"/>
                <w:szCs w:val="24"/>
              </w:rPr>
            </w:pPr>
            <w:r w:rsidRPr="00002E50">
              <w:rPr>
                <w:sz w:val="24"/>
                <w:szCs w:val="24"/>
              </w:rPr>
              <w:t>訂有旅遊協議。</w:t>
            </w:r>
          </w:p>
        </w:tc>
        <w:tc>
          <w:tcPr>
            <w:tcW w:w="3989" w:type="dxa"/>
            <w:tcBorders>
              <w:top w:val="single" w:sz="4" w:space="0" w:color="auto"/>
            </w:tcBorders>
          </w:tcPr>
          <w:p w:rsidR="0049577B" w:rsidRPr="00002E50" w:rsidRDefault="0049577B" w:rsidP="00002E50">
            <w:pPr>
              <w:pStyle w:val="afffffffa"/>
              <w:ind w:leftChars="0" w:left="0" w:rightChars="43" w:right="112"/>
              <w:rPr>
                <w:sz w:val="24"/>
                <w:szCs w:val="24"/>
                <w:lang w:eastAsia="zh-TW"/>
              </w:rPr>
            </w:pPr>
            <w:r w:rsidRPr="00002E50">
              <w:rPr>
                <w:sz w:val="24"/>
                <w:szCs w:val="24"/>
              </w:rPr>
              <w:t>未訂有旅遊協議：</w:t>
            </w:r>
            <w:r w:rsidR="00112EF1" w:rsidRPr="00112EF1">
              <w:rPr>
                <w:rFonts w:hint="eastAsia"/>
                <w:color w:val="FFFFFF" w:themeColor="background1"/>
                <w:sz w:val="24"/>
                <w:szCs w:val="24"/>
                <w:lang w:eastAsia="zh-TW"/>
              </w:rPr>
              <w:t>*</w:t>
            </w:r>
          </w:p>
          <w:p w:rsidR="0049577B" w:rsidRPr="00002E50" w:rsidRDefault="0049577B" w:rsidP="00002E50">
            <w:pPr>
              <w:pStyle w:val="afffffffa"/>
              <w:ind w:leftChars="0" w:left="0" w:rightChars="43" w:right="112"/>
              <w:rPr>
                <w:sz w:val="24"/>
                <w:szCs w:val="24"/>
              </w:rPr>
            </w:pPr>
            <w:r w:rsidRPr="00002E50">
              <w:rPr>
                <w:sz w:val="24"/>
                <w:szCs w:val="24"/>
              </w:rPr>
              <w:t>大陸官方不審發大陸地區人民「健康檢查或醫學美容」簽注，等於不承認大陸地區人民來台健檢醫美</w:t>
            </w:r>
          </w:p>
        </w:tc>
      </w:tr>
      <w:tr w:rsidR="0049577B" w:rsidRPr="00B40DC1" w:rsidTr="00002E50">
        <w:trPr>
          <w:trHeight w:val="312"/>
          <w:jc w:val="center"/>
        </w:trPr>
        <w:tc>
          <w:tcPr>
            <w:tcW w:w="2177" w:type="dxa"/>
            <w:vMerge w:val="restart"/>
            <w:vAlign w:val="center"/>
          </w:tcPr>
          <w:p w:rsidR="0049577B" w:rsidRPr="00002E50" w:rsidRDefault="0049577B" w:rsidP="000D26BB">
            <w:pPr>
              <w:pStyle w:val="afffffffa"/>
              <w:ind w:left="-39" w:right="-39"/>
              <w:rPr>
                <w:sz w:val="24"/>
                <w:szCs w:val="24"/>
              </w:rPr>
            </w:pPr>
            <w:r w:rsidRPr="00002E50">
              <w:rPr>
                <w:sz w:val="24"/>
                <w:szCs w:val="24"/>
              </w:rPr>
              <w:t>申請資格、處分比較及差異</w:t>
            </w: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一、依據：</w:t>
            </w:r>
            <w:hyperlink r:id="rId716" w:history="1">
              <w:r w:rsidRPr="00C2607C">
                <w:rPr>
                  <w:rStyle w:val="a7"/>
                  <w:rFonts w:cs="Times New Roman"/>
                  <w:sz w:val="24"/>
                  <w:szCs w:val="24"/>
                  <w:lang w:eastAsia="ja-JP" w:bidi="ar-SA"/>
                </w:rPr>
                <w:t>大陸地區人民來臺從事觀光活動許可辦法</w:t>
              </w:r>
            </w:hyperlink>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一、依據：</w:t>
            </w:r>
            <w:hyperlink r:id="rId717" w:history="1">
              <w:r w:rsidR="00196F1E" w:rsidRPr="00196F1E">
                <w:rPr>
                  <w:rStyle w:val="a7"/>
                  <w:rFonts w:cs="Times New Roman"/>
                  <w:lang w:eastAsia="zh-TW" w:bidi="ar-SA"/>
                </w:rPr>
                <w:t>大陸地區人民進入臺灣地區許可辦法</w:t>
              </w:r>
            </w:hyperlink>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二、資格條件：</w:t>
            </w:r>
            <w:r w:rsidR="00112EF1" w:rsidRPr="00112EF1">
              <w:rPr>
                <w:rFonts w:hint="eastAsia"/>
                <w:color w:val="FFFFFF" w:themeColor="background1"/>
                <w:sz w:val="24"/>
                <w:szCs w:val="24"/>
                <w:lang w:eastAsia="zh-TW"/>
              </w:rPr>
              <w:t>*</w:t>
            </w:r>
          </w:p>
          <w:p w:rsidR="0049577B" w:rsidRPr="00002E50" w:rsidRDefault="0049577B" w:rsidP="00002E50">
            <w:pPr>
              <w:pStyle w:val="afffffffa"/>
              <w:ind w:leftChars="20" w:left="52" w:rightChars="36" w:right="94"/>
              <w:rPr>
                <w:sz w:val="24"/>
                <w:szCs w:val="24"/>
              </w:rPr>
            </w:pPr>
            <w:r w:rsidRPr="00002E50">
              <w:rPr>
                <w:sz w:val="24"/>
                <w:szCs w:val="24"/>
              </w:rPr>
              <w:t>1.年滿20歲，且有新臺幣20萬元以上存款或持有銀行核發金卡或年工資所得相當新臺幣50萬元以上。</w:t>
            </w:r>
          </w:p>
          <w:p w:rsidR="0049577B" w:rsidRPr="00002E50" w:rsidRDefault="0049577B" w:rsidP="00002E50">
            <w:pPr>
              <w:pStyle w:val="afffffffa"/>
              <w:ind w:leftChars="20" w:left="52" w:rightChars="36" w:right="94"/>
              <w:rPr>
                <w:sz w:val="24"/>
                <w:szCs w:val="24"/>
              </w:rPr>
            </w:pPr>
            <w:r w:rsidRPr="00002E50">
              <w:rPr>
                <w:sz w:val="24"/>
                <w:szCs w:val="24"/>
              </w:rPr>
              <w:t>2.年滿18歲以上在學學生。</w:t>
            </w:r>
          </w:p>
        </w:tc>
        <w:tc>
          <w:tcPr>
            <w:tcW w:w="3989" w:type="dxa"/>
          </w:tcPr>
          <w:p w:rsidR="00002E50" w:rsidRDefault="0049577B" w:rsidP="00002E50">
            <w:pPr>
              <w:pStyle w:val="afffffffa"/>
              <w:ind w:leftChars="0" w:left="0" w:rightChars="43" w:right="112"/>
              <w:rPr>
                <w:rFonts w:eastAsia="MS Mincho"/>
                <w:sz w:val="24"/>
                <w:szCs w:val="24"/>
              </w:rPr>
            </w:pPr>
            <w:r w:rsidRPr="00002E50">
              <w:rPr>
                <w:sz w:val="24"/>
                <w:szCs w:val="24"/>
              </w:rPr>
              <w:t>二、資格條件：</w:t>
            </w:r>
            <w:r w:rsidR="00112EF1" w:rsidRPr="00112EF1">
              <w:rPr>
                <w:rFonts w:hint="eastAsia"/>
                <w:color w:val="FFFFFF" w:themeColor="background1"/>
                <w:sz w:val="24"/>
                <w:szCs w:val="24"/>
                <w:lang w:eastAsia="zh-TW"/>
              </w:rPr>
              <w:t>*</w:t>
            </w:r>
          </w:p>
          <w:p w:rsidR="0049577B" w:rsidRPr="00002E50" w:rsidRDefault="0049577B" w:rsidP="00002E50">
            <w:pPr>
              <w:pStyle w:val="afffffffa"/>
              <w:ind w:leftChars="0" w:left="0" w:rightChars="43" w:right="112"/>
              <w:rPr>
                <w:sz w:val="24"/>
                <w:szCs w:val="24"/>
              </w:rPr>
            </w:pPr>
            <w:r w:rsidRPr="00002E50">
              <w:rPr>
                <w:sz w:val="24"/>
                <w:szCs w:val="24"/>
              </w:rPr>
              <w:t>年滿20歲，且有新臺幣20萬元以上存款或持有銀行核發金卡或年工資所得相當新臺幣50萬元以上。</w:t>
            </w:r>
          </w:p>
          <w:p w:rsidR="0049577B" w:rsidRPr="00002E50" w:rsidRDefault="0049577B" w:rsidP="00002E50">
            <w:pPr>
              <w:pStyle w:val="afffffffa"/>
              <w:ind w:leftChars="0" w:left="0" w:rightChars="43" w:right="112"/>
              <w:rPr>
                <w:sz w:val="24"/>
                <w:szCs w:val="24"/>
              </w:rPr>
            </w:pPr>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三、設籍地限制：需設籍在公告核可之大陸地區城市。</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三、設籍地限制：無限制。</w:t>
            </w:r>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四、違規處分對象：旅行社</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四、違規處分對象：醫療機構</w:t>
            </w:r>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五、處分規定：</w:t>
            </w:r>
            <w:r w:rsidR="00112EF1" w:rsidRPr="00112EF1">
              <w:rPr>
                <w:rFonts w:hint="eastAsia"/>
                <w:color w:val="FFFFFF" w:themeColor="background1"/>
                <w:sz w:val="24"/>
                <w:szCs w:val="24"/>
                <w:lang w:eastAsia="zh-TW"/>
              </w:rPr>
              <w:t>*</w:t>
            </w:r>
          </w:p>
          <w:p w:rsidR="0049577B" w:rsidRPr="00002E50" w:rsidRDefault="0049577B" w:rsidP="00002E50">
            <w:pPr>
              <w:pStyle w:val="afffffffa"/>
              <w:ind w:leftChars="20" w:left="52" w:rightChars="36" w:right="94"/>
              <w:rPr>
                <w:sz w:val="24"/>
                <w:szCs w:val="24"/>
              </w:rPr>
            </w:pPr>
            <w:r w:rsidRPr="00002E50">
              <w:rPr>
                <w:sz w:val="24"/>
                <w:szCs w:val="24"/>
              </w:rPr>
              <w:t>1.得繳納保證金新臺幣100萬元。</w:t>
            </w:r>
            <w:r w:rsidR="00112EF1" w:rsidRPr="00112EF1">
              <w:rPr>
                <w:rFonts w:hint="eastAsia"/>
                <w:color w:val="FFFFFF" w:themeColor="background1"/>
                <w:sz w:val="24"/>
                <w:szCs w:val="24"/>
                <w:lang w:eastAsia="zh-TW"/>
              </w:rPr>
              <w:t>*</w:t>
            </w:r>
          </w:p>
          <w:p w:rsidR="0049577B" w:rsidRPr="00002E50" w:rsidRDefault="0049577B" w:rsidP="00002E50">
            <w:pPr>
              <w:pStyle w:val="afffffffa"/>
              <w:ind w:leftChars="20" w:left="52" w:rightChars="36" w:right="94"/>
              <w:rPr>
                <w:sz w:val="24"/>
                <w:szCs w:val="24"/>
              </w:rPr>
            </w:pPr>
            <w:r w:rsidRPr="00002E50">
              <w:rPr>
                <w:sz w:val="24"/>
                <w:szCs w:val="24"/>
              </w:rPr>
              <w:t>2.逾期停留屆7日協尋期，第1人處分警示，第2人起，每１人處分停止受理業務1個月。選擇扣繳保證金者，每2人起，每1人扣繳新臺幣10萬元，不適用停止受理業務規定。</w:t>
            </w:r>
            <w:r w:rsidR="00112EF1" w:rsidRPr="00112EF1">
              <w:rPr>
                <w:rFonts w:hint="eastAsia"/>
                <w:color w:val="FFFFFF" w:themeColor="background1"/>
                <w:sz w:val="24"/>
                <w:szCs w:val="24"/>
                <w:lang w:eastAsia="zh-TW"/>
              </w:rPr>
              <w:t>*</w:t>
            </w:r>
          </w:p>
          <w:p w:rsidR="0049577B" w:rsidRPr="00002E50" w:rsidRDefault="0049577B" w:rsidP="00002E50">
            <w:pPr>
              <w:pStyle w:val="afffffffa"/>
              <w:ind w:leftChars="20" w:left="52" w:rightChars="36" w:right="94"/>
              <w:rPr>
                <w:sz w:val="24"/>
                <w:szCs w:val="24"/>
              </w:rPr>
            </w:pPr>
            <w:r w:rsidRPr="00002E50">
              <w:rPr>
                <w:sz w:val="24"/>
                <w:szCs w:val="24"/>
              </w:rPr>
              <w:t>3.違反觀光許可辦法相關規定，依情節輕重，由交通部觀光局記點處分；累計一定點數，停止受理業務一定期間。</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五、處分規定：</w:t>
            </w:r>
            <w:r w:rsidR="00112EF1" w:rsidRPr="00112EF1">
              <w:rPr>
                <w:rFonts w:hint="eastAsia"/>
                <w:color w:val="FFFFFF" w:themeColor="background1"/>
                <w:sz w:val="24"/>
                <w:szCs w:val="24"/>
                <w:lang w:eastAsia="zh-TW"/>
              </w:rPr>
              <w:t>*</w:t>
            </w:r>
          </w:p>
          <w:p w:rsidR="0049577B" w:rsidRPr="00002E50" w:rsidRDefault="0049577B" w:rsidP="00002E50">
            <w:pPr>
              <w:pStyle w:val="afffffffa"/>
              <w:ind w:leftChars="0" w:left="0" w:rightChars="43" w:right="112"/>
              <w:rPr>
                <w:sz w:val="24"/>
                <w:szCs w:val="24"/>
              </w:rPr>
            </w:pPr>
            <w:r w:rsidRPr="00002E50">
              <w:rPr>
                <w:sz w:val="24"/>
                <w:szCs w:val="24"/>
              </w:rPr>
              <w:t>1.得繳納保證金新臺幣100萬元。</w:t>
            </w:r>
            <w:r w:rsidR="00112EF1" w:rsidRPr="00112EF1">
              <w:rPr>
                <w:rFonts w:hint="eastAsia"/>
                <w:color w:val="FFFFFF" w:themeColor="background1"/>
                <w:sz w:val="24"/>
                <w:szCs w:val="24"/>
                <w:lang w:eastAsia="zh-TW"/>
              </w:rPr>
              <w:t>*</w:t>
            </w:r>
          </w:p>
          <w:p w:rsidR="0049577B" w:rsidRPr="00002E50" w:rsidRDefault="0049577B" w:rsidP="00002E50">
            <w:pPr>
              <w:pStyle w:val="afffffffa"/>
              <w:ind w:leftChars="0" w:left="0" w:rightChars="43" w:right="112"/>
              <w:rPr>
                <w:sz w:val="24"/>
                <w:szCs w:val="24"/>
              </w:rPr>
            </w:pPr>
            <w:r w:rsidRPr="00002E50">
              <w:rPr>
                <w:sz w:val="24"/>
                <w:szCs w:val="24"/>
              </w:rPr>
              <w:t>2.逾期停留屆7日協尋期，第1人處分警示，第2人起，每１人處分停止受理業務1個月。已繳納保證金者，每2人起，每1人扣繳新臺幣10萬元，不適用停止受理業務規定。</w:t>
            </w:r>
            <w:r w:rsidR="00112EF1" w:rsidRPr="00112EF1">
              <w:rPr>
                <w:rFonts w:hint="eastAsia"/>
                <w:color w:val="FFFFFF" w:themeColor="background1"/>
                <w:sz w:val="24"/>
                <w:szCs w:val="24"/>
                <w:lang w:eastAsia="zh-TW"/>
              </w:rPr>
              <w:t>*</w:t>
            </w:r>
          </w:p>
          <w:p w:rsidR="0049577B" w:rsidRPr="00002E50" w:rsidRDefault="0049577B" w:rsidP="00002E50">
            <w:pPr>
              <w:pStyle w:val="afffffffa"/>
              <w:ind w:leftChars="0" w:left="0" w:rightChars="43" w:right="112"/>
              <w:rPr>
                <w:sz w:val="24"/>
                <w:szCs w:val="24"/>
              </w:rPr>
            </w:pPr>
            <w:r w:rsidRPr="00002E50">
              <w:rPr>
                <w:sz w:val="24"/>
                <w:szCs w:val="24"/>
              </w:rPr>
              <w:t>3.未到院接受健檢醫美，每1人處分停止受理業務1個月。已繳納保證金者，每1人扣繳新臺幣10萬元，不適用停止受理業務規定。</w:t>
            </w:r>
            <w:r w:rsidR="00112EF1" w:rsidRPr="00112EF1">
              <w:rPr>
                <w:rFonts w:hint="eastAsia"/>
                <w:color w:val="FFFFFF" w:themeColor="background1"/>
                <w:sz w:val="24"/>
                <w:szCs w:val="24"/>
                <w:lang w:eastAsia="zh-TW"/>
              </w:rPr>
              <w:t>*</w:t>
            </w:r>
          </w:p>
          <w:p w:rsidR="0049577B" w:rsidRPr="00002E50" w:rsidRDefault="0049577B" w:rsidP="00002E50">
            <w:pPr>
              <w:pStyle w:val="afffffffa"/>
              <w:ind w:leftChars="0" w:left="0" w:rightChars="43" w:right="112"/>
              <w:rPr>
                <w:sz w:val="24"/>
                <w:szCs w:val="24"/>
              </w:rPr>
            </w:pPr>
            <w:r w:rsidRPr="00002E50">
              <w:rPr>
                <w:sz w:val="24"/>
                <w:szCs w:val="24"/>
              </w:rPr>
              <w:t>4.從事許可目的不符之活動情節重大，致損害國家利益者，停止受理業務1年至3年。</w:t>
            </w:r>
          </w:p>
        </w:tc>
      </w:tr>
      <w:tr w:rsidR="0049577B" w:rsidRPr="00B40DC1" w:rsidTr="00002E50">
        <w:trPr>
          <w:trHeight w:val="312"/>
          <w:jc w:val="center"/>
        </w:trPr>
        <w:tc>
          <w:tcPr>
            <w:tcW w:w="2177" w:type="dxa"/>
            <w:vMerge w:val="restart"/>
            <w:vAlign w:val="center"/>
          </w:tcPr>
          <w:p w:rsidR="0049577B" w:rsidRPr="00002E50" w:rsidRDefault="0049577B" w:rsidP="000D26BB">
            <w:pPr>
              <w:pStyle w:val="afffffffa"/>
              <w:ind w:left="-39" w:right="-39"/>
              <w:rPr>
                <w:sz w:val="24"/>
                <w:szCs w:val="24"/>
                <w:lang w:eastAsia="zh-TW"/>
              </w:rPr>
            </w:pPr>
            <w:r w:rsidRPr="00002E50">
              <w:rPr>
                <w:sz w:val="24"/>
                <w:szCs w:val="24"/>
              </w:rPr>
              <w:t>發證規定比較及差異</w:t>
            </w: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一、陸方先行審核申請人資格，並核發大陸居民往來臺灣通行證及簽注，我方再憑受理審核其申請案。</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一、我方直接受理大陸地區人民申請案，未經陸方事先審核申請人資格，且陸方目前不核發來臺健檢醫美事由之大陸地區人民往來臺灣通行證及簽注。</w:t>
            </w:r>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二、檢附相關申請文件，由臺灣旅行社至移民署線上系統申請，經審核許可並繳費後，下載電子檔許可證。</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二、檢附相關申請文件，由醫療機構或委託臺灣旅行社至移民署線上系統申請，經審核許可並繳費後，下載電子檔許可證。</w:t>
            </w:r>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三、審核期間：48小時。</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三、審核期間：48小時。</w:t>
            </w:r>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四、檢附之資格證明文件不需經海基會驗(查)證。</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四、自102年8月15日起，最近半年內有被處分之醫療機構代申請時若檢附年工資在職證明者，需經海基會驗(查)證。</w:t>
            </w:r>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五、再次申請來臺個人旅遊無期間限制。</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五、自102年8月15日起，半年內再申請來臺接受健檢醫美者，需請醫療機構檢附說明書。</w:t>
            </w:r>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六、不需檢附來臺旅遊繳費收據作為申請文件。</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 xml:space="preserve">六、自102年8月15日起，需檢附醫療機構開立之接受健檢醫美收款收據作為申請文件。 </w:t>
            </w:r>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七</w:t>
            </w:r>
            <w:r w:rsidRPr="00002E50">
              <w:rPr>
                <w:sz w:val="24"/>
                <w:szCs w:val="24"/>
                <w:lang w:eastAsia="zh-TW"/>
              </w:rPr>
              <w:t>、</w:t>
            </w:r>
            <w:r w:rsidRPr="00002E50">
              <w:rPr>
                <w:sz w:val="24"/>
                <w:szCs w:val="24"/>
              </w:rPr>
              <w:t>不需團進團出。</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七</w:t>
            </w:r>
            <w:r w:rsidRPr="00002E50">
              <w:rPr>
                <w:sz w:val="24"/>
                <w:szCs w:val="24"/>
                <w:lang w:eastAsia="zh-TW"/>
              </w:rPr>
              <w:t>、</w:t>
            </w:r>
            <w:r w:rsidRPr="00002E50">
              <w:rPr>
                <w:sz w:val="24"/>
                <w:szCs w:val="24"/>
              </w:rPr>
              <w:t>不需團進團出。</w:t>
            </w:r>
          </w:p>
        </w:tc>
      </w:tr>
      <w:tr w:rsidR="0049577B" w:rsidRPr="00B40DC1" w:rsidTr="00002E50">
        <w:trPr>
          <w:trHeight w:val="312"/>
          <w:jc w:val="center"/>
        </w:trPr>
        <w:tc>
          <w:tcPr>
            <w:tcW w:w="2177" w:type="dxa"/>
            <w:vMerge/>
            <w:vAlign w:val="center"/>
          </w:tcPr>
          <w:p w:rsidR="0049577B" w:rsidRPr="00002E50" w:rsidRDefault="0049577B" w:rsidP="000D26BB">
            <w:pPr>
              <w:pStyle w:val="afffffffa"/>
              <w:ind w:left="-39" w:right="-39"/>
              <w:rPr>
                <w:sz w:val="24"/>
                <w:szCs w:val="24"/>
              </w:rPr>
            </w:pP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八、停留期間：最長不得逾15天。</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八、停留期間：最長不得逾15天。</w:t>
            </w:r>
          </w:p>
        </w:tc>
      </w:tr>
      <w:tr w:rsidR="0049577B" w:rsidRPr="00B40DC1" w:rsidTr="00002E50">
        <w:trPr>
          <w:trHeight w:val="312"/>
          <w:jc w:val="center"/>
        </w:trPr>
        <w:tc>
          <w:tcPr>
            <w:tcW w:w="2177" w:type="dxa"/>
            <w:vAlign w:val="center"/>
          </w:tcPr>
          <w:p w:rsidR="0049577B" w:rsidRPr="00002E50" w:rsidRDefault="0049577B" w:rsidP="000D26BB">
            <w:pPr>
              <w:pStyle w:val="afffffffa"/>
              <w:ind w:left="-39" w:right="-39"/>
              <w:rPr>
                <w:sz w:val="24"/>
                <w:szCs w:val="24"/>
              </w:rPr>
            </w:pPr>
            <w:r w:rsidRPr="00002E50">
              <w:rPr>
                <w:sz w:val="24"/>
                <w:szCs w:val="24"/>
              </w:rPr>
              <w:t>入出境方式比較及差異</w:t>
            </w:r>
          </w:p>
        </w:tc>
        <w:tc>
          <w:tcPr>
            <w:tcW w:w="3180" w:type="dxa"/>
          </w:tcPr>
          <w:p w:rsidR="0049577B" w:rsidRPr="00002E50" w:rsidRDefault="0049577B" w:rsidP="00002E50">
            <w:pPr>
              <w:pStyle w:val="afffffffa"/>
              <w:ind w:leftChars="20" w:left="52" w:rightChars="36" w:right="94"/>
              <w:rPr>
                <w:sz w:val="24"/>
                <w:szCs w:val="24"/>
              </w:rPr>
            </w:pPr>
            <w:r w:rsidRPr="00002E50">
              <w:rPr>
                <w:sz w:val="24"/>
                <w:szCs w:val="24"/>
              </w:rPr>
              <w:t>持憑大陸居民往來臺灣通行證及入出境許可證，經大陸地區各省市搭機，或經小三通由金馬、馬祖、澎湖入出境臺灣。</w:t>
            </w:r>
          </w:p>
        </w:tc>
        <w:tc>
          <w:tcPr>
            <w:tcW w:w="3989" w:type="dxa"/>
          </w:tcPr>
          <w:p w:rsidR="0049577B" w:rsidRPr="00002E50" w:rsidRDefault="0049577B" w:rsidP="00002E50">
            <w:pPr>
              <w:pStyle w:val="afffffffa"/>
              <w:ind w:leftChars="0" w:left="0" w:rightChars="43" w:right="112"/>
              <w:rPr>
                <w:sz w:val="24"/>
                <w:szCs w:val="24"/>
              </w:rPr>
            </w:pPr>
            <w:r w:rsidRPr="00002E50">
              <w:rPr>
                <w:sz w:val="24"/>
                <w:szCs w:val="24"/>
              </w:rPr>
              <w:t>持憑大陸護照及入出境許可證，從香港或澳門地區搭機入出境臺灣。</w:t>
            </w:r>
          </w:p>
        </w:tc>
      </w:tr>
    </w:tbl>
    <w:p w:rsidR="00002E50" w:rsidRDefault="00002E50" w:rsidP="000D26BB"/>
    <w:p w:rsidR="0049577B" w:rsidRPr="00B40DC1" w:rsidRDefault="0049577B" w:rsidP="00E06226">
      <w:pPr>
        <w:spacing w:line="240" w:lineRule="auto"/>
        <w:ind w:leftChars="0" w:left="0" w:rightChars="0" w:right="0"/>
      </w:pPr>
      <w:r w:rsidRPr="00B40DC1">
        <w:t xml:space="preserve">　　大陸地區人民來台觀光旅遊之規範，係經過兩岸簽署旅遊協議後，共同制定之規範，兩岸境管機關對於陸客觀光審核制度有一定之共識，均願負擔境管安全之責；相較於健檢醫美之狀況，大陸境管機關並未知悉台灣方面有開放健檢醫美之事由，故，不會審批大陸地區人民以健檢醫美事由來台之簽注，等於從源頭處，即無任何審核身分之管理作為，有此漏洞，令有心之大陸地區人民可藉機申請來台。</w:t>
      </w:r>
    </w:p>
    <w:p w:rsidR="0049577B" w:rsidRPr="00B40DC1" w:rsidRDefault="00002E50" w:rsidP="00E06226">
      <w:pPr>
        <w:spacing w:line="240" w:lineRule="auto"/>
        <w:ind w:leftChars="0" w:left="0" w:rightChars="0" w:right="0"/>
      </w:pPr>
      <w:r>
        <w:t xml:space="preserve">　　</w:t>
      </w:r>
      <w:r w:rsidR="0049577B" w:rsidRPr="00B40DC1">
        <w:t>另外，個人旅遊有限制大陸地區人民設籍之城市，亦即係雙方認為哪些城市人民之收入及素質均達到一定之水準，再開放令上開城市之人民可來台個人旅遊；比較之下，健檢醫美並未有任何城市限制，故若設籍在未開放個人旅遊之城市，或係生活水準較低之對象，即可透過健檢醫美之管道申請來台，至於財力證明之部分，因為不需經過大陸境管機關之審查，故多用偽造之財力證明資格文件申請來台。再者，因為大陸境管機關不肯審發人民來台健檢醫美之簽注，故，經我方許可來台健檢醫美之對象，即不能持大陸居民往來台灣通行證從大陸地區直航來台，而是持用大陸護照，紛紛從香港入境來台，如此，又缺少在源頭端之出境查驗管理作為，亦形成安全管理上之大漏洞；以上之種種因素，其重點均脫離不了「源頭安全管理」。</w:t>
      </w:r>
    </w:p>
    <w:p w:rsidR="0049577B" w:rsidRPr="00B40DC1" w:rsidRDefault="00C2607C" w:rsidP="00E06226">
      <w:pPr>
        <w:spacing w:line="240" w:lineRule="auto"/>
        <w:ind w:leftChars="0" w:left="0" w:rightChars="0" w:right="0"/>
      </w:pPr>
      <w:r>
        <w:t xml:space="preserve">　　</w:t>
      </w:r>
      <w:r w:rsidR="0049577B" w:rsidRPr="00B40DC1">
        <w:t>個人旅遊之機制得以管理良善，乃因從陸方開始即進行層層之管理措施，健檢醫美之機制，雖然比照個人旅遊制訂，甚至於更嚴格，但因缺少陸方之管理作為，違法違規之情形，遂一再發生。以實務現況分析，在於驗證明本文之重要論點，若無法從源頭來進行安全管理，則末端管理作為如何再嚴密，亦均是事倍功半，成效相當有限。由健檢醫美之機制，出現上述之嚴重缺失，頗值得政府相關部門，諸如：陸委會及移民行政機關加以重視之。避免大陸之各類跨境犯罪分子，假健檢醫美之名，而行來台從事犯罪之實，影響台灣社會之治安。</w:t>
      </w:r>
    </w:p>
    <w:p w:rsidR="0049577B" w:rsidRPr="00B40DC1" w:rsidRDefault="00002E50" w:rsidP="00E06226">
      <w:pPr>
        <w:spacing w:line="240" w:lineRule="auto"/>
        <w:ind w:leftChars="0" w:left="0" w:rightChars="0" w:right="0"/>
      </w:pPr>
      <w:r>
        <w:t xml:space="preserve">　　</w:t>
      </w:r>
      <w:r w:rsidR="0049577B" w:rsidRPr="00B40DC1">
        <w:t>承上所述，本文擬再次強調，上述之健檢醫美的機制，陸方並不審批簽證，等於是從源頭處就沒有任何國境人流管理之積極性作為，這就是讓那些上媒體版面不法的大陸居民，只要花錢就可以想來就來台灣的主要原因。再者，個人旅遊有限制大陸地區人民設籍的城市，也就是雙方認為哪些城市的人民收入及水準均有一定的標準了，再開放讓那個城市的人民可以來台個人旅遊；但是健檢醫美並沒有任何城市限制，所以不能用個人旅遊來台的生活水準較低的對象，自然就會透過這樣的管道申請來台，至於要提供財力證明的部分，只要花錢偽造就可以達成。</w:t>
      </w:r>
    </w:p>
    <w:p w:rsidR="0049577B" w:rsidRDefault="00002E50" w:rsidP="00E06226">
      <w:pPr>
        <w:spacing w:line="240" w:lineRule="auto"/>
        <w:ind w:leftChars="0" w:left="0" w:rightChars="0" w:right="0"/>
      </w:pPr>
      <w:r>
        <w:t xml:space="preserve">　　</w:t>
      </w:r>
      <w:r w:rsidR="0049577B" w:rsidRPr="00B40DC1">
        <w:t>另外，因為陸方不發給人民健檢醫美的簽注，所以，經我方許可來台健檢醫美的對象是不可能持大陸居民往來台灣通行證，從大陸地區直航來台的，所以紛紛持用大陸護照從香港入境來台，這樣便少了在陸方的出境管理作為，當然是安全上的一大漏洞。以上的種種因素，重點都只在於「跨境人流管理」。個人旅遊的機制得以管理良善，是因為從陸方開始就進行了層層的管理措施，健檢醫美的機制雖然比照個人旅遊制訂，甚至於更嚴格，但是少了陸方的管理作為，違法違規的情形只得一再發生。這樣的實例分析情形可以證實本文的論點，也就是兩岸的境管若無完整的合作機制，則再完善的單方面管理措施，恐怕也是事倍功半。</w:t>
      </w:r>
    </w:p>
    <w:p w:rsidR="001775C3" w:rsidRPr="00692A7A" w:rsidRDefault="004D607D" w:rsidP="001775C3">
      <w:pPr>
        <w:spacing w:line="240" w:lineRule="auto"/>
        <w:ind w:leftChars="0" w:left="0" w:rightChars="0" w:right="0"/>
        <w:jc w:val="right"/>
        <w:rPr>
          <w:sz w:val="22"/>
          <w:szCs w:val="22"/>
        </w:rPr>
      </w:pPr>
      <w:r w:rsidRPr="004D607D">
        <w:rPr>
          <w:rFonts w:hint="eastAsia"/>
          <w:sz w:val="20"/>
        </w:rPr>
        <w:t>。。。。。。。。。。。。。</w:t>
      </w:r>
      <w:hyperlink w:anchor="a6b5" w:history="1">
        <w:r w:rsidRPr="004D607D">
          <w:rPr>
            <w:rStyle w:val="a7"/>
            <w:sz w:val="22"/>
            <w:lang w:eastAsia="zh-TW"/>
          </w:rPr>
          <w:t>回本章</w:t>
        </w:r>
      </w:hyperlink>
      <w:r w:rsidRPr="004D607D">
        <w:rPr>
          <w:color w:val="808000"/>
          <w:sz w:val="18"/>
        </w:rPr>
        <w:t>〉〉</w:t>
      </w:r>
      <w:hyperlink w:anchor="a目次6" w:history="1">
        <w:r w:rsidR="00E9715D">
          <w:rPr>
            <w:rStyle w:val="a7"/>
            <w:sz w:val="22"/>
            <w:lang w:eastAsia="zh-TW"/>
          </w:rPr>
          <w:t>回總目次</w:t>
        </w:r>
      </w:hyperlink>
      <w:r w:rsidR="00E9715D" w:rsidRPr="00D45AD2">
        <w:rPr>
          <w:color w:val="808000"/>
          <w:sz w:val="22"/>
        </w:rPr>
        <w:t>〉〉</w:t>
      </w:r>
    </w:p>
    <w:p w:rsidR="0049577B" w:rsidRPr="00002E50" w:rsidRDefault="0049577B" w:rsidP="001775C3">
      <w:pPr>
        <w:pStyle w:val="3"/>
        <w:rPr>
          <w:lang w:eastAsia="zh-TW"/>
        </w:rPr>
      </w:pPr>
      <w:bookmarkStart w:id="161" w:name="_三、從防制跨國（境）人口販運經驗切入探討大陸地區人民來臺源頭安全管理"/>
      <w:bookmarkEnd w:id="161"/>
      <w:r w:rsidRPr="00002E50">
        <w:rPr>
          <w:lang w:eastAsia="zh-TW"/>
        </w:rPr>
        <w:t>三、從防制跨國（境）人口販運經驗切入探討大陸地區人民來臺源頭安全管理</w:t>
      </w:r>
    </w:p>
    <w:p w:rsidR="0049577B" w:rsidRPr="00B40DC1" w:rsidRDefault="00002E50" w:rsidP="00E06226">
      <w:pPr>
        <w:spacing w:line="240" w:lineRule="auto"/>
        <w:ind w:leftChars="0" w:left="0" w:rightChars="0" w:right="0"/>
      </w:pPr>
      <w:r>
        <w:t xml:space="preserve">　　</w:t>
      </w:r>
      <w:r w:rsidR="0049577B" w:rsidRPr="00B40DC1">
        <w:t>跨國（境）人口販運一直是國際上相當重視之問題，亦屬頗難加以杜絕之問題，其重要原因之一即在於跨國（境）犯罪之性質，涉及各國（地區）之法律規範不一，即使有國際公約予以規範，但是若有部分國家不予重視，則亦無強制力可資加以運用。台灣政府在人權議題上，一向相當重視，對於人口販運之問題，亦加以立法規範</w:t>
      </w:r>
      <w:r w:rsidR="0049577B" w:rsidRPr="00002E50">
        <w:rPr>
          <w:rStyle w:val="af7"/>
          <w:rFonts w:eastAsia="新細明體"/>
          <w:sz w:val="20"/>
        </w:rPr>
        <w:footnoteReference w:id="639"/>
      </w:r>
      <w:r w:rsidR="0049577B" w:rsidRPr="00B40DC1">
        <w:t>，2009年1月23日公佈實施「</w:t>
      </w:r>
      <w:hyperlink r:id="rId718" w:history="1">
        <w:r w:rsidR="0049577B" w:rsidRPr="00C2607C">
          <w:rPr>
            <w:rStyle w:val="a7"/>
            <w:rFonts w:cs="Times New Roman"/>
            <w:lang w:eastAsia="zh-TW" w:bidi="ar-SA"/>
          </w:rPr>
          <w:t>人口販運防制法</w:t>
        </w:r>
      </w:hyperlink>
      <w:r w:rsidR="0049577B" w:rsidRPr="00B40DC1">
        <w:t>」，更展現台灣對於人口販運之極高度重視。</w:t>
      </w:r>
    </w:p>
    <w:p w:rsidR="0049577B" w:rsidRPr="00B40DC1" w:rsidRDefault="0049577B" w:rsidP="00E06226">
      <w:pPr>
        <w:spacing w:line="240" w:lineRule="auto"/>
        <w:ind w:leftChars="0" w:left="0" w:rightChars="0" w:right="0"/>
      </w:pPr>
      <w:r w:rsidRPr="00B40DC1">
        <w:t xml:space="preserve">　　美國在2003年通過人口販運被害人保護授權法（Trafficking Victim Protection Reauthorization Act，TVPR），強化美國國務院對各國有關人口販運之觀察權力，而在觀察他國有關人口販運執行狀況時，並同時評比該國等級，分級說明如下：</w:t>
      </w:r>
    </w:p>
    <w:p w:rsidR="0049577B" w:rsidRPr="00B40DC1" w:rsidRDefault="00002E50" w:rsidP="00E06226">
      <w:pPr>
        <w:spacing w:line="240" w:lineRule="auto"/>
        <w:ind w:leftChars="0" w:left="0" w:rightChars="0" w:right="0"/>
      </w:pPr>
      <w:r>
        <w:t xml:space="preserve">　　</w:t>
      </w:r>
      <w:r w:rsidR="0049577B" w:rsidRPr="00B40DC1">
        <w:t>第一</w:t>
      </w:r>
      <w:r w:rsidR="0049577B" w:rsidRPr="00B40DC1">
        <w:rPr>
          <w:lang w:eastAsia="zh-HK"/>
        </w:rPr>
        <w:t>列</w:t>
      </w:r>
      <w:r w:rsidR="0049577B" w:rsidRPr="00B40DC1">
        <w:t>：列入本等級之國家完全符合美國TVPR所規範之最低標準。</w:t>
      </w:r>
    </w:p>
    <w:p w:rsidR="0049577B" w:rsidRPr="00002E50" w:rsidRDefault="00002E50" w:rsidP="00E06226">
      <w:pPr>
        <w:spacing w:line="240" w:lineRule="auto"/>
        <w:ind w:leftChars="0" w:left="0" w:rightChars="0" w:right="0"/>
      </w:pPr>
      <w:r w:rsidRPr="00002E50">
        <w:t xml:space="preserve">　　</w:t>
      </w:r>
      <w:r w:rsidR="0049577B" w:rsidRPr="00002E50">
        <w:t>第二列：列入本等級之國家並未完全符合TVPR之最低標準，惟其正致力於滿足該標準。</w:t>
      </w:r>
    </w:p>
    <w:p w:rsidR="0049577B" w:rsidRPr="00002E50" w:rsidRDefault="00002E50" w:rsidP="00E06226">
      <w:pPr>
        <w:spacing w:line="240" w:lineRule="auto"/>
        <w:ind w:leftChars="0" w:left="0" w:rightChars="0" w:right="0"/>
      </w:pPr>
      <w:r w:rsidRPr="00002E50">
        <w:t xml:space="preserve">　　</w:t>
      </w:r>
      <w:r w:rsidR="0049577B" w:rsidRPr="00002E50">
        <w:t>第二列觀察名單：列入本等級之國家並未完全符合TVPR之最低標準，惟其正致力於滿足該標準，且：</w:t>
      </w:r>
    </w:p>
    <w:p w:rsidR="0049577B" w:rsidRPr="00002E50" w:rsidRDefault="00002E50" w:rsidP="00E06226">
      <w:pPr>
        <w:spacing w:line="240" w:lineRule="auto"/>
        <w:ind w:leftChars="0" w:left="0" w:rightChars="0" w:right="0"/>
      </w:pPr>
      <w:r w:rsidRPr="00002E50">
        <w:t xml:space="preserve">　　</w:t>
      </w:r>
      <w:r w:rsidR="0049577B" w:rsidRPr="00002E50">
        <w:t>1.確認為嚴重人口販運受害者之人數非常顯著或正在顯著地增加中；或</w:t>
      </w:r>
    </w:p>
    <w:p w:rsidR="0049577B" w:rsidRPr="00002E50" w:rsidRDefault="00002E50" w:rsidP="00E06226">
      <w:pPr>
        <w:spacing w:line="240" w:lineRule="auto"/>
        <w:ind w:leftChars="0" w:left="0" w:rightChars="0" w:right="0"/>
      </w:pPr>
      <w:r w:rsidRPr="00002E50">
        <w:t xml:space="preserve">　　</w:t>
      </w:r>
      <w:r w:rsidR="0049577B" w:rsidRPr="00002E50">
        <w:t>2.無法提供自上一年度迄今致力於打擊嚴重人口販運之證據；或</w:t>
      </w:r>
    </w:p>
    <w:p w:rsidR="0049577B" w:rsidRPr="00002E50" w:rsidRDefault="00002E50" w:rsidP="00E06226">
      <w:pPr>
        <w:spacing w:line="240" w:lineRule="auto"/>
        <w:ind w:leftChars="0" w:left="0" w:rightChars="0" w:right="0"/>
      </w:pPr>
      <w:r w:rsidRPr="00002E50">
        <w:t xml:space="preserve">　　</w:t>
      </w:r>
      <w:r w:rsidR="0049577B" w:rsidRPr="00002E50">
        <w:t>3.判定一國是否正致力於達致上述標準，係依據該國是否承諾於下一年度採取額外措施。</w:t>
      </w:r>
    </w:p>
    <w:p w:rsidR="0049577B" w:rsidRPr="00002E50" w:rsidRDefault="00002E50" w:rsidP="00E06226">
      <w:pPr>
        <w:spacing w:line="240" w:lineRule="auto"/>
        <w:ind w:leftChars="0" w:left="0" w:rightChars="0" w:right="0"/>
      </w:pPr>
      <w:r w:rsidRPr="00002E50">
        <w:t xml:space="preserve">　　</w:t>
      </w:r>
      <w:r w:rsidR="0049577B" w:rsidRPr="00002E50">
        <w:t>第三列：列入本等級之國家並未完全符合TVPR之最低標準，且未致力於滿足該標準。</w:t>
      </w:r>
    </w:p>
    <w:p w:rsidR="0049577B" w:rsidRPr="00B40DC1" w:rsidRDefault="00002E50" w:rsidP="00E06226">
      <w:pPr>
        <w:spacing w:line="240" w:lineRule="auto"/>
        <w:ind w:leftChars="0" w:left="0" w:rightChars="0" w:right="0"/>
      </w:pPr>
      <w:r>
        <w:rPr>
          <w:lang w:eastAsia="zh-HK"/>
        </w:rPr>
        <w:t xml:space="preserve">　　</w:t>
      </w:r>
      <w:r w:rsidR="0049577B" w:rsidRPr="00B40DC1">
        <w:rPr>
          <w:lang w:eastAsia="zh-HK"/>
        </w:rPr>
        <w:t>以下茲針對</w:t>
      </w:r>
      <w:r w:rsidR="0049577B" w:rsidRPr="00B40DC1">
        <w:t>台灣歷年在TVPR評比之等級</w:t>
      </w:r>
      <w:r w:rsidR="0049577B" w:rsidRPr="00B40DC1">
        <w:rPr>
          <w:lang w:eastAsia="zh-HK"/>
        </w:rPr>
        <w:t>及美國對於台灣辦理人口販運狀況之報告及建議</w:t>
      </w:r>
      <w:r w:rsidR="0049577B" w:rsidRPr="00B40DC1">
        <w:t>，摘要整理如下</w:t>
      </w:r>
      <w:r w:rsidR="0049577B" w:rsidRPr="00002E50">
        <w:rPr>
          <w:rStyle w:val="af7"/>
          <w:rFonts w:eastAsia="新細明體"/>
          <w:sz w:val="20"/>
        </w:rPr>
        <w:footnoteReference w:id="640"/>
      </w:r>
      <w:r w:rsidR="0049577B" w:rsidRPr="00B40DC1">
        <w:t>：</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一）</w:t>
      </w:r>
      <w:r w:rsidR="0049577B" w:rsidRPr="00B40DC1">
        <w:t>2003年（第二</w:t>
      </w:r>
      <w:r w:rsidR="0049577B" w:rsidRPr="00B40DC1">
        <w:rPr>
          <w:lang w:eastAsia="zh-HK"/>
        </w:rPr>
        <w:t>列</w:t>
      </w:r>
      <w:r w:rsidR="0049577B" w:rsidRPr="00B40DC1">
        <w:t>）：號稱人權立國之台灣，人口販運問題嚴重之程度，在東亞經濟發展程度較高之國家中，僅次於日本，與香港並列第二。</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二）</w:t>
      </w:r>
      <w:r w:rsidR="0049577B" w:rsidRPr="00B40DC1">
        <w:t>2004年（第一</w:t>
      </w:r>
      <w:r w:rsidR="0049577B" w:rsidRPr="00B40DC1">
        <w:rPr>
          <w:lang w:eastAsia="zh-HK"/>
        </w:rPr>
        <w:t>列</w:t>
      </w:r>
      <w:r w:rsidR="0049577B" w:rsidRPr="00B40DC1">
        <w:t>）：台灣是以性剝削和強迫勞動為目的的男女人口販運的來源地、中轉地和目的地。來自中華人民共和國、泰國、柬埔寨和越南的婦女，被販運到台灣被迫從事賣淫。有些婦女被以就業或與台灣男子結婚的欺騙性允諾誘騙到台灣。台灣婦女被販賣到日本被迫賣淫。非法民工，其中大部份來自中華人民共和國，經台灣前往北美。他們當中一些人到達北美後成為受強迫的勞工。</w:t>
      </w:r>
    </w:p>
    <w:p w:rsidR="0049577B" w:rsidRDefault="00002E50" w:rsidP="00E06226">
      <w:pPr>
        <w:spacing w:line="240" w:lineRule="auto"/>
        <w:ind w:leftChars="0" w:left="0" w:rightChars="0" w:right="0"/>
      </w:pPr>
      <w:r>
        <w:t xml:space="preserve">　　</w:t>
      </w:r>
      <w:r w:rsidR="0049577B" w:rsidRPr="00B40DC1">
        <w:t>台灣當局完全達到了杜絕人口販運的最低標準。台灣認識到人口販運問題，並對防止剝削未成年者和調查人口販運案，採取了相關機關的整體行動。台灣支持相關的預防計劃，訂有對販運行為治罪的完整法律，並為販運受害者提供保護服務。</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三）</w:t>
      </w:r>
      <w:r w:rsidR="0049577B" w:rsidRPr="00B40DC1">
        <w:t>2005年（第二</w:t>
      </w:r>
      <w:r w:rsidR="0049577B" w:rsidRPr="00B40DC1">
        <w:rPr>
          <w:lang w:eastAsia="zh-HK"/>
        </w:rPr>
        <w:t>列</w:t>
      </w:r>
      <w:r w:rsidR="0049577B" w:rsidRPr="00B40DC1">
        <w:t>）：台灣主要是婦女和未成年女性人口販運的目的地，主要是來自中華人民共和國，因為性剝削目的被販運到台灣。一些來自中華人民共和國、泰國、柬埔寨和越南的販運受害者，被迫或受脅迫從事商業性的性交易，或被以就業或結婚等不實允諾誘騙到台灣。一些台灣婦女也被販運到日本，目的是性剝削。</w:t>
      </w:r>
    </w:p>
    <w:p w:rsidR="0049577B" w:rsidRPr="00B40DC1" w:rsidRDefault="00002E50" w:rsidP="00E06226">
      <w:pPr>
        <w:spacing w:line="240" w:lineRule="auto"/>
        <w:ind w:leftChars="0" w:left="0" w:rightChars="0" w:right="0"/>
      </w:pPr>
      <w:r>
        <w:t xml:space="preserve">　　</w:t>
      </w:r>
      <w:r w:rsidR="0049577B" w:rsidRPr="00B40DC1">
        <w:t>台灣當局和非政府組織正共同合作，研擬打擊人口販運的行動計劃。若干執法官員將人口販運和走私合併處理。台灣的法律將多種形式的人口販運視為犯罪，卻未能針對如何防範人口販運或保護受害者規定相關措施，不過當局仍會視情況做特殊安排。</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四）</w:t>
      </w:r>
      <w:r w:rsidR="0049577B" w:rsidRPr="00B40DC1">
        <w:t>2006年（第二</w:t>
      </w:r>
      <w:r w:rsidR="0049577B" w:rsidRPr="00B40DC1">
        <w:rPr>
          <w:lang w:eastAsia="zh-HK"/>
        </w:rPr>
        <w:t>列</w:t>
      </w:r>
      <w:r w:rsidR="0049577B" w:rsidRPr="00B40DC1">
        <w:t>觀察名單）：台灣主要是男、女和兒童為強制性勞動及性剝削而被販運的目的地。來自中華人民共和國及東南亞國家的婦女，因強制性勞動及性剝削目的被販運到台灣。有婦女和兒童，主要來自越南，透過運用假結婚、不實受雇機會及非法走私，為商業性性剝削及強制性勞動被販運到台灣。有一大部分外籍工人，主要來自越南、泰國和菲律賓，是合法招募而來，在台灣營建、捕魚或製造業從事低技術工作或擔任家務幫傭，卻在抵達台灣後，被人力仲介公司或雇主迫使從事強制性勞動或非自願勞役。</w:t>
      </w:r>
    </w:p>
    <w:p w:rsidR="0049577B" w:rsidRPr="00B40DC1" w:rsidRDefault="00002E50" w:rsidP="00E06226">
      <w:pPr>
        <w:spacing w:line="240" w:lineRule="auto"/>
        <w:ind w:leftChars="0" w:left="0" w:rightChars="0" w:right="0"/>
      </w:pPr>
      <w:r>
        <w:t xml:space="preserve">　　</w:t>
      </w:r>
      <w:r w:rsidR="0049577B" w:rsidRPr="00B40DC1">
        <w:t>台灣當局並未完全遵守杜絕人口販運的最低標準；不過他們正大事努力達到那些標準。台灣被列入第二列觀察名單，原因是雖有充分資源這麼做，但是台灣無法提出證據，顯示過去這一年曾加強努力解決人口販運問題，尤其是針對合法移入的東南亞契約工人與新娘，解決程度嚴重的強制性勞動及性奴役問題。台灣當局需要展現打擊島上人口販運問題的政治意志。台灣也應該擬訂明確的政策及行動計劃，充分涵蓋外籍勞工與新娘當中的性販運和非自願勞役。將各種形式的人口販運列為罪行的完整反人口販運立法，對懲處目前較不受法律管束的販運份子非常重要。</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五）</w:t>
      </w:r>
      <w:r w:rsidR="0049577B" w:rsidRPr="00B40DC1">
        <w:t>2007年（第二</w:t>
      </w:r>
      <w:r w:rsidR="0049577B" w:rsidRPr="00B40DC1">
        <w:rPr>
          <w:lang w:eastAsia="zh-HK"/>
        </w:rPr>
        <w:t>列</w:t>
      </w:r>
      <w:r w:rsidR="0049577B" w:rsidRPr="00B40DC1">
        <w:t>）：（入出國及移民署成立）臺灣主要是以強迫勞動和性剝削為目的而販運男人、婦女和兒童的目的地。來自中華人民共和國(中國)和東南亞國家的婦女和女童，被以假結婚、不實受雇機會及非法走私，販運到台灣，目的為商業性性剝削及強制性勞動。相當多的男女外籍勞工──主要來自越南、泰國和菲律賓──是合法聘用來臺灣從事建築、捕漁和製造等行業中的低技術性工作或充當家庭傭工，他們在到達臺灣後被迫為招聘機構或雇主從事強迫性勞動或非自願勞役。</w:t>
      </w:r>
    </w:p>
    <w:p w:rsidR="0049577B" w:rsidRPr="00B40DC1" w:rsidRDefault="00002E50" w:rsidP="00E06226">
      <w:pPr>
        <w:spacing w:line="240" w:lineRule="auto"/>
        <w:ind w:leftChars="0" w:left="0" w:rightChars="0" w:right="0"/>
      </w:pPr>
      <w:r>
        <w:t xml:space="preserve">　　</w:t>
      </w:r>
      <w:r w:rsidR="0049577B" w:rsidRPr="00B40DC1">
        <w:t>臺灣當局沒有完全達到取締人口販運的最低標準；但是，他們在這方面正在做出顯著努力。雖然臺灣的人口販運問題仍然非常嚴重，但臺灣當局過去一年在處理性剝削和勞工剝削方面取得明顯進展。臺灣制訂了第一個涵蓋一切形式人口販運的廣泛行動計劃，並組成一個跨部會委員會，與非政府組織共同協調落實這個計劃。</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六）</w:t>
      </w:r>
      <w:r w:rsidR="0049577B" w:rsidRPr="00B40DC1">
        <w:t>2008年（第二</w:t>
      </w:r>
      <w:r w:rsidR="0049577B" w:rsidRPr="00B40DC1">
        <w:rPr>
          <w:lang w:eastAsia="zh-HK"/>
        </w:rPr>
        <w:t>列</w:t>
      </w:r>
      <w:r w:rsidR="0049577B" w:rsidRPr="00B40DC1">
        <w:t>）：臺灣主要是以強迫勞動和性剝削為目的而販運男、女及兒童的目的地。臺灣也是被販運至日本、澳洲、英國和美國的婦女的來源。來自中華人民共和國（中國）和東南亞國家的婦女和女童，經由假結婚、不實受雇機會及非法走私，被販運到臺灣，以進行性剝削及強制勞動。許多人口販運的受害者是來自越南、泰國、印尼和菲律賓鄉村地區的勞工，透過招聘機構及仲介掮客被雇用，在臺灣的建築、捕漁和製造業從事低技術性工作，或充當家庭傭工。</w:t>
      </w:r>
    </w:p>
    <w:p w:rsidR="0049577B" w:rsidRPr="00B40DC1" w:rsidRDefault="0049577B" w:rsidP="00E06226">
      <w:pPr>
        <w:spacing w:line="240" w:lineRule="auto"/>
        <w:ind w:leftChars="0" w:left="0" w:rightChars="0" w:right="0"/>
      </w:pPr>
      <w:r w:rsidRPr="00B40DC1">
        <w:t>臺灣當局未能完全符合消除人口販運的最低標準；但是當局正十分努力於達到這些標準。在本報告期間台灣當局有明顯的進步，包括加強調查與起訴人口販運案件；通過台灣</w:t>
      </w:r>
      <w:hyperlink r:id="rId719" w:history="1">
        <w:r w:rsidR="00E06828" w:rsidRPr="00461F58">
          <w:rPr>
            <w:rStyle w:val="a7"/>
            <w:rFonts w:cs="Times New Roman"/>
            <w:lang w:eastAsia="zh-TW" w:bidi="ar-SA"/>
          </w:rPr>
          <w:t>移民法</w:t>
        </w:r>
      </w:hyperlink>
      <w:r w:rsidRPr="00B40DC1">
        <w:t>修正案，大幅強化對人口販運受害者的法律保護；並為保護受害者措施通過一千兩百六十萬美元的預算案。</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七）</w:t>
      </w:r>
      <w:r w:rsidR="0049577B" w:rsidRPr="00B40DC1">
        <w:t>2009年（第二</w:t>
      </w:r>
      <w:r w:rsidR="0049577B" w:rsidRPr="00B40DC1">
        <w:rPr>
          <w:lang w:eastAsia="zh-HK"/>
        </w:rPr>
        <w:t>列</w:t>
      </w:r>
      <w:r w:rsidR="0049577B" w:rsidRPr="00B40DC1">
        <w:t>）：台灣主要是以強迫勞動和性剝削為目的而販運的男、女及兒童的目的地。雖並不多見，但台灣也是被販運至日本、澳洲、英國和美國進行性剝削和強迫勞動的婦女的來源地；它同時也是中華人民共和國（中國）人民企圖非法入境美國的轉運地，其中有部份有可能成為不當債務約束和強迫賣淫的被害人。大多數人口販運的被害人是來自越南、泰國、印尼和菲律賓鄉村地區的勞工，透過招聘機構及仲介掮客被雇用，在台灣的建築、捕漁和製造業從事低技術性工作，或充當家庭傭工。</w:t>
      </w:r>
    </w:p>
    <w:p w:rsidR="0049577B" w:rsidRPr="00B40DC1" w:rsidRDefault="00002E50" w:rsidP="00E06226">
      <w:pPr>
        <w:spacing w:line="240" w:lineRule="auto"/>
        <w:ind w:leftChars="0" w:left="0" w:rightChars="0" w:right="0"/>
      </w:pPr>
      <w:r>
        <w:t xml:space="preserve">　　</w:t>
      </w:r>
      <w:r w:rsidR="0049577B" w:rsidRPr="00B40DC1">
        <w:t>台灣當局未能完全符合消除人口販運的最低標準；但是當局正十分努力於達到這些標準。在本報告期間，台灣當局有明顯的進步，包括通過新的防制人口販運專法、積極支持執法上的作為，並核撥一千四百八十萬美元的預算來強化人口販運被害人的保護措施。有關當局亦提供執法人員、社工和司法人員相關的訓練，並強化偵辦技巧和提升對人口販運、被害人保護與有關法律議題的了解。</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八）</w:t>
      </w:r>
      <w:r w:rsidR="0049577B" w:rsidRPr="00B40DC1">
        <w:t>2010年（第一</w:t>
      </w:r>
      <w:r w:rsidR="0049577B" w:rsidRPr="00B40DC1">
        <w:rPr>
          <w:lang w:eastAsia="zh-HK"/>
        </w:rPr>
        <w:t>列</w:t>
      </w:r>
      <w:r w:rsidR="0049577B" w:rsidRPr="00B40DC1">
        <w:t>）：台灣主要是以強迫賣淫和強迫勞動為目的而販運的男、女及兒童的目的地。雖並不多見，但也是以強迫賣淫和勞動為目的而販運的男、女及兒童的來源地和過境站。台灣大多數人口販運的被害人是來自越南、泰國、印尼和菲律賓的勞工，透過招聘機構及仲介掮客被雇用，在台灣的製造業從事低技術性工作，或充當家庭看護和家庭傭工。</w:t>
      </w:r>
    </w:p>
    <w:p w:rsidR="0049577B" w:rsidRPr="00B40DC1" w:rsidRDefault="00002E50" w:rsidP="00E06226">
      <w:pPr>
        <w:spacing w:line="240" w:lineRule="auto"/>
        <w:ind w:leftChars="0" w:left="0" w:rightChars="0" w:right="0"/>
      </w:pPr>
      <w:r>
        <w:t xml:space="preserve">　　</w:t>
      </w:r>
      <w:r w:rsidR="0049577B" w:rsidRPr="00B40DC1">
        <w:t>台灣當局完全符合消除人口販運之最低標準，並鑑別出329名人口販運之被害人，並提供被害人工作許可，讓他們可以一邊賺錢，一邊協助起訴加害他們之人口販運罪犯。台灣應該加強對性剝削與勞動販運罪犯之起訴。當局應針對2009年</w:t>
      </w:r>
      <w:hyperlink r:id="rId720" w:history="1">
        <w:r w:rsidR="00C2607C" w:rsidRPr="00C2607C">
          <w:rPr>
            <w:rStyle w:val="a7"/>
            <w:rFonts w:cs="Times New Roman"/>
            <w:lang w:eastAsia="zh-TW" w:bidi="ar-SA"/>
          </w:rPr>
          <w:t>人口販運防制法</w:t>
        </w:r>
      </w:hyperlink>
      <w:r w:rsidR="0049577B" w:rsidRPr="00B40DC1">
        <w:t>，持續訓練執法官員、檢察官和法官，並根據此法大大加強對性剝削與勞動販運之調查、起訴和定罪。</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九）</w:t>
      </w:r>
      <w:r w:rsidR="0049577B" w:rsidRPr="00B40DC1">
        <w:t>2011年（第一</w:t>
      </w:r>
      <w:r w:rsidR="0049577B" w:rsidRPr="00B40DC1">
        <w:rPr>
          <w:lang w:eastAsia="zh-HK"/>
        </w:rPr>
        <w:t>列</w:t>
      </w:r>
      <w:r w:rsidR="0049577B" w:rsidRPr="00B40DC1">
        <w:t>）：台灣主要是以強迫賣淫和強迫勞動為目的而販運的男、女、及兒童的目的地。雖並不多見，但也是以強迫賣淫和勞動為目的而販運的男、女、及兒童的來源地和過境站。台灣大多數人口販運的被害人是來自越南、泰國、印尼、中國大陸、柬埔寨、菲律賓、孟加拉、和印度的勞工，透過招聘機構及仲介掮客被雇用，在台灣的製造業和漁業從事低技術性工作，或充當家庭看護和家庭傭工。台灣也是中國公民非法入境美國之過境站，這些中國公民在美國很可能會成為債務與被迫賣淫之被害人。</w:t>
      </w:r>
    </w:p>
    <w:p w:rsidR="0049577B" w:rsidRPr="00B40DC1" w:rsidRDefault="00002E50" w:rsidP="00E06226">
      <w:pPr>
        <w:spacing w:line="240" w:lineRule="auto"/>
        <w:ind w:leftChars="0" w:left="0" w:rightChars="0" w:right="0"/>
      </w:pPr>
      <w:r>
        <w:t xml:space="preserve">　　</w:t>
      </w:r>
      <w:r w:rsidR="0049577B" w:rsidRPr="00B40DC1">
        <w:t>台灣當局完全符合消除人口販運的最低標準。在本報告期間，台灣當局持續起訴並懲罰人口販運犯罪，其中包括強迫勞動和強迫賣淫。此外，政府也維持強力的被害人保護作為，持續訓練執法人員和其他政府官員，並提升公眾對人口販運犯罪的認識。</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十）</w:t>
      </w:r>
      <w:r w:rsidR="0049577B" w:rsidRPr="00B40DC1">
        <w:t>2012年（第一</w:t>
      </w:r>
      <w:r w:rsidR="0049577B" w:rsidRPr="00B40DC1">
        <w:rPr>
          <w:lang w:eastAsia="zh-HK"/>
        </w:rPr>
        <w:t>列</w:t>
      </w:r>
      <w:r w:rsidR="0049577B" w:rsidRPr="00B40DC1">
        <w:t>）：台灣主要是以性販運和強迫勞動為目的而販運之男、女及兒童之目的地；再者，亦是少數以性販運和強迫勞動為目的而販運男、女及兒童之來源地和過境站。台灣大多數人口販運之被害人是來自越南、泰國、印尼、中國大陸、柬埔寨、菲律賓、孟加拉、和印度之勞工，透過招聘機構及仲介掮客被僱用，在台灣之製造業和漁業從事低技術性工作，或充當家庭看護和家庭傭工，部分來自中國和東南亞國家之婦女與女童，因為假結婚或不實受雇機會而受騙來台，實則從事性販運或強迫勞動。</w:t>
      </w:r>
    </w:p>
    <w:p w:rsidR="0049577B" w:rsidRPr="00B40DC1" w:rsidRDefault="00002E50" w:rsidP="00E06226">
      <w:pPr>
        <w:spacing w:line="240" w:lineRule="auto"/>
        <w:ind w:leftChars="0" w:left="0" w:rightChars="0" w:right="0"/>
      </w:pPr>
      <w:r>
        <w:t xml:space="preserve">　　</w:t>
      </w:r>
      <w:r w:rsidR="0049577B" w:rsidRPr="00B40DC1">
        <w:t>台灣當局完全符合消除人口販運的最低標準。在本報告期間，台灣當局持續對販運罪進行起訴和懲罰，其中包括強迫勞動和強迫賣淫。此外，當局並持續改善保護被害人的相關作為，訓練執法人員和其他政府官員，並提升公眾對於人口販運犯罪的認識。</w:t>
      </w:r>
    </w:p>
    <w:p w:rsidR="0049577B" w:rsidRPr="00B40DC1" w:rsidRDefault="00002E50" w:rsidP="00E06226">
      <w:pPr>
        <w:spacing w:line="240" w:lineRule="auto"/>
        <w:ind w:leftChars="0" w:left="0" w:rightChars="0" w:right="0"/>
      </w:pPr>
      <w:r>
        <w:t xml:space="preserve">　　</w:t>
      </w:r>
      <w:r w:rsidR="0049577B" w:rsidRPr="00B40DC1">
        <w:t>（</w:t>
      </w:r>
      <w:r w:rsidR="0049577B" w:rsidRPr="00B40DC1">
        <w:rPr>
          <w:lang w:eastAsia="zh-HK"/>
        </w:rPr>
        <w:t>十一）</w:t>
      </w:r>
      <w:r w:rsidR="0049577B" w:rsidRPr="00B40DC1">
        <w:t>2013年（第一</w:t>
      </w:r>
      <w:r w:rsidR="0049577B" w:rsidRPr="00B40DC1">
        <w:rPr>
          <w:lang w:eastAsia="zh-HK"/>
        </w:rPr>
        <w:t>列</w:t>
      </w:r>
      <w:r w:rsidR="0049577B" w:rsidRPr="00B40DC1">
        <w:t>）：台灣是以性販運和強迫勞動為目的而被販運之男女及兒童之目的地；再者，亦是少數以性販運和強迫勞動為目的而被販運之男、女及兒童之來源地和過境站。台灣大多數人口販運之被害人，係來自越南、泰國、印尼、中國大陸、柬埔寨、菲律賓、孟加拉、和印度之勞工，透過招聘機構及仲介掮客被僱用，在台灣營造業和漁業界，從事低技術工作，或充當家庭看護和家庭幫傭。部分來自中國大陸和東南亞國家之婦女與女童，因為假結婚或不實受雇機會而受騙來台，實則進行性販運或強迫勞動。</w:t>
      </w:r>
    </w:p>
    <w:p w:rsidR="0049577B" w:rsidRPr="00B40DC1" w:rsidRDefault="00002E50" w:rsidP="00E06226">
      <w:pPr>
        <w:spacing w:line="240" w:lineRule="auto"/>
        <w:ind w:leftChars="0" w:left="0" w:rightChars="0" w:right="0"/>
      </w:pPr>
      <w:r>
        <w:t xml:space="preserve">　　</w:t>
      </w:r>
      <w:r w:rsidR="0049577B" w:rsidRPr="00B40DC1">
        <w:t>台灣當局完全符合消除人口販運的最低標準。在本報告年度內，台灣當局持續對包括強迫勞動和強迫賣淫在內的販運罪行，進行強而有力且公開透明的起訴。此外，當局並持續改善保護被害人的相關作為，訓練執法人員和其他政府官員，並提升公眾對於人口販運犯罪的認識。</w:t>
      </w:r>
    </w:p>
    <w:p w:rsidR="0049577B" w:rsidRPr="00B40DC1" w:rsidRDefault="00002E50" w:rsidP="00E06226">
      <w:pPr>
        <w:spacing w:line="240" w:lineRule="auto"/>
        <w:ind w:leftChars="0" w:left="0" w:rightChars="0" w:right="0"/>
        <w:rPr>
          <w:lang w:eastAsia="zh-HK"/>
        </w:rPr>
      </w:pPr>
      <w:r>
        <w:t xml:space="preserve">　　</w:t>
      </w:r>
      <w:r w:rsidR="0049577B" w:rsidRPr="00B40DC1">
        <w:t>（</w:t>
      </w:r>
      <w:r w:rsidR="0049577B" w:rsidRPr="00B40DC1">
        <w:rPr>
          <w:lang w:eastAsia="zh-HK"/>
        </w:rPr>
        <w:t>十二）</w:t>
      </w:r>
      <w:r w:rsidR="0049577B" w:rsidRPr="00B40DC1">
        <w:t>2014</w:t>
      </w:r>
      <w:r w:rsidR="0049577B" w:rsidRPr="00B40DC1">
        <w:rPr>
          <w:lang w:eastAsia="zh-HK"/>
        </w:rPr>
        <w:t>年（第一列）：台灣是以強迫勞動和性販運為目的而被販運的男女及兒童的目的地；雖並不多見，但也是遭到性販運的女性來源地。台灣大多數人口販運的被害人來自印尼、中國大陸、菲律賓、柬埔寨、泰國、越南，少數來自孟加拉和印度。50萬人左右的外籍勞工多數透過招聘機構及仲介掮客被雇用，在台灣的製造業、營造業、和漁業從事低技術工作，或充當家庭看護和家庭幫傭。許多這類外籍勞工在其母國受迫於仲介，有些仲介持有台灣護照，或者在台灣受迫於雇主，成為勞動販運的被害人。</w:t>
      </w:r>
    </w:p>
    <w:p w:rsidR="0049577B" w:rsidRPr="00B40DC1" w:rsidRDefault="00002E50" w:rsidP="00E06226">
      <w:pPr>
        <w:spacing w:line="240" w:lineRule="auto"/>
        <w:ind w:leftChars="0" w:left="0" w:rightChars="0" w:right="0"/>
        <w:rPr>
          <w:lang w:eastAsia="zh-HK"/>
        </w:rPr>
      </w:pPr>
      <w:r>
        <w:rPr>
          <w:lang w:eastAsia="zh-HK"/>
        </w:rPr>
        <w:t xml:space="preserve">　　</w:t>
      </w:r>
      <w:r w:rsidR="0049577B" w:rsidRPr="00B40DC1">
        <w:rPr>
          <w:lang w:eastAsia="zh-HK"/>
        </w:rPr>
        <w:t>台灣當局完全符合消除人口販運的最低標準。在本報告年度內，台灣當局持續對包括強迫勞動和強迫賣淫在內的販運罪行進行起訴。當局訓練了執法人員和其他政府官員，並提升公眾對於人口販運犯罪的認識。雖自2009年起即有永久居留簽證的存在，但是當局並未發給任何人口販運受害者永久居留簽證，而是持續在受審結束後將所有人口販運受害者遣送回國。即使在台灣籍漁船上出現了勞動販運的指控，當局並未起訴那些被指控的勞動販運者。</w:t>
      </w:r>
    </w:p>
    <w:p w:rsidR="0049577B" w:rsidRPr="00B40DC1" w:rsidRDefault="00002E50" w:rsidP="00E06226">
      <w:pPr>
        <w:spacing w:line="240" w:lineRule="auto"/>
        <w:ind w:leftChars="0" w:left="0" w:rightChars="0" w:right="0"/>
        <w:rPr>
          <w:lang w:eastAsia="zh-HK"/>
        </w:rPr>
      </w:pPr>
      <w:r>
        <w:rPr>
          <w:lang w:eastAsia="zh-HK"/>
        </w:rPr>
        <w:t xml:space="preserve">　　</w:t>
      </w:r>
      <w:r w:rsidR="0049577B" w:rsidRPr="00B40DC1">
        <w:rPr>
          <w:lang w:eastAsia="zh-HK"/>
        </w:rPr>
        <w:t>（十三）</w:t>
      </w:r>
      <w:r w:rsidR="0049577B" w:rsidRPr="00B40DC1">
        <w:t>2015</w:t>
      </w:r>
      <w:r w:rsidR="0049577B" w:rsidRPr="00B40DC1">
        <w:rPr>
          <w:lang w:eastAsia="zh-HK"/>
        </w:rPr>
        <w:t>年（第一列）：台灣是勞力剝削和性販運受害男女及兒童被送往的目的地；雖較為少見，但也有一些勞力剝削和性販運的被害人來自台灣。台灣的人口販運被害人多數是來自印尼、菲律賓、泰國、和越南的外籍勞工，少數來自中國大陸和柬埔寨。台灣逾55萬的外籍勞工多數透過招聘機構及仲介掮客在母國被僱用，有些招聘機構和仲介掮客是來自台灣，招攬這些外籍勞工來台在農漁業、製造業、和營造業從事低技術工作，或充當家庭看護和家庭幫傭。</w:t>
      </w:r>
    </w:p>
    <w:p w:rsidR="0049577B" w:rsidRPr="00B40DC1" w:rsidRDefault="00002E50" w:rsidP="00E06226">
      <w:pPr>
        <w:spacing w:line="240" w:lineRule="auto"/>
        <w:ind w:leftChars="0" w:left="0" w:rightChars="0" w:right="0"/>
        <w:rPr>
          <w:lang w:eastAsia="zh-HK"/>
        </w:rPr>
      </w:pPr>
      <w:r>
        <w:rPr>
          <w:lang w:eastAsia="zh-HK"/>
        </w:rPr>
        <w:t xml:space="preserve">　　</w:t>
      </w:r>
      <w:r w:rsidR="0049577B" w:rsidRPr="00B40DC1">
        <w:rPr>
          <w:lang w:eastAsia="zh-HK"/>
        </w:rPr>
        <w:t>台灣當局完全符合消除人口販運的最低標準。在本報告期間，台灣當局持續對包括勞力剝削和性販運在內的販運罪行進行起訴，針對人口販運的指標加強訓練執法人員和其他政府官員，並提升公眾對於人口販運犯罪的認識。當局並未就發生在台灣漁船上的人口販運情節進行逮捕或定罪。檢察官和法官對於人口販運犯罪的認識仍然有限，對於人口販運犯罪的警覺和判別仍不足。</w:t>
      </w:r>
    </w:p>
    <w:p w:rsidR="0049577B" w:rsidRPr="00B40DC1" w:rsidRDefault="00002E50" w:rsidP="00E06226">
      <w:pPr>
        <w:spacing w:line="240" w:lineRule="auto"/>
        <w:ind w:leftChars="0" w:left="0" w:rightChars="0" w:right="0"/>
        <w:rPr>
          <w:lang w:eastAsia="zh-HK"/>
        </w:rPr>
      </w:pPr>
      <w:r>
        <w:rPr>
          <w:lang w:eastAsia="zh-HK"/>
        </w:rPr>
        <w:t xml:space="preserve">　　</w:t>
      </w:r>
      <w:r w:rsidR="0049577B" w:rsidRPr="00B40DC1">
        <w:rPr>
          <w:lang w:eastAsia="zh-HK"/>
        </w:rPr>
        <w:t>（十四）</w:t>
      </w:r>
      <w:r w:rsidR="0049577B" w:rsidRPr="00B40DC1">
        <w:t>2016</w:t>
      </w:r>
      <w:r w:rsidR="0049577B" w:rsidRPr="00B40DC1">
        <w:rPr>
          <w:lang w:eastAsia="zh-HK"/>
        </w:rPr>
        <w:t>年（第一列）：台灣是強迫勞動和性販運受害男女被送往的目的地；雖較為少見，但也有一些強迫勞動的受害男女以及性販運的受害婦女和兒童來自台灣。台灣的人口販運被害人大多是來自印尼、菲律賓、泰國、和越南的外籍勞工，少數來自中國和柬埔寨。台灣逾587,000名的外籍勞工多數透過招聘機構及仲介掮客在母國被僱用，有些招聘機構和仲介掮客是來自台灣，招攬這些外籍勞工來台從事低技術工作，如充當家庭看護和家庭幫傭，或從事農漁業、製造業、和營造業。</w:t>
      </w:r>
    </w:p>
    <w:p w:rsidR="0049577B" w:rsidRPr="00B40DC1" w:rsidRDefault="00002E50" w:rsidP="00E06226">
      <w:pPr>
        <w:spacing w:line="240" w:lineRule="auto"/>
        <w:ind w:leftChars="0" w:left="0" w:rightChars="0" w:right="0"/>
        <w:rPr>
          <w:lang w:eastAsia="zh-HK"/>
        </w:rPr>
      </w:pPr>
      <w:r>
        <w:rPr>
          <w:lang w:eastAsia="zh-HK"/>
        </w:rPr>
        <w:t xml:space="preserve">　　</w:t>
      </w:r>
      <w:r w:rsidR="0049577B" w:rsidRPr="00B40DC1">
        <w:rPr>
          <w:lang w:eastAsia="zh-HK"/>
        </w:rPr>
        <w:t>台灣當局完全符合消除人口販運問題的最低標準。在本報告期間，當局持續起訴包括強迫勞動和性販運在內的販運罪行；針對人口販運的指標訓練執法人員和其他官員；讓直接聘僱的系統更為普及；針對外籍漁工在台灣漁船上遭到販運的案例，頒布跨部會的處理程序；以及提升公眾對於人口販運犯罪的認識。然而當局並未就發生在台灣漁船上的人口販運情節進行逮捕或定罪。對於很多可能涉及人口販運的案子，檢察官和法官依然未將其視為嚴重的犯罪，最後的判刑也過輕。</w:t>
      </w:r>
    </w:p>
    <w:p w:rsidR="0049577B" w:rsidRPr="00B40DC1" w:rsidRDefault="00002E50" w:rsidP="00E06226">
      <w:pPr>
        <w:spacing w:line="240" w:lineRule="auto"/>
        <w:ind w:leftChars="0" w:left="0" w:rightChars="0" w:right="0"/>
        <w:rPr>
          <w:lang w:eastAsia="zh-HK"/>
        </w:rPr>
      </w:pPr>
      <w:r>
        <w:rPr>
          <w:lang w:eastAsia="zh-HK"/>
        </w:rPr>
        <w:t xml:space="preserve">　　</w:t>
      </w:r>
      <w:r w:rsidR="0049577B" w:rsidRPr="00B40DC1">
        <w:rPr>
          <w:lang w:eastAsia="zh-HK"/>
        </w:rPr>
        <w:t>（十五）</w:t>
      </w:r>
      <w:r w:rsidR="0049577B" w:rsidRPr="00B40DC1">
        <w:t>2017</w:t>
      </w:r>
      <w:r w:rsidR="0049577B" w:rsidRPr="00B40DC1">
        <w:rPr>
          <w:lang w:eastAsia="zh-HK"/>
        </w:rPr>
        <w:t>年（第一列）：台灣當局完全符合消除人口販運問題的最低標準。在本報告期間，當局持續展現認真不懈的努力，讓台灣保持在第一列。台灣當局展現的努力包括指揮134件人口販運的調查，其中包含外籍漁工的案件，並將56名人口販運罪犯定罪。當局鑑別了263名人口販運被害人，為他們提供庇護和其他被害人服務，並頒布新法，規定海外僱用的外籍漁工之定型化契約及福利待遇。雖然台灣當局符合最低標準，法官對許多案件的判刑對於所犯罪行而言過輕，難以嚇阻犯罪，同時也削弱檢警的相關努力。當局有時視勞動販運的案件為勞資糾紛，因此未將發生在台灣籍漁船上的外籍漁工剝削案定罪。</w:t>
      </w:r>
    </w:p>
    <w:p w:rsidR="0049577B" w:rsidRPr="00B40DC1" w:rsidRDefault="00002E50" w:rsidP="00E06226">
      <w:pPr>
        <w:spacing w:line="240" w:lineRule="auto"/>
        <w:ind w:leftChars="0" w:left="0" w:rightChars="0" w:right="0"/>
      </w:pPr>
      <w:r>
        <w:t xml:space="preserve">　　</w:t>
      </w:r>
      <w:r w:rsidR="0049577B" w:rsidRPr="00B40DC1">
        <w:t>綜合以上之相關文獻，台灣近年來在人口販運防制之成效，在國際上是受到肯定，且</w:t>
      </w:r>
      <w:r w:rsidR="0049577B" w:rsidRPr="00B40DC1">
        <w:rPr>
          <w:lang w:eastAsia="zh-HK"/>
        </w:rPr>
        <w:t>自2010年以來，</w:t>
      </w:r>
      <w:r w:rsidR="0049577B" w:rsidRPr="00B40DC1">
        <w:t>已經連續8年經TVPR評比為第一</w:t>
      </w:r>
      <w:r w:rsidR="0049577B" w:rsidRPr="00B40DC1">
        <w:rPr>
          <w:lang w:eastAsia="zh-HK"/>
        </w:rPr>
        <w:t>列</w:t>
      </w:r>
      <w:r w:rsidR="0049577B" w:rsidRPr="00002E50">
        <w:rPr>
          <w:rStyle w:val="af7"/>
          <w:rFonts w:eastAsia="新細明體"/>
          <w:sz w:val="20"/>
        </w:rPr>
        <w:footnoteReference w:id="641"/>
      </w:r>
      <w:r w:rsidR="0049577B" w:rsidRPr="00B40DC1">
        <w:t>。不過，就美國之評比報告內容觀察，台灣在2004年時被評認為人口販運之來源地，同時也是中轉地、目的地；在經過了10</w:t>
      </w:r>
      <w:r w:rsidR="0049577B" w:rsidRPr="00B40DC1">
        <w:rPr>
          <w:lang w:eastAsia="zh-HK"/>
        </w:rPr>
        <w:t>多</w:t>
      </w:r>
      <w:r w:rsidR="0049577B" w:rsidRPr="00B40DC1">
        <w:t>年之努力，最近幾年仍被評認為性販運和強迫勞動為目的而被販運之男女及兒童之目的地。此外，台灣仍是少數以性販運和強迫勞動為目的，而被販運之男、女及兒童之來源地和過境站，而其被害人之來源國（地區）之一即為大陸地區；另</w:t>
      </w:r>
      <w:r w:rsidR="0049577B" w:rsidRPr="00B40DC1">
        <w:rPr>
          <w:lang w:eastAsia="zh-HK"/>
        </w:rPr>
        <w:t>從歷年之報告中</w:t>
      </w:r>
      <w:r w:rsidR="0049577B" w:rsidRPr="00B40DC1">
        <w:t>，台灣亦被美國評認為是大陸人民非法入境美國之過境站，且美國亦認為渠等大陸人民在美國很可能會成為債務與被迫賣淫之被害人。</w:t>
      </w:r>
    </w:p>
    <w:p w:rsidR="0049577B" w:rsidRDefault="0049577B" w:rsidP="00E06226">
      <w:pPr>
        <w:spacing w:line="240" w:lineRule="auto"/>
        <w:ind w:leftChars="0" w:left="0" w:rightChars="0" w:right="0"/>
      </w:pPr>
      <w:r w:rsidRPr="00B40DC1">
        <w:t>可見在國際社會之認知上，台灣對於大陸人民來台之安全管理仍然有很大之加強空間，對於入境台灣之大陸人民，如何確實審認其身分，瞭解來台動機，避免讓台灣被國際社會認為是人口販運之目的地與中轉地，除了在現行審核機制上再加強外，若能從源頭安全管理著手，確實達到阻絕非法於境外，相信可以有效降低非法來台之大陸人民人數，亦可在國際社會上，更獲佳評。</w:t>
      </w:r>
    </w:p>
    <w:p w:rsidR="00002E50" w:rsidRPr="00B40DC1" w:rsidRDefault="004D607D" w:rsidP="001775C3">
      <w:pPr>
        <w:jc w:val="right"/>
      </w:pPr>
      <w:r w:rsidRPr="004D607D">
        <w:rPr>
          <w:rFonts w:hint="eastAsia"/>
          <w:sz w:val="20"/>
        </w:rPr>
        <w:t>。。。。。。。。。。。。。</w:t>
      </w:r>
      <w:hyperlink w:anchor="a6b6" w:history="1">
        <w:r w:rsidRPr="004D607D">
          <w:rPr>
            <w:rStyle w:val="a7"/>
            <w:sz w:val="22"/>
            <w:lang w:eastAsia="zh-TW"/>
          </w:rPr>
          <w:t>回本章</w:t>
        </w:r>
      </w:hyperlink>
      <w:r w:rsidRPr="004D607D">
        <w:rPr>
          <w:color w:val="808000"/>
          <w:sz w:val="18"/>
        </w:rPr>
        <w:t>〉〉</w:t>
      </w:r>
      <w:hyperlink w:anchor="a目次6"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pPr>
      <w:bookmarkStart w:id="162" w:name="_陸、兩岸互設辦事處進行源頭安全管理可行性之初探"/>
      <w:bookmarkEnd w:id="162"/>
      <w:r w:rsidRPr="00B40DC1">
        <w:t>陸、兩岸互設辦事處進行源頭安全管理可行性之初探</w:t>
      </w:r>
    </w:p>
    <w:p w:rsidR="0049577B" w:rsidRPr="00002E50" w:rsidRDefault="0049577B" w:rsidP="001775C3">
      <w:pPr>
        <w:pStyle w:val="3"/>
        <w:rPr>
          <w:lang w:eastAsia="zh-TW"/>
        </w:rPr>
      </w:pPr>
      <w:bookmarkStart w:id="163" w:name="_一、兩岸互設辦事處之緣起與發展進程"/>
      <w:bookmarkEnd w:id="163"/>
      <w:r w:rsidRPr="00002E50">
        <w:rPr>
          <w:lang w:eastAsia="zh-TW"/>
        </w:rPr>
        <w:t>一、兩岸互設辦事處之緣起與發展進程</w:t>
      </w:r>
    </w:p>
    <w:p w:rsidR="0049577B" w:rsidRPr="00B40DC1" w:rsidRDefault="00002E50" w:rsidP="00881F68">
      <w:pPr>
        <w:spacing w:line="240" w:lineRule="auto"/>
        <w:ind w:leftChars="0" w:left="0" w:rightChars="0" w:right="0"/>
      </w:pPr>
      <w:r w:rsidRPr="00002E50">
        <w:t xml:space="preserve">　　</w:t>
      </w:r>
      <w:r w:rsidR="0049577B" w:rsidRPr="00002E50">
        <w:t>在大陸地區設置辦事處，派員於境外審發入出境許可證，乃能達到最佳源頭管理之作為，但是因為政治關係使然，兩岸之間若想比照在外國設置駐外館處核發簽證之模式，確實有所困難，因為台灣與大陸地區並不適用國際關係規範，在法律上之定位，乃地區與地區之關係，所以若想設立辦事處，其功能定位究竟為何，是很</w:t>
      </w:r>
      <w:r w:rsidR="0049577B" w:rsidRPr="00B40DC1">
        <w:t>值得探討之問題。然而，大陸前海協會會長陳雲林先生，在2013年1月時，即提出欲在1年內，爭取互設兩會辦事處之議題，其設立之宗旨則在於服務民眾</w:t>
      </w:r>
      <w:r w:rsidR="0049577B" w:rsidRPr="00002E50">
        <w:rPr>
          <w:rStyle w:val="af7"/>
          <w:rFonts w:eastAsia="新細明體"/>
          <w:sz w:val="20"/>
        </w:rPr>
        <w:footnoteReference w:id="642"/>
      </w:r>
      <w:r w:rsidR="0049577B" w:rsidRPr="00B40DC1">
        <w:t>。在陸方拋出了此一議題之後，兩岸官方對於互設辦事處之作業亦隨即展開。至2013年4月11日，行政院根據兩岸人民關係條例</w:t>
      </w:r>
      <w:hyperlink r:id="rId721" w:anchor="b6" w:history="1">
        <w:r w:rsidR="0049577B" w:rsidRPr="002E4FE0">
          <w:rPr>
            <w:rStyle w:val="a7"/>
            <w:rFonts w:cs="Times New Roman"/>
            <w:lang w:eastAsia="zh-TW" w:bidi="ar-SA"/>
          </w:rPr>
          <w:t>第6條</w:t>
        </w:r>
      </w:hyperlink>
      <w:r w:rsidR="0049577B" w:rsidRPr="00B40DC1">
        <w:t>規定，通過了「大陸地區處理兩岸人民往來事務機關在台灣地區設立分支機構條例」，為兩岸互設辦事處奠定之法源依據，陸委員副主委張顯耀先生亦表示，兩岸兩會互設分支機構仍積極爭取辦證功能，雙方已同意即日起展開業務溝通，但何時完成協商，我方並沒有時間表</w:t>
      </w:r>
      <w:r w:rsidR="0049577B" w:rsidRPr="00002E50">
        <w:rPr>
          <w:rStyle w:val="af7"/>
          <w:rFonts w:eastAsia="新細明體"/>
          <w:sz w:val="20"/>
        </w:rPr>
        <w:footnoteReference w:id="643"/>
      </w:r>
      <w:r w:rsidR="0049577B" w:rsidRPr="00B40DC1">
        <w:t>，此亦正式推翻陳雲林先生先前所提，年內完成之主張；至2013年5月，吳美紅女士（時為陸委會主任秘書兼發言人）亦在媒體上公開表示</w:t>
      </w:r>
      <w:r w:rsidR="0049577B" w:rsidRPr="00002E50">
        <w:rPr>
          <w:rStyle w:val="af7"/>
          <w:rFonts w:eastAsia="新細明體"/>
          <w:sz w:val="20"/>
        </w:rPr>
        <w:footnoteReference w:id="644"/>
      </w:r>
      <w:r w:rsidR="0049577B" w:rsidRPr="00B40DC1">
        <w:t>，兩岸兩會已就互設辦事處主要業務功能交換意見清單，提供經貿、旅遊、文化、教育、社會等各項協助與服務，至於在辦理旅行證件服務方面，雙方將會深入討論，另人道探視之問題，涉及雙方內部法律問題，仍有歧視，尚需溝通。</w:t>
      </w:r>
    </w:p>
    <w:p w:rsidR="0049577B" w:rsidRPr="00B40DC1" w:rsidRDefault="00002E50" w:rsidP="00881F68">
      <w:pPr>
        <w:spacing w:line="240" w:lineRule="auto"/>
        <w:ind w:leftChars="0" w:left="0" w:rightChars="0" w:right="0"/>
      </w:pPr>
      <w:r>
        <w:t xml:space="preserve">　　</w:t>
      </w:r>
      <w:r w:rsidR="0049577B" w:rsidRPr="00B40DC1">
        <w:t>從海、陸雙方在媒體上之發言內容觀察，兩岸對於互設辦事機構確實有其推動之共識，但是對於辦事機構之性質、功能及立場，仍存有許有需要溝通之問題點，尤其在本文主要探討之發證功能上，似乎沒有共識，因為大陸地區核發台灣之入出境許可證，若解讀為簽證之性質，則屬於國家主權之行使，大陸方面，是不可能同意之，雙方欲化解雙方之歧見，恐非短期內可以達成之目標。因此，原先海、</w:t>
      </w:r>
      <w:smartTag w:uri="urn:schemas-microsoft-com:office:smarttags" w:element="chmetcnv">
        <w:smartTagPr>
          <w:attr w:name="TCSC" w:val="2"/>
          <w:attr w:name="NumberType" w:val="6"/>
          <w:attr w:name="Negative" w:val="False"/>
          <w:attr w:name="HasSpace" w:val="False"/>
          <w:attr w:name="SourceValue" w:val="6"/>
          <w:attr w:name="UnitName" w:val="兩"/>
        </w:smartTagPr>
        <w:r w:rsidR="0049577B" w:rsidRPr="00B40DC1">
          <w:t>陸兩</w:t>
        </w:r>
      </w:smartTag>
      <w:r w:rsidR="0049577B" w:rsidRPr="00B40DC1">
        <w:t>會已經同意將互設辦事處之議題，正式列入兩會之協商議程，外界推估，應會在兩岸兩會第十次高層會談展開談判，但第十次高層會談，業已在2014年2月28日落幕，雙方簽署「海峽兩岸地震監測合作協議」及「海峽兩岸氣象合作協議」，然而從陸委會對外之新聞稿來看，對於互設辦事處之議題隻字未提，似乎是陷入了膠著狀態。兩岸關係是如此，台灣內部對於兩岸互設辦事處之阻礙亦不小，2013年6月立法院臨時會內政、司法及法制委員會聯席會遭在野黨杯葛，無法審查「大陸地區處理兩岸人民往來事務機關在台灣地區設立分支機構條例」，陸委會還為此發表了新聞稿，表示遺憾，雖然國內民眾有7成以上贊成兩岸互設辦事處，另有8成民眾認為互設辦事處應具有發證之功能</w:t>
      </w:r>
      <w:r w:rsidR="0049577B" w:rsidRPr="00002E50">
        <w:rPr>
          <w:rStyle w:val="af7"/>
          <w:rFonts w:eastAsia="新細明體"/>
          <w:sz w:val="20"/>
        </w:rPr>
        <w:footnoteReference w:id="645"/>
      </w:r>
      <w:r w:rsidR="0049577B" w:rsidRPr="00B40DC1">
        <w:t>，但兩岸互設辦事處之進展，似呈現膠著不進之狀態。</w:t>
      </w:r>
    </w:p>
    <w:p w:rsidR="0049577B" w:rsidRDefault="00002E50" w:rsidP="00881F68">
      <w:pPr>
        <w:spacing w:line="240" w:lineRule="auto"/>
        <w:ind w:leftChars="0" w:left="0" w:rightChars="0" w:right="0"/>
      </w:pPr>
      <w:r>
        <w:t xml:space="preserve">　　</w:t>
      </w:r>
      <w:r w:rsidR="0049577B" w:rsidRPr="00B40DC1">
        <w:t>兩岸互設辦事處在內、外交攻下，顯得困難重重，行政機關之間彼此之團結與良性溝通，更顯重要。而在大陸地區設置辦事處具備發證之功能，絕對有其必要性，因為惟有在大陸地區設置辦事處進行入境前之身分實質審查，始能達到管理實效，否則，在台灣之移民行政機關，僅憑書面資料審查批准遠在大陸地區之申請人，在安全顧慮上，確實是令人擔憂之問題</w:t>
      </w:r>
      <w:r w:rsidR="0049577B" w:rsidRPr="00002E50">
        <w:rPr>
          <w:rStyle w:val="af7"/>
          <w:rFonts w:eastAsia="新細明體"/>
          <w:sz w:val="20"/>
        </w:rPr>
        <w:footnoteReference w:id="646"/>
      </w:r>
      <w:r w:rsidR="0049577B" w:rsidRPr="00B40DC1">
        <w:t>。</w:t>
      </w:r>
    </w:p>
    <w:p w:rsidR="001775C3" w:rsidRPr="00B40DC1" w:rsidRDefault="004D607D" w:rsidP="001775C3">
      <w:pPr>
        <w:spacing w:line="240" w:lineRule="auto"/>
        <w:ind w:leftChars="0" w:left="0" w:rightChars="0" w:right="0"/>
        <w:jc w:val="right"/>
      </w:pPr>
      <w:r w:rsidRPr="004D607D">
        <w:rPr>
          <w:rFonts w:hint="eastAsia"/>
          <w:sz w:val="20"/>
        </w:rPr>
        <w:t>。。。。。。。。。。。。。</w:t>
      </w:r>
      <w:hyperlink w:anchor="a6b6" w:history="1">
        <w:r w:rsidRPr="004D607D">
          <w:rPr>
            <w:rStyle w:val="a7"/>
            <w:sz w:val="22"/>
            <w:lang w:eastAsia="zh-TW"/>
          </w:rPr>
          <w:t>回本章</w:t>
        </w:r>
      </w:hyperlink>
      <w:r w:rsidRPr="004D607D">
        <w:rPr>
          <w:color w:val="808000"/>
          <w:sz w:val="18"/>
        </w:rPr>
        <w:t>〉〉</w:t>
      </w:r>
      <w:hyperlink w:anchor="a目次6" w:history="1">
        <w:r w:rsidR="00E9715D">
          <w:rPr>
            <w:rStyle w:val="a7"/>
            <w:sz w:val="22"/>
            <w:lang w:eastAsia="zh-TW"/>
          </w:rPr>
          <w:t>回總目次</w:t>
        </w:r>
      </w:hyperlink>
      <w:r w:rsidR="00E9715D" w:rsidRPr="00D45AD2">
        <w:rPr>
          <w:color w:val="808000"/>
          <w:sz w:val="22"/>
        </w:rPr>
        <w:t>〉〉</w:t>
      </w:r>
    </w:p>
    <w:p w:rsidR="003C1792" w:rsidRPr="00002E50" w:rsidRDefault="0049577B" w:rsidP="001775C3">
      <w:pPr>
        <w:pStyle w:val="3"/>
        <w:rPr>
          <w:lang w:eastAsia="zh-TW"/>
        </w:rPr>
      </w:pPr>
      <w:bookmarkStart w:id="164" w:name="_二、兩岸互設辦事處之法源依據與「嚴格國會保留」機制之折衝"/>
      <w:bookmarkEnd w:id="164"/>
      <w:r w:rsidRPr="00002E50">
        <w:rPr>
          <w:lang w:eastAsia="zh-TW"/>
        </w:rPr>
        <w:t xml:space="preserve">二、兩岸互設辦事處之法源依據與「嚴格國會保留」機制之折衝 </w:t>
      </w:r>
    </w:p>
    <w:p w:rsidR="0049577B" w:rsidRPr="00B40DC1" w:rsidRDefault="0049577B" w:rsidP="00881F68">
      <w:pPr>
        <w:spacing w:line="240" w:lineRule="auto"/>
        <w:ind w:leftChars="0" w:left="0" w:rightChars="0" w:right="0"/>
      </w:pPr>
      <w:r w:rsidRPr="00B40DC1">
        <w:t>我國政府為了順利推動與達到海峽兩岸於對方境內，互設辦事處之預設政策目標，行政院遂於2013年4月11日，函請立法院審議「大陸地區處理兩岸人民往來事務機構在臺灣地區設立分支機構條例草案」案</w:t>
      </w:r>
      <w:r w:rsidRPr="00002E50">
        <w:rPr>
          <w:rStyle w:val="af7"/>
          <w:rFonts w:eastAsia="新細明體"/>
          <w:sz w:val="20"/>
        </w:rPr>
        <w:footnoteReference w:id="647"/>
      </w:r>
      <w:r w:rsidRPr="00B40DC1">
        <w:t>，不過，因立委對於其中部分之內容，無法達成共識，故本案並未通過立法。依據上述行政院版本之「大陸地區處理兩岸人民往來事務機構在臺灣地區設立分支機構條例草案」之總說明內涵，我國之所以須制定本條例之立法理由，如下所述：</w:t>
      </w:r>
    </w:p>
    <w:p w:rsidR="0049577B" w:rsidRPr="00002E50" w:rsidRDefault="00002E50" w:rsidP="00881F68">
      <w:pPr>
        <w:spacing w:line="240" w:lineRule="auto"/>
        <w:ind w:leftChars="0" w:left="0" w:rightChars="0" w:right="0"/>
      </w:pPr>
      <w:r w:rsidRPr="00002E50">
        <w:t xml:space="preserve">　　</w:t>
      </w:r>
      <w:r w:rsidR="0049577B" w:rsidRPr="00002E50">
        <w:t>1.大陸地區處理兩岸人民往來事務機構，經主管機關許可，得在臺灣地區設立分支機構；其許可要件、程式、方式、業務活動範圍及其他應遵行事項之辦法，由主管機關擬訂，報請行政院核定。（草案第三條</w:t>
      </w:r>
      <w:r w:rsidR="0049577B" w:rsidRPr="00002E50">
        <w:rPr>
          <w:rFonts w:ascii="Arial Unicode MS" w:eastAsia="新細明體" w:hAnsi="Arial Unicode MS"/>
          <w:color w:val="FF6600"/>
          <w:sz w:val="20"/>
        </w:rPr>
        <w:footnoteReference w:id="648"/>
      </w:r>
      <w:r w:rsidR="0049577B" w:rsidRPr="00002E50">
        <w:t>）</w:t>
      </w:r>
    </w:p>
    <w:p w:rsidR="0049577B" w:rsidRPr="00002E50" w:rsidRDefault="00002E50" w:rsidP="00881F68">
      <w:pPr>
        <w:spacing w:line="240" w:lineRule="auto"/>
        <w:ind w:leftChars="0" w:left="0" w:rightChars="0" w:right="0"/>
      </w:pPr>
      <w:r w:rsidRPr="00002E50">
        <w:t xml:space="preserve">　　</w:t>
      </w:r>
      <w:r w:rsidR="0049577B" w:rsidRPr="00002E50">
        <w:t>2.大陸地區處理兩岸人民往來事務機構，申請在臺灣地區設立分支機構，主管機關為許可時應注意之事項。（草案第四條</w:t>
      </w:r>
      <w:r w:rsidR="0049577B" w:rsidRPr="00002E50">
        <w:rPr>
          <w:rFonts w:ascii="Arial Unicode MS" w:eastAsia="新細明體" w:hAnsi="Arial Unicode MS"/>
          <w:color w:val="FF6600"/>
          <w:sz w:val="20"/>
        </w:rPr>
        <w:footnoteReference w:id="649"/>
      </w:r>
      <w:r w:rsidR="0049577B" w:rsidRPr="00002E50">
        <w:t>）</w:t>
      </w:r>
    </w:p>
    <w:p w:rsidR="0049577B" w:rsidRPr="00002E50" w:rsidRDefault="00002E50" w:rsidP="00881F68">
      <w:pPr>
        <w:spacing w:line="240" w:lineRule="auto"/>
        <w:ind w:leftChars="0" w:left="0" w:rightChars="0" w:right="0"/>
      </w:pPr>
      <w:r w:rsidRPr="00002E50">
        <w:t xml:space="preserve">　　</w:t>
      </w:r>
      <w:r w:rsidR="0049577B" w:rsidRPr="00002E50">
        <w:t>3.依本條例許可設立之分支機構，其派駐或僱用人員，須經主管機關同意；變更時，亦同。（草案第五條</w:t>
      </w:r>
      <w:r w:rsidR="0049577B" w:rsidRPr="00002E50">
        <w:rPr>
          <w:rFonts w:ascii="Arial Unicode MS" w:eastAsia="新細明體" w:hAnsi="Arial Unicode MS"/>
          <w:color w:val="FF6600"/>
          <w:sz w:val="20"/>
        </w:rPr>
        <w:footnoteReference w:id="650"/>
      </w:r>
      <w:r w:rsidR="0049577B" w:rsidRPr="00002E50">
        <w:t>）</w:t>
      </w:r>
    </w:p>
    <w:p w:rsidR="0049577B" w:rsidRPr="00002E50" w:rsidRDefault="00002E50" w:rsidP="00881F68">
      <w:pPr>
        <w:spacing w:line="240" w:lineRule="auto"/>
        <w:ind w:leftChars="0" w:left="0" w:rightChars="0" w:right="0"/>
      </w:pPr>
      <w:r w:rsidRPr="00002E50">
        <w:t xml:space="preserve">　　</w:t>
      </w:r>
      <w:r w:rsidR="0049577B" w:rsidRPr="00002E50">
        <w:t>4.大陸地區處理兩岸人民往來事務機構，經許可在臺灣地區設立分支機構後，有違反本條例或其他法令規定之情事者，主管機關得採取必要之處置。（草案第六條）</w:t>
      </w:r>
    </w:p>
    <w:p w:rsidR="0049577B" w:rsidRPr="00002E50" w:rsidRDefault="00002E50" w:rsidP="00881F68">
      <w:pPr>
        <w:spacing w:line="240" w:lineRule="auto"/>
        <w:ind w:leftChars="0" w:left="0" w:rightChars="0" w:right="0"/>
      </w:pPr>
      <w:r w:rsidRPr="00002E50">
        <w:t xml:space="preserve">　　</w:t>
      </w:r>
      <w:r w:rsidR="0049577B" w:rsidRPr="00002E50">
        <w:t>5.依本條例許可設立之分支機構，基於對等原則，於法令限制內，有享受權利、負擔義務之能力。（草案第七條</w:t>
      </w:r>
      <w:r w:rsidR="0049577B" w:rsidRPr="00002E50">
        <w:rPr>
          <w:rFonts w:ascii="Arial Unicode MS" w:eastAsia="新細明體" w:hAnsi="Arial Unicode MS"/>
          <w:color w:val="FF6600"/>
          <w:sz w:val="20"/>
        </w:rPr>
        <w:footnoteReference w:id="651"/>
      </w:r>
      <w:r w:rsidR="0049577B" w:rsidRPr="00002E50">
        <w:t>）</w:t>
      </w:r>
    </w:p>
    <w:p w:rsidR="0049577B" w:rsidRPr="00B40DC1" w:rsidRDefault="00002E50" w:rsidP="00881F68">
      <w:pPr>
        <w:spacing w:line="240" w:lineRule="auto"/>
        <w:ind w:leftChars="0" w:left="0" w:rightChars="0" w:right="0"/>
      </w:pPr>
      <w:r w:rsidRPr="00002E50">
        <w:t xml:space="preserve">　　</w:t>
      </w:r>
      <w:r w:rsidR="0049577B" w:rsidRPr="00002E50">
        <w:t>6.依本條例許可設立之分支機構及經主管機關依第五條第一項規定同意之分支機構人員，其為非臺灣地區人民者，基於對等原則，得享有保障及便利措施</w:t>
      </w:r>
      <w:r w:rsidR="0049577B" w:rsidRPr="00002E50">
        <w:rPr>
          <w:rFonts w:ascii="Arial Unicode MS" w:eastAsia="新細明體" w:hAnsi="Arial Unicode MS"/>
          <w:color w:val="FF6600"/>
          <w:sz w:val="20"/>
        </w:rPr>
        <w:footnoteReference w:id="652"/>
      </w:r>
      <w:r w:rsidR="0049577B" w:rsidRPr="00002E50">
        <w:t>；其項目、範圍及適</w:t>
      </w:r>
      <w:r w:rsidR="0049577B" w:rsidRPr="00B40DC1">
        <w:t>用對象，由主管機關會商有關機關擬訂，報請行政院核定。（草案第八條至第十條）。</w:t>
      </w:r>
    </w:p>
    <w:p w:rsidR="0049577B" w:rsidRPr="00B40DC1" w:rsidRDefault="00002E50" w:rsidP="00881F68">
      <w:pPr>
        <w:spacing w:line="240" w:lineRule="auto"/>
        <w:ind w:leftChars="0" w:left="0" w:rightChars="0" w:right="0"/>
      </w:pPr>
      <w:r>
        <w:t xml:space="preserve">　　</w:t>
      </w:r>
      <w:r w:rsidR="0049577B" w:rsidRPr="00B40DC1">
        <w:t>上開行政院官方版本之「大陸地區處理兩岸人民往來事務機構在臺灣地區設立分支機構條例草案」，本文認為具有以下之重要特點：</w:t>
      </w:r>
    </w:p>
    <w:p w:rsidR="0049577B" w:rsidRPr="00002E50" w:rsidRDefault="00002E50" w:rsidP="00881F68">
      <w:pPr>
        <w:spacing w:line="240" w:lineRule="auto"/>
        <w:ind w:leftChars="0" w:left="0" w:rightChars="0" w:right="0"/>
      </w:pPr>
      <w:r w:rsidRPr="00002E50">
        <w:t xml:space="preserve">　　</w:t>
      </w:r>
      <w:r w:rsidR="0049577B" w:rsidRPr="00002E50">
        <w:t>1.它是較屬於片面性及單向性之條例，僅規範大陸地區處理兩岸人民往來事務之法人、團體或其他機構，在臺灣地區設立分支機構之許可及管理相關事項；至於台灣地區處理兩岸人民往來事務之法人、團體或其他機構，在中國大陸地區設立分支機構之許可及管理相關事項，本條例則未規範之，這是相當可惜之處，亦即，它並非是雙面性之條例。由於上述台灣地區處理兩岸人民往來事務之法人、團體或其他機構，在中國大陸地區設立分支機構之許可及管理相關事項並未受到國會之監督，亦即，未落實嚴格之國會保留機制，民意無法監控，恐有違反民主憲政之虞，換言之，恐有違憲之爭議性。</w:t>
      </w:r>
    </w:p>
    <w:p w:rsidR="0049577B" w:rsidRPr="00002E50" w:rsidRDefault="00002E50" w:rsidP="00881F68">
      <w:pPr>
        <w:spacing w:line="240" w:lineRule="auto"/>
        <w:ind w:leftChars="0" w:left="0" w:rightChars="0" w:right="0"/>
      </w:pPr>
      <w:r w:rsidRPr="00002E50">
        <w:t xml:space="preserve">　　</w:t>
      </w:r>
      <w:r w:rsidR="0049577B" w:rsidRPr="00002E50">
        <w:t>2.就草案第4條而論，大陸地區處理兩岸人民往來事務機構，申請在臺灣地區設立分支機構，主管機關（陸委會）為許可時，應審核之標準，係為：(1).是否符合本條例及其他法令之規定；(2).是否符合國家利益；(3).是否符合對等原則；(4).有無處理兩岸人民往來事務之需要。上述之審核標準，缺乏以下非常重要之原則：(1).中華民國之國家主權與尊嚴原則；(2).國家安全與社會安定原則；(3).互惠原則。</w:t>
      </w:r>
    </w:p>
    <w:p w:rsidR="0049577B" w:rsidRPr="00002E50" w:rsidRDefault="00002E50" w:rsidP="00881F68">
      <w:pPr>
        <w:spacing w:line="240" w:lineRule="auto"/>
        <w:ind w:leftChars="0" w:left="0" w:rightChars="0" w:right="0"/>
      </w:pPr>
      <w:r w:rsidRPr="00002E50">
        <w:t xml:space="preserve">　　</w:t>
      </w:r>
      <w:r w:rsidR="0049577B" w:rsidRPr="00002E50">
        <w:t>3.就目的而論，大陸地區處理兩岸人民往來事務機構，申請在臺灣地區設立分支機構之功能、角色、職權、權限與目的為何？本條例本文之中，並未作明確之規定，僅於草案第3條第2項之中，採取概括式之授權，授權行政命令制定之，恐有任務不明確之嫌。亦即，假若大陸地區處理兩岸人民往來事務機構設置分支機構於台灣地區設置辦事處，究竟其目的為何？有何種之任務，諸如：可否核發相關之旅行證件，本條例本文之中，均未明文規範，民意無法作有效之監控。</w:t>
      </w:r>
    </w:p>
    <w:p w:rsidR="0049577B" w:rsidRPr="00B40DC1" w:rsidRDefault="00002E50" w:rsidP="00881F68">
      <w:pPr>
        <w:spacing w:line="240" w:lineRule="auto"/>
        <w:ind w:leftChars="0" w:left="0" w:rightChars="0" w:right="0"/>
      </w:pPr>
      <w:r w:rsidRPr="00002E50">
        <w:t xml:space="preserve">　　</w:t>
      </w:r>
      <w:r w:rsidR="0049577B" w:rsidRPr="00002E50">
        <w:t>4.就草案第6條而論，大陸地區處理兩岸人民往來事務機構，經許可在臺灣地區設立分支機構後，有違反本條例或其他法令規定之情事者，本條例僅簡略地規範：主管機關得採取「必要之處置」。何謂「必要之處置」？語意不明，主管機關可否撤銷、廢止其原先之設置許可，亦缺乏明文規範。</w:t>
      </w:r>
    </w:p>
    <w:p w:rsidR="0049577B" w:rsidRPr="00002E50" w:rsidRDefault="00002E50" w:rsidP="00881F68">
      <w:pPr>
        <w:spacing w:line="240" w:lineRule="auto"/>
        <w:ind w:leftChars="0" w:left="0" w:rightChars="0" w:right="0"/>
      </w:pPr>
      <w:r>
        <w:t xml:space="preserve">　　</w:t>
      </w:r>
      <w:r w:rsidR="0049577B" w:rsidRPr="00B40DC1">
        <w:t>相對於上述行政院版本之「大陸地區處理兩岸人民往來事務機構在臺灣地區設立分支機構條例草案」，民進黨對於此一議題之關注，亦相當投入，該黨立法院黨團亦於2013年，向立法院提出一個提案，其版本係為民進黨「台灣與中國處理雙方人民往來事務機構相互設立分支機構條例草案」。依據上述民進黨版本之「台灣與中國處理雙方人民往來事務機構相互設立分支機構條例草案」總說明與立法理由之內涵，</w:t>
      </w:r>
      <w:r w:rsidR="0049577B" w:rsidRPr="00002E50">
        <w:t>我國之所以須制定本條例之立法理由如下所述</w:t>
      </w:r>
      <w:r w:rsidR="0049577B" w:rsidRPr="00002E50">
        <w:rPr>
          <w:rFonts w:ascii="Arial Unicode MS" w:eastAsia="新細明體" w:hAnsi="Arial Unicode MS"/>
          <w:color w:val="FF6600"/>
          <w:sz w:val="20"/>
        </w:rPr>
        <w:footnoteReference w:id="653"/>
      </w:r>
      <w:r w:rsidR="0049577B" w:rsidRPr="00002E50">
        <w:t>：</w:t>
      </w:r>
    </w:p>
    <w:p w:rsidR="0049577B" w:rsidRPr="00002E50" w:rsidRDefault="00002E50" w:rsidP="00881F68">
      <w:pPr>
        <w:spacing w:line="240" w:lineRule="auto"/>
        <w:ind w:leftChars="0" w:left="0" w:rightChars="0" w:right="0"/>
      </w:pPr>
      <w:r w:rsidRPr="00002E50">
        <w:t xml:space="preserve">　　</w:t>
      </w:r>
      <w:r w:rsidR="0049577B" w:rsidRPr="00002E50">
        <w:t>1.台灣每年到中國旅遊人數已超過530萬人，經常性在中國經商、求學之人數，保守估計也超過百萬人；而中國人到台灣觀光、從事經貿交流之人數，去年也達到250萬人。有鑑於雙方人民之間交流日趨頻繁，為協助解決雙方人民互動所衍生之各項問題，特草擬「台灣與中國處理雙方人民往來事務機構相互設立分支機構條例」草案（草案第1條</w:t>
      </w:r>
      <w:r w:rsidR="0049577B" w:rsidRPr="00002E50">
        <w:rPr>
          <w:rFonts w:ascii="Arial Unicode MS" w:eastAsia="新細明體" w:hAnsi="Arial Unicode MS"/>
          <w:color w:val="FF6600"/>
          <w:sz w:val="20"/>
        </w:rPr>
        <w:footnoteReference w:id="654"/>
      </w:r>
      <w:r w:rsidR="0049577B" w:rsidRPr="00002E50">
        <w:t>）。</w:t>
      </w:r>
    </w:p>
    <w:p w:rsidR="0049577B" w:rsidRPr="00002E50" w:rsidRDefault="00002E50" w:rsidP="00881F68">
      <w:pPr>
        <w:spacing w:line="240" w:lineRule="auto"/>
        <w:ind w:leftChars="0" w:left="0" w:rightChars="0" w:right="0"/>
      </w:pPr>
      <w:r w:rsidRPr="00002E50">
        <w:t xml:space="preserve">　　</w:t>
      </w:r>
      <w:r w:rsidR="0049577B" w:rsidRPr="00002E50">
        <w:t>2.不過，由於台灣與中國關係特殊，兩會互設辦事處絕非兩個民間組織設立分支機構這麼單純，它不只牽涉兩岸政治定位、台灣國家安全，對台灣未來之政治及社會發展也將會有深遠之影響。因此，未來兩岸兩會互設分支機構，務必不能損及台灣之主權與尊嚴，地位要對等，定位要清楚，運作要透明，功能要符合台商及社會各界之實際需要，尤其不容許香港「中聯辦」之負面經驗在台灣複製（草案第4條</w:t>
      </w:r>
      <w:r w:rsidR="0049577B" w:rsidRPr="00002E50">
        <w:rPr>
          <w:rFonts w:ascii="Arial Unicode MS" w:eastAsia="新細明體" w:hAnsi="Arial Unicode MS"/>
          <w:color w:val="FF6600"/>
          <w:sz w:val="20"/>
        </w:rPr>
        <w:footnoteReference w:id="655"/>
      </w:r>
      <w:r w:rsidR="0049577B" w:rsidRPr="00002E50">
        <w:t>）。</w:t>
      </w:r>
    </w:p>
    <w:p w:rsidR="0049577B" w:rsidRPr="00002E50" w:rsidRDefault="00002E50" w:rsidP="00881F68">
      <w:pPr>
        <w:spacing w:line="240" w:lineRule="auto"/>
        <w:ind w:leftChars="0" w:left="0" w:rightChars="0" w:right="0"/>
      </w:pPr>
      <w:r w:rsidRPr="00002E50">
        <w:t xml:space="preserve">　　</w:t>
      </w:r>
      <w:r w:rsidR="0049577B" w:rsidRPr="00002E50">
        <w:t>3.為達成前述目標，本條例草案在對等互惠之原則下，特別將國人所關心之核發護照及旅行證件、文書查驗證、及為保障國人人身安全、提供法律協助等一般領事所享有之領事探視權規定，皆明訂於法律條文中（第五條），以確實保障兩岸人民之合法權益，務使兩岸兩會互設辦事處能夠發揮完整之功能。</w:t>
      </w:r>
    </w:p>
    <w:p w:rsidR="0049577B" w:rsidRPr="00002E50" w:rsidRDefault="00002E50" w:rsidP="00881F68">
      <w:pPr>
        <w:spacing w:line="240" w:lineRule="auto"/>
        <w:ind w:leftChars="0" w:left="0" w:rightChars="0" w:right="0"/>
      </w:pPr>
      <w:r w:rsidRPr="00002E50">
        <w:t xml:space="preserve">　　</w:t>
      </w:r>
      <w:r w:rsidR="0049577B" w:rsidRPr="00002E50">
        <w:t>4.其次，為達成運作透明化之目標，讓國會及人民能夠實質監督兩岸兩會互設辦事處之設置及運作，特別將「國會保留原則」之精神，納入法條當中（第三條</w:t>
      </w:r>
      <w:r w:rsidR="0049577B" w:rsidRPr="00002E50">
        <w:rPr>
          <w:rFonts w:ascii="Arial Unicode MS" w:eastAsia="新細明體" w:hAnsi="Arial Unicode MS"/>
          <w:color w:val="FF6600"/>
          <w:sz w:val="20"/>
        </w:rPr>
        <w:footnoteReference w:id="656"/>
      </w:r>
      <w:r w:rsidR="0049577B" w:rsidRPr="00002E50">
        <w:t>、第四條、第六條</w:t>
      </w:r>
      <w:r w:rsidR="0049577B" w:rsidRPr="00002E50">
        <w:rPr>
          <w:rFonts w:ascii="Arial Unicode MS" w:eastAsia="新細明體" w:hAnsi="Arial Unicode MS"/>
          <w:color w:val="FF6600"/>
          <w:sz w:val="20"/>
        </w:rPr>
        <w:footnoteReference w:id="657"/>
      </w:r>
      <w:r w:rsidR="0049577B" w:rsidRPr="00002E50">
        <w:t>、第十二條</w:t>
      </w:r>
      <w:r w:rsidR="0049577B" w:rsidRPr="00002E50">
        <w:rPr>
          <w:rFonts w:ascii="Arial Unicode MS" w:eastAsia="新細明體" w:hAnsi="Arial Unicode MS"/>
          <w:color w:val="FF6600"/>
          <w:sz w:val="20"/>
        </w:rPr>
        <w:footnoteReference w:id="658"/>
      </w:r>
      <w:r w:rsidR="0049577B" w:rsidRPr="00002E50">
        <w:t>、第十五條</w:t>
      </w:r>
      <w:r w:rsidR="0049577B" w:rsidRPr="00002E50">
        <w:rPr>
          <w:rFonts w:ascii="Arial Unicode MS" w:eastAsia="新細明體" w:hAnsi="Arial Unicode MS"/>
          <w:color w:val="FF6600"/>
          <w:sz w:val="20"/>
        </w:rPr>
        <w:footnoteReference w:id="659"/>
      </w:r>
      <w:r w:rsidR="0049577B" w:rsidRPr="00002E50">
        <w:t>），透過「送立法院兩岸事務因應對策小組及立法院院會決議後定之」之規定，以落實國會監督。</w:t>
      </w:r>
    </w:p>
    <w:p w:rsidR="0049577B" w:rsidRPr="00002E50" w:rsidRDefault="00002E50" w:rsidP="00881F68">
      <w:pPr>
        <w:spacing w:line="240" w:lineRule="auto"/>
        <w:ind w:leftChars="0" w:left="0" w:rightChars="0" w:right="0"/>
      </w:pPr>
      <w:r w:rsidRPr="00002E50">
        <w:t xml:space="preserve">　　</w:t>
      </w:r>
      <w:r w:rsidR="0049577B" w:rsidRPr="00002E50">
        <w:t>5.雖然兩岸關係特殊，但為避免台灣之主權與尊嚴，在兩岸兩會互設辦事處之協商及法制化過程中受到傷害，爰將國旗、國徽之懸掛（第十四條</w:t>
      </w:r>
      <w:r w:rsidR="0049577B" w:rsidRPr="00002E50">
        <w:rPr>
          <w:rFonts w:ascii="Arial Unicode MS" w:eastAsia="新細明體" w:hAnsi="Arial Unicode MS"/>
          <w:color w:val="FF6600"/>
          <w:sz w:val="20"/>
        </w:rPr>
        <w:footnoteReference w:id="660"/>
      </w:r>
      <w:r w:rsidR="0049577B" w:rsidRPr="00002E50">
        <w:t>），及本條例規定未盡事項，依維也納領事關係公約之規範辦理（第一條）之規定納入草案。</w:t>
      </w:r>
    </w:p>
    <w:p w:rsidR="0049577B" w:rsidRPr="00B40DC1" w:rsidRDefault="00002E50" w:rsidP="00881F68">
      <w:pPr>
        <w:spacing w:line="240" w:lineRule="auto"/>
        <w:ind w:leftChars="0" w:left="0" w:rightChars="0" w:right="0"/>
      </w:pPr>
      <w:r>
        <w:t xml:space="preserve">　　</w:t>
      </w:r>
      <w:r w:rsidR="0049577B" w:rsidRPr="00002E50">
        <w:t>6.最後，為爭取在兩岸協商中對台灣最有利之條件，落實國會保留原則，並作為我國行政機關及談判代表之後盾，本條例特別第十五條明訂施行日期之「日出條款」，亦即應於台灣與中國就處理雙方人民往來事務機構相互設立分支機構達成協議，且協議內容符合本條例</w:t>
      </w:r>
      <w:r w:rsidR="0049577B" w:rsidRPr="00B40DC1">
        <w:t>相關條文之規定，經立法院兩岸事務因應對策小組及立法院院會同意後，再由行政院指定日期施行之。</w:t>
      </w:r>
    </w:p>
    <w:p w:rsidR="0049577B" w:rsidRPr="00002E50" w:rsidRDefault="00002E50" w:rsidP="00881F68">
      <w:pPr>
        <w:spacing w:line="240" w:lineRule="auto"/>
        <w:ind w:leftChars="0" w:left="0" w:rightChars="0" w:right="0"/>
      </w:pPr>
      <w:r>
        <w:t xml:space="preserve">　　</w:t>
      </w:r>
      <w:r w:rsidR="0049577B" w:rsidRPr="00B40DC1">
        <w:t>上開民進黨版本之「台灣與中國處理雙方人民往來事務機構相互設立分支機構條例</w:t>
      </w:r>
      <w:r w:rsidR="0049577B" w:rsidRPr="00002E50">
        <w:t>草案」，本文認為具有以下之重要特色：</w:t>
      </w:r>
    </w:p>
    <w:p w:rsidR="0049577B" w:rsidRPr="00002E50" w:rsidRDefault="00002E50" w:rsidP="00881F68">
      <w:pPr>
        <w:spacing w:line="240" w:lineRule="auto"/>
        <w:ind w:leftChars="0" w:left="0" w:rightChars="0" w:right="0"/>
      </w:pPr>
      <w:r w:rsidRPr="00002E50">
        <w:t xml:space="preserve">　　</w:t>
      </w:r>
      <w:r w:rsidR="0049577B" w:rsidRPr="00002E50">
        <w:t>1.它是較屬於雙面性之條例，不僅規範大陸地區處理兩岸人民往來事務之法人、團體或其他機構，在臺灣地區設立分支機構之許可及管理相關事項；至於台灣地區處理兩岸人民往來事務之法人、團體或其他機構，在中國大陸地區設立分支機構之許可及管理相關事項，本條例則亦納入規範之；就周延性而論，民進黨版本之「台灣與中國處理雙方人民往來事務機構相互設立分支機構條例草案」，較行政院之版本，更加周延與圓滿</w:t>
      </w:r>
      <w:r w:rsidR="0049577B" w:rsidRPr="00002E50">
        <w:rPr>
          <w:rFonts w:ascii="Arial Unicode MS" w:eastAsia="新細明體" w:hAnsi="Arial Unicode MS"/>
          <w:color w:val="FF6600"/>
          <w:sz w:val="20"/>
        </w:rPr>
        <w:footnoteReference w:id="661"/>
      </w:r>
      <w:r w:rsidR="0049577B" w:rsidRPr="00002E50">
        <w:t>；行政院之版本，過於單向性，欠缺周延性與圓滿性。</w:t>
      </w:r>
    </w:p>
    <w:p w:rsidR="0049577B" w:rsidRPr="00002E50" w:rsidRDefault="00002E50" w:rsidP="00881F68">
      <w:pPr>
        <w:spacing w:line="240" w:lineRule="auto"/>
        <w:ind w:leftChars="0" w:left="0" w:rightChars="0" w:right="0"/>
      </w:pPr>
      <w:r w:rsidRPr="00002E50">
        <w:t xml:space="preserve">　　</w:t>
      </w:r>
      <w:r w:rsidR="0049577B" w:rsidRPr="00002E50">
        <w:t>2.大陸地區處理兩岸人民往來事務機構申請在臺灣地區設立分支機構，主管機關（陸委會）為許可時，依草案第4條之規定，應審核之準據，除了須考量以下之標準：(1).是否符合本條例及其他法令之規定；(2).是否符合國家利益；(3).是否符合對等原則；(4).有無處理兩岸人民往來事務之需要；(5)是否經立法院院會決議，更甚者，尚須考量以下之審核標準與原則：(1).中華民國之國家主權與尊嚴原則；(2).國家安全與社會安定原則；(3).互惠原則原則。其考量之原則，較行政院之版本，更加廣泛化；為維護台灣之主權與尊嚴，基於對等互惠原則，特別規定本條例規定不足之處，依維也納領事關係公約之規範辦理。但，就上述維護中華民國之國家主權與尊嚴原則而論，如將其「明文規範」於本條例之中，恐會遭中國大陸拒絕，而不具有可行性，就理想面而論，雖符合多數國人之期待，但卻為本條例之弱項所在。</w:t>
      </w:r>
    </w:p>
    <w:p w:rsidR="0049577B" w:rsidRPr="00002E50" w:rsidRDefault="00002E50" w:rsidP="00881F68">
      <w:pPr>
        <w:spacing w:line="240" w:lineRule="auto"/>
        <w:ind w:leftChars="0" w:left="0" w:rightChars="0" w:right="0"/>
      </w:pPr>
      <w:r w:rsidRPr="00002E50">
        <w:t xml:space="preserve">　　</w:t>
      </w:r>
      <w:r w:rsidR="0049577B" w:rsidRPr="00002E50">
        <w:t>3.就目的而論，大陸地區處理兩岸人民往來事務機構，申請在臺灣地區設立分支機構之功能、角色、職權、權限與目的為何？本條例均已規範之。亦即，假若大陸地區處理兩岸人民往來事務機構設置分支機構擬欲於台灣地區設置辦事處，究竟其目的為何？有何種之任務，諸如：可否核發相關之旅行證件等，本條例均已明文規範。根據草案第五條之規定，台灣與中國處理雙方人民往來事務機構相互設立之分支機構，應具有下列功能：(1).依國際法及國際慣例之規範，協助及保障雙方人民之合法權益；(2).依國際法、國際慣例、及雙方協議之規範，轉送司法書狀與司法以外檔或執行囑託調查書或雙方法院調查證據之委託書；(3).核發護照及旅行證件；(4).文書之查驗證；(5).擔任公證人；(6).雙方人民於遭受拘留、逮捕、羈押、或任何形式之監禁時，得行使探視權，代為委任律師，並提供法律協助；(7).其他依維也納領事關係公約及兩岸協議規範之事項</w:t>
      </w:r>
      <w:r w:rsidR="0049577B" w:rsidRPr="00002E50">
        <w:rPr>
          <w:rFonts w:ascii="Arial Unicode MS" w:eastAsia="新細明體" w:hAnsi="Arial Unicode MS"/>
          <w:color w:val="FF6600"/>
          <w:sz w:val="20"/>
        </w:rPr>
        <w:footnoteReference w:id="662"/>
      </w:r>
      <w:r w:rsidR="0049577B" w:rsidRPr="00002E50">
        <w:t>。</w:t>
      </w:r>
    </w:p>
    <w:p w:rsidR="0049577B" w:rsidRPr="00002E50" w:rsidRDefault="00002E50" w:rsidP="00881F68">
      <w:pPr>
        <w:spacing w:line="240" w:lineRule="auto"/>
        <w:ind w:leftChars="0" w:left="0" w:rightChars="0" w:right="0"/>
      </w:pPr>
      <w:r>
        <w:t xml:space="preserve">　　</w:t>
      </w:r>
      <w:r w:rsidR="0049577B" w:rsidRPr="00002E50">
        <w:t>4.大陸地區處理兩岸人民往來事務機構，經許可在臺灣地區設立分支機構後，有違反本條例或其他法令規定之情事者，主管機關有何種之制裁權限？本條例均已明文規範。根據草案第7條之規定，主管機關（陸委會）得隨時通知中國政府，宣告其分支機構某一派駐或僱用人員為不受歡迎人員。遇此情事，中國政府應視情形召回該員或終止其在分支機構中之職務（第7條第1項）。如中國政府拒絕履行或不在相當期間內履行前項所負之義務，主管機關得視情況撤銷依第六條第一項發給該人員之證書，或不承認該員為其分支機構派駐或僱用人員（第7條第2項）。主管機關依本條第一項所為之宣告，無須向中國政府說明理由（第7條第3項）。另外，於草案第8條之內容規定，亦有制裁之規範。根據草案第8條之規定，中國處理雙方人民往來事務機構，經許可在台灣設立分支機構後，有違反本條例或其他法令規定之情事者，主管機關應撤銷、廢止其許可，或採取其他必要之處置（第8條）。</w:t>
      </w:r>
    </w:p>
    <w:p w:rsidR="0049577B" w:rsidRPr="00002E50" w:rsidRDefault="00002E50" w:rsidP="00881F68">
      <w:pPr>
        <w:spacing w:line="240" w:lineRule="auto"/>
        <w:ind w:leftChars="0" w:left="0" w:rightChars="0" w:right="0"/>
      </w:pPr>
      <w:r>
        <w:t xml:space="preserve">　　</w:t>
      </w:r>
      <w:r w:rsidR="0049577B" w:rsidRPr="00002E50">
        <w:t>5.在中國處理雙方人民事務機構在台灣設立之分支機構之許可方面，依本條例第3條之規定，係運用嚴格國會保留法理，亦即，其設置須經主管機關之許可，並送立法院兩岸事務因應對策小組及立法院院會同意後，始得設立。就上述之送立法院兩岸事務因應對策小組及立法院院會同意之管制與監督機制而言，此機制運用嚴格國會保留法理。運用嚴格國會保留法理之優勢，係可受到民意之監督，但其缺點則為弱化陸委會之許可權限，是否會影響行政效能，亦有討論空間。</w:t>
      </w:r>
    </w:p>
    <w:p w:rsidR="0049577B" w:rsidRDefault="00002E50" w:rsidP="00881F68">
      <w:pPr>
        <w:spacing w:line="240" w:lineRule="auto"/>
        <w:ind w:leftChars="0" w:left="0" w:rightChars="0" w:right="0"/>
      </w:pPr>
      <w:r>
        <w:t xml:space="preserve">　　</w:t>
      </w:r>
      <w:r w:rsidR="0049577B" w:rsidRPr="00002E50">
        <w:t>6.本條例草案之立法精神，係將兩岸視為兩個主權獨立之「不同國家」，而非一個中國，故在本條例草案之中，多處提及此種之精神，諸如：(1).本條例規定之未盡事項，依</w:t>
      </w:r>
      <w:hyperlink r:id="rId722" w:history="1">
        <w:r w:rsidR="0049577B" w:rsidRPr="00C2607C">
          <w:rPr>
            <w:rStyle w:val="a7"/>
            <w:rFonts w:cs="Times New Roman"/>
            <w:lang w:eastAsia="zh-TW" w:bidi="ar-SA"/>
          </w:rPr>
          <w:t>維也納領事關係公約</w:t>
        </w:r>
      </w:hyperlink>
      <w:r w:rsidR="0049577B" w:rsidRPr="00002E50">
        <w:t>之規範辦理（第1條第2項）；(2).國家主權與尊嚴（第4條第3款）；(3).依國際法及國際慣例之規範(第5條第1款)；(4).比照</w:t>
      </w:r>
      <w:hyperlink r:id="rId723" w:history="1">
        <w:r w:rsidR="00BF5F93" w:rsidRPr="00C2607C">
          <w:rPr>
            <w:rStyle w:val="a7"/>
            <w:rFonts w:cs="Times New Roman"/>
            <w:lang w:eastAsia="zh-TW" w:bidi="ar-SA"/>
          </w:rPr>
          <w:t>維也納領事關係公約</w:t>
        </w:r>
      </w:hyperlink>
      <w:r w:rsidR="0049577B" w:rsidRPr="00002E50">
        <w:t>之規定，發給其派駐或僱用人員證書（第6條第1項）；(5).主管機關得隨時通知中國政府，宣告其分支機構某一派駐或僱用人員為不受歡迎人員（第7條第1項，依維也納領事關係公約</w:t>
      </w:r>
      <w:hyperlink r:id="rId724" w:anchor="a23" w:history="1">
        <w:r w:rsidR="0049577B" w:rsidRPr="00461F58">
          <w:rPr>
            <w:rStyle w:val="a7"/>
            <w:rFonts w:cs="Times New Roman"/>
            <w:lang w:eastAsia="zh-TW" w:bidi="ar-SA"/>
          </w:rPr>
          <w:t>第23條</w:t>
        </w:r>
      </w:hyperlink>
      <w:r w:rsidR="0049577B" w:rsidRPr="00002E50">
        <w:t>之規定，訂定「不受歡迎人員」之相關規範）；(6).館舍不可侵犯，非經負責人同意，不得入內（第10條</w:t>
      </w:r>
      <w:r w:rsidR="0049577B" w:rsidRPr="00C2607C">
        <w:rPr>
          <w:rFonts w:ascii="Arial Unicode MS" w:eastAsia="新細明體" w:hAnsi="Arial Unicode MS"/>
          <w:color w:val="FF6600"/>
          <w:sz w:val="20"/>
        </w:rPr>
        <w:footnoteReference w:id="663"/>
      </w:r>
      <w:r w:rsidR="0049577B" w:rsidRPr="00002E50">
        <w:t>第1項，依</w:t>
      </w:r>
      <w:hyperlink r:id="rId725" w:history="1">
        <w:r w:rsidR="00BF5F93" w:rsidRPr="00C2607C">
          <w:rPr>
            <w:rStyle w:val="a7"/>
            <w:rFonts w:cs="Times New Roman"/>
            <w:lang w:eastAsia="zh-TW" w:bidi="ar-SA"/>
          </w:rPr>
          <w:t>維也納領事關係公約</w:t>
        </w:r>
      </w:hyperlink>
      <w:r w:rsidR="0049577B" w:rsidRPr="00002E50">
        <w:t>及習慣國際法之約定，訂定雙方分支機構得享有保障及便利措施）。以上，將兩岸視為兩個主權獨立之「不同國家」，而非一個中國之立法模式，是否具有可行性，恐有高度之爭議性。</w:t>
      </w:r>
    </w:p>
    <w:p w:rsidR="001775C3" w:rsidRPr="00002E50" w:rsidRDefault="004D607D" w:rsidP="001775C3">
      <w:pPr>
        <w:spacing w:line="240" w:lineRule="auto"/>
        <w:ind w:leftChars="0" w:left="0" w:rightChars="0" w:right="0"/>
        <w:jc w:val="right"/>
      </w:pPr>
      <w:r w:rsidRPr="004D607D">
        <w:rPr>
          <w:rFonts w:hint="eastAsia"/>
          <w:sz w:val="20"/>
        </w:rPr>
        <w:t>。。。。。。。。。。。。。</w:t>
      </w:r>
      <w:hyperlink w:anchor="a6b6" w:history="1">
        <w:r w:rsidRPr="004D607D">
          <w:rPr>
            <w:rStyle w:val="a7"/>
            <w:sz w:val="22"/>
            <w:lang w:eastAsia="zh-TW"/>
          </w:rPr>
          <w:t>回本章</w:t>
        </w:r>
      </w:hyperlink>
      <w:r w:rsidRPr="004D607D">
        <w:rPr>
          <w:color w:val="808000"/>
          <w:sz w:val="18"/>
        </w:rPr>
        <w:t>〉〉</w:t>
      </w:r>
      <w:hyperlink w:anchor="a目次6" w:history="1">
        <w:r w:rsidR="00E9715D">
          <w:rPr>
            <w:rStyle w:val="a7"/>
            <w:sz w:val="22"/>
            <w:lang w:eastAsia="zh-TW"/>
          </w:rPr>
          <w:t>回總目次</w:t>
        </w:r>
      </w:hyperlink>
      <w:r w:rsidR="00E9715D" w:rsidRPr="00D45AD2">
        <w:rPr>
          <w:color w:val="808000"/>
          <w:sz w:val="22"/>
        </w:rPr>
        <w:t>〉〉</w:t>
      </w:r>
    </w:p>
    <w:p w:rsidR="003C1792" w:rsidRPr="00002E50" w:rsidRDefault="0049577B" w:rsidP="001775C3">
      <w:pPr>
        <w:pStyle w:val="3"/>
        <w:rPr>
          <w:lang w:eastAsia="zh-TW"/>
        </w:rPr>
      </w:pPr>
      <w:bookmarkStart w:id="165" w:name="_三、駐員身分、人力、發證方式及源頭安全管理機制"/>
      <w:bookmarkEnd w:id="165"/>
      <w:r w:rsidRPr="00002E50">
        <w:rPr>
          <w:lang w:eastAsia="zh-TW"/>
        </w:rPr>
        <w:t xml:space="preserve">三、駐員身分、人力、發證方式及源頭安全管理機制 </w:t>
      </w:r>
    </w:p>
    <w:p w:rsidR="003C1792" w:rsidRPr="00002E50" w:rsidRDefault="00002E50" w:rsidP="00881F68">
      <w:pPr>
        <w:spacing w:line="240" w:lineRule="auto"/>
        <w:ind w:leftChars="0" w:left="0" w:rightChars="0" w:right="0"/>
      </w:pPr>
      <w:r>
        <w:t xml:space="preserve">　　</w:t>
      </w:r>
      <w:r w:rsidR="0049577B" w:rsidRPr="00002E50">
        <w:t>(一)駐員身分與人力</w:t>
      </w:r>
    </w:p>
    <w:p w:rsidR="0049577B" w:rsidRPr="00B40DC1" w:rsidRDefault="00002E50" w:rsidP="00881F68">
      <w:pPr>
        <w:spacing w:line="240" w:lineRule="auto"/>
        <w:ind w:leftChars="0" w:left="0" w:rightChars="0" w:right="0"/>
      </w:pPr>
      <w:r>
        <w:t xml:space="preserve">　　</w:t>
      </w:r>
      <w:r w:rsidR="0049577B" w:rsidRPr="00B40DC1">
        <w:t>台灣在處理兩岸互設辦事處之作業上，對內，是由陸委會在處理協調整合各行政機關，並擔任發言之窗口，但對外（大陸）之談判，仍是架構在兩岸兩會高層會談，亦即，透過海基、海協大兩會之模式進行之，因此，未來即使在大陸設置辦事處，必然亦是以海基會之名義在大陸地區駐點，雖然派駐之人員可能都是台灣正式之官員，但實質上應該用何種適切之身分派駐於大陸，仍然是個問題；雖然台旅、海旅小兩會已有模式可循，但是畢竟小兩會是以旅遊為主，服務性質為重，沒有行使公權力之問題。但是，假若未來可在大陸核發入出境許可證，則是在大陸地區行使台灣之行政處分，是涉及公權力之行使，將是截然不同之狀況。</w:t>
      </w:r>
    </w:p>
    <w:p w:rsidR="0049577B" w:rsidRPr="00B40DC1" w:rsidRDefault="0049577B" w:rsidP="00881F68">
      <w:pPr>
        <w:spacing w:line="240" w:lineRule="auto"/>
        <w:ind w:leftChars="0" w:left="0" w:rightChars="0" w:right="0"/>
      </w:pPr>
      <w:r w:rsidRPr="00B40DC1">
        <w:t xml:space="preserve">　　接上所述，在大陸地區核發入出境許可證等相關證件，是台灣公權力之延伸，是否會獲得大陸方面之同意，仍是未知數，但若以海基會之名義在大陸核發證件，或可避開官方公權力行使之問題，但是，入出境許可是受益之行政處分，海基會能否代表移民署行使公權力，恐怕是有其困難度。若欲完全地避開上述之問題，可行之作法，係令駐點人員僅負責受理申請案件和實質審核申請人之身分，之後，再將申請案件核轉回台灣審核發證，再交由大陸派駐人員轉交證件，但如此一來，派駐大陸地區之人員是否須由官方指派，即非重點所在。但此時設置辦事處具備發證之功能，恐將失去實質意義，亦無法落實源頭安全管理之作為。是以，比較理想之作法，台灣仍應積極地與陸方協商，可令移民署派遣移民官駐在大陸審批及核發入出境許可證等相關證件。</w:t>
      </w:r>
    </w:p>
    <w:p w:rsidR="0049577B" w:rsidRPr="00002E50" w:rsidRDefault="0049577B" w:rsidP="00881F68">
      <w:pPr>
        <w:spacing w:line="240" w:lineRule="auto"/>
        <w:ind w:leftChars="0" w:left="0" w:rightChars="0" w:right="0"/>
      </w:pPr>
      <w:r w:rsidRPr="00B40DC1">
        <w:t xml:space="preserve">　　因大陸與台灣之土地與人民之數量相差懸殊，即使與陸方協商成功，互設辦事處，我方需要派多少之人力駐陸？駐陸之地點需要多少處？需要在大陸地區審發多少之案件量？依現在外交部派駐外國之領務秘書人數情形來看，能派駐陸方之移民署人員恐怕亦僅有個位數，如此之移民官人力，能否達到真正之源頭安全管理作為，尚有待考驗。為瞭解決上述困境，派駐陸方之移民署所居屬之移民官員，宜增加所需之人數，俾利能消化待審發之案件數量。</w:t>
      </w:r>
    </w:p>
    <w:p w:rsidR="003C1792" w:rsidRPr="00002E50" w:rsidRDefault="00002E50" w:rsidP="00881F68">
      <w:pPr>
        <w:spacing w:line="240" w:lineRule="auto"/>
        <w:ind w:leftChars="0" w:left="0" w:rightChars="0" w:right="0"/>
      </w:pPr>
      <w:r>
        <w:t xml:space="preserve">　　</w:t>
      </w:r>
      <w:r w:rsidR="0049577B" w:rsidRPr="00002E50">
        <w:t xml:space="preserve">(二)入境前之源頭安全管理機制 </w:t>
      </w:r>
    </w:p>
    <w:p w:rsidR="0049577B" w:rsidRPr="00B40DC1" w:rsidRDefault="00002E50" w:rsidP="00881F68">
      <w:pPr>
        <w:spacing w:line="240" w:lineRule="auto"/>
        <w:ind w:leftChars="0" w:left="0" w:rightChars="0" w:right="0"/>
      </w:pPr>
      <w:r>
        <w:t xml:space="preserve">　　</w:t>
      </w:r>
      <w:r w:rsidR="0049577B" w:rsidRPr="00B40DC1">
        <w:t>如前文所述，大陸地區人民申請來台之發證機制，如其屬於團聚、探親、專業、商務、團體旅遊或自由行等交流事項（不包括健檢醫美），均須經由大陸核發大通證及其簽注，始可來台。在此，本文擬先檢視中國公安部出入境管理系統之機制。就此機制而論，在中國中央政府方面，係由公安部出入境管理局負責之，在公安部之下，計可分為三個不同之出入境管理系統層次，如下所述：</w:t>
      </w:r>
    </w:p>
    <w:p w:rsidR="0049577B" w:rsidRPr="00002E50" w:rsidRDefault="00002E50" w:rsidP="00881F68">
      <w:pPr>
        <w:spacing w:line="240" w:lineRule="auto"/>
        <w:ind w:leftChars="0" w:left="0" w:rightChars="0" w:right="0"/>
      </w:pPr>
      <w:r>
        <w:t xml:space="preserve">　　</w:t>
      </w:r>
      <w:r w:rsidR="0049577B" w:rsidRPr="00002E50">
        <w:t>1.省、自治區、直轄市公安機關設置出入境管理部門，換言之，於各省、自治區、直轄市公安廳、公安局之下，設置出入境管理局（處），負責本地區之公安出入境管理工作；其下轄地市層級公安機關出入境管理部門；在地市層級公安機關出入境管理部門之下，管轄縣、市公安局、城區公安分局之出入境管理工作；地方各級公安機關之出入境管理部門，在業務上，接受上級公安機關出入境管理部門之指導，同時，亦接受同級公安機關之領導；</w:t>
      </w:r>
    </w:p>
    <w:p w:rsidR="0049577B" w:rsidRPr="00002E50" w:rsidRDefault="00002E50" w:rsidP="00881F68">
      <w:pPr>
        <w:spacing w:line="240" w:lineRule="auto"/>
        <w:ind w:leftChars="0" w:left="0" w:rightChars="0" w:right="0"/>
      </w:pPr>
      <w:r>
        <w:t xml:space="preserve">　　</w:t>
      </w:r>
      <w:r w:rsidR="0049577B" w:rsidRPr="00002E50">
        <w:t>2.公安部垂直領導之出入境邊防檢查總站，下轄出入境邊防檢查站；目前，中國大陸於北京、天津、上海、廣州、深圳、珠海、廈門、海口、汕頭等9個城市成立出入境邊防檢查總站，由公安部垂直領導；</w:t>
      </w:r>
    </w:p>
    <w:p w:rsidR="0049577B" w:rsidRPr="00B40DC1" w:rsidRDefault="00002E50" w:rsidP="00881F68">
      <w:pPr>
        <w:spacing w:line="240" w:lineRule="auto"/>
        <w:ind w:leftChars="0" w:left="0" w:rightChars="0" w:right="0"/>
        <w:rPr>
          <w:rStyle w:val="afc"/>
          <w:b w:val="0"/>
          <w:bCs w:val="0"/>
          <w:sz w:val="24"/>
        </w:rPr>
      </w:pPr>
      <w:r>
        <w:t xml:space="preserve">　　</w:t>
      </w:r>
      <w:r w:rsidR="0049577B" w:rsidRPr="00002E50">
        <w:t>3.省、自治區、直轄市公安邊防總隊之邊防檢查工作，下轄邊防檢查站之邊防檢查工作</w:t>
      </w:r>
      <w:r w:rsidR="0049577B" w:rsidRPr="00002E50">
        <w:rPr>
          <w:rStyle w:val="af7"/>
          <w:rFonts w:eastAsia="新細明體"/>
          <w:sz w:val="20"/>
        </w:rPr>
        <w:footnoteReference w:id="664"/>
      </w:r>
      <w:r w:rsidR="0049577B" w:rsidRPr="00B40DC1">
        <w:t>。</w:t>
      </w:r>
    </w:p>
    <w:p w:rsidR="0049577B" w:rsidRPr="00B40DC1" w:rsidRDefault="00002E50" w:rsidP="00881F68">
      <w:pPr>
        <w:spacing w:line="240" w:lineRule="auto"/>
        <w:ind w:leftChars="0" w:left="0" w:rightChars="0" w:right="0"/>
      </w:pPr>
      <w:r>
        <w:t xml:space="preserve">　　</w:t>
      </w:r>
      <w:r w:rsidR="0049577B" w:rsidRPr="00B40DC1">
        <w:t>在2013年，中國大陸公安部為了方便內地民眾來台，分別頒行兩種之行政命令：1、「大陸居民可在居住地提交換發補發大陸居民往來臺灣通行證以及再次赴台相同種類簽注的申請」；2、「31個城市允許符合條件的大陸居民異地提交大陸居民往來臺灣通行證及簽注申請」。首先，就「大陸居民可在居住地提交換發補發大陸居民往來臺灣通行證以及再次赴台相同種類簽注的申請」而言，其實施之範圍，計可包括：各省、自治區、直轄市。在適用之民眾方面，則為在非戶籍地居住6個月（含）以上之大陸居民。所需提交之檔部分，則需：申請人須提交本人戶口名簿、居民身分證以及居住地公安機關出具之居住6個月（含）以上之證明（包括居住證、暫住證等），以及與申請赴台事由相應之證明文件</w:t>
      </w:r>
      <w:r w:rsidR="0049577B" w:rsidRPr="00002E50">
        <w:rPr>
          <w:rStyle w:val="af7"/>
          <w:rFonts w:eastAsia="新細明體"/>
          <w:sz w:val="20"/>
        </w:rPr>
        <w:footnoteReference w:id="665"/>
      </w:r>
      <w:r w:rsidR="0049577B" w:rsidRPr="00B40DC1">
        <w:t>。</w:t>
      </w:r>
    </w:p>
    <w:p w:rsidR="0049577B" w:rsidRPr="00B40DC1" w:rsidRDefault="00002E50" w:rsidP="00881F68">
      <w:pPr>
        <w:spacing w:line="240" w:lineRule="auto"/>
        <w:ind w:leftChars="0" w:left="0" w:rightChars="0" w:right="0"/>
      </w:pPr>
      <w:r>
        <w:t xml:space="preserve">　　</w:t>
      </w:r>
      <w:r w:rsidR="0049577B" w:rsidRPr="00B40DC1">
        <w:t>其次，就「31個城市允許符合條件的大陸居民異地提交大陸居民往來臺灣通行證及簽注申請」而言，其實施範圍，計為：北京、天津、石家莊、太原、呼和浩特、瀋陽、大連、長春、哈爾濱、上海、南京、杭州、寧波、合肥、福州、廈門、南昌、濟南、青島、鄭州、武漢、長沙、廣州、深圳、南寧、海口、重慶、成都、貴陽、昆明、西安等31個城市。適用之民眾，係為上述城市之戶籍居民之外地戶籍配偶、未滿16周歲子女，以及非本市戶籍之就業、就學人員及其配偶、未滿16周歲子女，可在居住地（非戶籍地）提交大陸居民往來臺灣通行證及簽注申請。申請所需之文件，計為：如為上述城市戶籍人員之非本市戶籍之配偶、未滿16周歲之子女者，須提交本人戶口名簿、居民身份證以及雙方親屬關係之證明檔，以及與申請赴台事由相應之證明文件。非本市戶籍之就業和就學人員及其配偶、未滿16周歲之子女，則須提交戶口名簿、居民身份證，以及與申請赴台事由相應之證明文件。就業人員尚需提交社保部門出具之在就業地連續一年以上繳納社會保險之證明；就學人員則需提交就讀院校出具之在學證明；上述人員之配偶、子女，尚需提交居住地公安機關出具之居住滿6個月以上之文件（包括居住證、暫住證等），如其戶口名簿不能證明親屬關係，則需提交其他證明文件</w:t>
      </w:r>
      <w:r w:rsidR="0049577B" w:rsidRPr="002F19DE">
        <w:rPr>
          <w:rStyle w:val="af7"/>
          <w:rFonts w:eastAsia="新細明體"/>
          <w:sz w:val="20"/>
        </w:rPr>
        <w:footnoteReference w:id="666"/>
      </w:r>
      <w:r w:rsidR="0049577B" w:rsidRPr="00B40DC1">
        <w:t>。</w:t>
      </w:r>
    </w:p>
    <w:p w:rsidR="0049577B" w:rsidRPr="00B40DC1" w:rsidRDefault="002F19DE" w:rsidP="00881F68">
      <w:pPr>
        <w:spacing w:line="240" w:lineRule="auto"/>
        <w:ind w:leftChars="0" w:left="0" w:rightChars="0" w:right="0"/>
      </w:pPr>
      <w:r>
        <w:t xml:space="preserve">　　</w:t>
      </w:r>
      <w:r w:rsidR="0049577B" w:rsidRPr="00B40DC1">
        <w:t>於2014年3月，公安部出入境管理局為了為便大陸居民赴台探親，滿足大陸親屬多次赴台探望親人之需求，公安部出入境管理局放寬來台探親簽注之政策，中國公安部出入境管理局上述新政策之特點如下</w:t>
      </w:r>
      <w:r w:rsidR="0049577B" w:rsidRPr="002F19DE">
        <w:rPr>
          <w:rStyle w:val="af7"/>
          <w:rFonts w:eastAsia="新細明體"/>
          <w:sz w:val="20"/>
        </w:rPr>
        <w:footnoteReference w:id="667"/>
      </w:r>
      <w:r w:rsidR="0049577B" w:rsidRPr="00B40DC1">
        <w:t>：</w:t>
      </w:r>
    </w:p>
    <w:p w:rsidR="0049577B" w:rsidRPr="002F19DE" w:rsidRDefault="002F19DE" w:rsidP="00881F68">
      <w:pPr>
        <w:spacing w:line="240" w:lineRule="auto"/>
        <w:ind w:leftChars="0" w:left="0" w:rightChars="0" w:right="0"/>
      </w:pPr>
      <w:r w:rsidRPr="002F19DE">
        <w:t xml:space="preserve">　　</w:t>
      </w:r>
      <w:r w:rsidR="0049577B" w:rsidRPr="002F19DE">
        <w:t>1.係屬於赴台探親之多次簽注；</w:t>
      </w:r>
    </w:p>
    <w:p w:rsidR="0049577B" w:rsidRPr="002F19DE" w:rsidRDefault="002F19DE" w:rsidP="00881F68">
      <w:pPr>
        <w:spacing w:line="240" w:lineRule="auto"/>
        <w:ind w:leftChars="0" w:left="0" w:rightChars="0" w:right="0"/>
      </w:pPr>
      <w:r w:rsidRPr="002F19DE">
        <w:t xml:space="preserve">　　</w:t>
      </w:r>
      <w:r w:rsidR="0049577B" w:rsidRPr="002F19DE">
        <w:t>2.大陸居民須持台主管部門簽發之相應事由之多次有效入台許可等證明文件；</w:t>
      </w:r>
    </w:p>
    <w:p w:rsidR="0049577B" w:rsidRPr="002F19DE" w:rsidRDefault="002F19DE" w:rsidP="00881F68">
      <w:pPr>
        <w:spacing w:line="240" w:lineRule="auto"/>
        <w:ind w:leftChars="0" w:left="0" w:rightChars="0" w:right="0"/>
      </w:pPr>
      <w:r w:rsidRPr="002F19DE">
        <w:t xml:space="preserve">　　</w:t>
      </w:r>
      <w:r w:rsidR="0049577B" w:rsidRPr="002F19DE">
        <w:t>3.須向公安機關出入境管理部門提出申請；</w:t>
      </w:r>
    </w:p>
    <w:p w:rsidR="0049577B" w:rsidRPr="002F19DE" w:rsidRDefault="002F19DE" w:rsidP="00881F68">
      <w:pPr>
        <w:spacing w:line="240" w:lineRule="auto"/>
        <w:ind w:leftChars="0" w:left="0" w:rightChars="0" w:right="0"/>
      </w:pPr>
      <w:r w:rsidRPr="002F19DE">
        <w:t xml:space="preserve">　　</w:t>
      </w:r>
      <w:r w:rsidR="0049577B" w:rsidRPr="002F19DE">
        <w:t>4.有效期為1年、2年或3年；</w:t>
      </w:r>
    </w:p>
    <w:p w:rsidR="0049577B" w:rsidRPr="002F19DE" w:rsidRDefault="002F19DE" w:rsidP="00881F68">
      <w:pPr>
        <w:spacing w:line="240" w:lineRule="auto"/>
        <w:ind w:leftChars="0" w:left="0" w:rightChars="0" w:right="0"/>
      </w:pPr>
      <w:r w:rsidRPr="002F19DE">
        <w:t xml:space="preserve">　　</w:t>
      </w:r>
      <w:r w:rsidR="0049577B" w:rsidRPr="002F19DE">
        <w:t>5.新政策之開始時程，係為2014年3月15日起。</w:t>
      </w:r>
    </w:p>
    <w:p w:rsidR="0049577B" w:rsidRPr="00B40DC1" w:rsidRDefault="002F19DE" w:rsidP="00881F68">
      <w:pPr>
        <w:spacing w:line="240" w:lineRule="auto"/>
        <w:ind w:leftChars="0" w:left="0" w:rightChars="0" w:right="0"/>
      </w:pPr>
      <w:r>
        <w:t xml:space="preserve">　　</w:t>
      </w:r>
      <w:r w:rsidR="0049577B" w:rsidRPr="00B40DC1">
        <w:t>大陸地區人民申請來台手續之流程中，除了需要具備上述陸方公安機關核發之大通證及簽注外，尚須具備我國移民署所核發之「入出境許可證」。近年來，移民署將大陸地區人民申請來台所需之「入出境許可證」之申請作業，逐漸改為線上系統申請。目前大陸人民來台觀光、健檢醫美、或是從事專業、商務活動，均須至移民署之線上資訊電腦系統申辦，其仰賴資訊系統之程度愈來愈高，而實務上，確實僅能依賴資訊系統，始能處理如此龐大之申請案件量。</w:t>
      </w:r>
    </w:p>
    <w:p w:rsidR="0049577B" w:rsidRPr="00B40DC1" w:rsidRDefault="002F19DE" w:rsidP="00881F68">
      <w:pPr>
        <w:spacing w:line="240" w:lineRule="auto"/>
        <w:ind w:leftChars="0" w:left="0" w:rightChars="0" w:right="0"/>
      </w:pPr>
      <w:r>
        <w:t xml:space="preserve">　　</w:t>
      </w:r>
      <w:r w:rsidR="0049577B" w:rsidRPr="00B40DC1">
        <w:t>未來，兩岸互設辦事處，若依上推估，移民署派駐大陸地區之發證人力每一辦事處僅限於1至2人，欲在當地審發入出境許可證，若缺乏上述資訊系統之協助，幾乎是不可能達成之任務。但是，此處會面臨一個相當大之難題，即大陸之資訊網路並不開放，大都仍由由官方所掌控，對於特定網站是採取限制或封鎖，尤其對於台灣之政府機關網站，亦是禁止聯結。故移民署所屬之移民官派駐大陸地區後，如何能使用資訊系統發證，是一大問題，亦是雙方尚須再細部溝通之問題；若是大陸同意局部開放，而令移民署使用網路系統，台灣方面之資訊安全管理是否能抵擋可能伴隨而來之網路攻擊，更是需要提早思考和預防之問題。</w:t>
      </w:r>
    </w:p>
    <w:p w:rsidR="0049577B" w:rsidRPr="00B40DC1" w:rsidRDefault="002F19DE" w:rsidP="00881F68">
      <w:pPr>
        <w:spacing w:line="240" w:lineRule="auto"/>
        <w:ind w:leftChars="0" w:left="0" w:rightChars="0" w:right="0"/>
      </w:pPr>
      <w:r>
        <w:t xml:space="preserve">　　</w:t>
      </w:r>
      <w:r w:rsidR="0049577B" w:rsidRPr="00B40DC1">
        <w:t>承上所述，雖然，架構安全化及便利化之資訊系統有其難度，本文仍強烈建議台灣有必要積極地向陸方協商，架構安全之資訊系統，俾利我國政府駐大陸辦事處之外派移民官能在駐點內，進行實質性之審批及面談工作；亦即，採取線上電腦系統（移民資訊系統）審批及面談雙軌並行之機制。較單純之案件，採取線上系統（移民資訊系統）申辦與審批；較複雜之案件，則由外派移民官採用人工面談之機制。</w:t>
      </w:r>
    </w:p>
    <w:p w:rsidR="0049577B" w:rsidRPr="00B40DC1" w:rsidRDefault="0049577B" w:rsidP="00881F68">
      <w:pPr>
        <w:spacing w:line="240" w:lineRule="auto"/>
        <w:ind w:leftChars="0" w:left="0" w:rightChars="0" w:right="0"/>
      </w:pPr>
      <w:r w:rsidRPr="00B40DC1">
        <w:t>再者，更積極之作法，則是努力協調中國公安部，能與我國政府駐大陸辦事處及移民署所屬之相關部門（諸如：國際事務組、入出國事務組、移民資訊組、專勤事務大隊及國境事務大隊）之移民資訊系統，相互進行聯結與資訊之分享，兩岸政府共同建構跨境罪犯之資料庫。如此，我國即可落實與強化境外源頭之人流管理工作。此外，駐大陸之移民官，亦宜與公安機關及執法部門加強雙邊之互動，建立相互之聯繫管道，俾利相互強化打擊跨境罪犯情報之交流。</w:t>
      </w:r>
    </w:p>
    <w:p w:rsidR="003C1792" w:rsidRPr="002F19DE" w:rsidRDefault="002F19DE" w:rsidP="00881F68">
      <w:pPr>
        <w:spacing w:line="240" w:lineRule="auto"/>
        <w:ind w:leftChars="0" w:left="0" w:rightChars="0" w:right="0"/>
      </w:pPr>
      <w:r w:rsidRPr="002F19DE">
        <w:rPr>
          <w:rFonts w:hint="eastAsia"/>
        </w:rPr>
        <w:t xml:space="preserve">　　</w:t>
      </w:r>
      <w:r w:rsidR="0049577B" w:rsidRPr="002F19DE">
        <w:t xml:space="preserve">(三)入境中之人流安全管理 </w:t>
      </w:r>
    </w:p>
    <w:p w:rsidR="0049577B" w:rsidRPr="002F19DE" w:rsidRDefault="002F19DE" w:rsidP="00881F68">
      <w:pPr>
        <w:spacing w:line="240" w:lineRule="auto"/>
        <w:ind w:leftChars="0" w:left="0" w:rightChars="0" w:right="0"/>
      </w:pPr>
      <w:r w:rsidRPr="002F19DE">
        <w:t xml:space="preserve">　　</w:t>
      </w:r>
      <w:r w:rsidR="0049577B" w:rsidRPr="002F19DE">
        <w:t>我國移民署國境事務大隊國境線上之移民官，如發現某位大陸民眾恐有安全顧慮，此時，可先暫予留置；或者，先准其先行入境，並進一步追蹤調查其安全資料；國境線上之移民官即時透由移民署國際事務組，或逕自通報我國政府駐大陸辦事處之外派移民官，請其再與中國公安部、出入境管理局或其下轄之公安機關所隸屬之出入境管理部門，再度確認該人之素行及安全資料；或者，如上述之途逕不可行，則由移民官自行調查該人之素行資料，再回報我國移民署國際事務組或國境事務大隊。假若我國政府駐大陸辦事處未設置駐外移民官，則在查核與確認某人之素行資料方面，頗有困難之處。為了落實入境中之人流安全管理工作，我國政府駐大陸辦事處與移民署國際事務組、入出國事務組、移民資訊組及國境事務大隊之間，宜建構安全、防網路攻擊之移民資訊連絡網絡為佳。</w:t>
      </w:r>
    </w:p>
    <w:p w:rsidR="003C1792" w:rsidRPr="002F19DE" w:rsidRDefault="002F19DE" w:rsidP="00881F68">
      <w:pPr>
        <w:spacing w:line="240" w:lineRule="auto"/>
        <w:ind w:leftChars="0" w:left="0" w:rightChars="0" w:right="0"/>
      </w:pPr>
      <w:r w:rsidRPr="002F19DE">
        <w:rPr>
          <w:rFonts w:hint="eastAsia"/>
        </w:rPr>
        <w:t xml:space="preserve">　　</w:t>
      </w:r>
      <w:r w:rsidR="0049577B" w:rsidRPr="002F19DE">
        <w:t xml:space="preserve">(四)入境後之人流安全管理 </w:t>
      </w:r>
    </w:p>
    <w:p w:rsidR="0049577B" w:rsidRDefault="002F19DE" w:rsidP="00881F68">
      <w:pPr>
        <w:spacing w:line="240" w:lineRule="auto"/>
        <w:ind w:leftChars="0" w:left="0" w:rightChars="0" w:right="0"/>
      </w:pPr>
      <w:r w:rsidRPr="002F19DE">
        <w:t xml:space="preserve">　　</w:t>
      </w:r>
      <w:r w:rsidR="0049577B" w:rsidRPr="002F19DE">
        <w:t>我國移民署專勤事務大隊、專勤隊、服務事務大隊及服務站之移民官，於台灣境內執行2次面談、協查、查察、訪視、入出國之審理、許可或移民輔導時，如發現某位大陸民眾恐有安全或治安顧慮，此時，可仿照上述入境中之人流安全管理之程式流程機制，確認該人之素行及安全資料。假若我國政府駐大陸辦事處未設置駐外移民官，則在入境後之人流安全管理方面，將出現相當大之漏洞。為了有效落實入境後之人流安全管理機制，我國政府移民署駐大陸辦事處、移民署國際事務組、入出國事務組、移民資訊組、專勤事務大隊、國境事務大隊、服務事務大隊、各服務站及專勤隊之間，宜相互建構安全與防網路攻擊之移民資訊連絡網絡為佳。</w:t>
      </w:r>
    </w:p>
    <w:p w:rsidR="001775C3" w:rsidRPr="002F19DE" w:rsidRDefault="004D607D" w:rsidP="001775C3">
      <w:pPr>
        <w:spacing w:line="240" w:lineRule="auto"/>
        <w:ind w:leftChars="0" w:left="0" w:rightChars="0" w:right="0"/>
        <w:jc w:val="right"/>
      </w:pPr>
      <w:r w:rsidRPr="004D607D">
        <w:rPr>
          <w:rFonts w:hint="eastAsia"/>
          <w:sz w:val="20"/>
        </w:rPr>
        <w:t>。。。。。。。。。。。。。</w:t>
      </w:r>
      <w:hyperlink w:anchor="a6b6" w:history="1">
        <w:r w:rsidRPr="004D607D">
          <w:rPr>
            <w:rStyle w:val="a7"/>
            <w:sz w:val="22"/>
            <w:lang w:eastAsia="zh-TW"/>
          </w:rPr>
          <w:t>回本章</w:t>
        </w:r>
      </w:hyperlink>
      <w:r w:rsidRPr="004D607D">
        <w:rPr>
          <w:color w:val="808000"/>
          <w:sz w:val="18"/>
        </w:rPr>
        <w:t>〉〉</w:t>
      </w:r>
      <w:hyperlink w:anchor="a目次6" w:history="1">
        <w:r w:rsidR="00E9715D">
          <w:rPr>
            <w:rStyle w:val="a7"/>
            <w:sz w:val="22"/>
            <w:lang w:eastAsia="zh-TW"/>
          </w:rPr>
          <w:t>回總目次</w:t>
        </w:r>
      </w:hyperlink>
      <w:r w:rsidR="00E9715D" w:rsidRPr="00D45AD2">
        <w:rPr>
          <w:color w:val="808000"/>
          <w:sz w:val="22"/>
        </w:rPr>
        <w:t>〉〉</w:t>
      </w:r>
    </w:p>
    <w:p w:rsidR="003C1792" w:rsidRPr="002F19DE" w:rsidRDefault="0049577B" w:rsidP="001775C3">
      <w:pPr>
        <w:pStyle w:val="3"/>
        <w:rPr>
          <w:lang w:eastAsia="zh-TW"/>
        </w:rPr>
      </w:pPr>
      <w:bookmarkStart w:id="166" w:name="_四、辦事處之性質及定位"/>
      <w:bookmarkEnd w:id="166"/>
      <w:r w:rsidRPr="002F19DE">
        <w:rPr>
          <w:lang w:eastAsia="zh-TW"/>
        </w:rPr>
        <w:t xml:space="preserve">四、辦事處之性質及定位 </w:t>
      </w:r>
    </w:p>
    <w:p w:rsidR="0049577B" w:rsidRPr="00B40DC1" w:rsidRDefault="0049577B" w:rsidP="00881F68">
      <w:pPr>
        <w:spacing w:line="240" w:lineRule="auto"/>
        <w:ind w:leftChars="0" w:left="0" w:rightChars="0" w:right="0"/>
      </w:pPr>
      <w:r w:rsidRPr="002F19DE">
        <w:t xml:space="preserve">　　設置辦事處首要在於服務兩岸人民，以經貿為優先，這是普遍被瞭解之觀念，但是，辦事處若單純只有服務性質，而不具有政治性質，其設置之意義何在？由官方駐員之意義何在？是否委由民間機構代辦之程式？另外，尚須考量設置辦事處其實質之價值何在？此均是行政機關須思考之問題。雖然，馬英九總統已曾明確表明，兩岸互設辦事處是屬於政治性質之事</w:t>
      </w:r>
      <w:r w:rsidRPr="002F19DE">
        <w:rPr>
          <w:rFonts w:ascii="Arial Unicode MS" w:eastAsia="新細明體" w:hAnsi="Arial Unicode MS"/>
          <w:color w:val="FF6600"/>
          <w:sz w:val="20"/>
        </w:rPr>
        <w:footnoteReference w:id="668"/>
      </w:r>
      <w:r w:rsidRPr="002F19DE">
        <w:t>，但是，行政機關在談判之執行上，是否果</w:t>
      </w:r>
      <w:r w:rsidRPr="00B40DC1">
        <w:t>真能以政治性質之面向進行談判，尚待考驗。</w:t>
      </w:r>
    </w:p>
    <w:p w:rsidR="0049577B" w:rsidRPr="00B40DC1" w:rsidRDefault="0049577B" w:rsidP="00881F68">
      <w:pPr>
        <w:spacing w:line="240" w:lineRule="auto"/>
        <w:ind w:leftChars="0" w:left="0" w:rightChars="0" w:right="0"/>
      </w:pPr>
      <w:r w:rsidRPr="00B40DC1">
        <w:t xml:space="preserve">　　另外是定位之問題，駐陸辦事處是否就像駐外國之辦事處一般，擁有相當之外交權力？或是被陸方定位成外省之「駐京辦」</w:t>
      </w:r>
      <w:r w:rsidRPr="002F19DE">
        <w:rPr>
          <w:rStyle w:val="af7"/>
          <w:rFonts w:eastAsia="新細明體"/>
          <w:sz w:val="20"/>
        </w:rPr>
        <w:footnoteReference w:id="669"/>
      </w:r>
      <w:r w:rsidRPr="00B40DC1">
        <w:t>，還是香港、澳門之「中聯辦」？定位若沒有明確，很容易被提出質疑，如欲在立法院通過駐陸之法律，有其一定之難度。</w:t>
      </w:r>
    </w:p>
    <w:p w:rsidR="0049577B" w:rsidRDefault="002F19DE" w:rsidP="00881F68">
      <w:pPr>
        <w:spacing w:line="240" w:lineRule="auto"/>
        <w:ind w:leftChars="0" w:left="0" w:rightChars="0" w:right="0"/>
      </w:pPr>
      <w:r>
        <w:t xml:space="preserve">　　</w:t>
      </w:r>
      <w:r w:rsidR="0049577B" w:rsidRPr="00B40DC1">
        <w:t>兩岸互設辦事機構之功能性，亦直接關係派駐人員之組成分子，依目前媒體報導涉及兩岸互設辦事機構之功能性觀察，我方駐陸機構主要仍是以經濟部為主，強調之處，係為台商提供在地化服務，而民眾對於兩岸交流之期待，亦比較在意陸方是否能有助於我方經濟之提升及發展，對於安全管理之事，並非政府所推動之主軸政策，因此，恐怕除主要業管人流管理之移民行政機關之外，較少會有其他政府部門在意能否在駐陸機構審發入出境許可證之議題，此亦是行政機關之間，需要加強溝通之部分。本文建議，移民署宜主動向相關行政機關（含陸委會）及海基會表示，政府實有必要建構一套在駐陸機構審批入出境許可證之機制，並請相關行政機關提供必要之資源，諸如：提供辦公處所、軟硬體設備及住宿場所。</w:t>
      </w:r>
    </w:p>
    <w:p w:rsidR="002F19DE" w:rsidRPr="00B40DC1" w:rsidRDefault="004D607D" w:rsidP="001775C3">
      <w:pPr>
        <w:jc w:val="right"/>
      </w:pPr>
      <w:r w:rsidRPr="004D607D">
        <w:rPr>
          <w:rFonts w:hint="eastAsia"/>
          <w:sz w:val="22"/>
          <w:szCs w:val="22"/>
        </w:rPr>
        <w:t>。。。。。。。。。。。。。</w:t>
      </w:r>
      <w:hyperlink w:anchor="a6b7" w:history="1">
        <w:r w:rsidRPr="004D607D">
          <w:rPr>
            <w:rStyle w:val="a7"/>
            <w:sz w:val="22"/>
            <w:szCs w:val="22"/>
            <w:lang w:eastAsia="zh-TW"/>
          </w:rPr>
          <w:t>回本章</w:t>
        </w:r>
      </w:hyperlink>
      <w:r w:rsidRPr="004D607D">
        <w:rPr>
          <w:color w:val="808000"/>
          <w:sz w:val="22"/>
          <w:szCs w:val="22"/>
        </w:rPr>
        <w:t>〉〉</w:t>
      </w:r>
      <w:hyperlink w:anchor="a目次6" w:history="1">
        <w:r w:rsidR="00E9715D">
          <w:rPr>
            <w:rStyle w:val="a7"/>
            <w:sz w:val="22"/>
            <w:lang w:eastAsia="zh-TW"/>
          </w:rPr>
          <w:t>回總目次</w:t>
        </w:r>
      </w:hyperlink>
      <w:r w:rsidR="00E9715D" w:rsidRPr="00D45AD2">
        <w:rPr>
          <w:color w:val="808000"/>
          <w:sz w:val="22"/>
        </w:rPr>
        <w:t>〉〉</w:t>
      </w:r>
    </w:p>
    <w:p w:rsidR="0049577B" w:rsidRPr="00B40DC1" w:rsidRDefault="0049577B" w:rsidP="002F19DE">
      <w:pPr>
        <w:pStyle w:val="2"/>
        <w:rPr>
          <w:lang w:bidi="ta-IN"/>
        </w:rPr>
      </w:pPr>
      <w:bookmarkStart w:id="167" w:name="_柒、結論與建議_1"/>
      <w:bookmarkEnd w:id="167"/>
      <w:r w:rsidRPr="00B40DC1">
        <w:t>柒、結論與建議</w:t>
      </w:r>
    </w:p>
    <w:p w:rsidR="0049577B" w:rsidRPr="00B40DC1" w:rsidRDefault="002F19DE" w:rsidP="00881F68">
      <w:pPr>
        <w:spacing w:line="240" w:lineRule="auto"/>
        <w:ind w:leftChars="0" w:left="0" w:rightChars="0" w:right="0"/>
      </w:pPr>
      <w:r>
        <w:t xml:space="preserve">　　</w:t>
      </w:r>
      <w:r w:rsidR="0049577B" w:rsidRPr="00B40DC1">
        <w:t>以陸客來臺自由行對照大陸居民來台健檢醫美作為案例，只是在突顯兩岸境管合作的重要性，若以兩岸境管的現況來看，所面臨的除了一般操作面問題之外，還涉及到政策面的議題。舉實例而言，台灣方面為提升申請流程，</w:t>
      </w:r>
      <w:r w:rsidR="0049577B" w:rsidRPr="00B40DC1">
        <w:rPr>
          <w:lang w:eastAsia="zh-HK"/>
        </w:rPr>
        <w:t>以達簡政便民，遂</w:t>
      </w:r>
      <w:r w:rsidR="0049577B" w:rsidRPr="00B40DC1">
        <w:t>逐步將書面申請方式改為線上系統申請，目前除了觀光事由之外，大陸來台就學學生及健檢醫美之案件，也都一律採用線上系統申請。採用線上系統申請所核發之證件，是以下載PDF電子檔方式，自已以A4紙張彩色列印之證件，但是</w:t>
      </w:r>
      <w:r w:rsidR="0049577B" w:rsidRPr="00B40DC1">
        <w:rPr>
          <w:lang w:eastAsia="zh-HK"/>
        </w:rPr>
        <w:t>在台灣政策改變的同時，</w:t>
      </w:r>
      <w:r w:rsidR="0049577B" w:rsidRPr="00B40DC1">
        <w:t>陸方並沒有</w:t>
      </w:r>
      <w:r w:rsidR="0049577B" w:rsidRPr="00B40DC1">
        <w:rPr>
          <w:lang w:eastAsia="zh-HK"/>
        </w:rPr>
        <w:t>同步</w:t>
      </w:r>
      <w:r w:rsidR="0049577B" w:rsidRPr="00B40DC1">
        <w:t>接收到台灣方面的訊息，</w:t>
      </w:r>
      <w:r w:rsidR="0049577B" w:rsidRPr="00B40DC1">
        <w:rPr>
          <w:lang w:eastAsia="zh-HK"/>
        </w:rPr>
        <w:t>因此曾經發生</w:t>
      </w:r>
      <w:r w:rsidR="0049577B" w:rsidRPr="00B40DC1">
        <w:t>對於大陸學生持A4證件前往申請簽注時，因資訊不足，無法判別真實性，而未審批簽注給學生，讓台灣的大學相當緊張，且抱怨兩岸的跨境人流管理機制的不足，這是操作面常因沒有建立溝通管道而發生的問題。</w:t>
      </w:r>
    </w:p>
    <w:p w:rsidR="0049577B" w:rsidRPr="00B40DC1" w:rsidRDefault="002F19DE" w:rsidP="00881F68">
      <w:pPr>
        <w:spacing w:line="240" w:lineRule="auto"/>
        <w:ind w:leftChars="0" w:left="0" w:rightChars="0" w:right="0"/>
      </w:pPr>
      <w:r>
        <w:t xml:space="preserve">　　</w:t>
      </w:r>
      <w:r w:rsidR="0049577B" w:rsidRPr="00B40DC1">
        <w:t>另外，陸客來台觀光的管理機制之所以如此有成效，很大的原因在於陸客必須先由陸方審批簽注及大通證後，才能申請入台許可證，在陸方審批證件的同時，也先行過濾陸客身分的真實性和背景，相信可以避免掉許多有心利用此管道入台的從事不法活動的情形發生；但是，除此之外，其他來台的大陸居民都是先向台灣方面申請入台許可證，再回頭向陸方申請大通證及簽注，對台灣方面而言，並無法完全查核大陸居民的身分，連申請文件的真偽都很難去查證</w:t>
      </w:r>
      <w:r w:rsidR="0049577B" w:rsidRPr="002F19DE">
        <w:rPr>
          <w:rStyle w:val="af7"/>
          <w:rFonts w:eastAsia="新細明體"/>
          <w:sz w:val="20"/>
        </w:rPr>
        <w:footnoteReference w:id="670"/>
      </w:r>
      <w:r w:rsidR="0049577B" w:rsidRPr="00B40DC1">
        <w:t>，單就書面資料的審核就發給大陸居民入台證，當大陸居留回頭去向陸方申辦大通證及簽注時，陸方是否會認為台灣方面已經發證，所以申請人的身分沒問題，在審批流程上就會較為簡便；因此，若是來台的大陸居民都能先經過陸方審批簽注及大通證，一定能大大的提升兩岸境管安全，這就是屬於政策面的議題了。</w:t>
      </w:r>
    </w:p>
    <w:p w:rsidR="0049577B" w:rsidRPr="00B40DC1" w:rsidRDefault="0049577B" w:rsidP="00881F68">
      <w:pPr>
        <w:spacing w:line="240" w:lineRule="auto"/>
        <w:ind w:leftChars="0" w:left="0" w:rightChars="0" w:right="0"/>
      </w:pPr>
      <w:r w:rsidRPr="00B40DC1">
        <w:t xml:space="preserve">　　但不管是操作面或政策面的問題，兩岸目前都沒有較為正式的管道可以即時溝通協調，雖然，目前有台旅會和海旅會可以協助處理旅遊方面的問題，但是那只是跨境人流管理機制的一小部分，很多問題都必須透過海基會及海協會的管道進行對話溝通，那相當不具效益，因為有許多境管問題是需要當下即時處理解決的，在兩岸跨境人流如此頻繁的今天，兩岸的境管單位真的要去正視合作的問題，因此，藉本文拋磚引玉，初步提出兩岸合作的雛型構想建議，以供社會大眾與政府施政之參考之用</w:t>
      </w:r>
      <w:r w:rsidRPr="002F19DE">
        <w:rPr>
          <w:rStyle w:val="af7"/>
          <w:rFonts w:eastAsia="新細明體"/>
          <w:sz w:val="20"/>
        </w:rPr>
        <w:footnoteReference w:id="671"/>
      </w:r>
      <w:r w:rsidRPr="00B40DC1">
        <w:t>：</w:t>
      </w:r>
    </w:p>
    <w:p w:rsidR="0049577B" w:rsidRPr="00B40DC1" w:rsidRDefault="0049577B" w:rsidP="001775C3">
      <w:pPr>
        <w:pStyle w:val="3"/>
        <w:rPr>
          <w:lang w:eastAsia="zh-TW"/>
        </w:rPr>
      </w:pPr>
      <w:bookmarkStart w:id="168" w:name="_一、由大陸先行審批大陸居民往來台灣通行證及簽注，我方再憑證審發大陸地區"/>
      <w:bookmarkEnd w:id="168"/>
      <w:r w:rsidRPr="00B40DC1">
        <w:rPr>
          <w:lang w:eastAsia="zh-TW"/>
        </w:rPr>
        <w:t>一、由大陸先行審批大陸居民往來台灣通行證及簽注，我方再憑證審發大陸地區人民來台之入出境許可證。</w:t>
      </w:r>
    </w:p>
    <w:p w:rsidR="0049577B" w:rsidRPr="00B40DC1" w:rsidRDefault="0049577B" w:rsidP="001775C3">
      <w:pPr>
        <w:pStyle w:val="3"/>
        <w:rPr>
          <w:lang w:eastAsia="zh-TW"/>
        </w:rPr>
      </w:pPr>
      <w:bookmarkStart w:id="169" w:name="_二、簽署兩岸境管合作協議"/>
      <w:bookmarkEnd w:id="169"/>
      <w:r w:rsidRPr="00B40DC1">
        <w:rPr>
          <w:lang w:eastAsia="zh-TW"/>
        </w:rPr>
        <w:t>二、簽署兩岸境管合作協議</w:t>
      </w:r>
    </w:p>
    <w:p w:rsidR="0049577B" w:rsidRPr="00B40DC1" w:rsidRDefault="0049577B" w:rsidP="00881F68">
      <w:pPr>
        <w:spacing w:line="240" w:lineRule="auto"/>
        <w:ind w:leftChars="0" w:left="0" w:rightChars="0" w:right="0"/>
      </w:pPr>
      <w:r w:rsidRPr="00B40DC1">
        <w:t xml:space="preserve">　　誠如本文一再強調的，兩岸人流的的往來，已經發展到相當的規模，兩岸的跨境人流管理作為不應該還是各自為政，應朝向攜手合作、建立共識、相互支援，共創安全為理想目標，如同兩岸共同打擊犯罪的意旨一樣，都是為了兩岸人民安全所努力，所以就境管合作部分，理應簽署協議，制訂兩岸合作的範圍，詳細規範兩岸人民入出境的管理作為，讓兩岸人民有所遵循，減少境管問題發生，讓人民確實體會到兩岸合作的成果。</w:t>
      </w:r>
    </w:p>
    <w:p w:rsidR="0049577B" w:rsidRPr="00B40DC1" w:rsidRDefault="0049577B" w:rsidP="001775C3">
      <w:pPr>
        <w:pStyle w:val="3"/>
        <w:rPr>
          <w:lang w:eastAsia="zh-TW"/>
        </w:rPr>
      </w:pPr>
      <w:bookmarkStart w:id="170" w:name="_三、建立跨境人流管理之資訊交流平台"/>
      <w:bookmarkEnd w:id="170"/>
      <w:r w:rsidRPr="00B40DC1">
        <w:rPr>
          <w:lang w:eastAsia="zh-TW"/>
        </w:rPr>
        <w:t>三、建立跨境人流管理之資訊交流平台</w:t>
      </w:r>
    </w:p>
    <w:p w:rsidR="0049577B" w:rsidRDefault="0049577B" w:rsidP="00881F68">
      <w:pPr>
        <w:spacing w:line="240" w:lineRule="auto"/>
        <w:ind w:leftChars="0" w:left="0" w:rightChars="0" w:right="0"/>
      </w:pPr>
      <w:r w:rsidRPr="00B40DC1">
        <w:t xml:space="preserve">　　跨境人流管理資訊是相當即時性的，兩岸在人流管理的作為上有何改變，都應該透過資訊交流平台讓對方有所因應，若資訊來不及傳遞，所影響的，就是兩岸人民入出境的權益，也會打擊到兩岸入出境管理機關人員的工作士氣，因此建議可建立資訊交流平台，讓兩岸公開的境管資訊可以互通有無，掌握彼此最新動態，除了達到安全管理的效果，也可以減少人民無法入出境的困境發生。</w:t>
      </w:r>
    </w:p>
    <w:p w:rsidR="004D607D" w:rsidRPr="00B40DC1" w:rsidRDefault="004D607D" w:rsidP="004D607D">
      <w:pPr>
        <w:spacing w:line="240" w:lineRule="auto"/>
        <w:ind w:leftChars="0" w:left="0" w:rightChars="0" w:right="0"/>
        <w:jc w:val="right"/>
      </w:pPr>
      <w:r w:rsidRPr="004D607D">
        <w:rPr>
          <w:rFonts w:hint="eastAsia"/>
          <w:sz w:val="22"/>
          <w:szCs w:val="22"/>
        </w:rPr>
        <w:t>。。。。。。。。。。。。。</w:t>
      </w:r>
      <w:hyperlink w:anchor="a6b7" w:history="1">
        <w:r w:rsidRPr="004D607D">
          <w:rPr>
            <w:rStyle w:val="a7"/>
            <w:sz w:val="22"/>
            <w:szCs w:val="22"/>
            <w:lang w:eastAsia="zh-TW"/>
          </w:rPr>
          <w:t>回本章</w:t>
        </w:r>
      </w:hyperlink>
      <w:r w:rsidRPr="004D607D">
        <w:rPr>
          <w:color w:val="808000"/>
          <w:sz w:val="22"/>
          <w:szCs w:val="22"/>
        </w:rPr>
        <w:t>〉〉</w:t>
      </w:r>
      <w:hyperlink w:anchor="a目次6" w:history="1">
        <w:r w:rsidR="00E9715D">
          <w:rPr>
            <w:rStyle w:val="a7"/>
            <w:sz w:val="22"/>
            <w:lang w:eastAsia="zh-TW"/>
          </w:rPr>
          <w:t>回總目次</w:t>
        </w:r>
      </w:hyperlink>
      <w:r w:rsidR="00E9715D" w:rsidRPr="00D45AD2">
        <w:rPr>
          <w:color w:val="808000"/>
          <w:sz w:val="22"/>
        </w:rPr>
        <w:t>〉〉</w:t>
      </w:r>
    </w:p>
    <w:p w:rsidR="0049577B" w:rsidRPr="00B40DC1" w:rsidRDefault="0049577B" w:rsidP="001775C3">
      <w:pPr>
        <w:pStyle w:val="3"/>
        <w:rPr>
          <w:lang w:eastAsia="zh-TW"/>
        </w:rPr>
      </w:pPr>
      <w:bookmarkStart w:id="171" w:name="_四、建立兩岸境管機關人員即時通管道"/>
      <w:bookmarkEnd w:id="171"/>
      <w:r w:rsidRPr="00B40DC1">
        <w:rPr>
          <w:lang w:eastAsia="zh-TW"/>
        </w:rPr>
        <w:t>四、建立兩岸境管機關人員即時通管道</w:t>
      </w:r>
    </w:p>
    <w:p w:rsidR="0049577B" w:rsidRPr="002F19DE" w:rsidRDefault="0049577B" w:rsidP="00881F68">
      <w:pPr>
        <w:spacing w:line="240" w:lineRule="auto"/>
        <w:ind w:leftChars="0" w:left="0" w:rightChars="0" w:right="0"/>
      </w:pPr>
      <w:r w:rsidRPr="00B40DC1">
        <w:t xml:space="preserve">　　除資訊的交流之外，兩岸境管機關人員也應該有可以即時互聯的管道，若是有一些資訊或是境管安全問題不能透過公開的資訊交流平台傳遞，就可以透過人員互通管道聯繫，也可以讓兩岸境管機關人員多作交流、相互學習、相互瞭解，都是有利於兩岸擴大深化交流的作為。</w:t>
      </w:r>
    </w:p>
    <w:p w:rsidR="0049577B" w:rsidRPr="002F19DE" w:rsidRDefault="0049577B" w:rsidP="001775C3">
      <w:pPr>
        <w:pStyle w:val="3"/>
        <w:rPr>
          <w:lang w:eastAsia="zh-TW"/>
        </w:rPr>
      </w:pPr>
      <w:bookmarkStart w:id="172" w:name="_五、兩岸互設辦事機構增設審發入出境許可證及面談功能"/>
      <w:bookmarkEnd w:id="172"/>
      <w:r w:rsidRPr="002F19DE">
        <w:rPr>
          <w:lang w:eastAsia="zh-TW"/>
        </w:rPr>
        <w:t>五、兩岸互設辦事機構增設審發入出境許可證及面談功能</w:t>
      </w:r>
    </w:p>
    <w:p w:rsidR="0049577B" w:rsidRPr="00B40DC1" w:rsidRDefault="0049577B" w:rsidP="00881F68">
      <w:pPr>
        <w:spacing w:line="240" w:lineRule="auto"/>
        <w:ind w:leftChars="0" w:left="0" w:rightChars="0" w:right="0"/>
      </w:pPr>
      <w:r w:rsidRPr="00B40DC1">
        <w:t xml:space="preserve">　　目前兩岸互設辦事機構協商之方向，雖然均偏重於經貿互助事宜，其審發證件之問題仍在協調中，但如欲要實施源頭安全管理之概念，達到維護國家安全之要求，在駐陸辦事機構審發來台許可證，係必要且必須之功能，甚至對於結婚來台申請來台之大陸地區人民，均應比較駐外館處之作法，在駐陸辦事機構先進行面談，或許要獲得陸方之同意並不容易，但僅能朝此方向逐步推進，不宜輕言放棄。依筆者觀察，在駐陸辦事機構審發來臺許可證及面談功能，陸方在意之國家主權行使之觀念，而我方在意之處，則為源頭安全管理之維護，雙方立場並不衝突，故仍有相當大之可協商空間。</w:t>
      </w:r>
    </w:p>
    <w:p w:rsidR="0049577B" w:rsidRPr="00B40DC1" w:rsidRDefault="0049577B" w:rsidP="000D26BB">
      <w:pPr>
        <w:pStyle w:val="afe"/>
        <w:rPr>
          <w:lang w:eastAsia="zh-TW"/>
        </w:rPr>
      </w:pPr>
    </w:p>
    <w:p w:rsidR="0049577B" w:rsidRPr="00B40DC1" w:rsidRDefault="00D62154" w:rsidP="00D62154">
      <w:pPr>
        <w:pStyle w:val="afe"/>
        <w:jc w:val="right"/>
        <w:rPr>
          <w:lang w:eastAsia="zh-TW"/>
        </w:rPr>
      </w:pPr>
      <w:r w:rsidRPr="00D45AD2">
        <w:rPr>
          <w:rFonts w:hint="eastAsia"/>
          <w:sz w:val="22"/>
        </w:rPr>
        <w:t>。。。。。。。。。。。。。。。。。。</w:t>
      </w:r>
      <w:hyperlink w:anchor="a目次7" w:history="1">
        <w:r w:rsidR="00E9715D">
          <w:rPr>
            <w:rStyle w:val="a7"/>
            <w:sz w:val="22"/>
            <w:lang w:eastAsia="zh-TW"/>
          </w:rPr>
          <w:t>回總目次</w:t>
        </w:r>
      </w:hyperlink>
      <w:r w:rsidR="00E9715D" w:rsidRPr="00D45AD2">
        <w:rPr>
          <w:color w:val="808000"/>
          <w:sz w:val="22"/>
          <w:lang w:eastAsia="zh-TW"/>
        </w:rPr>
        <w:t>〉〉</w:t>
      </w:r>
    </w:p>
    <w:p w:rsidR="003C1792" w:rsidRDefault="0049577B" w:rsidP="00B662A4">
      <w:pPr>
        <w:pStyle w:val="11"/>
      </w:pPr>
      <w:bookmarkStart w:id="173" w:name="_第七章__結論與建議"/>
      <w:bookmarkStart w:id="174" w:name="_第七章、結論與建議"/>
      <w:bookmarkEnd w:id="173"/>
      <w:bookmarkEnd w:id="174"/>
      <w:r w:rsidRPr="00B40DC1">
        <w:t>第七章</w:t>
      </w:r>
      <w:r w:rsidR="00AA03F8" w:rsidRPr="00AA03F8">
        <w:rPr>
          <w:rFonts w:hint="eastAsia"/>
        </w:rPr>
        <w:t>、</w:t>
      </w:r>
      <w:r w:rsidRPr="00B40DC1">
        <w:t xml:space="preserve">結論與建議 </w:t>
      </w:r>
    </w:p>
    <w:p w:rsidR="0049577B" w:rsidRPr="00B40DC1" w:rsidRDefault="0049577B" w:rsidP="002F19DE">
      <w:pPr>
        <w:pStyle w:val="2"/>
      </w:pPr>
      <w:bookmarkStart w:id="175" w:name="_壹、結論"/>
      <w:bookmarkEnd w:id="175"/>
      <w:r w:rsidRPr="00B40DC1">
        <w:t>壹、結論</w:t>
      </w:r>
    </w:p>
    <w:p w:rsidR="0049577B" w:rsidRPr="00B40DC1" w:rsidRDefault="003F05BB" w:rsidP="00881F68">
      <w:pPr>
        <w:spacing w:line="240" w:lineRule="auto"/>
        <w:ind w:leftChars="0" w:left="0" w:rightChars="0" w:right="0"/>
      </w:pPr>
      <w:r>
        <w:t xml:space="preserve">　　</w:t>
      </w:r>
      <w:r w:rsidR="0049577B" w:rsidRPr="00B40DC1">
        <w:t>在本書之結論部分，如下所述。於2017年11月，瑞士洛桑管理學院（IMD）發布世界人才報告(IMD World Talent Ranking 2017)，於此一2017全球人才報告中，瑞士洛桑管理學院（IMD）總共評比 63國，台灣之整體排名方面，得到68.47分，則為第23，詳如下圖。相較之下，瑞士是第1名，得到100分，詳如下圖。瑞士洛桑管理學院（IMD）並針對台灣目前之人才現況，提出以下之警訊：1、人才外流(Brain Drain)嚴重；2、台灣無足夠之優勢，以吸引外籍人才</w:t>
      </w:r>
      <w:r w:rsidR="0049577B" w:rsidRPr="003F05BB">
        <w:rPr>
          <w:rStyle w:val="af7"/>
          <w:rFonts w:eastAsia="新細明體"/>
          <w:sz w:val="20"/>
        </w:rPr>
        <w:footnoteReference w:id="672"/>
      </w:r>
      <w:r w:rsidR="0049577B" w:rsidRPr="00B40DC1">
        <w:t>。</w:t>
      </w:r>
    </w:p>
    <w:p w:rsidR="0049577B" w:rsidRPr="00B40DC1" w:rsidRDefault="003F05BB" w:rsidP="00881F68">
      <w:pPr>
        <w:spacing w:line="240" w:lineRule="auto"/>
        <w:ind w:leftChars="0" w:left="0" w:rightChars="0" w:right="0"/>
      </w:pPr>
      <w:r>
        <w:t xml:space="preserve">　　</w:t>
      </w:r>
      <w:r w:rsidR="0049577B" w:rsidRPr="00B40DC1">
        <w:t>台灣大學國家發展研究所教授辛炳隆指出，台灣之人才流失(Brain Drain)，與無法延攬高專之外籍人才之問題點，均是因為薪資太低</w:t>
      </w:r>
      <w:r w:rsidR="0049577B" w:rsidRPr="003F05BB">
        <w:rPr>
          <w:rStyle w:val="af7"/>
          <w:rFonts w:eastAsia="新細明體"/>
          <w:sz w:val="20"/>
        </w:rPr>
        <w:footnoteReference w:id="673"/>
      </w:r>
      <w:r w:rsidR="0049577B" w:rsidRPr="00B40DC1">
        <w:t>。根據個人之觀察，政府實應負最大之責任，因政府於2017年，實施不適切之年金改革，壓低整體之薪俸與退休金。</w:t>
      </w:r>
      <w:r w:rsidR="00F5542D" w:rsidRPr="00F5542D">
        <w:rPr>
          <w:rFonts w:hint="eastAsia"/>
          <w:color w:val="FFFFFF" w:themeColor="background1"/>
        </w:rPr>
        <w:t>◇◆</w:t>
      </w:r>
    </w:p>
    <w:p w:rsidR="0049577B" w:rsidRPr="00B40DC1" w:rsidRDefault="0049577B" w:rsidP="003F05BB">
      <w:pPr>
        <w:ind w:leftChars="54" w:left="140" w:rightChars="0" w:right="-2"/>
      </w:pPr>
    </w:p>
    <w:p w:rsidR="0049577B" w:rsidRPr="00B40DC1" w:rsidRDefault="0049577B" w:rsidP="003F05BB">
      <w:pPr>
        <w:ind w:leftChars="54" w:left="140" w:rightChars="0" w:right="-2"/>
      </w:pPr>
      <w:r w:rsidRPr="00B40DC1">
        <w:rPr>
          <w:noProof/>
        </w:rPr>
        <w:drawing>
          <wp:inline distT="0" distB="0" distL="0" distR="0" wp14:anchorId="740B5800" wp14:editId="723BFF51">
            <wp:extent cx="4786975" cy="4090577"/>
            <wp:effectExtent l="0" t="0" r="0" b="571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4785021" cy="4088907"/>
                    </a:xfrm>
                    <a:prstGeom prst="rect">
                      <a:avLst/>
                    </a:prstGeom>
                    <a:noFill/>
                    <a:ln>
                      <a:noFill/>
                    </a:ln>
                  </pic:spPr>
                </pic:pic>
              </a:graphicData>
            </a:graphic>
          </wp:inline>
        </w:drawing>
      </w:r>
    </w:p>
    <w:p w:rsidR="0049577B" w:rsidRPr="003F05BB" w:rsidRDefault="0049577B" w:rsidP="00AF69C2">
      <w:pPr>
        <w:pStyle w:val="4"/>
        <w:rPr>
          <w:lang w:eastAsia="zh-TW"/>
        </w:rPr>
      </w:pPr>
      <w:r w:rsidRPr="003F05BB">
        <w:rPr>
          <w:lang w:eastAsia="zh-TW"/>
        </w:rPr>
        <w:t>圖1</w:t>
      </w:r>
      <w:r w:rsidR="00AF69C2" w:rsidRPr="003F05BB">
        <w:rPr>
          <w:lang w:eastAsia="zh-TW"/>
        </w:rPr>
        <w:t>、</w:t>
      </w:r>
      <w:r w:rsidRPr="003F05BB">
        <w:rPr>
          <w:lang w:eastAsia="zh-TW"/>
        </w:rPr>
        <w:t>2017全球人才報告中台灣之整體排名(第23名)</w:t>
      </w:r>
    </w:p>
    <w:p w:rsidR="0049577B" w:rsidRPr="001775C3" w:rsidRDefault="00817A92" w:rsidP="001775C3">
      <w:r w:rsidRPr="001775C3">
        <w:t>【資料來源】</w:t>
      </w:r>
      <w:r w:rsidR="0049577B" w:rsidRPr="001775C3">
        <w:t>IMD World Competiveness Center(2017), IMD World Talent Ranking 2017</w:t>
      </w:r>
      <w:r w:rsidR="003C1792" w:rsidRPr="001775C3">
        <w:t>.</w:t>
      </w:r>
      <w:r w:rsidR="0049577B" w:rsidRPr="001775C3">
        <w:t>Switzerland: IMD World Competiveness Center.</w:t>
      </w:r>
    </w:p>
    <w:p w:rsidR="0049577B" w:rsidRPr="00B40DC1" w:rsidRDefault="001775C3" w:rsidP="001775C3">
      <w:pPr>
        <w:ind w:leftChars="54" w:left="140" w:rightChars="0" w:right="-2"/>
        <w:jc w:val="right"/>
      </w:pPr>
      <w:r w:rsidRPr="00D45AD2">
        <w:rPr>
          <w:rFonts w:hint="eastAsia"/>
          <w:sz w:val="22"/>
        </w:rPr>
        <w:t>。。。。。。。。。。。。。</w:t>
      </w:r>
      <w:hyperlink w:anchor="a6" w:history="1">
        <w:r>
          <w:rPr>
            <w:rStyle w:val="a7"/>
            <w:sz w:val="24"/>
            <w:lang w:eastAsia="zh-TW"/>
          </w:rPr>
          <w:t>回本章</w:t>
        </w:r>
      </w:hyperlink>
      <w:r w:rsidRPr="0008714D">
        <w:rPr>
          <w:color w:val="808000"/>
          <w:sz w:val="20"/>
        </w:rPr>
        <w:t>〉〉</w:t>
      </w:r>
      <w:hyperlink w:anchor="a目次7" w:history="1">
        <w:r w:rsidR="00E9715D">
          <w:rPr>
            <w:rStyle w:val="a7"/>
            <w:sz w:val="22"/>
            <w:lang w:eastAsia="zh-TW"/>
          </w:rPr>
          <w:t>回總目次</w:t>
        </w:r>
      </w:hyperlink>
      <w:r w:rsidR="00E9715D" w:rsidRPr="00D45AD2">
        <w:rPr>
          <w:color w:val="808000"/>
          <w:sz w:val="22"/>
        </w:rPr>
        <w:t>〉〉</w:t>
      </w:r>
    </w:p>
    <w:p w:rsidR="0049577B" w:rsidRPr="00B40DC1" w:rsidRDefault="0049577B" w:rsidP="003F05BB">
      <w:pPr>
        <w:ind w:leftChars="54" w:left="140" w:rightChars="0" w:right="-2"/>
      </w:pPr>
      <w:r w:rsidRPr="00B40DC1">
        <w:rPr>
          <w:noProof/>
        </w:rPr>
        <w:drawing>
          <wp:inline distT="0" distB="0" distL="0" distR="0" wp14:anchorId="02BEC86E" wp14:editId="6C1BDD21">
            <wp:extent cx="4705224" cy="8050959"/>
            <wp:effectExtent l="0" t="0" r="635" b="762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4705023" cy="8050615"/>
                    </a:xfrm>
                    <a:prstGeom prst="rect">
                      <a:avLst/>
                    </a:prstGeom>
                    <a:noFill/>
                    <a:ln>
                      <a:noFill/>
                    </a:ln>
                  </pic:spPr>
                </pic:pic>
              </a:graphicData>
            </a:graphic>
          </wp:inline>
        </w:drawing>
      </w:r>
      <w:r w:rsidR="00F5542D" w:rsidRPr="005A55DE">
        <w:rPr>
          <w:rFonts w:hint="eastAsia"/>
          <w:color w:val="FFFFFF" w:themeColor="background1"/>
        </w:rPr>
        <w:t>◇</w:t>
      </w:r>
    </w:p>
    <w:p w:rsidR="0049577B" w:rsidRPr="003F05BB" w:rsidRDefault="0049577B" w:rsidP="00AF69C2">
      <w:pPr>
        <w:pStyle w:val="4"/>
        <w:rPr>
          <w:lang w:eastAsia="zh-TW"/>
        </w:rPr>
      </w:pPr>
      <w:r w:rsidRPr="003F05BB">
        <w:rPr>
          <w:lang w:eastAsia="zh-TW"/>
        </w:rPr>
        <w:t>圖2、2017全球人才報告中台灣之整體排名--第23名，68.47分</w:t>
      </w:r>
    </w:p>
    <w:p w:rsidR="0049577B" w:rsidRDefault="00817A92" w:rsidP="003F05BB">
      <w:pPr>
        <w:ind w:leftChars="54" w:left="140" w:rightChars="0" w:right="-2"/>
      </w:pPr>
      <w:r>
        <w:t>【資料來源】</w:t>
      </w:r>
      <w:r w:rsidR="0049577B" w:rsidRPr="00B40DC1">
        <w:t>IMD World Competiveness Center(2017), IMD World Talent Ranking 2017</w:t>
      </w:r>
      <w:r w:rsidR="003C1792">
        <w:t>.</w:t>
      </w:r>
      <w:r w:rsidR="0049577B" w:rsidRPr="00B40DC1">
        <w:t>Switzerland: IMD World Competiveness Center.</w:t>
      </w:r>
    </w:p>
    <w:p w:rsidR="001775C3" w:rsidRDefault="001775C3" w:rsidP="003F05BB">
      <w:pPr>
        <w:ind w:leftChars="54" w:left="140" w:rightChars="0" w:right="-2"/>
      </w:pPr>
    </w:p>
    <w:p w:rsidR="001775C3" w:rsidRPr="00B40DC1" w:rsidRDefault="001775C3" w:rsidP="001775C3">
      <w:pPr>
        <w:ind w:leftChars="54" w:left="140" w:rightChars="0" w:right="-2"/>
        <w:jc w:val="right"/>
      </w:pPr>
      <w:r w:rsidRPr="00D45AD2">
        <w:rPr>
          <w:rFonts w:hint="eastAsia"/>
          <w:sz w:val="22"/>
        </w:rPr>
        <w:t>。。。。。。。。。。。。。</w:t>
      </w:r>
      <w:hyperlink w:anchor="a6" w:history="1">
        <w:r>
          <w:rPr>
            <w:rStyle w:val="a7"/>
            <w:sz w:val="24"/>
            <w:lang w:eastAsia="zh-TW"/>
          </w:rPr>
          <w:t>回本章</w:t>
        </w:r>
      </w:hyperlink>
      <w:r w:rsidRPr="0008714D">
        <w:rPr>
          <w:color w:val="808000"/>
          <w:sz w:val="20"/>
        </w:rPr>
        <w:t>〉〉</w:t>
      </w:r>
      <w:hyperlink w:anchor="a目次7" w:history="1">
        <w:r w:rsidR="00E9715D">
          <w:rPr>
            <w:rStyle w:val="a7"/>
            <w:sz w:val="22"/>
            <w:lang w:eastAsia="zh-TW"/>
          </w:rPr>
          <w:t>回總目次</w:t>
        </w:r>
      </w:hyperlink>
      <w:r w:rsidR="00E9715D" w:rsidRPr="00D45AD2">
        <w:rPr>
          <w:color w:val="808000"/>
          <w:sz w:val="22"/>
        </w:rPr>
        <w:t>〉〉</w:t>
      </w:r>
    </w:p>
    <w:p w:rsidR="0049577B" w:rsidRPr="00B40DC1" w:rsidRDefault="003F05BB" w:rsidP="003F05BB">
      <w:pPr>
        <w:ind w:leftChars="54" w:left="140" w:rightChars="0" w:right="-2"/>
      </w:pPr>
      <w:r>
        <w:t xml:space="preserve">　　</w:t>
      </w:r>
      <w:r w:rsidR="0049577B" w:rsidRPr="00B40DC1">
        <w:t>中國時報之一名記者，名為洪凱音君，於2017年11月22日，在中國時報A4版之中，非常用心地撰寫數篇有關台灣人才之問題，值得社會大眾加以關注之。根據洪凱音君之觀察，在瑞士洛桑管理學院（IMD）2017年版之世界人才報告(IMD World Talent Ranking 2017)之中，台灣在「人才外流」(Brain Drain)細項之評比上，我國得到3.96分，分數非常低(分數之評量，為0分至10分，台灣得到3.96分)，故2017年退步至47名；顯示我國人才外流(Brain Drain)情形，是屬於非常嚴重之等級</w:t>
      </w:r>
      <w:r w:rsidR="0049577B" w:rsidRPr="001775C3">
        <w:rPr>
          <w:rStyle w:val="af7"/>
          <w:rFonts w:eastAsia="新細明體"/>
          <w:sz w:val="20"/>
        </w:rPr>
        <w:footnoteReference w:id="674"/>
      </w:r>
      <w:r w:rsidR="0049577B" w:rsidRPr="00B40DC1">
        <w:t>，詳如下表。</w:t>
      </w:r>
    </w:p>
    <w:p w:rsidR="0049577B" w:rsidRPr="00B40DC1" w:rsidRDefault="003F05BB" w:rsidP="003F05BB">
      <w:pPr>
        <w:ind w:leftChars="54" w:left="140" w:rightChars="0" w:right="-2"/>
      </w:pPr>
      <w:r>
        <w:t xml:space="preserve">　　</w:t>
      </w:r>
      <w:r w:rsidR="0049577B" w:rsidRPr="00B40DC1">
        <w:t>再者，對外籍技術人才的吸引力方面，2017年之排名，我國得到4.33分，分數偏低(分數之評量，為0分至10分，台灣得到4.33分)，故台灣排名為第44名</w:t>
      </w:r>
      <w:r w:rsidR="0049577B" w:rsidRPr="001775C3">
        <w:rPr>
          <w:rStyle w:val="af7"/>
          <w:rFonts w:eastAsia="新細明體"/>
          <w:sz w:val="20"/>
        </w:rPr>
        <w:footnoteReference w:id="675"/>
      </w:r>
      <w:r w:rsidR="0049577B" w:rsidRPr="00B40DC1">
        <w:t>。第44名有何種之意義？顯示出在我國之前面，計有43個國家，對外籍技術人才的吸引力，均優於台灣。在此種之情形下，台灣對外籍技術人才的吸引力之優勢，非常不利於吸引高專人才進入台灣。</w:t>
      </w:r>
    </w:p>
    <w:p w:rsidR="0049577B" w:rsidRPr="00B40DC1" w:rsidRDefault="003F05BB" w:rsidP="003F05BB">
      <w:pPr>
        <w:ind w:leftChars="54" w:left="140" w:rightChars="0" w:right="-2"/>
      </w:pPr>
      <w:r>
        <w:t xml:space="preserve">　　</w:t>
      </w:r>
      <w:r w:rsidR="0049577B" w:rsidRPr="00B40DC1">
        <w:t>筆者在此引轉中國大陸上海之第一財經日報於2017年11月21日之報導，根據此項之報導，大陸上海人工智慧(AI)領域之應屆畢業生，年薪約為新台幣135萬至225萬之間，工作3至5年(年齡約25歲至27歲之間)，年薪上調至新台幣340萬左右</w:t>
      </w:r>
      <w:r w:rsidR="0049577B" w:rsidRPr="002F19DE">
        <w:rPr>
          <w:rStyle w:val="af7"/>
          <w:rFonts w:eastAsia="新細明體"/>
          <w:sz w:val="20"/>
        </w:rPr>
        <w:footnoteReference w:id="676"/>
      </w:r>
      <w:r w:rsidR="0049577B" w:rsidRPr="00B40DC1">
        <w:t>。相較於台灣教授之年薪新台幣150萬，新台幣340萬係為150萬之2.27倍，在此情形之下，有能力之台灣年輕人，假若其具有人工智慧(AI)領域之專長，有可能留在台灣，領取台灣27K之低薪否？有可能留在台灣，從事教授之工作否？</w:t>
      </w:r>
    </w:p>
    <w:p w:rsidR="0049577B" w:rsidRPr="003F05BB" w:rsidRDefault="0049577B" w:rsidP="00F5542D">
      <w:pPr>
        <w:pStyle w:val="4"/>
        <w:rPr>
          <w:lang w:eastAsia="zh-TW"/>
        </w:rPr>
      </w:pPr>
      <w:r w:rsidRPr="003F05BB">
        <w:rPr>
          <w:lang w:eastAsia="zh-TW"/>
        </w:rPr>
        <w:t>表1、2017全球人才報告中台灣之細項排名</w:t>
      </w:r>
    </w:p>
    <w:p w:rsidR="0049577B" w:rsidRPr="00B40DC1" w:rsidRDefault="0049577B" w:rsidP="000D26BB">
      <w:r w:rsidRPr="00B40DC1">
        <w:rPr>
          <w:noProof/>
        </w:rPr>
        <w:drawing>
          <wp:inline distT="0" distB="0" distL="0" distR="0" wp14:anchorId="03FF2B89" wp14:editId="6F35EA94">
            <wp:extent cx="4974847" cy="4968240"/>
            <wp:effectExtent l="0" t="0" r="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4975097" cy="4968490"/>
                    </a:xfrm>
                    <a:prstGeom prst="rect">
                      <a:avLst/>
                    </a:prstGeom>
                    <a:noFill/>
                    <a:ln>
                      <a:noFill/>
                    </a:ln>
                  </pic:spPr>
                </pic:pic>
              </a:graphicData>
            </a:graphic>
          </wp:inline>
        </w:drawing>
      </w:r>
      <w:r w:rsidR="00F5542D" w:rsidRPr="00F5542D">
        <w:rPr>
          <w:rFonts w:hint="eastAsia"/>
          <w:color w:val="FFFFFF" w:themeColor="background1"/>
        </w:rPr>
        <w:t>◇</w:t>
      </w:r>
    </w:p>
    <w:p w:rsidR="003C1792" w:rsidRDefault="00817A92" w:rsidP="009B0282">
      <w:pPr>
        <w:spacing w:line="240" w:lineRule="auto"/>
        <w:ind w:leftChars="0" w:left="0" w:rightChars="0" w:right="0"/>
      </w:pPr>
      <w:r>
        <w:t>【資料來源】</w:t>
      </w:r>
      <w:r w:rsidR="0049577B" w:rsidRPr="00B40DC1">
        <w:t>IMD World Competiveness Center(2017), IMD World Talent Ranking 2017</w:t>
      </w:r>
      <w:r w:rsidR="003C1792">
        <w:t>.</w:t>
      </w:r>
      <w:r w:rsidR="0049577B" w:rsidRPr="00B40DC1">
        <w:t>Switzerland: IMD World Competiveness Center.</w:t>
      </w:r>
    </w:p>
    <w:p w:rsidR="0049577B" w:rsidRPr="00B40DC1" w:rsidRDefault="001775C3" w:rsidP="001775C3">
      <w:pPr>
        <w:jc w:val="right"/>
      </w:pPr>
      <w:r w:rsidRPr="00D45AD2">
        <w:rPr>
          <w:rFonts w:hint="eastAsia"/>
          <w:sz w:val="22"/>
        </w:rPr>
        <w:t>。。。。。。。。。。。。。</w:t>
      </w:r>
      <w:hyperlink w:anchor="a6" w:history="1">
        <w:r>
          <w:rPr>
            <w:rStyle w:val="a7"/>
            <w:sz w:val="24"/>
            <w:lang w:eastAsia="zh-TW"/>
          </w:rPr>
          <w:t>回本章</w:t>
        </w:r>
      </w:hyperlink>
      <w:r w:rsidRPr="0008714D">
        <w:rPr>
          <w:color w:val="808000"/>
          <w:sz w:val="20"/>
        </w:rPr>
        <w:t>〉〉</w:t>
      </w:r>
      <w:hyperlink w:anchor="a目次7" w:history="1">
        <w:r w:rsidR="00E9715D">
          <w:rPr>
            <w:rStyle w:val="a7"/>
            <w:sz w:val="22"/>
            <w:lang w:eastAsia="zh-TW"/>
          </w:rPr>
          <w:t>回總目次</w:t>
        </w:r>
      </w:hyperlink>
      <w:r w:rsidR="00E9715D" w:rsidRPr="00D45AD2">
        <w:rPr>
          <w:color w:val="808000"/>
          <w:sz w:val="22"/>
        </w:rPr>
        <w:t>〉〉</w:t>
      </w:r>
    </w:p>
    <w:p w:rsidR="0049577B" w:rsidRPr="00B40DC1" w:rsidRDefault="003F05BB" w:rsidP="009B0282">
      <w:pPr>
        <w:spacing w:line="240" w:lineRule="auto"/>
        <w:ind w:leftChars="0" w:left="0" w:rightChars="0" w:right="0"/>
      </w:pPr>
      <w:r>
        <w:t xml:space="preserve">　　</w:t>
      </w:r>
      <w:r w:rsidR="0049577B" w:rsidRPr="00B40DC1">
        <w:t>中國時報系列之另外一名記者，名為李侑珊君，於2017年12月09日，在中國時報A2、中國時報A3版之中，亦撰寫一篇名為「這廂大砍福利，那廂狂撒銀彈！陸祭年薪220萬，台師明春湧逃離潮」之文章，此篇大作，亦頗發人深思。李侑珊君指出，在我國(台灣)部分，由於年改新制改革之故，公立大學教授退休金遭大砍，致使我國不少公立大學教授正非常認真地考慮擬至中國大陸發展學術生涯，此是人口移動中之推力</w:t>
      </w:r>
      <w:r w:rsidR="0049577B" w:rsidRPr="003F05BB">
        <w:rPr>
          <w:rStyle w:val="af7"/>
          <w:rFonts w:eastAsia="新細明體"/>
          <w:sz w:val="20"/>
        </w:rPr>
        <w:footnoteReference w:id="677"/>
      </w:r>
      <w:r w:rsidR="0049577B" w:rsidRPr="00B40DC1">
        <w:t>。再者，中國大陸正推展高教強國，推動「雙一流」之高教工程，中國大陸大力向台灣之高教領域中之副教授、教授延攬人才，諸如：福建省推出凡來自於台灣之教授之年薪，可以達到50萬人民幣（約226萬元台幣），並擬挖角千名台灣之教師，多是頂尖大學之正、副教授，赴福建發展</w:t>
      </w:r>
      <w:r w:rsidR="0049577B" w:rsidRPr="003F05BB">
        <w:rPr>
          <w:rStyle w:val="af7"/>
          <w:rFonts w:eastAsia="新細明體"/>
          <w:sz w:val="20"/>
        </w:rPr>
        <w:footnoteReference w:id="678"/>
      </w:r>
      <w:r w:rsidR="0049577B" w:rsidRPr="00B40DC1">
        <w:t>。且安家費、交通費及子女教育補助費，是另外計算，合計應會超過新台幣226萬元，除此之外，廣東省亦相繼向台灣推出，招募高等研究與學術人才之移民政策，此是人口移動中之拉力</w:t>
      </w:r>
      <w:r w:rsidR="0049577B" w:rsidRPr="00F5542D">
        <w:rPr>
          <w:rStyle w:val="af7"/>
          <w:rFonts w:eastAsia="新細明體"/>
          <w:sz w:val="20"/>
        </w:rPr>
        <w:footnoteReference w:id="679"/>
      </w:r>
      <w:r w:rsidR="0049577B" w:rsidRPr="00B40DC1">
        <w:t>。</w:t>
      </w:r>
    </w:p>
    <w:p w:rsidR="0049577B" w:rsidRPr="002F19DE" w:rsidRDefault="003F05BB" w:rsidP="000C4650">
      <w:pPr>
        <w:spacing w:line="240" w:lineRule="auto"/>
        <w:ind w:leftChars="0" w:left="0" w:rightChars="0" w:right="0"/>
      </w:pPr>
      <w:r w:rsidRPr="002F19DE">
        <w:t xml:space="preserve">　　</w:t>
      </w:r>
      <w:r w:rsidR="0049577B" w:rsidRPr="002F19DE">
        <w:t>復次，於2018年之年初，中國大陸為了加強惠臺之作為，推出一項有史以來，最為惠臺之作法，即頒布《關於促進兩岸經濟文化交流合作的若干措施》</w:t>
      </w:r>
      <w:r w:rsidR="0049577B" w:rsidRPr="002F19DE">
        <w:rPr>
          <w:rFonts w:ascii="Arial Unicode MS" w:eastAsia="新細明體" w:hAnsi="Arial Unicode MS"/>
          <w:color w:val="FF6600"/>
          <w:sz w:val="20"/>
        </w:rPr>
        <w:footnoteReference w:id="680"/>
      </w:r>
      <w:r w:rsidR="0049577B" w:rsidRPr="002F19DE">
        <w:t>，積極地吸引臺灣地區之法人及人才，赴中國大陸發展，根據本文之初步觀察，《關於促進兩岸經濟文化交流合作的若干措施》將會對臺灣產生非常巨大之影響，可以預見的，臺灣人才(專業技術人員，約50餘種)外流之情況，將日趨嚴重化，臺灣人才將一面倒向中國大陸。我國政府宜謹慎以對，否則，臺灣之人才，恐會出現空洞化，臺灣恐會逐步喪失國際競爭力。</w:t>
      </w:r>
    </w:p>
    <w:p w:rsidR="0049577B" w:rsidRPr="002F19DE" w:rsidRDefault="002F19DE" w:rsidP="000C4650">
      <w:pPr>
        <w:spacing w:line="240" w:lineRule="auto"/>
        <w:ind w:leftChars="0" w:left="0" w:rightChars="0" w:right="0"/>
      </w:pPr>
      <w:r w:rsidRPr="002F19DE">
        <w:t xml:space="preserve">　　</w:t>
      </w:r>
      <w:r w:rsidR="0049577B" w:rsidRPr="002F19DE">
        <w:t>有關《關於促進兩岸經濟文化交流合作的若干措施》之具體作為，由兩個區塊所組成，如下所述(中國評論通訊社，2018)：</w:t>
      </w:r>
    </w:p>
    <w:p w:rsidR="0049577B" w:rsidRPr="002F19DE" w:rsidRDefault="002F19DE" w:rsidP="000C4650">
      <w:pPr>
        <w:spacing w:line="240" w:lineRule="auto"/>
        <w:ind w:leftChars="0" w:left="0" w:rightChars="0" w:right="0"/>
      </w:pPr>
      <w:r>
        <w:rPr>
          <w:rFonts w:hint="eastAsia"/>
        </w:rPr>
        <w:t xml:space="preserve">　　</w:t>
      </w:r>
      <w:r w:rsidRPr="002F19DE">
        <w:rPr>
          <w:rFonts w:hint="eastAsia"/>
        </w:rPr>
        <w:t>1.</w:t>
      </w:r>
      <w:r w:rsidR="0049577B" w:rsidRPr="002F19DE">
        <w:t>積極促進在投資和經濟合作領域加快給予臺資企業與大陸企業同等待遇(中國評論通訊社，2018</w:t>
      </w:r>
      <w:r w:rsidR="00587200">
        <w:t>)</w:t>
      </w:r>
      <w:r w:rsidR="0049577B" w:rsidRPr="002F19DE">
        <w:rPr>
          <w:rFonts w:ascii="Arial Unicode MS" w:eastAsia="新細明體" w:hAnsi="Arial Unicode MS"/>
          <w:color w:val="FF6600"/>
          <w:sz w:val="20"/>
        </w:rPr>
        <w:footnoteReference w:id="681"/>
      </w:r>
      <w:r w:rsidR="0049577B" w:rsidRPr="002F19DE">
        <w:t>：</w:t>
      </w:r>
    </w:p>
    <w:p w:rsidR="00F5542D" w:rsidRDefault="000C4650" w:rsidP="000C4650">
      <w:pPr>
        <w:spacing w:line="240" w:lineRule="auto"/>
        <w:ind w:leftChars="0" w:left="0" w:rightChars="0" w:right="0"/>
      </w:pPr>
      <w:r>
        <w:rPr>
          <w:rFonts w:hint="eastAsia"/>
        </w:rPr>
        <w:t xml:space="preserve">　　</w:t>
      </w:r>
      <w:r w:rsidR="00F5542D">
        <w:rPr>
          <w:rFonts w:hint="eastAsia"/>
        </w:rPr>
        <w:t>（</w:t>
      </w:r>
      <w:r w:rsidR="00F5542D">
        <w:t>1）臺灣同胞在大陸投資的企業（以下簡稱“臺資企業”）參與“中國製造2025”行動計劃適用與大陸企業同等政策。支持臺商來大陸投資設立高端製造、智能製造、綠色製造等企業並設立區域總部和研發設計中心，相應享受稅收、投資等相關支持政策。</w:t>
      </w:r>
    </w:p>
    <w:p w:rsidR="00F5542D" w:rsidRDefault="00F5542D" w:rsidP="000C4650">
      <w:pPr>
        <w:spacing w:line="240" w:lineRule="auto"/>
        <w:ind w:leftChars="0" w:left="0" w:rightChars="0" w:right="0"/>
      </w:pPr>
      <w:r>
        <w:rPr>
          <w:rFonts w:hint="eastAsia"/>
        </w:rPr>
        <w:t xml:space="preserve">　　（</w:t>
      </w:r>
      <w:r>
        <w:t>2）幫助和支持符合條件的臺資企業依法享受高新技術企業減按15%稅率徵收企業所得稅，研發費用加計扣除，設在大陸的研發中心採購大陸設備全額退還增值稅等稅收優惠政策。</w:t>
      </w:r>
    </w:p>
    <w:p w:rsidR="00F5542D" w:rsidRDefault="00F5542D" w:rsidP="000C4650">
      <w:pPr>
        <w:spacing w:line="240" w:lineRule="auto"/>
        <w:ind w:leftChars="0" w:left="0" w:rightChars="0" w:right="0"/>
      </w:pPr>
      <w:r>
        <w:rPr>
          <w:rFonts w:hint="eastAsia"/>
        </w:rPr>
        <w:t xml:space="preserve">　　（</w:t>
      </w:r>
      <w:r>
        <w:t>3）臺灣科研機構、高等學校、企業在大陸註冊的獨立法人，可牽頭或參與國家重點研發計劃項目申報，享受與大陸科研機構、高等學校、企業同等政策。受聘於在大陸註冊的獨立法人的臺灣地區科研人員，可作為國家重點研發計劃項目（課題）負責人申報，享受與大陸科研人員同等政策。對臺灣地區知識產權在大陸轉化的，可參照執行大陸知識產權激勵政策。</w:t>
      </w:r>
    </w:p>
    <w:p w:rsidR="00F5542D" w:rsidRDefault="00F5542D" w:rsidP="000C4650">
      <w:pPr>
        <w:spacing w:line="240" w:lineRule="auto"/>
        <w:ind w:leftChars="0" w:left="0" w:rightChars="0" w:right="0"/>
      </w:pPr>
      <w:r>
        <w:rPr>
          <w:rFonts w:hint="eastAsia"/>
        </w:rPr>
        <w:t xml:space="preserve">　　（</w:t>
      </w:r>
      <w:r>
        <w:t>4）臺資企業可以特許經營方式參與能源、交通、水利、環保、市政公用工程等基礎設施建設。</w:t>
      </w:r>
    </w:p>
    <w:p w:rsidR="00F5542D" w:rsidRDefault="00F5542D" w:rsidP="000C4650">
      <w:pPr>
        <w:spacing w:line="240" w:lineRule="auto"/>
        <w:ind w:leftChars="0" w:left="0" w:rightChars="0" w:right="0"/>
      </w:pPr>
      <w:r>
        <w:rPr>
          <w:rFonts w:hint="eastAsia"/>
        </w:rPr>
        <w:t xml:space="preserve">　　（</w:t>
      </w:r>
      <w:r>
        <w:t>5）臺資企業可公平參與政府採購。</w:t>
      </w:r>
    </w:p>
    <w:p w:rsidR="00F5542D" w:rsidRDefault="00F5542D" w:rsidP="000C4650">
      <w:pPr>
        <w:spacing w:line="240" w:lineRule="auto"/>
        <w:ind w:leftChars="0" w:left="0" w:rightChars="0" w:right="0"/>
      </w:pPr>
      <w:r>
        <w:rPr>
          <w:rFonts w:hint="eastAsia"/>
        </w:rPr>
        <w:t xml:space="preserve">　　（</w:t>
      </w:r>
      <w:r>
        <w:t>6）臺資企業可通過合資合作、併購重組等方式參與國有企業混合所有制改。</w:t>
      </w:r>
    </w:p>
    <w:p w:rsidR="00F5542D" w:rsidRDefault="00F5542D" w:rsidP="000C4650">
      <w:pPr>
        <w:spacing w:line="240" w:lineRule="auto"/>
        <w:ind w:leftChars="0" w:left="0" w:rightChars="0" w:right="0"/>
      </w:pPr>
      <w:r>
        <w:rPr>
          <w:rFonts w:hint="eastAsia"/>
        </w:rPr>
        <w:t xml:space="preserve">　　（</w:t>
      </w:r>
      <w:r>
        <w:t>7）臺資企業與大陸企業同等適用相關用地政策。對集約用地的鼓勵類臺商投資工業項目優先供應土地，在確定土地出讓底價時，可按不低於所在地土地等別相對應大陸工業用地出讓最低價標準的70%執行。</w:t>
      </w:r>
    </w:p>
    <w:p w:rsidR="00F5542D" w:rsidRDefault="00F5542D" w:rsidP="000C4650">
      <w:pPr>
        <w:spacing w:line="240" w:lineRule="auto"/>
        <w:ind w:leftChars="0" w:left="0" w:rightChars="0" w:right="0"/>
      </w:pPr>
      <w:r>
        <w:rPr>
          <w:rFonts w:hint="eastAsia"/>
        </w:rPr>
        <w:t xml:space="preserve">　　（</w:t>
      </w:r>
      <w:r>
        <w:t>8）繼續在中西部、東北地區設立海峽兩岸產業合作區，鼓勵臺資企業向中西部、東北地區轉移並參與“一帶一路”建設，拓展內需市場和國際市場。大力推進臺商投資區和兩岸環保產業合作示範基地建設。</w:t>
      </w:r>
    </w:p>
    <w:p w:rsidR="00F5542D" w:rsidRDefault="00F5542D" w:rsidP="000C4650">
      <w:pPr>
        <w:spacing w:line="240" w:lineRule="auto"/>
        <w:ind w:leftChars="0" w:left="0" w:rightChars="0" w:right="0"/>
      </w:pPr>
      <w:r>
        <w:rPr>
          <w:rFonts w:hint="eastAsia"/>
        </w:rPr>
        <w:t xml:space="preserve">　　（</w:t>
      </w:r>
      <w:r>
        <w:t>9）臺資農業企業可與大陸農業企業同等享受農機購置補貼、產業化重點龍頭企業等農業支持政策和優惠措施。</w:t>
      </w:r>
    </w:p>
    <w:p w:rsidR="00F5542D" w:rsidRDefault="00F5542D" w:rsidP="000C4650">
      <w:pPr>
        <w:spacing w:line="240" w:lineRule="auto"/>
        <w:ind w:leftChars="0" w:left="0" w:rightChars="0" w:right="0"/>
      </w:pPr>
      <w:r>
        <w:rPr>
          <w:rFonts w:hint="eastAsia"/>
        </w:rPr>
        <w:t xml:space="preserve">　　（</w:t>
      </w:r>
      <w:r>
        <w:t>10）臺灣金融機構、商家可與中國銀聯及大陸非銀行支付機構依法合規開展合作，為臺灣同胞提供便捷的小額支付服務。</w:t>
      </w:r>
    </w:p>
    <w:p w:rsidR="00F5542D" w:rsidRDefault="00F5542D" w:rsidP="000C4650">
      <w:pPr>
        <w:spacing w:line="240" w:lineRule="auto"/>
        <w:ind w:leftChars="0" w:left="0" w:rightChars="0" w:right="0"/>
      </w:pPr>
      <w:r>
        <w:rPr>
          <w:rFonts w:hint="eastAsia"/>
        </w:rPr>
        <w:t xml:space="preserve">　　（</w:t>
      </w:r>
      <w:r>
        <w:t>11）臺灣征信機構可與大陸征信機構開展合作，為兩岸同胞和企業提供征信服務。</w:t>
      </w:r>
    </w:p>
    <w:p w:rsidR="0049577B" w:rsidRPr="00F5542D" w:rsidRDefault="00F5542D" w:rsidP="000C4650">
      <w:pPr>
        <w:spacing w:line="240" w:lineRule="auto"/>
        <w:ind w:leftChars="0" w:left="0" w:rightChars="0" w:right="0"/>
      </w:pPr>
      <w:r>
        <w:rPr>
          <w:rFonts w:hint="eastAsia"/>
        </w:rPr>
        <w:t xml:space="preserve">　　（</w:t>
      </w:r>
      <w:r>
        <w:t>12）臺資銀行可與大陸同業協作，通過銀團貸款等方式為實體經濟提供金融服務。</w:t>
      </w:r>
    </w:p>
    <w:p w:rsidR="0049577B" w:rsidRDefault="003F05BB" w:rsidP="003F05BB">
      <w:pPr>
        <w:ind w:leftChars="0" w:left="0"/>
      </w:pPr>
      <w:r w:rsidRPr="002F19DE">
        <w:t xml:space="preserve">　　</w:t>
      </w:r>
      <w:r w:rsidR="0049577B" w:rsidRPr="002F19DE">
        <w:t>2.逐步為臺灣同胞在大陸學習、創業、就業、生活提供與大陸同胞同等的待遇(中國評論通訊社，2018</w:t>
      </w:r>
      <w:r w:rsidR="00587200">
        <w:t>)</w:t>
      </w:r>
      <w:r w:rsidR="0049577B" w:rsidRPr="002F19DE">
        <w:rPr>
          <w:rStyle w:val="af7"/>
          <w:rFonts w:eastAsia="新細明體"/>
          <w:sz w:val="20"/>
        </w:rPr>
        <w:footnoteReference w:id="682"/>
      </w:r>
      <w:r w:rsidR="0049577B" w:rsidRPr="00B40DC1">
        <w:t>：</w:t>
      </w:r>
    </w:p>
    <w:p w:rsidR="000C4650" w:rsidRDefault="000C4650" w:rsidP="000C4650">
      <w:pPr>
        <w:ind w:leftChars="0" w:left="0"/>
      </w:pPr>
      <w:r>
        <w:rPr>
          <w:rFonts w:hint="eastAsia"/>
        </w:rPr>
        <w:t xml:space="preserve">　　（</w:t>
      </w:r>
      <w:r>
        <w:t>1）臺灣同胞可報名參加53項專業技術人員職業資格考試和81項技能人員職業資格考試（《向臺灣居民開放的國家職業資格考試目錄》附後，具體執業辦法由有關部門另行制定）。</w:t>
      </w:r>
    </w:p>
    <w:p w:rsidR="000C4650" w:rsidRDefault="000C4650" w:rsidP="000C4650">
      <w:pPr>
        <w:ind w:leftChars="0" w:left="0"/>
      </w:pPr>
      <w:r>
        <w:rPr>
          <w:rFonts w:hint="eastAsia"/>
        </w:rPr>
        <w:t xml:space="preserve">　　（</w:t>
      </w:r>
      <w:r>
        <w:t>2）臺灣專業人才可申請參與國家“千人計劃”。在大陸工作的臺灣專業人才，可申請參與國家“萬人計劃”。</w:t>
      </w:r>
    </w:p>
    <w:p w:rsidR="000C4650" w:rsidRDefault="000C4650" w:rsidP="000C4650">
      <w:pPr>
        <w:ind w:leftChars="0" w:left="0"/>
      </w:pPr>
      <w:r>
        <w:rPr>
          <w:rFonts w:hint="eastAsia"/>
        </w:rPr>
        <w:t xml:space="preserve">　　（</w:t>
      </w:r>
      <w:r>
        <w:t>3）臺灣同胞可申報國家自然科學基金、國家社會科學基金、國家傑出青年科學基金、國家藝術基金等各類基金項目。具體辦法由相關主管部門制定。</w:t>
      </w:r>
    </w:p>
    <w:p w:rsidR="000C4650" w:rsidRDefault="000C4650" w:rsidP="000C4650">
      <w:pPr>
        <w:ind w:leftChars="0" w:left="0"/>
      </w:pPr>
      <w:r>
        <w:rPr>
          <w:rFonts w:hint="eastAsia"/>
        </w:rPr>
        <w:t xml:space="preserve">　　（</w:t>
      </w:r>
      <w:r>
        <w:t>4）鼓勵臺灣同胞參與中華經典誦讀工程、文化遺產保護工程、非物質文化遺產傳承發展工程等中華優秀傳統文化傳承發展工程。支持臺灣文化藝術界團體和人士參與大陸在海外舉辦的感知中國、中國文化年（節）、歡樂春節等品牌活動，參加“中華文化走出去”計劃。符合條件的兩岸文化項目可納入海外中國文化中心項目資源庫。</w:t>
      </w:r>
    </w:p>
    <w:p w:rsidR="000C4650" w:rsidRDefault="000C4650" w:rsidP="000C4650">
      <w:pPr>
        <w:ind w:leftChars="0" w:left="0"/>
      </w:pPr>
      <w:r>
        <w:rPr>
          <w:rFonts w:hint="eastAsia"/>
        </w:rPr>
        <w:t xml:space="preserve">　　（</w:t>
      </w:r>
      <w:r>
        <w:t>5）支持中華慈善獎、梅花獎、金鷹獎等經濟科技文化社會領域各類評獎項目提名涵蓋臺灣地區。在大陸工作的臺灣同胞可參加當地勞動模範、“五一”勞動獎章、技術能手、“三八”紅旗手等榮譽稱號評選。</w:t>
      </w:r>
    </w:p>
    <w:p w:rsidR="000C4650" w:rsidRDefault="000C4650" w:rsidP="000C4650">
      <w:pPr>
        <w:ind w:leftChars="0" w:left="0"/>
      </w:pPr>
      <w:r>
        <w:rPr>
          <w:rFonts w:hint="eastAsia"/>
        </w:rPr>
        <w:t xml:space="preserve">　　（</w:t>
      </w:r>
      <w:r>
        <w:t>6）臺灣人士參與大陸廣播電視節目和電影、電視劇製作可不受數量限制。</w:t>
      </w:r>
    </w:p>
    <w:p w:rsidR="000C4650" w:rsidRDefault="000C4650" w:rsidP="000C4650">
      <w:pPr>
        <w:ind w:leftChars="0" w:left="0"/>
      </w:pPr>
      <w:r>
        <w:rPr>
          <w:rFonts w:hint="eastAsia"/>
        </w:rPr>
        <w:t xml:space="preserve">　　（</w:t>
      </w:r>
      <w:r>
        <w:t>7）大陸電影發行機構、廣播電視臺、視聽網站和有線電視網引進臺灣生產的電影、電視劇不做數量限制。</w:t>
      </w:r>
    </w:p>
    <w:p w:rsidR="000C4650" w:rsidRDefault="000C4650" w:rsidP="000C4650">
      <w:pPr>
        <w:ind w:leftChars="0" w:left="0"/>
      </w:pPr>
      <w:r>
        <w:rPr>
          <w:rFonts w:hint="eastAsia"/>
        </w:rPr>
        <w:t xml:space="preserve">　　（</w:t>
      </w:r>
      <w:r>
        <w:t>8）放寬兩岸合拍電影、電視劇在主創人員比例、大陸元素、投資比例等方面的限制；取消收取兩岸電影合拍立項申報費用；縮短兩岸電視劇合拍立項階段故事梗概的審批時限。</w:t>
      </w:r>
    </w:p>
    <w:p w:rsidR="000C4650" w:rsidRDefault="000C4650" w:rsidP="000C4650">
      <w:pPr>
        <w:ind w:leftChars="0" w:left="0"/>
      </w:pPr>
      <w:r>
        <w:rPr>
          <w:rFonts w:hint="eastAsia"/>
        </w:rPr>
        <w:t xml:space="preserve">　　（</w:t>
      </w:r>
      <w:r>
        <w:t>9）對臺灣圖書進口業務建立綠色通道，簡化進口審批流程。同時段進口的臺灣圖書可優先辦理相關手續。</w:t>
      </w:r>
    </w:p>
    <w:p w:rsidR="000C4650" w:rsidRDefault="000C4650" w:rsidP="000C4650">
      <w:pPr>
        <w:ind w:leftChars="0" w:left="0"/>
      </w:pPr>
      <w:r>
        <w:rPr>
          <w:rFonts w:hint="eastAsia"/>
        </w:rPr>
        <w:t xml:space="preserve">　　（</w:t>
      </w:r>
      <w:r>
        <w:t>10）鼓勵臺灣同胞加入大陸經濟、科技、文化、藝術類專業性社團組織、行業協會，參加相關活動。</w:t>
      </w:r>
    </w:p>
    <w:p w:rsidR="000C4650" w:rsidRDefault="000C4650" w:rsidP="000C4650">
      <w:pPr>
        <w:ind w:leftChars="0" w:left="0"/>
      </w:pPr>
      <w:r>
        <w:rPr>
          <w:rFonts w:hint="eastAsia"/>
        </w:rPr>
        <w:t xml:space="preserve">　　（</w:t>
      </w:r>
      <w:r>
        <w:t>11）支持鼓勵兩岸教育文化科研機構開展中國文化、歷史、民族等領域研究和成果應用。</w:t>
      </w:r>
    </w:p>
    <w:p w:rsidR="000C4650" w:rsidRDefault="000C4650" w:rsidP="000C4650">
      <w:pPr>
        <w:ind w:leftChars="0" w:left="0"/>
      </w:pPr>
      <w:r>
        <w:rPr>
          <w:rFonts w:hint="eastAsia"/>
        </w:rPr>
        <w:t xml:space="preserve">　　（</w:t>
      </w:r>
      <w:r>
        <w:t>12）臺灣地區從事兩岸民間交流的機構可申請兩岸交流基金項目。</w:t>
      </w:r>
    </w:p>
    <w:p w:rsidR="000C4650" w:rsidRDefault="000C4650" w:rsidP="000C4650">
      <w:pPr>
        <w:ind w:leftChars="0" w:left="0"/>
      </w:pPr>
      <w:r>
        <w:rPr>
          <w:rFonts w:hint="eastAsia"/>
        </w:rPr>
        <w:t xml:space="preserve">　　（</w:t>
      </w:r>
      <w:r>
        <w:t>13）鼓勵臺灣同胞和相關社團參與大陸扶貧、支教、公益、社區建設等基層工作。</w:t>
      </w:r>
    </w:p>
    <w:p w:rsidR="000C4650" w:rsidRDefault="000C4650" w:rsidP="000C4650">
      <w:pPr>
        <w:ind w:leftChars="0" w:left="0"/>
      </w:pPr>
      <w:r>
        <w:rPr>
          <w:rFonts w:hint="eastAsia"/>
        </w:rPr>
        <w:t xml:space="preserve">　　（</w:t>
      </w:r>
      <w:r>
        <w:t>14）在大陸高校就讀臨床醫學專業碩士學位的臺灣學生，在參加研究生學習一年後，可按照大陸醫師資格考試報名的相關規定申請參加考試。</w:t>
      </w:r>
    </w:p>
    <w:p w:rsidR="000C4650" w:rsidRDefault="000C4650" w:rsidP="000C4650">
      <w:pPr>
        <w:ind w:leftChars="0" w:left="0"/>
      </w:pPr>
      <w:r>
        <w:rPr>
          <w:rFonts w:hint="eastAsia"/>
        </w:rPr>
        <w:t xml:space="preserve">　　（</w:t>
      </w:r>
      <w:r>
        <w:t>15）取得大陸醫師資格證書的臺灣同胞，可按照相關規定在大陸申請執業註冊。</w:t>
      </w:r>
    </w:p>
    <w:p w:rsidR="000C4650" w:rsidRDefault="000C4650" w:rsidP="000C4650">
      <w:pPr>
        <w:ind w:leftChars="0" w:left="0"/>
      </w:pPr>
      <w:r>
        <w:rPr>
          <w:rFonts w:hint="eastAsia"/>
        </w:rPr>
        <w:t xml:space="preserve">　　（</w:t>
      </w:r>
      <w:r>
        <w:t>16）符合條件的臺灣醫師，可通過認定方式獲得大陸醫師資格。符合條件的臺灣醫師，可按照相關規定在大陸申請註冊短期行醫，期滿後可重新辦理註冊手續。</w:t>
      </w:r>
    </w:p>
    <w:p w:rsidR="000C4650" w:rsidRDefault="000C4650" w:rsidP="000C4650">
      <w:pPr>
        <w:ind w:leftChars="0" w:left="0"/>
      </w:pPr>
      <w:r>
        <w:rPr>
          <w:rFonts w:hint="eastAsia"/>
        </w:rPr>
        <w:t xml:space="preserve">　　（</w:t>
      </w:r>
      <w:r>
        <w:t>17）在臺灣已獲取相應資格的臺灣同胞在大陸申請證券、期貨、基金從業資格時，只需通過大陸法律法規考試，無需參加專業知識考試。</w:t>
      </w:r>
    </w:p>
    <w:p w:rsidR="000C4650" w:rsidRDefault="000C4650" w:rsidP="000C4650">
      <w:pPr>
        <w:ind w:leftChars="0" w:left="0"/>
      </w:pPr>
      <w:r>
        <w:rPr>
          <w:rFonts w:hint="eastAsia"/>
        </w:rPr>
        <w:t xml:space="preserve">　　（</w:t>
      </w:r>
      <w:r>
        <w:t>18）鼓勵臺灣教師來大陸高校任教，其在臺灣取得的學術成果可納入工作評價體系。</w:t>
      </w:r>
    </w:p>
    <w:p w:rsidR="000C4650" w:rsidRPr="000C4650" w:rsidRDefault="000C4650" w:rsidP="000C4650">
      <w:pPr>
        <w:ind w:leftChars="0" w:left="0"/>
      </w:pPr>
      <w:r>
        <w:rPr>
          <w:rFonts w:hint="eastAsia"/>
        </w:rPr>
        <w:t xml:space="preserve">　　（</w:t>
      </w:r>
      <w:r>
        <w:t>19）為方便臺灣同胞在大陸應聘工作，推動各類人事人才網站和企業線上招聘做好系統升級，支援使用臺胞證註冊登錄。</w:t>
      </w:r>
    </w:p>
    <w:p w:rsidR="0049577B" w:rsidRPr="00B40DC1" w:rsidRDefault="003F05BB" w:rsidP="005A55DE">
      <w:pPr>
        <w:spacing w:line="240" w:lineRule="auto"/>
        <w:ind w:leftChars="0" w:left="0" w:rightChars="0" w:right="0"/>
      </w:pPr>
      <w:r>
        <w:t xml:space="preserve">　　</w:t>
      </w:r>
      <w:r w:rsidR="0049577B" w:rsidRPr="00B40DC1">
        <w:t>承上所述，中國大陸向臺灣居民開放的國家職業資格考試目錄，如下所述</w:t>
      </w:r>
      <w:r w:rsidR="0049577B" w:rsidRPr="00B40DC1">
        <w:rPr>
          <w:rStyle w:val="afc"/>
        </w:rPr>
        <w:t>(</w:t>
      </w:r>
      <w:r w:rsidR="0049577B" w:rsidRPr="00B40DC1">
        <w:t>中國評論通訊社，2018)</w:t>
      </w:r>
      <w:r w:rsidR="0049577B" w:rsidRPr="000C4650">
        <w:rPr>
          <w:rStyle w:val="af7"/>
          <w:rFonts w:eastAsia="新細明體"/>
          <w:sz w:val="20"/>
        </w:rPr>
        <w:footnoteReference w:id="683"/>
      </w:r>
      <w:r w:rsidR="0049577B" w:rsidRPr="00B40DC1">
        <w:t>：</w:t>
      </w:r>
    </w:p>
    <w:p w:rsidR="0049577B" w:rsidRPr="00B40DC1" w:rsidRDefault="003F05BB" w:rsidP="005A55DE">
      <w:pPr>
        <w:spacing w:line="240" w:lineRule="auto"/>
        <w:ind w:leftChars="0" w:left="0" w:rightChars="0" w:right="0"/>
      </w:pPr>
      <w:r>
        <w:t xml:space="preserve">　　</w:t>
      </w:r>
      <w:r w:rsidR="0049577B" w:rsidRPr="00B40DC1">
        <w:t>1.專業技術人員職業資格，共計53項</w:t>
      </w:r>
      <w:r w:rsidR="0049577B" w:rsidRPr="00B40DC1">
        <w:rPr>
          <w:rStyle w:val="afc"/>
        </w:rPr>
        <w:t>(</w:t>
      </w:r>
      <w:r w:rsidR="0049577B" w:rsidRPr="00B40DC1">
        <w:t>中國評論通訊社，2018)：</w:t>
      </w:r>
    </w:p>
    <w:p w:rsidR="0049577B" w:rsidRPr="00B40DC1" w:rsidRDefault="0049577B" w:rsidP="005A55DE">
      <w:pPr>
        <w:spacing w:line="240" w:lineRule="auto"/>
        <w:ind w:leftChars="0" w:left="0" w:rightChars="0" w:right="0"/>
      </w:pPr>
      <w:r w:rsidRPr="00B40DC1">
        <w:t>（1）教師資格（高等學校）;（2）法律職業資格；（3）註冊會計師；</w:t>
      </w:r>
      <w:r w:rsidR="003C1792">
        <w:t>（</w:t>
      </w:r>
      <w:r w:rsidRPr="00B40DC1">
        <w:t>4）民用核安全設備無損檢驗人員資格；（5）民用核設施操縱人員資格；（6）註冊核安全工程師；（7）註冊建築師；（8）監理工程師；（9）房地產估價師；（10）造價工程師；（11）註冊城鄉規劃師；（12）建造師；（13）勘察設計註冊工程師（註冊結構工程師、註冊土木工程師（岩土））；（14）註冊驗；船師；（15）船員資格；（16）獸醫資格；（17）拍賣師；（18）演出經紀人員資格；（19）醫生資格；（20）護士執業資格；（21）母嬰保健技術服務人員資格；（22）出入境檢疫處理人員資格；（23）註冊設備監理師；（24）註冊計量師；（25）新聞記者職業資格；（26）註冊安全工程師；（27）執業藥師；（28）專利代理人；（29）導遊資格；（30）特種設備檢驗、檢測人員資格認定；（31）工程諮詢（投資）專業技術人員職業資格；（32）通信專業技術人員職業資格；（33）計算機技術與軟件專業技術資格；（34）社會工作者職業資格；（35）會計專業技術資格；（36）資產評估師；（37）經濟專業技術資格；（38）土地登記代理專業人員職業資格；（39）環境影響評價工程師；（40）房地產經紀專業人員職業資格；（41）機動車檢測維修專業技術人員職業資格；（42）公路水運工程試驗檢測專業技術人員職業資格；（43）水利工程質量檢測員資格；（44）衛生專業技術資格；（45）審計專業技術資格；（46）稅務師；（47）認證人員職業資格；（48）出版專業技術人員職業資格；（49）統計專業技術資格；（50）銀行業專業人員職業資格；（51）證券期貨業從業人員資格；（52）文物保護工程從業資格；（53）翻譯專業資格。</w:t>
      </w:r>
    </w:p>
    <w:p w:rsidR="0049577B" w:rsidRPr="00B40DC1" w:rsidRDefault="003F05BB" w:rsidP="005A55DE">
      <w:pPr>
        <w:spacing w:line="240" w:lineRule="auto"/>
        <w:ind w:leftChars="0" w:left="0" w:rightChars="0" w:right="0"/>
      </w:pPr>
      <w:r>
        <w:t xml:space="preserve">　　</w:t>
      </w:r>
      <w:r w:rsidR="0049577B" w:rsidRPr="00B40DC1">
        <w:t>2.技能人員職業資格，共計81項</w:t>
      </w:r>
      <w:r w:rsidR="0049577B" w:rsidRPr="00B40DC1">
        <w:rPr>
          <w:rStyle w:val="afc"/>
        </w:rPr>
        <w:t>(</w:t>
      </w:r>
      <w:r w:rsidR="0049577B" w:rsidRPr="00B40DC1">
        <w:t>中國評論通訊社，2018</w:t>
      </w:r>
      <w:r w:rsidR="00587200">
        <w:t>)</w:t>
      </w:r>
      <w:r w:rsidR="0049577B" w:rsidRPr="003F05BB">
        <w:rPr>
          <w:rStyle w:val="af7"/>
          <w:rFonts w:eastAsia="新細明體"/>
          <w:sz w:val="20"/>
        </w:rPr>
        <w:footnoteReference w:id="684"/>
      </w:r>
      <w:r w:rsidR="0049577B" w:rsidRPr="00B40DC1">
        <w:t>：</w:t>
      </w:r>
    </w:p>
    <w:p w:rsidR="005A55DE" w:rsidRDefault="0049577B" w:rsidP="005A55DE">
      <w:pPr>
        <w:spacing w:line="240" w:lineRule="auto"/>
        <w:ind w:leftChars="0" w:left="0" w:rightChars="0" w:right="0"/>
      </w:pPr>
      <w:r w:rsidRPr="00B40DC1">
        <w:t>（1）消防設施操作員；（2）焊工；（3）家畜繁殖員；（4）健身和娛樂場所服務人員；（5）軌道交通運輸服務人員；（6）機械設備修理人員；（7）通用工程機械操作人員；（8）建築安裝施工人員；（9）土木工程建築施工人員；（10）房屋建築施工人員；（11）水產類、輸排和水處理人員；（12）氣體生產、處理和輸送人員；（13）電力、熱力生產和供應人員；（14）儀器儀表裝配人員；（15）電子設備裝配調試人員；（16）計算機製造人員；（17）電子器件製造人員；（18）電子元件製造人員；（19）電線電纜、光纖光纜及電工器材製造人員；（20）輸配電及控制設備製造人員；（21）汽車整車製造人員；（22）醫療器械製品和康復輔具生產人員；（23）金屬加工機械製造人員；（24）工裝工具製造加工人員；</w:t>
      </w:r>
      <w:r w:rsidR="003C1792">
        <w:t>.</w:t>
      </w:r>
      <w:r w:rsidRPr="00B40DC1">
        <w:t>（25）機械熱加工人員；（26）機械冷加工人員；（27）硬質合金生產人員；（28）金屬軋制人員；（29）輕有色金屬冶煉人員；（30）重有色金屬冶煉人員；（31）煉鋼人員（煉鋼原料工、煉鋼工）;</w:t>
      </w:r>
      <w:r w:rsidR="003C1792">
        <w:t>（</w:t>
      </w:r>
      <w:r w:rsidRPr="00B40DC1">
        <w:t>32）煉鐵人員（高爐原料工、高爐煉鐵工、高爐運轉工）;</w:t>
      </w:r>
      <w:r w:rsidR="003C1792">
        <w:t>（</w:t>
      </w:r>
      <w:r w:rsidRPr="00B40DC1">
        <w:t>33）礦物采選人員;</w:t>
      </w:r>
      <w:r w:rsidR="003C1792">
        <w:t>（</w:t>
      </w:r>
      <w:r w:rsidRPr="00B40DC1">
        <w:t>34）陶瓷製品製造人員；（35）玻璃纖維及玻璃纖維增強塑膠製品製造人員；（36）水泥、石灰、石膏及其製品製造人員；（37）藥物制劑人員；（38）中藥飲片加工人員；（39）塗料、油墨、顔料及類似產品製造人員；（40）農藥生產人員；（41）化學肥料生產人員；（42）基礎化學原料製造人員；（43）化工產品生產通用工藝人員；（44）煉焦人員；（45）工藝美術品製作人員；（46）木製品製造人員；（47）紡織品和服裝剪裁縫紉人員；（48）印染人員；（49）織造人員；（50）紡紗人員；（51）纖維預處理人員；（52）酒、飲料及精製茶製造人員；（53）乳製品加工人員；（54）糧油加工人員；（55）動植物疫病防治人員；（56）農業生產服務人員；（57）康復矯正服務人員；（58）健康諮詢服務人員；（59）計算機和辦公設備維修人員；（60）汽車摩托車修理技術服務人員；（61）保健服務人員；（62）美容美發服務人員；（63）生活照料服務人員；（64）有害生物防制人員；（65）環境治理服務人員；（66）水文服務人員；（67）水利設施管養人員；（68）地質勘查人員；（69）檢驗、檢測和計量服務人員；（70）測繪服務人員；（71）安全保護服務人員；（72）人力資源服務人員；（73）物業管理服務人員；（74）資訊通信網絡運行管理人員；（75）廣播電視傳輸服務人員；（76）資訊通信網絡維護人員；（77）餐飲服務人員；（78）倉儲人員；（79）航空運輸服務人員；（80）道路運輸服務人員；（81）消防和應急救援人員。</w:t>
      </w:r>
    </w:p>
    <w:p w:rsidR="005A55DE" w:rsidRDefault="003F05BB" w:rsidP="005A55DE">
      <w:pPr>
        <w:spacing w:line="240" w:lineRule="auto"/>
        <w:ind w:leftChars="0" w:left="0" w:rightChars="0" w:right="0"/>
      </w:pPr>
      <w:r>
        <w:t xml:space="preserve">　　</w:t>
      </w:r>
      <w:r w:rsidR="0049577B" w:rsidRPr="00B40DC1">
        <w:t>筆者用下列之語詞，加以描述此種情形：假若有能力之台灣年輕人，留在台灣愈久，賺的愈少；相反的，假若有能力之台灣年輕人，留在大陸愈久，賺的愈多，愈是人生的超級勝利組。當有能力之台灣年輕人，留在大陸愈久之時，愈有可能加入中國大陸之國籍，相形之下，台灣在國際上，會愈來愈邊緣化，主要之問題點，倘若係針對教育領域而言，即為台灣公私立大學之教授，其在職薪俸，及退休後之月退俸過低所導致。有能力之台灣年輕人及e世代，不願再從事相對低薪之教授工作。如用世界體系理論解釋此種跨境人口移動之現象，中國大陸會逐步成為全球超強之核心國家，台灣則持續、逐步、漸進式地沈淪，淪落為全球之邊陲國家，台灣人才市場與國際競爭，會形成一種惡性之循環，即因低薪，導致人才外流，造成國際競爭力低落。復次，又因國際競爭力低落、人才外流，導致低薪。</w:t>
      </w:r>
    </w:p>
    <w:p w:rsidR="005A55DE" w:rsidRDefault="003F05BB" w:rsidP="005A55DE">
      <w:pPr>
        <w:spacing w:line="240" w:lineRule="auto"/>
        <w:ind w:leftChars="0" w:left="0" w:rightChars="0" w:right="0"/>
      </w:pPr>
      <w:r>
        <w:t xml:space="preserve">　　</w:t>
      </w:r>
      <w:r w:rsidR="0049577B" w:rsidRPr="00B40DC1">
        <w:t>本書（文）撰寫之核心目的，擬在於從建置優質之移民政策與</w:t>
      </w:r>
      <w:hyperlink r:id="rId729" w:history="1">
        <w:r w:rsidR="00E06828" w:rsidRPr="00461F58">
          <w:rPr>
            <w:rStyle w:val="a7"/>
            <w:rFonts w:cs="Times New Roman"/>
            <w:lang w:eastAsia="zh-TW" w:bidi="ar-SA"/>
          </w:rPr>
          <w:t>移民法</w:t>
        </w:r>
      </w:hyperlink>
      <w:r w:rsidR="0049577B" w:rsidRPr="00B40DC1">
        <w:t>制著手，進而令台灣成為世界上之強國與富國。美國之所以成為世界上之超級強國，在於其成功之移民政策與法制，吸引了世界上極為優秀之人種（如猶太人），願至美國貢獻所長，諸如美國成功地吸引各式高階人才來至美國，在各個領域之中，作出自己之貢獻，終將美國打造成為世界上之超級強國。</w:t>
      </w:r>
    </w:p>
    <w:p w:rsidR="005A55DE" w:rsidRDefault="003F05BB" w:rsidP="005A55DE">
      <w:pPr>
        <w:spacing w:line="240" w:lineRule="auto"/>
        <w:ind w:leftChars="0" w:left="0" w:rightChars="0" w:right="0"/>
      </w:pPr>
      <w:r>
        <w:t xml:space="preserve">　　</w:t>
      </w:r>
      <w:r w:rsidR="0049577B" w:rsidRPr="00B40DC1">
        <w:t>眾所週知，美國之所以令各式人才留在美國，除了高薪資與高工作所得之外，尚包括美國成功地建置「民主」、「自由」、「保障人權」與「開放」之機制，令外來人口願意為美國效命。是以，台灣如須成為世界上之強國與富國，有必要著重於「人才」、「資金」與「知識」之取得，當吾國擁有「人才」與「知識」之後，資金亦能隨之而來，「資金」是「人才」與「知識」產出之結果。基此，假若台灣擬提升國力與競爭力，達到世界「強國」與「富國」之水準，其核心之議題，在於如何打造、吸引與留住本土及外來人才；當台灣成功地吸引與留住本土及外來人才之後，另外，須面臨之問題，是如何令本土及高階外來人才，愛上台灣，願意留台，這亦是須思考與解決之課題。</w:t>
      </w:r>
    </w:p>
    <w:p w:rsidR="0049577B" w:rsidRPr="00B40DC1" w:rsidRDefault="003F05BB" w:rsidP="005A55DE">
      <w:pPr>
        <w:spacing w:line="240" w:lineRule="auto"/>
        <w:ind w:leftChars="0" w:left="0" w:rightChars="0" w:right="0"/>
      </w:pPr>
      <w:r>
        <w:t xml:space="preserve">　　</w:t>
      </w:r>
      <w:r w:rsidR="0049577B" w:rsidRPr="00B40DC1">
        <w:t>復次，國人如欲成為強國與富國之一流先進國民，另外須思考之問題，即為如何為國際社會盡一份良心道義責任？基此脈絡，台灣恐須學習加拿大之難民法制，並制定難民法，接納難民為佳。</w:t>
      </w:r>
    </w:p>
    <w:p w:rsidR="0049577B" w:rsidRPr="00B40DC1" w:rsidRDefault="005A55DE" w:rsidP="005A55DE">
      <w:pPr>
        <w:pStyle w:val="afe"/>
        <w:jc w:val="right"/>
        <w:rPr>
          <w:lang w:eastAsia="zh-TW"/>
        </w:rPr>
      </w:pPr>
      <w:r w:rsidRPr="00D45AD2">
        <w:rPr>
          <w:rFonts w:hint="eastAsia"/>
          <w:sz w:val="22"/>
        </w:rPr>
        <w:t>。。。。。。。。。。。。。。。。。。</w:t>
      </w:r>
      <w:hyperlink w:anchor="a目次7" w:history="1">
        <w:r w:rsidR="00E9715D">
          <w:rPr>
            <w:rStyle w:val="a7"/>
            <w:sz w:val="22"/>
            <w:lang w:eastAsia="zh-TW"/>
          </w:rPr>
          <w:t>回總目次</w:t>
        </w:r>
      </w:hyperlink>
      <w:r w:rsidR="00E9715D" w:rsidRPr="00D45AD2">
        <w:rPr>
          <w:color w:val="808000"/>
          <w:sz w:val="22"/>
          <w:lang w:eastAsia="zh-TW"/>
        </w:rPr>
        <w:t>〉〉</w:t>
      </w:r>
    </w:p>
    <w:p w:rsidR="003C1792" w:rsidRDefault="0049577B" w:rsidP="002F19DE">
      <w:pPr>
        <w:pStyle w:val="2"/>
      </w:pPr>
      <w:bookmarkStart w:id="176" w:name="_貳、建議"/>
      <w:bookmarkEnd w:id="176"/>
      <w:r w:rsidRPr="00B40DC1">
        <w:t>貳、建議</w:t>
      </w:r>
    </w:p>
    <w:p w:rsidR="00FC5049" w:rsidRDefault="003F05BB" w:rsidP="005A55DE">
      <w:pPr>
        <w:spacing w:line="240" w:lineRule="auto"/>
        <w:ind w:leftChars="0" w:left="0" w:rightChars="0" w:right="0"/>
      </w:pPr>
      <w:r>
        <w:rPr>
          <w:kern w:val="0"/>
        </w:rPr>
        <w:t xml:space="preserve">　　</w:t>
      </w:r>
      <w:r w:rsidR="0049577B" w:rsidRPr="00B40DC1">
        <w:t>為了達成上述之目標，於本節之中，本文擬提出以下涉及移民政策與法制之建議，俾供國人參考之，最終之目的，期盼台灣早日成為世界上之強國與富國。經本書進行相關之文獻分析、</w:t>
      </w:r>
      <w:r w:rsidR="0049577B" w:rsidRPr="00B40DC1">
        <w:rPr>
          <w:spacing w:val="2"/>
          <w:kern w:val="0"/>
        </w:rPr>
        <w:t>量化次級資料</w:t>
      </w:r>
      <w:r w:rsidR="0049577B" w:rsidRPr="00B40DC1">
        <w:t>統計分析及深入訪談之後，本文所提出之建議，如下所述：</w:t>
      </w:r>
    </w:p>
    <w:p w:rsidR="00FC5049" w:rsidRDefault="00FC5049" w:rsidP="005A55DE">
      <w:pPr>
        <w:spacing w:line="240" w:lineRule="auto"/>
        <w:ind w:leftChars="0" w:left="0" w:rightChars="0" w:right="0"/>
      </w:pPr>
      <w:r>
        <w:rPr>
          <w:rFonts w:hint="eastAsia"/>
        </w:rPr>
        <w:t xml:space="preserve">　　一、在外勞之聘用與其基本人權、人性尊嚴之保障機制之區塊：國內外知名、享有非常崇高社會地位之常律老和尚，於本書推薦序文之中，特別開示指出，</w:t>
      </w:r>
      <w:r w:rsidRPr="00893AB9">
        <w:rPr>
          <w:rFonts w:hint="eastAsia"/>
          <w:b/>
          <w:color w:val="990000"/>
        </w:rPr>
        <w:t>「、、、香港家庭，因政府規定統一外勞工資低廉，家家請得起外勞，來代替主婦做家事，料理三餐帶小孩，令家庭主婦個個可以出外專心工作拼經濟，奉獻才能，以利國家建設及工商業之發展，對國家總體經濟建設相當有利，外勞應不單是為服侍老人而設制的，是應為全民而設的，台灣政府如此迂腐的外勞政策，對國家發展社會經濟及建設幫助有限。</w:t>
      </w:r>
      <w:r>
        <w:rPr>
          <w:rFonts w:hint="eastAsia"/>
        </w:rPr>
        <w:t>」關於此一議題，渉及台灣之外勞之聘用機制，本書認為，台灣亦可取法於香港特區政府之外勞聘用機制，取其優點，去其缺點，以精進我國之外勞聘用機制。</w:t>
      </w:r>
      <w:r w:rsidRPr="00893AB9">
        <w:rPr>
          <w:rFonts w:hint="eastAsia"/>
          <w:b/>
          <w:color w:val="990000"/>
        </w:rPr>
        <w:t>復次，在外勞之基本人權、人性尊嚴之保障機制之區塊，依據前揭常律老和尚之觀察，國內之外勞，其面臨以下之問題：仲介商剝削外勞工資、外勞潛逃事件、雇主虐待外勞等，造成社會治安問題</w:t>
      </w:r>
      <w:r w:rsidRPr="00893AB9">
        <w:rPr>
          <w:rFonts w:hint="eastAsia"/>
        </w:rPr>
        <w:t>。關於此一議題，本書認為，實有必要儘速地將聯合國之保護所有移工及其家庭成員</w:t>
      </w:r>
      <w:r>
        <w:rPr>
          <w:rFonts w:hint="eastAsia"/>
        </w:rPr>
        <w:t>權利國際公約，加以國內法化，亦即，立法院實有必要儘速地通過家事勞工保障法，及新制定聯合國保護所有移工及其家庭成員權利國際公約施行法。目前，立法院業已通過之國際法公約之施行法，共計有：</w:t>
      </w:r>
      <w:r>
        <w:t>1.</w:t>
      </w:r>
      <w:hyperlink r:id="rId730" w:history="1">
        <w:r w:rsidR="00B4647C" w:rsidRPr="00B4647C">
          <w:rPr>
            <w:rStyle w:val="a7"/>
            <w:rFonts w:cs="Times New Roman" w:hint="eastAsia"/>
            <w:lang w:eastAsia="zh-TW" w:bidi="ar-SA"/>
          </w:rPr>
          <w:t>公民與政治權利國際公約</w:t>
        </w:r>
        <w:r w:rsidRPr="00B4647C">
          <w:rPr>
            <w:rStyle w:val="a7"/>
            <w:rFonts w:cs="Times New Roman" w:hint="eastAsia"/>
            <w:lang w:eastAsia="zh-TW" w:bidi="ar-SA"/>
          </w:rPr>
          <w:t>及經濟社會文化權利國際公約施行法</w:t>
        </w:r>
      </w:hyperlink>
      <w:r>
        <w:rPr>
          <w:rFonts w:hint="eastAsia"/>
        </w:rPr>
        <w:t>；</w:t>
      </w:r>
      <w:r>
        <w:t>2</w:t>
      </w:r>
      <w:r w:rsidR="00E72734">
        <w:t>.</w:t>
      </w:r>
      <w:hyperlink r:id="rId731" w:history="1">
        <w:r w:rsidR="00E72734" w:rsidRPr="00E72734">
          <w:rPr>
            <w:rStyle w:val="a7"/>
            <w:rFonts w:cs="Times New Roman"/>
            <w:lang w:eastAsia="zh-TW" w:bidi="ar-SA"/>
          </w:rPr>
          <w:t>身心障礙者權利公約施行法</w:t>
        </w:r>
      </w:hyperlink>
      <w:r>
        <w:t>；3</w:t>
      </w:r>
      <w:r w:rsidR="00E72734">
        <w:t>.</w:t>
      </w:r>
      <w:hyperlink r:id="rId732" w:history="1">
        <w:r w:rsidR="00E72734" w:rsidRPr="00E72734">
          <w:rPr>
            <w:rStyle w:val="a7"/>
            <w:rFonts w:cs="Times New Roman"/>
            <w:lang w:eastAsia="zh-TW" w:bidi="ar-SA"/>
          </w:rPr>
          <w:t>消除對婦女一切形式歧視公約施行法</w:t>
        </w:r>
      </w:hyperlink>
      <w:r>
        <w:t>；4</w:t>
      </w:r>
      <w:r w:rsidR="00E72734">
        <w:t>.</w:t>
      </w:r>
      <w:hyperlink r:id="rId733" w:history="1">
        <w:r w:rsidR="00E72734" w:rsidRPr="00E72734">
          <w:rPr>
            <w:rStyle w:val="a7"/>
            <w:rFonts w:cs="Times New Roman"/>
            <w:lang w:eastAsia="zh-TW" w:bidi="ar-SA"/>
          </w:rPr>
          <w:t>兒童權利公約施行法</w:t>
        </w:r>
      </w:hyperlink>
      <w:r>
        <w:t>，但，截至2018年上半年為止，立法院尚未通過聯合國保護所有移工及其家庭成員權利國際公約施行法，本書作者呼籲，立法院實有必要儘速地通過家事勞工保障法，及新制定聯合國保護所有移工及其家庭成員權利國際公約施行法，用以保障所有來台之移工及其家庭成員之基本權利。立法院僅僅重視身心障礙者、婦女及兒童之基本權利，卻忽視來台之移工及其家庭成員之基本權利，某個角度而論，此種差別待</w:t>
      </w:r>
      <w:r>
        <w:rPr>
          <w:rFonts w:hint="eastAsia"/>
        </w:rPr>
        <w:t>遇，亦涉嫌違反憲</w:t>
      </w:r>
      <w:r w:rsidR="000E2576">
        <w:rPr>
          <w:rFonts w:hint="eastAsia"/>
        </w:rPr>
        <w:t>法</w:t>
      </w:r>
      <w:hyperlink r:id="rId734"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之平等原則。亦即，此種差別待遇，恐已嚴重地違憲。為了落實憲</w:t>
      </w:r>
      <w:r w:rsidR="000E2576">
        <w:rPr>
          <w:rFonts w:hint="eastAsia"/>
        </w:rPr>
        <w:t>法</w:t>
      </w:r>
      <w:hyperlink r:id="rId735"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之平等原則，本書作者建議，立法院實有必要儘速地通過家事勞工保障法，及新制定聯合國保護所有移工及其家庭成員權利國際公約施行法，而非僅僅關注於身心障礙者、婦女及兒童之基本權利，進而忽略來台之移工及其家庭成員之基本權利，在台灣社會上，形成一種非常嚴重之差別待遇，已迫使來台之移工，成為「次等之人種」。</w:t>
      </w:r>
    </w:p>
    <w:p w:rsidR="00FC5049" w:rsidRDefault="00FC5049" w:rsidP="005A55DE">
      <w:pPr>
        <w:spacing w:line="240" w:lineRule="auto"/>
        <w:ind w:leftChars="0" w:left="0" w:rightChars="0" w:right="0"/>
      </w:pPr>
      <w:r>
        <w:rPr>
          <w:rFonts w:hint="eastAsia"/>
        </w:rPr>
        <w:t xml:space="preserve">　　二、在憲法與外來人口人權保障法制方面，就憲法之高度，賦予並保障外來人口出入國、居留、遷徙自由、選擇住所自由及不遭受違法驅逐出國之權利；我</w:t>
      </w:r>
      <w:r w:rsidR="002D4379" w:rsidRPr="00B40DC1">
        <w:t>國</w:t>
      </w:r>
      <w:hyperlink r:id="rId736" w:history="1">
        <w:r w:rsidR="002D4379" w:rsidRPr="002D4379">
          <w:rPr>
            <w:rStyle w:val="a7"/>
            <w:rFonts w:cs="Times New Roman" w:hint="eastAsia"/>
            <w:lang w:eastAsia="zh-TW" w:bidi="ar-SA"/>
          </w:rPr>
          <w:t>憲法</w:t>
        </w:r>
      </w:hyperlink>
      <w:r>
        <w:rPr>
          <w:rFonts w:hint="eastAsia"/>
        </w:rPr>
        <w:t>實宜賦予「外來人口」與本國人享有同等之人身自由保障；我</w:t>
      </w:r>
      <w:r w:rsidR="002D4379" w:rsidRPr="00B40DC1">
        <w:t>國</w:t>
      </w:r>
      <w:hyperlink r:id="rId737" w:history="1">
        <w:r w:rsidR="002D4379" w:rsidRPr="002D4379">
          <w:rPr>
            <w:rStyle w:val="a7"/>
            <w:rFonts w:cs="Times New Roman" w:hint="eastAsia"/>
            <w:lang w:eastAsia="zh-TW" w:bidi="ar-SA"/>
          </w:rPr>
          <w:t>憲法</w:t>
        </w:r>
      </w:hyperlink>
      <w:r>
        <w:rPr>
          <w:rFonts w:hint="eastAsia"/>
        </w:rPr>
        <w:t>實宜賦予外來人口享有「政治上庇護權」（</w:t>
      </w:r>
      <w:r>
        <w:t>RIGHT OF ASYLUM）；外國人所享有之權利與應盡之義務，宜於憲法之中，與本國公民作非常明確之切割，並明文規範之；憲法宜明文規範保障外國人工作權、工作條件及勞動基本權；憲法宜明文規範與保障已取得永久居留資格外國人享有政治上之選舉權與任公職權利；憲法宜明文廢止死</w:t>
      </w:r>
      <w:r>
        <w:rPr>
          <w:rFonts w:hint="eastAsia"/>
        </w:rPr>
        <w:t>刑、無期徒</w:t>
      </w:r>
      <w:r w:rsidR="00893AB9" w:rsidRPr="00B40DC1">
        <w:t>刑</w:t>
      </w:r>
      <w:r w:rsidR="00893AB9" w:rsidRPr="00893AB9">
        <w:rPr>
          <w:rStyle w:val="af7"/>
          <w:rFonts w:eastAsia="新細明體"/>
          <w:sz w:val="20"/>
        </w:rPr>
        <w:footnoteReference w:id="685"/>
      </w:r>
      <w:r>
        <w:rPr>
          <w:rFonts w:hint="eastAsia"/>
        </w:rPr>
        <w:t>，俾利充份地保障外來人口之生命權與人身自由權（含人身自由權）。</w:t>
      </w:r>
    </w:p>
    <w:p w:rsidR="00FC5049" w:rsidRDefault="00FC5049" w:rsidP="005A55DE">
      <w:pPr>
        <w:spacing w:line="240" w:lineRule="auto"/>
        <w:ind w:leftChars="0" w:left="0" w:rightChars="0" w:right="0"/>
      </w:pPr>
      <w:r>
        <w:rPr>
          <w:rFonts w:hint="eastAsia"/>
        </w:rPr>
        <w:t xml:space="preserve">　　三、在公私立大學之教授，提升其在職薪俸與退休之月退俸方面：對於任職於公私立大學之教授，宜大幅提升其在職薪俸與退休後之月退俸所得，以利吸引高專人才來台，同時，留住人才，避免我國之人才，不斷地外流；我國之現況，是國內人才，不斷地外流、輸出，外國籍高專人才不願低就來台，針對教育領域而言，其主因乃為相較於其他國家，我國公私立大學之教授，其在職薪俸與退休之月退俸所得過低，是以，台灣公私立大學之教授，其薪俸與退休之月退俸所得，對外國籍及我國籍之高專人才而論，無任何之競爭力與誘因；憲</w:t>
      </w:r>
      <w:r w:rsidR="000E2576">
        <w:rPr>
          <w:rFonts w:hint="eastAsia"/>
        </w:rPr>
        <w:t>法</w:t>
      </w:r>
      <w:hyperlink r:id="rId738"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保障之平等權，並不當然禁止</w:t>
      </w:r>
      <w:r>
        <w:rPr>
          <w:rFonts w:hint="eastAsia"/>
        </w:rPr>
        <w:t>任何差別待遇，立法與相關機關基於憲法之價值體系及立法目的，自得斟酌規範事物性質之差異而為合理差別待遇。法規範是否符合平等原則之要求，應視該法規範所以為差別待遇之目的是否合憲，及其所採取之分類與規範目的之達成間，是否存有一定程度之關聯性而定（司法院釋</w:t>
      </w:r>
      <w:r w:rsidR="0034744C">
        <w:t>字</w:t>
      </w:r>
      <w:hyperlink r:id="rId739" w:anchor="r682" w:history="1">
        <w:r w:rsidR="0034744C" w:rsidRPr="008839A6">
          <w:rPr>
            <w:rStyle w:val="a7"/>
            <w:rFonts w:cs="Times New Roman"/>
            <w:lang w:eastAsia="zh-TW" w:bidi="ar-SA"/>
          </w:rPr>
          <w:t>第682號</w:t>
        </w:r>
      </w:hyperlink>
      <w:r w:rsidR="0034744C">
        <w:t>、</w:t>
      </w:r>
      <w:hyperlink r:id="rId740" w:anchor="r694" w:history="1">
        <w:r w:rsidR="0034744C" w:rsidRPr="008839A6">
          <w:rPr>
            <w:rStyle w:val="a7"/>
            <w:rFonts w:cs="Times New Roman"/>
            <w:lang w:eastAsia="zh-TW" w:bidi="ar-SA"/>
          </w:rPr>
          <w:t>第694號</w:t>
        </w:r>
      </w:hyperlink>
      <w:r w:rsidR="0034744C">
        <w:t>、</w:t>
      </w:r>
      <w:hyperlink r:id="rId741" w:anchor="r701" w:history="1">
        <w:r w:rsidR="0034744C" w:rsidRPr="008839A6">
          <w:rPr>
            <w:rStyle w:val="a7"/>
            <w:rFonts w:cs="Times New Roman"/>
            <w:lang w:eastAsia="zh-TW" w:bidi="ar-SA"/>
          </w:rPr>
          <w:t>第701號</w:t>
        </w:r>
      </w:hyperlink>
      <w:r w:rsidR="0034744C">
        <w:t>、</w:t>
      </w:r>
      <w:hyperlink r:id="rId742" w:anchor="r719" w:history="1">
        <w:r w:rsidR="0034744C" w:rsidRPr="008839A6">
          <w:rPr>
            <w:rStyle w:val="a7"/>
            <w:rFonts w:cs="Times New Roman"/>
            <w:lang w:eastAsia="zh-TW" w:bidi="ar-SA"/>
          </w:rPr>
          <w:t>第719號</w:t>
        </w:r>
      </w:hyperlink>
      <w:r w:rsidR="0034744C">
        <w:t>、</w:t>
      </w:r>
      <w:hyperlink r:id="rId743" w:anchor="r722" w:history="1">
        <w:r w:rsidR="0034744C" w:rsidRPr="008839A6">
          <w:rPr>
            <w:rStyle w:val="a7"/>
            <w:rFonts w:cs="Times New Roman"/>
            <w:lang w:eastAsia="zh-TW" w:bidi="ar-SA"/>
          </w:rPr>
          <w:t>第722號</w:t>
        </w:r>
      </w:hyperlink>
      <w:r w:rsidR="0034744C">
        <w:t>、</w:t>
      </w:r>
      <w:hyperlink r:id="rId744" w:anchor="r727" w:history="1">
        <w:r w:rsidR="0034744C" w:rsidRPr="008839A6">
          <w:rPr>
            <w:rStyle w:val="a7"/>
            <w:rFonts w:cs="Times New Roman"/>
            <w:lang w:eastAsia="zh-TW" w:bidi="ar-SA"/>
          </w:rPr>
          <w:t>第727號</w:t>
        </w:r>
      </w:hyperlink>
      <w:r w:rsidR="0034744C">
        <w:t>及</w:t>
      </w:r>
      <w:hyperlink r:id="rId745" w:anchor="r745" w:history="1">
        <w:r w:rsidR="0034744C" w:rsidRPr="008839A6">
          <w:rPr>
            <w:rStyle w:val="a7"/>
            <w:rFonts w:cs="Times New Roman"/>
            <w:lang w:eastAsia="zh-TW" w:bidi="ar-SA"/>
          </w:rPr>
          <w:t>第745號</w:t>
        </w:r>
      </w:hyperlink>
      <w:r>
        <w:t>解釋參照）。若目的正當，且其差別待遇與目的之達成間具有合理關聯，即不違反憲</w:t>
      </w:r>
      <w:r w:rsidR="000E2576">
        <w:rPr>
          <w:rFonts w:hint="eastAsia"/>
        </w:rPr>
        <w:t>法</w:t>
      </w:r>
      <w:hyperlink r:id="rId746"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平等權保障之意旨。基此平等權標準，為了達到吸引高專人才來台，同時，留住人才，避免我國之人才，不斷地</w:t>
      </w:r>
      <w:r>
        <w:rPr>
          <w:rFonts w:hint="eastAsia"/>
        </w:rPr>
        <w:t>外流之合理化、正當化之目的，對於任職於公私立大學之教授，大幅提升其在職薪俸與退休後之月退俸所得，亦符合憲</w:t>
      </w:r>
      <w:r w:rsidR="000E2576">
        <w:rPr>
          <w:rFonts w:hint="eastAsia"/>
        </w:rPr>
        <w:t>法</w:t>
      </w:r>
      <w:hyperlink r:id="rId747"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平等權保障之精神。主因在於：目的正當，且其差別待遇與目的之達成間具有合理關聯性。</w:t>
      </w:r>
    </w:p>
    <w:p w:rsidR="00FC5049" w:rsidRDefault="00FC5049" w:rsidP="005A55DE">
      <w:pPr>
        <w:spacing w:line="240" w:lineRule="auto"/>
        <w:ind w:leftChars="0" w:left="0" w:rightChars="0" w:right="0"/>
      </w:pPr>
      <w:r>
        <w:rPr>
          <w:rFonts w:hint="eastAsia"/>
        </w:rPr>
        <w:t xml:space="preserve">　　四、在新移民的生活適應與需求之區塊：</w:t>
      </w:r>
    </w:p>
    <w:p w:rsidR="00FC5049" w:rsidRDefault="00FC5049" w:rsidP="005A55DE">
      <w:pPr>
        <w:spacing w:line="240" w:lineRule="auto"/>
        <w:ind w:leftChars="0" w:left="0" w:rightChars="0" w:right="0"/>
      </w:pPr>
      <w:r>
        <w:rPr>
          <w:rFonts w:hint="eastAsia"/>
        </w:rPr>
        <w:t xml:space="preserve">　　（</w:t>
      </w:r>
      <w:r>
        <w:t>1）、針對家庭生活層面而論，在三類國籍新移民當中，東南亞籍新移民的家庭收入最低、配偶教育程度最低（高中職以下所占百分比最高）、與配偶認識的方式多經由婚姻介紹、與配偶結婚年數較低、離婚情形最多，顯示此類國籍新移民的家庭生活情形較不佳。東南亞籍新移民的家庭需要較多的照顧輔導資源，協助其提升家庭生活品質，強化其家庭功能。大陸及港澳地區新移民不是首度結婚的比率最高、配偶不是首度結婚的比率最高、配偶健康狀況不良的比率也是最高，大陸及港澳地區新移民的家庭可能需要較多的醫療保健資源。顯然，不同國籍之新移民家庭，所需</w:t>
      </w:r>
      <w:r>
        <w:rPr>
          <w:rFonts w:hint="eastAsia"/>
        </w:rPr>
        <w:t>要的教育資源並不相同，以提供適切的教育資源。（</w:t>
      </w:r>
      <w:r>
        <w:t>2）、在就業層面部分，政府也應擬定相關政策，透過節稅、行政作業簡易化等措施，鼓勵事業單位聘僱新移民，積極創造新移民友善就業環境與氛圍。（3）、在生活適應層面，有關新移民目前在臺生活的重大困擾問題，雖平均超過70%的新移民表示沒有重大困擾問題，但有較高百分比的東南亞籍和大陸港澳籍新移民表示有經濟問題，尤其是東南亞籍新移民。因此，對於經濟較弱勢的新移民實有必要提供適切的協助與輔導措施。（4）、在生活環境整體感受層面，顯然有較多的其他國籍新移民不同意居住臺灣有良好的教</w:t>
      </w:r>
      <w:r>
        <w:rPr>
          <w:rFonts w:hint="eastAsia"/>
        </w:rPr>
        <w:t>育環境。換言之，隨著新移民教育程度、原屬國社經背景的改變，跨國婚姻逐漸呈現不同以往的樣貌。不論是在意識形態上、醫療及教育資源分配上，須兼顧公平與合理，以符合憲</w:t>
      </w:r>
      <w:r w:rsidR="000E2576">
        <w:rPr>
          <w:rFonts w:hint="eastAsia"/>
        </w:rPr>
        <w:t>法</w:t>
      </w:r>
      <w:hyperlink r:id="rId748" w:anchor="a7" w:history="1">
        <w:r w:rsidR="000E2576" w:rsidRPr="000E2576">
          <w:rPr>
            <w:rStyle w:val="a7"/>
            <w:rFonts w:cs="Times New Roman" w:hint="eastAsia"/>
            <w:lang w:eastAsia="zh-TW" w:bidi="ar-SA"/>
          </w:rPr>
          <w:t>第</w:t>
        </w:r>
        <w:r w:rsidR="000E2576" w:rsidRPr="000E2576">
          <w:rPr>
            <w:rStyle w:val="a7"/>
            <w:rFonts w:cs="Times New Roman"/>
            <w:lang w:eastAsia="zh-TW" w:bidi="ar-SA"/>
          </w:rPr>
          <w:t>7條</w:t>
        </w:r>
      </w:hyperlink>
      <w:r>
        <w:t>所揭示之平等原則。</w:t>
      </w:r>
    </w:p>
    <w:p w:rsidR="00FC5049" w:rsidRDefault="00FC5049" w:rsidP="005A55DE">
      <w:pPr>
        <w:spacing w:line="240" w:lineRule="auto"/>
        <w:ind w:leftChars="0" w:left="0" w:rightChars="0" w:right="0"/>
      </w:pPr>
      <w:r>
        <w:rPr>
          <w:rFonts w:hint="eastAsia"/>
        </w:rPr>
        <w:t xml:space="preserve">　　五、在移民融合方面：強化與提升勞動就業市場流動之移民融合機制；考量適度賦予外國人政治參與權利之可行性；改善外國人取得我國長期與永久居留之機制；精進移民家庭團聚之機制；修法以維護新住民配偶之家庭團聚權。國籍取得政策仍存有進步之空間；政府各部門似宜通力進行縱向與橫向之協力合作，共同促成移民融合之工作；</w:t>
      </w:r>
    </w:p>
    <w:p w:rsidR="00FC5049" w:rsidRDefault="00FC5049" w:rsidP="005A55DE">
      <w:pPr>
        <w:spacing w:line="240" w:lineRule="auto"/>
        <w:ind w:leftChars="0" w:left="0" w:rightChars="0" w:right="0"/>
      </w:pPr>
      <w:r>
        <w:rPr>
          <w:rFonts w:hint="eastAsia"/>
        </w:rPr>
        <w:t xml:space="preserve">　　六、外國人工作權法制之保障方面：台灣</w:t>
      </w:r>
      <w:hyperlink r:id="rId749" w:history="1">
        <w:r w:rsidR="00F816F3" w:rsidRPr="00F816F3">
          <w:rPr>
            <w:rStyle w:val="a7"/>
            <w:rFonts w:cs="Times New Roman"/>
            <w:sz w:val="24"/>
            <w:szCs w:val="24"/>
            <w:lang w:eastAsia="zh-TW" w:bidi="ar-SA"/>
          </w:rPr>
          <w:t>勞動基準法</w:t>
        </w:r>
      </w:hyperlink>
      <w:r>
        <w:rPr>
          <w:rFonts w:hint="eastAsia"/>
        </w:rPr>
        <w:t>之適用對象，宜包括「外籍家事勞工」；我國對於外籍家事勞工與雇主間之勞資契約，宜進行必要之管控或規制；在認定外籍家事勞工之工作時間（段）是否逾時部分，可引進加國安大略省平均數之計算公式解決之；雇主延長外籍家事勞工之工作時間者，逾時工資宜為平日每小時標準之</w:t>
      </w:r>
      <w:r>
        <w:t>1.5倍以上，並運用法律明文規範為佳，以確實地保障外籍家事勞工之權益；外籍家事勞工之薪資，如與本國勞工之薪資比較，外籍家事勞工之薪資宜受到同工同酬（Equal pay for equal work）之保障，以符</w:t>
      </w:r>
      <w:r>
        <w:rPr>
          <w:rFonts w:hint="eastAsia"/>
        </w:rPr>
        <w:t>合憲法之平等原則；台灣對於外國人工作權之保障，似宜與《</w:t>
      </w:r>
      <w:hyperlink r:id="rId750" w:history="1">
        <w:r w:rsidRPr="00F816F3">
          <w:rPr>
            <w:rStyle w:val="a7"/>
            <w:rFonts w:cs="Times New Roman" w:hint="eastAsia"/>
            <w:lang w:eastAsia="zh-TW" w:bidi="ar-SA"/>
          </w:rPr>
          <w:t>世界人權宣言</w:t>
        </w:r>
      </w:hyperlink>
      <w:r>
        <w:rPr>
          <w:rFonts w:hint="eastAsia"/>
        </w:rPr>
        <w:t>》、《</w:t>
      </w:r>
      <w:hyperlink r:id="rId751" w:history="1">
        <w:r w:rsidRPr="00A65CF7">
          <w:rPr>
            <w:rStyle w:val="a7"/>
            <w:rFonts w:cs="Times New Roman" w:hint="eastAsia"/>
            <w:lang w:eastAsia="zh-TW" w:bidi="ar-SA"/>
          </w:rPr>
          <w:t>經濟、社會、文化權利國際公約</w:t>
        </w:r>
      </w:hyperlink>
      <w:r>
        <w:rPr>
          <w:rFonts w:hint="eastAsia"/>
        </w:rPr>
        <w:t>》、《</w:t>
      </w:r>
      <w:hyperlink r:id="rId752" w:history="1">
        <w:r w:rsidRPr="001A69E2">
          <w:rPr>
            <w:rStyle w:val="a7"/>
            <w:rFonts w:cs="Times New Roman" w:hint="eastAsia"/>
            <w:lang w:eastAsia="zh-TW" w:bidi="ar-SA"/>
          </w:rPr>
          <w:t>公民與政治權利國際公約</w:t>
        </w:r>
      </w:hyperlink>
      <w:r>
        <w:rPr>
          <w:rFonts w:hint="eastAsia"/>
        </w:rPr>
        <w:t>》、《</w:t>
      </w:r>
      <w:hyperlink r:id="rId753" w:history="1">
        <w:r w:rsidRPr="001A69E2">
          <w:rPr>
            <w:rStyle w:val="a7"/>
            <w:rFonts w:cs="Times New Roman" w:hint="eastAsia"/>
            <w:lang w:eastAsia="zh-TW" w:bidi="ar-SA"/>
          </w:rPr>
          <w:t>消除一切形式種族歧視國際公約</w:t>
        </w:r>
      </w:hyperlink>
      <w:r>
        <w:rPr>
          <w:rFonts w:hint="eastAsia"/>
        </w:rPr>
        <w:t>》、《</w:t>
      </w:r>
      <w:hyperlink r:id="rId754" w:history="1">
        <w:r w:rsidRPr="001A69E2">
          <w:rPr>
            <w:rStyle w:val="a7"/>
            <w:rFonts w:cs="Times New Roman" w:hint="eastAsia"/>
            <w:lang w:eastAsia="zh-TW" w:bidi="ar-SA"/>
          </w:rPr>
          <w:t>消除對婦女一切形式歧視公約</w:t>
        </w:r>
      </w:hyperlink>
      <w:r>
        <w:rPr>
          <w:rFonts w:hint="eastAsia"/>
        </w:rPr>
        <w:t>》及《</w:t>
      </w:r>
      <w:hyperlink r:id="rId755" w:history="1">
        <w:r w:rsidRPr="001A69E2">
          <w:rPr>
            <w:rStyle w:val="a7"/>
            <w:rFonts w:cs="Times New Roman" w:hint="eastAsia"/>
            <w:lang w:eastAsia="zh-TW" w:bidi="ar-SA"/>
          </w:rPr>
          <w:t>兒童權利公約</w:t>
        </w:r>
      </w:hyperlink>
      <w:r>
        <w:rPr>
          <w:rFonts w:hint="eastAsia"/>
        </w:rPr>
        <w:t>》等國際條約進行接軌；</w:t>
      </w:r>
    </w:p>
    <w:p w:rsidR="00FC5049" w:rsidRDefault="00FC5049" w:rsidP="005A55DE">
      <w:pPr>
        <w:spacing w:line="240" w:lineRule="auto"/>
        <w:ind w:leftChars="0" w:left="0" w:rightChars="0" w:right="0"/>
      </w:pPr>
      <w:r>
        <w:rPr>
          <w:rFonts w:hint="eastAsia"/>
        </w:rPr>
        <w:t xml:space="preserve">　　七、「禁止出國」、「收容」、「驅逐出國」法制宜與國際人權法制相聯結：對於「台灣地區無戶籍國民」不予許可或禁止入國之處分，恐已剝奪國民返鄉權，似應給予當事人正式之書面行政處分書，並告知及賦予其法律救濟之途徑；對外國人所作出之「禁止出國」處分，似應明文規範賦予外國人救濟之機會；我國對外國人的「收容」法制中之暫予收容部分，未由法官裁定，似與國際人權法制相違背，已侵犯外國人之人身自由；對外國人「驅逐出國」的正式行政聽證程序與救濟法制尚待補強；</w:t>
      </w:r>
    </w:p>
    <w:p w:rsidR="00FC5049" w:rsidRDefault="00FC5049" w:rsidP="005A55DE">
      <w:pPr>
        <w:spacing w:line="240" w:lineRule="auto"/>
        <w:ind w:leftChars="0" w:left="0" w:rightChars="0" w:right="0"/>
      </w:pPr>
      <w:r>
        <w:rPr>
          <w:rFonts w:hint="eastAsia"/>
        </w:rPr>
        <w:t xml:space="preserve">　　八、強化整體社經環境：強化我國經濟發展之潛力與條件，並積極改善工作條件與生活環境，營造一個有利於外國專技人才工作與生活之溫馨環境；改善政黨惡鬥之氛圍，強化國家政策具有可持續性與可發展性之機制；宜強化國會議事之功能，縮短相關</w:t>
      </w:r>
      <w:hyperlink r:id="rId756" w:history="1">
        <w:r w:rsidR="00E06828" w:rsidRPr="00461F58">
          <w:rPr>
            <w:rStyle w:val="a7"/>
            <w:rFonts w:cs="Times New Roman"/>
            <w:lang w:eastAsia="zh-TW" w:bidi="ar-SA"/>
          </w:rPr>
          <w:t>移民法</w:t>
        </w:r>
      </w:hyperlink>
      <w:r>
        <w:rPr>
          <w:rFonts w:hint="eastAsia"/>
        </w:rPr>
        <w:t>令審議期，在符合法律保留之原則下，以立法授權方式，機動地調整移民政策；</w:t>
      </w:r>
    </w:p>
    <w:p w:rsidR="00FC5049" w:rsidRDefault="00FC5049" w:rsidP="005A55DE">
      <w:pPr>
        <w:spacing w:line="240" w:lineRule="auto"/>
        <w:ind w:leftChars="0" w:left="0" w:rightChars="0" w:right="0"/>
      </w:pPr>
      <w:r>
        <w:rPr>
          <w:rFonts w:hint="eastAsia"/>
        </w:rPr>
        <w:t xml:space="preserve">　　九、在技術移民機制之精進部分：我國技術移民制度可適時與適度地採行評點制；梅花卡永久居留權宜和技術移民之工作結合；建置技術移民永久居留人才資料庫；放寬技術移民者單一國籍之限制；</w:t>
      </w:r>
      <w:hyperlink r:id="rId757" w:history="1">
        <w:r w:rsidR="00E06828" w:rsidRPr="00461F58">
          <w:rPr>
            <w:rStyle w:val="a7"/>
            <w:rFonts w:cs="Times New Roman"/>
            <w:lang w:eastAsia="zh-TW" w:bidi="ar-SA"/>
          </w:rPr>
          <w:t>移民法</w:t>
        </w:r>
      </w:hyperlink>
      <w:r>
        <w:rPr>
          <w:rFonts w:hint="eastAsia"/>
        </w:rPr>
        <w:t>令對技術移民定義應明確；強化梅花卡利基適時給予高級專業人才準國民權；公部門宜及國內企業緊密聯繫以利掌握國內人才需求，並建置技術移民永久居留之人才資料庫；移民機關組織再造，以利全權主導移民政策──在行政院之下，宜建置一個常設性之「行政院移民政策、融合與輔導委員會」；宜增添移民政策規畫之人力；破除梅花卡永久居留之績效迷思；宜訂定「大陸地區專業人才延攬及僱用法」，積極地延攬及僱用大陸地區專業人才來台貢獻所長，以發展台灣之綜合國力。</w:t>
      </w:r>
    </w:p>
    <w:p w:rsidR="00FC5049" w:rsidRDefault="00FC5049" w:rsidP="005A55DE">
      <w:pPr>
        <w:spacing w:line="240" w:lineRule="auto"/>
        <w:ind w:leftChars="0" w:left="0" w:rightChars="0" w:right="0"/>
      </w:pPr>
      <w:r>
        <w:rPr>
          <w:rFonts w:hint="eastAsia"/>
        </w:rPr>
        <w:t xml:space="preserve">　　十、在國境安全管理之部分：由大陸先行審批大陸居民往來台灣通行證及簽注，我方再憑證審發大陸地區人民來台之入出境許可證；簽署兩岸境管合作協議；簽署兩岸境管協議，加強國境管理合作；兩岸境管機關建立資訊交流平臺；建立兩岸境管機關人員即時通管道；明確兩岸政策之方向，掌握陸客來臺主導權；加強陸客申請案件審核機制，以達到源頭管理為目標；內政部移民署宜適度擴增、增加陸客來台申請案件之專業審核人力名額；在大陸地區設立辦事處，完善「事前管理」之能量；兩岸互設辦事機構增設審發入出境許可證及面談功能；我國有必要於大陸地區先行採集陸客及其他大陸身分人士之生物特徵，並回傳台灣國內國境管理機關，以利陸客及其他大陸身分人士入境時比對之用；有效使用國境管理之資訊設備及系統，執行陸客入出境查驗等工作；國安團隊建置之大陸人士資訊系統互享資源，應提供給基層執法人員使用；有效掌蒐特殊大陸人士在臺從事相關違法行為之情事；</w:t>
      </w:r>
    </w:p>
    <w:p w:rsidR="00FC5049" w:rsidRDefault="00FC5049" w:rsidP="005A55DE">
      <w:pPr>
        <w:spacing w:line="240" w:lineRule="auto"/>
        <w:ind w:leftChars="0" w:left="0" w:rightChars="0" w:right="0"/>
      </w:pPr>
      <w:r>
        <w:rPr>
          <w:rFonts w:hint="eastAsia"/>
        </w:rPr>
        <w:t xml:space="preserve">　　十一、建構臺灣成為一個真正多元文化、平等對待的社會之區塊：根據本書之實證調查，在三類國籍新移民當中，統計顯示，顯然有較多的大陸及港澳籍新移民不同意臺灣是平等對待、具社會公益的地方，以及不同意居住臺灣有良好的醫療照顧。國籍別與受訪者是否認同臺灣是平等對待、社會公益地方達到統計上的顯著水準（χ</w:t>
      </w:r>
      <w:r>
        <w:t>2=12.48；df=6；p&lt;0.05），顯示：會因為受訪者國籍別之不同，而在其對於臺灣是否為平等對待、社會公益地方的認知程度上有所差異。當進一步觀察百分比分布情形可以發現，原籍為其他國家的新移民表示非常同意和同意者占95.10％，所占百分比最高；其次為原籍為東南亞國家新移民表示非常同意和同意者占94.00%；而以大陸及港澳地區新移民表示非常同意和同意者所占百分比最低，占88.90％。亦即，大陸及港澳地區新移民表示，其受到若干程度之歧視與不公平之待遇。是以，外籍與大陸配偶之法律上規範機制，仍有再予衡平之空間。總之，未來建構臺灣成為一個真正多元文化、平等對待的社會，亟具重要性與急迫性。</w:t>
      </w:r>
    </w:p>
    <w:p w:rsidR="0049577B" w:rsidRPr="00B40DC1" w:rsidRDefault="00FC5049" w:rsidP="005A55DE">
      <w:pPr>
        <w:spacing w:line="240" w:lineRule="auto"/>
        <w:ind w:leftChars="0" w:left="0" w:rightChars="0" w:right="0"/>
      </w:pPr>
      <w:r>
        <w:rPr>
          <w:rFonts w:hint="eastAsia"/>
        </w:rPr>
        <w:t xml:space="preserve">　　十二、大陸配偶之學歷認證標準應與外籍配偶逐步趨向一致；外籍及大陸配偶之規範仍有再予衡平之空間；修法以維護新住民配偶之家庭團聚權；大陸配偶在台違法行為之處罰標準宜具有衡平性，並兼具考量其「家庭團聚權」，應與外籍配偶趨於平等性與一致性；宜保障大陸配偶之集會遊行與結社之權利；大陸配偶之學歷認證標準應與外籍配偶逐步趨向一致。</w:t>
      </w:r>
    </w:p>
    <w:p w:rsidR="00FC5049" w:rsidRPr="00FC5049" w:rsidRDefault="00FC5049" w:rsidP="00FC5049">
      <w:pPr>
        <w:ind w:leftChars="0"/>
      </w:pPr>
    </w:p>
    <w:p w:rsidR="0049577B" w:rsidRPr="00B40DC1" w:rsidRDefault="005A55DE" w:rsidP="005A55DE">
      <w:pPr>
        <w:pStyle w:val="afe"/>
        <w:jc w:val="right"/>
        <w:rPr>
          <w:lang w:eastAsia="zh-TW"/>
        </w:rPr>
      </w:pPr>
      <w:r w:rsidRPr="00D45AD2">
        <w:rPr>
          <w:rFonts w:hint="eastAsia"/>
          <w:sz w:val="22"/>
        </w:rPr>
        <w:t>。。。。。。。。。。。。。。。。。。</w:t>
      </w:r>
      <w:hyperlink w:anchor="a目次7" w:history="1">
        <w:r>
          <w:rPr>
            <w:rStyle w:val="a7"/>
            <w:sz w:val="22"/>
            <w:lang w:eastAsia="zh-TW"/>
          </w:rPr>
          <w:t>回總目次</w:t>
        </w:r>
      </w:hyperlink>
      <w:r w:rsidRPr="00D45AD2">
        <w:rPr>
          <w:color w:val="808000"/>
          <w:sz w:val="22"/>
          <w:lang w:eastAsia="zh-TW"/>
        </w:rPr>
        <w:t>〉〉</w:t>
      </w:r>
    </w:p>
    <w:p w:rsidR="0049577B" w:rsidRDefault="0049577B" w:rsidP="00B662A4">
      <w:pPr>
        <w:pStyle w:val="11"/>
      </w:pPr>
      <w:bookmarkStart w:id="177" w:name="_參考文獻"/>
      <w:bookmarkStart w:id="178" w:name="a參考文獻"/>
      <w:bookmarkEnd w:id="177"/>
      <w:bookmarkEnd w:id="178"/>
      <w:r w:rsidRPr="00B40DC1">
        <w:t>參考文獻</w:t>
      </w:r>
    </w:p>
    <w:p w:rsidR="003276F8" w:rsidRDefault="003276F8" w:rsidP="003276F8">
      <w:pPr>
        <w:rPr>
          <w:rStyle w:val="a7"/>
          <w:sz w:val="24"/>
          <w:lang w:eastAsia="zh-TW"/>
        </w:rPr>
      </w:pPr>
      <w:r w:rsidRPr="000373DF">
        <w:rPr>
          <w:rFonts w:hint="eastAsia"/>
          <w:sz w:val="24"/>
        </w:rPr>
        <w:t>。</w:t>
      </w:r>
      <w:hyperlink w:anchor="_中文參考文獻：" w:history="1">
        <w:r w:rsidRPr="000373DF">
          <w:rPr>
            <w:rStyle w:val="a7"/>
            <w:rFonts w:hint="eastAsia"/>
            <w:sz w:val="24"/>
            <w:lang w:eastAsia="zh-TW"/>
          </w:rPr>
          <w:t>中文參考文獻</w:t>
        </w:r>
      </w:hyperlink>
      <w:r w:rsidRPr="000373DF">
        <w:rPr>
          <w:rFonts w:hint="eastAsia"/>
          <w:sz w:val="24"/>
        </w:rPr>
        <w:t>。</w:t>
      </w:r>
      <w:hyperlink w:anchor="_英文參考文獻：" w:history="1">
        <w:r w:rsidRPr="000373DF">
          <w:rPr>
            <w:rStyle w:val="a7"/>
            <w:rFonts w:hint="eastAsia"/>
            <w:sz w:val="24"/>
            <w:lang w:eastAsia="zh-TW"/>
          </w:rPr>
          <w:t>英文參考文獻</w:t>
        </w:r>
      </w:hyperlink>
    </w:p>
    <w:p w:rsidR="003276F8" w:rsidRPr="003276F8" w:rsidRDefault="003276F8" w:rsidP="003276F8"/>
    <w:p w:rsidR="0049577B" w:rsidRPr="00B40DC1" w:rsidRDefault="0049577B" w:rsidP="002F19DE">
      <w:pPr>
        <w:pStyle w:val="2"/>
      </w:pPr>
      <w:bookmarkStart w:id="179" w:name="_中文參考文獻："/>
      <w:bookmarkEnd w:id="179"/>
      <w:r w:rsidRPr="00B40DC1">
        <w:t>中文參考文獻：</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Castles, S.、Miller, M. J.（2008）。移民：流離的年代（The age of migration, 3rd ed : international population movements in the modern world）。臺北：五南。（賴佳楓譯，原作2003年出版，第1版）。</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Kivisto, R.、Faist, T.（2013）。跨越邊界：當代遷徙的因果（Beyond a border : the causes and consequences of contemporary immigration）。新北：韋伯文化國際。（國家教育研究院主譯、葉宗顯譯，原作2010年出版，第1版）。</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liu milo(2016)，高啟全出手，台灣 DRAM 產業恐現逾百人才出走潮，科技新報，</w:t>
      </w:r>
      <w:hyperlink r:id="rId758" w:history="1">
        <w:r w:rsidRPr="006B5D0A">
          <w:rPr>
            <w:rStyle w:val="a7"/>
            <w:rFonts w:cs="Times New Roman"/>
            <w:sz w:val="24"/>
            <w:szCs w:val="24"/>
            <w:lang w:eastAsia="zh-TW" w:bidi="ar-SA"/>
          </w:rPr>
          <w:t>http://technews.tw/2016/08/26/charles-kau-dram/</w:t>
        </w:r>
      </w:hyperlink>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SETN三立新聞網(2018)，</w:t>
      </w:r>
      <w:hyperlink r:id="rId759" w:history="1">
        <w:r w:rsidRPr="006B5D0A">
          <w:rPr>
            <w:rStyle w:val="a7"/>
            <w:rFonts w:cs="Times New Roman"/>
            <w:sz w:val="24"/>
            <w:szCs w:val="24"/>
            <w:lang w:eastAsia="zh-TW" w:bidi="ar-SA"/>
          </w:rPr>
          <w:t>http://www.setn.com/News.aspx?NewsID=353284</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S-Link電子六法全書(2003)，完整六法，</w:t>
      </w:r>
      <w:hyperlink r:id="rId760" w:history="1">
        <w:r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S-Link電子六法全書(2004)，完整六法</w:t>
      </w:r>
      <w:r w:rsidR="006B5D0A" w:rsidRPr="002F19DE">
        <w:rPr>
          <w:sz w:val="24"/>
          <w:szCs w:val="24"/>
        </w:rPr>
        <w:t>，</w:t>
      </w:r>
      <w:hyperlink r:id="rId761"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S-Link電子六法全書(2005)，完整六法</w:t>
      </w:r>
      <w:r w:rsidR="006B5D0A" w:rsidRPr="002F19DE">
        <w:rPr>
          <w:sz w:val="24"/>
          <w:szCs w:val="24"/>
        </w:rPr>
        <w:t>，</w:t>
      </w:r>
      <w:hyperlink r:id="rId762"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S-Link電子六法全書(2006)，完整六法</w:t>
      </w:r>
      <w:r w:rsidR="006B5D0A" w:rsidRPr="002F19DE">
        <w:rPr>
          <w:sz w:val="24"/>
          <w:szCs w:val="24"/>
        </w:rPr>
        <w:t>，</w:t>
      </w:r>
      <w:hyperlink r:id="rId763"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S-Link電子六法全書(2007)，完整六法</w:t>
      </w:r>
      <w:r w:rsidR="006B5D0A" w:rsidRPr="002F19DE">
        <w:rPr>
          <w:sz w:val="24"/>
          <w:szCs w:val="24"/>
        </w:rPr>
        <w:t>，</w:t>
      </w:r>
      <w:hyperlink r:id="rId764"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S-Link電子六法全書(2008)，完整六法</w:t>
      </w:r>
      <w:r w:rsidR="006B5D0A" w:rsidRPr="002F19DE">
        <w:rPr>
          <w:sz w:val="24"/>
          <w:szCs w:val="24"/>
        </w:rPr>
        <w:t>，</w:t>
      </w:r>
      <w:hyperlink r:id="rId765"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S-Link電子六法全書(2009)，完整六法</w:t>
      </w:r>
      <w:r w:rsidR="006B5D0A" w:rsidRPr="002F19DE">
        <w:rPr>
          <w:sz w:val="24"/>
          <w:szCs w:val="24"/>
        </w:rPr>
        <w:t>，</w:t>
      </w:r>
      <w:hyperlink r:id="rId766"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S-Link電子六法全書(2010)，完整六法</w:t>
      </w:r>
      <w:r w:rsidR="006B5D0A" w:rsidRPr="002F19DE">
        <w:rPr>
          <w:sz w:val="24"/>
          <w:szCs w:val="24"/>
        </w:rPr>
        <w:t>，</w:t>
      </w:r>
      <w:hyperlink r:id="rId767"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S-Link電子六法全書(2011)，完整六法</w:t>
      </w:r>
      <w:r w:rsidR="006B5D0A" w:rsidRPr="002F19DE">
        <w:rPr>
          <w:sz w:val="24"/>
          <w:szCs w:val="24"/>
        </w:rPr>
        <w:t>，</w:t>
      </w:r>
      <w:hyperlink r:id="rId768"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S-Link電子六法全書(2012)，完整六法</w:t>
      </w:r>
      <w:r w:rsidR="006B5D0A" w:rsidRPr="002F19DE">
        <w:rPr>
          <w:sz w:val="24"/>
          <w:szCs w:val="24"/>
        </w:rPr>
        <w:t>，</w:t>
      </w:r>
      <w:hyperlink r:id="rId769"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S-Link電子六法全書(2013)，完整六法</w:t>
      </w:r>
      <w:r w:rsidR="006B5D0A" w:rsidRPr="002F19DE">
        <w:rPr>
          <w:sz w:val="24"/>
          <w:szCs w:val="24"/>
        </w:rPr>
        <w:t>，</w:t>
      </w:r>
      <w:hyperlink r:id="rId770"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S-Link電子六法全書(2014)，完整六法</w:t>
      </w:r>
      <w:r w:rsidR="006B5D0A" w:rsidRPr="002F19DE">
        <w:rPr>
          <w:sz w:val="24"/>
          <w:szCs w:val="24"/>
        </w:rPr>
        <w:t>，</w:t>
      </w:r>
      <w:hyperlink r:id="rId771"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S-Link電子六法全書（2015），完整六法</w:t>
      </w:r>
      <w:r w:rsidR="006B5D0A" w:rsidRPr="002F19DE">
        <w:rPr>
          <w:sz w:val="24"/>
          <w:szCs w:val="24"/>
        </w:rPr>
        <w:t>，</w:t>
      </w:r>
      <w:hyperlink r:id="rId772"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S-Link電子六法全書（2016），完整六法</w:t>
      </w:r>
      <w:r w:rsidR="006B5D0A" w:rsidRPr="002F19DE">
        <w:rPr>
          <w:sz w:val="24"/>
          <w:szCs w:val="24"/>
        </w:rPr>
        <w:t>，</w:t>
      </w:r>
      <w:hyperlink r:id="rId773"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S-Link電子六法全書（2017），完整六法</w:t>
      </w:r>
      <w:r w:rsidR="006B5D0A" w:rsidRPr="002F19DE">
        <w:rPr>
          <w:sz w:val="24"/>
          <w:szCs w:val="24"/>
        </w:rPr>
        <w:t>，</w:t>
      </w:r>
      <w:hyperlink r:id="rId774"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S-Link電子六法全書（2018），完整六法</w:t>
      </w:r>
      <w:r w:rsidR="006B5D0A" w:rsidRPr="002F19DE">
        <w:rPr>
          <w:sz w:val="24"/>
          <w:szCs w:val="24"/>
        </w:rPr>
        <w:t>，</w:t>
      </w:r>
      <w:hyperlink r:id="rId775" w:history="1">
        <w:r w:rsidR="006B5D0A" w:rsidRPr="006B5D0A">
          <w:rPr>
            <w:rStyle w:val="a7"/>
            <w:rFonts w:cs="Times New Roman"/>
            <w:sz w:val="24"/>
            <w:szCs w:val="24"/>
            <w:lang w:eastAsia="zh-TW" w:bidi="ar-SA"/>
          </w:rPr>
          <w:t>http://www.6law.idv.tw/</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(2000)，論外國人入出國的權利，中央警察大學學報，第37期。</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(2000)，證照查驗工作之探討，收錄於蔡庭榕編，警察百科全書（九）外事與國境警察，臺北：正中書局。</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(2001)，外國人入出境管理法論，桃園：中央警察大學，頁1-23。</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(2006)，論外國人個人資料之保護─以按捺指紋及入出境管理資料庫之利用為中心，國境執法與移民政策學術研討會，頁185-207。</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(2007)，入出境資料庫建置與利用法律問題之研究，中央警察大學國境警察學報7，頁1-18。</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(2007)，英國反恐法制初探，國土安全與移民、海巡執法學術研討會，頁85-96。</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(2007)，淺論美國與歐盟乘客姓名記錄（PNR）協議對我國國境執法的啟示，第一屆國境安全與人口移動 學術研討會，頁75~88。</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(2008)，九一一事件後美國移民政策初探，中央警察大學國境警察，學報第十期，頁103-132。</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(2008)，九一一事件後美國移民政策析論，第二屆國土安全學術研討會，頁56~71。</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2008），非法移民與人口販運問題析論，第二屆國境安全與人口移動學術研討會。</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2009），人口販運被害人保護法制之研究—以歐洲委員會採取行動打擊人口販運公約為中心，2009年防制人口販運國際研討會論文集，中央警察大學國境系。</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(2010)，人口販運被害人保護法制之研究─以歐洲理事會採取行動打擊人口販運公約為中心，中央警察大學國境警察學報第十三期，第38-45頁。</w:t>
      </w:r>
    </w:p>
    <w:p w:rsidR="002F19DE" w:rsidRPr="002F19DE" w:rsidRDefault="002F19DE" w:rsidP="002F19DE">
      <w:pPr>
        <w:ind w:leftChars="0" w:left="0"/>
        <w:rPr>
          <w:sz w:val="24"/>
          <w:szCs w:val="24"/>
        </w:rPr>
      </w:pPr>
      <w:r w:rsidRPr="002F19DE">
        <w:rPr>
          <w:rFonts w:hint="eastAsia"/>
          <w:sz w:val="24"/>
          <w:szCs w:val="24"/>
        </w:rPr>
        <w:t>◎刁仁國（</w:t>
      </w:r>
      <w:r w:rsidRPr="002F19DE">
        <w:rPr>
          <w:sz w:val="24"/>
          <w:szCs w:val="24"/>
        </w:rPr>
        <w:t>2010），淺論生物辨識技術在機場安全維護之運用與對隱私權之影響，發表於中央警察大學國境警察學系與移民研究中心共同舉辦之國境管理與移民事務學術研討會。</w:t>
      </w:r>
    </w:p>
    <w:p w:rsidR="002F19DE" w:rsidRPr="002F19DE" w:rsidRDefault="002F19DE" w:rsidP="002F19DE">
      <w:pPr>
        <w:ind w:leftChars="0" w:left="0"/>
        <w:rPr>
          <w:sz w:val="24"/>
          <w:szCs w:val="24"/>
        </w:rPr>
      </w:pPr>
      <w:r w:rsidRPr="002F19DE">
        <w:rPr>
          <w:rFonts w:hint="eastAsia"/>
          <w:sz w:val="24"/>
          <w:szCs w:val="24"/>
        </w:rPr>
        <w:t>◎刁仁國、簡建章（</w:t>
      </w:r>
      <w:r w:rsidRPr="002F19DE">
        <w:rPr>
          <w:sz w:val="24"/>
          <w:szCs w:val="24"/>
        </w:rPr>
        <w:t>2011），我國旅客入出境自動查驗通關系統介紹及評析，2011年人口移動與執法學術研討會論文集。</w:t>
      </w:r>
    </w:p>
    <w:p w:rsidR="002F19DE" w:rsidRPr="002F19DE" w:rsidRDefault="002F19DE" w:rsidP="002F19DE">
      <w:pPr>
        <w:ind w:leftChars="0" w:left="0"/>
        <w:rPr>
          <w:sz w:val="24"/>
          <w:szCs w:val="24"/>
        </w:rPr>
      </w:pPr>
      <w:r w:rsidRPr="002F19DE">
        <w:rPr>
          <w:rFonts w:hint="eastAsia"/>
          <w:sz w:val="24"/>
          <w:szCs w:val="24"/>
        </w:rPr>
        <w:t>◎三民補習班</w:t>
      </w:r>
      <w:r w:rsidRPr="002F19DE">
        <w:rPr>
          <w:sz w:val="24"/>
          <w:szCs w:val="24"/>
        </w:rPr>
        <w:t>(2011)，移民實務，臺北：三民補習班。</w:t>
      </w:r>
    </w:p>
    <w:p w:rsidR="002F19DE" w:rsidRPr="002F19DE" w:rsidRDefault="002F19DE" w:rsidP="000E6967">
      <w:pPr>
        <w:ind w:leftChars="0" w:left="0"/>
        <w:jc w:val="left"/>
        <w:rPr>
          <w:sz w:val="24"/>
          <w:szCs w:val="24"/>
        </w:rPr>
      </w:pPr>
      <w:r w:rsidRPr="002F19DE">
        <w:rPr>
          <w:rFonts w:hint="eastAsia"/>
          <w:sz w:val="24"/>
          <w:szCs w:val="24"/>
        </w:rPr>
        <w:t>◎于國欽、陳碧芬</w:t>
      </w:r>
      <w:r w:rsidRPr="002F19DE">
        <w:rPr>
          <w:sz w:val="24"/>
          <w:szCs w:val="24"/>
        </w:rPr>
        <w:t xml:space="preserve">(2017)， IMD: 台灣有人才外流危機, Access on </w:t>
      </w:r>
      <w:hyperlink r:id="rId776" w:history="1">
        <w:r w:rsidRPr="000E6967">
          <w:rPr>
            <w:rStyle w:val="a7"/>
            <w:rFonts w:cs="Times New Roman"/>
            <w:sz w:val="24"/>
            <w:szCs w:val="24"/>
          </w:rPr>
          <w:t>http://www.chinatimes.com/newspapers/20171122000891-260202</w:t>
        </w:r>
      </w:hyperlink>
    </w:p>
    <w:p w:rsidR="002F19DE" w:rsidRPr="002F19DE" w:rsidRDefault="002F19DE" w:rsidP="000E6967">
      <w:pPr>
        <w:ind w:leftChars="0" w:left="0"/>
        <w:jc w:val="left"/>
        <w:rPr>
          <w:sz w:val="24"/>
          <w:szCs w:val="24"/>
        </w:rPr>
      </w:pPr>
      <w:r w:rsidRPr="002F19DE">
        <w:rPr>
          <w:rFonts w:hint="eastAsia"/>
          <w:sz w:val="24"/>
          <w:szCs w:val="24"/>
        </w:rPr>
        <w:t>◎中時電子報</w:t>
      </w:r>
      <w:r w:rsidRPr="002F19DE">
        <w:rPr>
          <w:sz w:val="24"/>
          <w:szCs w:val="24"/>
        </w:rPr>
        <w:t>(2018)，</w:t>
      </w:r>
      <w:hyperlink r:id="rId777" w:history="1">
        <w:r w:rsidRPr="000E6967">
          <w:rPr>
            <w:rStyle w:val="a7"/>
            <w:rFonts w:cs="Times New Roman"/>
            <w:sz w:val="24"/>
            <w:szCs w:val="24"/>
          </w:rPr>
          <w:t>http://www.chinatimes.com/newspapers/20180226000518-260114</w:t>
        </w:r>
      </w:hyperlink>
      <w:r w:rsidRPr="002F19DE">
        <w:rPr>
          <w:sz w:val="24"/>
          <w:szCs w:val="24"/>
        </w:rPr>
        <w:t>。</w:t>
      </w:r>
    </w:p>
    <w:p w:rsidR="002F19DE" w:rsidRPr="002F19DE" w:rsidRDefault="002F19DE" w:rsidP="000E6967">
      <w:pPr>
        <w:ind w:leftChars="0" w:left="0"/>
        <w:jc w:val="left"/>
        <w:rPr>
          <w:sz w:val="24"/>
          <w:szCs w:val="24"/>
        </w:rPr>
      </w:pPr>
      <w:r w:rsidRPr="002F19DE">
        <w:rPr>
          <w:rFonts w:hint="eastAsia"/>
          <w:sz w:val="24"/>
          <w:szCs w:val="24"/>
        </w:rPr>
        <w:t>◎內政部（</w:t>
      </w:r>
      <w:r w:rsidRPr="002F19DE">
        <w:rPr>
          <w:sz w:val="24"/>
          <w:szCs w:val="24"/>
        </w:rPr>
        <w:t>2004），現階段移民政策綱領草案。</w:t>
      </w:r>
    </w:p>
    <w:p w:rsidR="002F19DE" w:rsidRPr="002F19DE" w:rsidRDefault="002F19DE" w:rsidP="000E6967">
      <w:pPr>
        <w:ind w:leftChars="0" w:left="0"/>
        <w:jc w:val="left"/>
        <w:rPr>
          <w:sz w:val="24"/>
          <w:szCs w:val="24"/>
        </w:rPr>
      </w:pPr>
      <w:r w:rsidRPr="002F19DE">
        <w:rPr>
          <w:rFonts w:hint="eastAsia"/>
          <w:sz w:val="24"/>
          <w:szCs w:val="24"/>
        </w:rPr>
        <w:t>◎內政部</w:t>
      </w:r>
      <w:r w:rsidRPr="002F19DE">
        <w:rPr>
          <w:sz w:val="24"/>
          <w:szCs w:val="24"/>
        </w:rPr>
        <w:t>(2015)，縣市外裔、外籍與大陸配偶人數，2015年12月10日瀏覽，戶政司全球資訊網，</w:t>
      </w:r>
      <w:hyperlink r:id="rId778" w:history="1">
        <w:r w:rsidRPr="006B5D0A">
          <w:rPr>
            <w:rStyle w:val="a7"/>
            <w:rFonts w:cs="Times New Roman"/>
            <w:sz w:val="24"/>
            <w:szCs w:val="24"/>
            <w:lang w:eastAsia="zh-TW" w:bidi="ar-SA"/>
          </w:rPr>
          <w:t>http://www.ris.gov.tw/346</w:t>
        </w:r>
      </w:hyperlink>
      <w:r w:rsidRPr="002F19DE">
        <w:rPr>
          <w:sz w:val="24"/>
          <w:szCs w:val="24"/>
        </w:rPr>
        <w:t>。</w:t>
      </w:r>
    </w:p>
    <w:p w:rsidR="002F19DE" w:rsidRPr="002F19DE" w:rsidRDefault="002F19DE" w:rsidP="000E6967">
      <w:pPr>
        <w:ind w:leftChars="0" w:left="0"/>
        <w:jc w:val="left"/>
        <w:rPr>
          <w:sz w:val="24"/>
          <w:szCs w:val="24"/>
        </w:rPr>
      </w:pPr>
      <w:r w:rsidRPr="002F19DE">
        <w:rPr>
          <w:rFonts w:hint="eastAsia"/>
          <w:sz w:val="24"/>
          <w:szCs w:val="24"/>
        </w:rPr>
        <w:t>◎內政部</w:t>
      </w:r>
      <w:r w:rsidRPr="002F19DE">
        <w:rPr>
          <w:sz w:val="24"/>
          <w:szCs w:val="24"/>
        </w:rPr>
        <w:t>(2015)，縣市外裔、外籍與大陸配偶人數，2015年12月10日瀏覽，戶政司全球資訊網，</w:t>
      </w:r>
      <w:hyperlink r:id="rId779" w:history="1">
        <w:r w:rsidRPr="006B5D0A">
          <w:rPr>
            <w:rStyle w:val="a7"/>
            <w:rFonts w:cs="Times New Roman"/>
            <w:sz w:val="24"/>
            <w:szCs w:val="24"/>
            <w:lang w:eastAsia="zh-TW" w:bidi="ar-SA"/>
          </w:rPr>
          <w:t>http://www.ris.gov.tw/346</w:t>
        </w:r>
      </w:hyperlink>
      <w:r w:rsidRPr="002F19DE">
        <w:rPr>
          <w:sz w:val="24"/>
          <w:szCs w:val="24"/>
        </w:rPr>
        <w:t>。</w:t>
      </w:r>
    </w:p>
    <w:p w:rsidR="002F19DE" w:rsidRPr="002F19DE" w:rsidRDefault="002F19DE" w:rsidP="000E6967">
      <w:pPr>
        <w:ind w:leftChars="0" w:left="0"/>
        <w:jc w:val="left"/>
        <w:rPr>
          <w:sz w:val="24"/>
          <w:szCs w:val="24"/>
        </w:rPr>
      </w:pPr>
      <w:r w:rsidRPr="002F19DE">
        <w:rPr>
          <w:rFonts w:hint="eastAsia"/>
          <w:sz w:val="24"/>
          <w:szCs w:val="24"/>
        </w:rPr>
        <w:t>◎內政部（</w:t>
      </w:r>
      <w:r w:rsidRPr="002F19DE">
        <w:rPr>
          <w:sz w:val="24"/>
          <w:szCs w:val="24"/>
        </w:rPr>
        <w:t>2016）。國籍法部分條文修正草案總說明，</w:t>
      </w:r>
      <w:hyperlink r:id="rId780" w:history="1">
        <w:r w:rsidRPr="000E6967">
          <w:rPr>
            <w:rStyle w:val="a7"/>
            <w:rFonts w:cs="Times New Roman"/>
            <w:sz w:val="24"/>
            <w:szCs w:val="24"/>
          </w:rPr>
          <w:t>http://www.moi.gov.tw/files/Act_file/%E8%A1%8C%E6%94%BF%E9%99%A2%E5%9C%8B%E7%B1%8D%E6%B3%95%E9%83%A8%E5%88%86%E6%A2%9D%E6%96%87%E4%BF%AE%E6%AD%A3%E8%8D%89%E6%A1%88_1.pdf</w:t>
        </w:r>
      </w:hyperlink>
      <w:r w:rsidRPr="002F19DE">
        <w:rPr>
          <w:sz w:val="24"/>
          <w:szCs w:val="24"/>
        </w:rPr>
        <w:t>)。</w:t>
      </w:r>
    </w:p>
    <w:p w:rsidR="002F19DE" w:rsidRPr="002F19DE" w:rsidRDefault="002F19DE" w:rsidP="000E6967">
      <w:pPr>
        <w:ind w:leftChars="0" w:left="0"/>
        <w:jc w:val="left"/>
        <w:rPr>
          <w:sz w:val="24"/>
          <w:szCs w:val="24"/>
        </w:rPr>
      </w:pPr>
      <w:r w:rsidRPr="002F19DE">
        <w:rPr>
          <w:rFonts w:hint="eastAsia"/>
          <w:sz w:val="24"/>
          <w:szCs w:val="24"/>
        </w:rPr>
        <w:t>◎內政部</w:t>
      </w:r>
      <w:r w:rsidRPr="002F19DE">
        <w:rPr>
          <w:sz w:val="24"/>
          <w:szCs w:val="24"/>
        </w:rPr>
        <w:t>(2017)，</w:t>
      </w:r>
      <w:hyperlink r:id="rId781" w:history="1">
        <w:r w:rsidRPr="000E6967">
          <w:rPr>
            <w:rStyle w:val="a7"/>
            <w:rFonts w:cs="Times New Roman"/>
            <w:sz w:val="24"/>
            <w:szCs w:val="24"/>
          </w:rPr>
          <w:t>http://www.moi.gov.tw/chi/chi_faq/faq_detail.aspx?t=2&amp;n=4646&amp;p=42&amp;f=63</w:t>
        </w:r>
      </w:hyperlink>
      <w:r w:rsidRPr="002F19DE">
        <w:rPr>
          <w:sz w:val="24"/>
          <w:szCs w:val="24"/>
        </w:rPr>
        <w:t>（查閱日期2017年7月13日）。</w:t>
      </w:r>
    </w:p>
    <w:p w:rsidR="002F19DE" w:rsidRPr="002F19DE" w:rsidRDefault="002F19DE" w:rsidP="002F19DE">
      <w:pPr>
        <w:ind w:leftChars="0" w:left="0"/>
        <w:rPr>
          <w:sz w:val="24"/>
          <w:szCs w:val="24"/>
        </w:rPr>
      </w:pPr>
      <w:r w:rsidRPr="002F19DE">
        <w:rPr>
          <w:rFonts w:hint="eastAsia"/>
          <w:sz w:val="24"/>
          <w:szCs w:val="24"/>
        </w:rPr>
        <w:t>◎內政部人口政策委員會（</w:t>
      </w:r>
      <w:r w:rsidRPr="002F19DE">
        <w:rPr>
          <w:sz w:val="24"/>
          <w:szCs w:val="24"/>
        </w:rPr>
        <w:t>2010），人口政策資料彙集，內政部99年年刊，內政部。</w:t>
      </w:r>
    </w:p>
    <w:p w:rsidR="002F19DE" w:rsidRPr="002F19DE" w:rsidRDefault="002F19DE" w:rsidP="002F19DE">
      <w:pPr>
        <w:ind w:leftChars="0" w:left="0"/>
        <w:rPr>
          <w:sz w:val="24"/>
          <w:szCs w:val="24"/>
        </w:rPr>
      </w:pPr>
      <w:r w:rsidRPr="002F19DE">
        <w:rPr>
          <w:rFonts w:hint="eastAsia"/>
          <w:sz w:val="24"/>
          <w:szCs w:val="24"/>
        </w:rPr>
        <w:t>◎內政部入出國及移民署（</w:t>
      </w:r>
      <w:r w:rsidRPr="002F19DE">
        <w:rPr>
          <w:sz w:val="24"/>
          <w:szCs w:val="24"/>
        </w:rPr>
        <w:t>2007）。跨國人口販運之態樣、原因及防治策略之研究。</w:t>
      </w:r>
    </w:p>
    <w:p w:rsidR="002F19DE" w:rsidRPr="002F19DE" w:rsidRDefault="002F19DE" w:rsidP="002F19DE">
      <w:pPr>
        <w:ind w:leftChars="0" w:left="0"/>
        <w:rPr>
          <w:sz w:val="24"/>
          <w:szCs w:val="24"/>
        </w:rPr>
      </w:pPr>
      <w:r w:rsidRPr="002F19DE">
        <w:rPr>
          <w:rFonts w:hint="eastAsia"/>
          <w:sz w:val="24"/>
          <w:szCs w:val="24"/>
        </w:rPr>
        <w:t>◎內政部入出國及移民署</w:t>
      </w:r>
      <w:r w:rsidRPr="002F19DE">
        <w:rPr>
          <w:sz w:val="24"/>
          <w:szCs w:val="24"/>
        </w:rPr>
        <w:t>(2009)，移民行政白皮書，台北市：移民署。</w:t>
      </w:r>
    </w:p>
    <w:p w:rsidR="002F19DE" w:rsidRPr="002F19DE" w:rsidRDefault="002F19DE" w:rsidP="002F19DE">
      <w:pPr>
        <w:ind w:leftChars="0" w:left="0"/>
        <w:rPr>
          <w:sz w:val="24"/>
          <w:szCs w:val="24"/>
        </w:rPr>
      </w:pPr>
      <w:r w:rsidRPr="002F19DE">
        <w:rPr>
          <w:rFonts w:hint="eastAsia"/>
          <w:sz w:val="24"/>
          <w:szCs w:val="24"/>
        </w:rPr>
        <w:t>◎內政部入出國及移民署（</w:t>
      </w:r>
      <w:r w:rsidRPr="002F19DE">
        <w:rPr>
          <w:sz w:val="24"/>
          <w:szCs w:val="24"/>
        </w:rPr>
        <w:t>2010），2010年防制人口販運成效報告。</w:t>
      </w:r>
    </w:p>
    <w:p w:rsidR="002F19DE" w:rsidRPr="002F19DE" w:rsidRDefault="002F19DE" w:rsidP="000E6967">
      <w:pPr>
        <w:ind w:leftChars="0" w:left="0"/>
        <w:jc w:val="left"/>
        <w:rPr>
          <w:sz w:val="24"/>
          <w:szCs w:val="24"/>
        </w:rPr>
      </w:pPr>
      <w:r w:rsidRPr="002F19DE">
        <w:rPr>
          <w:rFonts w:hint="eastAsia"/>
          <w:sz w:val="24"/>
          <w:szCs w:val="24"/>
        </w:rPr>
        <w:t>◎內政部入出國及移民署編（</w:t>
      </w:r>
      <w:r w:rsidRPr="002F19DE">
        <w:rPr>
          <w:sz w:val="24"/>
          <w:szCs w:val="24"/>
        </w:rPr>
        <w:t>2010），內政部入出國及移民署98年年報，內政部入出國及移民署。</w:t>
      </w:r>
    </w:p>
    <w:p w:rsidR="002F19DE" w:rsidRPr="002F19DE" w:rsidRDefault="002F19DE" w:rsidP="000E6967">
      <w:pPr>
        <w:ind w:leftChars="0" w:left="0"/>
        <w:jc w:val="left"/>
        <w:rPr>
          <w:sz w:val="24"/>
          <w:szCs w:val="24"/>
        </w:rPr>
      </w:pPr>
      <w:r w:rsidRPr="002F19DE">
        <w:rPr>
          <w:rFonts w:hint="eastAsia"/>
          <w:sz w:val="24"/>
          <w:szCs w:val="24"/>
        </w:rPr>
        <w:t>◎內政部入出國及移民署編（</w:t>
      </w:r>
      <w:r w:rsidRPr="002F19DE">
        <w:rPr>
          <w:sz w:val="24"/>
          <w:szCs w:val="24"/>
        </w:rPr>
        <w:t>2011），內政部入出國及移民署99年年報，內政部入出國及移民署。</w:t>
      </w:r>
    </w:p>
    <w:p w:rsidR="002F19DE" w:rsidRPr="002F19DE" w:rsidRDefault="002F19DE" w:rsidP="000E6967">
      <w:pPr>
        <w:ind w:leftChars="0" w:left="0"/>
        <w:jc w:val="left"/>
        <w:rPr>
          <w:sz w:val="24"/>
          <w:szCs w:val="24"/>
        </w:rPr>
      </w:pPr>
      <w:r w:rsidRPr="002F19DE">
        <w:rPr>
          <w:rFonts w:hint="eastAsia"/>
          <w:sz w:val="24"/>
          <w:szCs w:val="24"/>
        </w:rPr>
        <w:t>◎內政部移民署</w:t>
      </w:r>
      <w:r w:rsidRPr="002F19DE">
        <w:rPr>
          <w:sz w:val="24"/>
          <w:szCs w:val="24"/>
        </w:rPr>
        <w:t xml:space="preserve">(2015)，外籍配偶人數與大陸配偶人數，2015年11月25日瀏覽，內政部移民署網站： </w:t>
      </w:r>
      <w:hyperlink r:id="rId782" w:history="1">
        <w:r w:rsidRPr="006B5D0A">
          <w:rPr>
            <w:rStyle w:val="a7"/>
            <w:rFonts w:cs="Times New Roman"/>
            <w:sz w:val="24"/>
            <w:szCs w:val="24"/>
            <w:lang w:eastAsia="zh-TW" w:bidi="ar-SA"/>
          </w:rPr>
          <w:t>http://www.immigration.gov.tw/lp.asp?ctNode=29699&amp;CtUnit=16434&amp;BaseDSD=7&amp;mp=1</w:t>
        </w:r>
      </w:hyperlink>
      <w:r w:rsidRPr="002F19DE">
        <w:rPr>
          <w:sz w:val="24"/>
          <w:szCs w:val="24"/>
        </w:rPr>
        <w:t>。</w:t>
      </w:r>
    </w:p>
    <w:p w:rsidR="002F19DE" w:rsidRPr="002F19DE" w:rsidRDefault="002F19DE" w:rsidP="000E6967">
      <w:pPr>
        <w:ind w:leftChars="0" w:left="0"/>
        <w:jc w:val="left"/>
        <w:rPr>
          <w:sz w:val="24"/>
          <w:szCs w:val="24"/>
        </w:rPr>
      </w:pPr>
      <w:r w:rsidRPr="002F19DE">
        <w:rPr>
          <w:rFonts w:hint="eastAsia"/>
          <w:sz w:val="24"/>
          <w:szCs w:val="24"/>
        </w:rPr>
        <w:t>◎內政部移民署</w:t>
      </w:r>
      <w:r w:rsidRPr="002F19DE">
        <w:rPr>
          <w:sz w:val="24"/>
          <w:szCs w:val="24"/>
        </w:rPr>
        <w:t>(2015)，外籍配偶人數與大陸配偶人數，2015年11月25日瀏覽，內政部移民署網站：</w:t>
      </w:r>
      <w:hyperlink r:id="rId783" w:history="1">
        <w:r w:rsidRPr="006B5D0A">
          <w:rPr>
            <w:rStyle w:val="a7"/>
            <w:rFonts w:cs="Times New Roman"/>
            <w:sz w:val="24"/>
            <w:szCs w:val="24"/>
            <w:lang w:eastAsia="zh-TW" w:bidi="ar-SA"/>
          </w:rPr>
          <w:t>http://www.immigration.gov.tw/lp.asp?ctNode=29699&amp;CtUnit=16434&amp;BaseDSD=7&amp;mp=1</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◎內政部移民署（</w:t>
      </w:r>
      <w:r w:rsidRPr="002F19DE">
        <w:rPr>
          <w:sz w:val="24"/>
          <w:szCs w:val="24"/>
        </w:rPr>
        <w:t xml:space="preserve">2016）。組織架構，Retrieved from </w:t>
      </w:r>
      <w:hyperlink r:id="rId784" w:history="1">
        <w:r w:rsidRPr="006B5D0A">
          <w:rPr>
            <w:rStyle w:val="a7"/>
            <w:rFonts w:cs="Times New Roman"/>
            <w:sz w:val="24"/>
            <w:szCs w:val="24"/>
            <w:lang w:eastAsia="zh-TW" w:bidi="ar-SA"/>
          </w:rPr>
          <w:t>https://www.immigration.gov.tw/ct.asp? xItem=1311448&amp;CtNode=36470&amp;mp=1</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◎方維保、曾豔</w:t>
      </w:r>
      <w:r w:rsidRPr="002F19DE">
        <w:rPr>
          <w:sz w:val="24"/>
          <w:szCs w:val="24"/>
        </w:rPr>
        <w:t>(2005)，文明衝突中的身分追認—論嚴歌苓的小說創作，2015年5月9日瀏覽，中國安徽師範大學</w:t>
      </w:r>
      <w:r w:rsidR="00CE2331" w:rsidRPr="002F19DE">
        <w:rPr>
          <w:sz w:val="24"/>
          <w:szCs w:val="24"/>
        </w:rPr>
        <w:t>，</w:t>
      </w:r>
      <w:hyperlink r:id="rId785" w:history="1">
        <w:r w:rsidR="00CE2331" w:rsidRPr="007F64FD">
          <w:rPr>
            <w:rStyle w:val="a7"/>
            <w:rFonts w:cs="Times New Roman"/>
            <w:sz w:val="24"/>
            <w:szCs w:val="24"/>
            <w:lang w:eastAsia="zh-TW" w:bidi="ar-SA"/>
          </w:rPr>
          <w:t>http://www.fgu.edu.tw/~wclrc/drafts/China/fang-wei-bao/ fang-wei-bao_02.htm</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◎毛兆莉（</w:t>
      </w:r>
      <w:r w:rsidRPr="002F19DE">
        <w:rPr>
          <w:sz w:val="24"/>
          <w:szCs w:val="24"/>
        </w:rPr>
        <w:t>2007），外籍新娘婚姻</w:t>
      </w:r>
      <w:r w:rsidRPr="002F19DE">
        <w:rPr>
          <w:rFonts w:hint="eastAsia"/>
          <w:sz w:val="24"/>
          <w:szCs w:val="24"/>
        </w:rPr>
        <w:t>暴力被害人特質與警察處理經驗之研究─以基隆市為例，中央警察大學行政管理研究所碩士論文，頁</w:t>
      </w:r>
      <w:r w:rsidRPr="002F19DE">
        <w:rPr>
          <w:sz w:val="24"/>
          <w:szCs w:val="24"/>
        </w:rPr>
        <w:t>106-107。</w:t>
      </w:r>
    </w:p>
    <w:p w:rsidR="002F19DE" w:rsidRPr="002F19DE" w:rsidRDefault="002F19DE" w:rsidP="002F19DE">
      <w:pPr>
        <w:ind w:leftChars="0" w:left="0"/>
        <w:rPr>
          <w:sz w:val="24"/>
          <w:szCs w:val="24"/>
        </w:rPr>
      </w:pPr>
      <w:r w:rsidRPr="002F19DE">
        <w:rPr>
          <w:rFonts w:hint="eastAsia"/>
          <w:sz w:val="24"/>
          <w:szCs w:val="24"/>
        </w:rPr>
        <w:t>◎王如哲</w:t>
      </w:r>
      <w:r w:rsidRPr="002F19DE">
        <w:rPr>
          <w:sz w:val="24"/>
          <w:szCs w:val="24"/>
        </w:rPr>
        <w:t>(2002)，知識經濟與教育。臺北市：五南。</w:t>
      </w:r>
    </w:p>
    <w:p w:rsidR="002F19DE" w:rsidRPr="002F19DE" w:rsidRDefault="002F19DE" w:rsidP="002F19DE">
      <w:pPr>
        <w:ind w:leftChars="0" w:left="0"/>
        <w:rPr>
          <w:sz w:val="24"/>
          <w:szCs w:val="24"/>
        </w:rPr>
      </w:pPr>
      <w:r w:rsidRPr="002F19DE">
        <w:rPr>
          <w:rFonts w:hint="eastAsia"/>
          <w:sz w:val="24"/>
          <w:szCs w:val="24"/>
        </w:rPr>
        <w:t>◎王自雄</w:t>
      </w:r>
      <w:r w:rsidRPr="002F19DE">
        <w:rPr>
          <w:sz w:val="24"/>
          <w:szCs w:val="24"/>
        </w:rPr>
        <w:t>(2010)。人權兩公約之國內法化暨其施行法之實施--從國際法的內化與人權在我國憲政體制下之法律地位論起，臺灣法學雜誌，第164期，頁113-122。</w:t>
      </w:r>
    </w:p>
    <w:p w:rsidR="002F19DE" w:rsidRPr="002F19DE" w:rsidRDefault="002F19DE" w:rsidP="002F19DE">
      <w:pPr>
        <w:ind w:leftChars="0" w:left="0"/>
        <w:rPr>
          <w:sz w:val="24"/>
          <w:szCs w:val="24"/>
        </w:rPr>
      </w:pPr>
      <w:r w:rsidRPr="002F19DE">
        <w:rPr>
          <w:rFonts w:hint="eastAsia"/>
          <w:sz w:val="24"/>
          <w:szCs w:val="24"/>
        </w:rPr>
        <w:t>◎王育慧</w:t>
      </w:r>
      <w:r w:rsidRPr="002F19DE">
        <w:rPr>
          <w:sz w:val="24"/>
          <w:szCs w:val="24"/>
        </w:rPr>
        <w:t>(2009)。論婚姻移民之工作權、應考試權與服公職權，華岡法粹，第45期，頁121-145。</w:t>
      </w:r>
    </w:p>
    <w:p w:rsidR="002F19DE" w:rsidRPr="002F19DE" w:rsidRDefault="002F19DE" w:rsidP="002F19DE">
      <w:pPr>
        <w:ind w:leftChars="0" w:left="0"/>
        <w:rPr>
          <w:sz w:val="24"/>
          <w:szCs w:val="24"/>
        </w:rPr>
      </w:pPr>
      <w:r w:rsidRPr="002F19DE">
        <w:rPr>
          <w:rFonts w:hint="eastAsia"/>
          <w:sz w:val="24"/>
          <w:szCs w:val="24"/>
        </w:rPr>
        <w:t>◎王孟平、張世強（</w:t>
      </w:r>
      <w:r w:rsidRPr="002F19DE">
        <w:rPr>
          <w:sz w:val="24"/>
          <w:szCs w:val="24"/>
        </w:rPr>
        <w:t>2006），亞太技術勞工的國際移動與政策議題：人才流失或人才交換，收於國境學報第五期，桃園縣：中央警察大學。</w:t>
      </w:r>
    </w:p>
    <w:p w:rsidR="002F19DE" w:rsidRPr="002F19DE" w:rsidRDefault="002F19DE" w:rsidP="002F19DE">
      <w:pPr>
        <w:ind w:leftChars="0" w:left="0"/>
        <w:rPr>
          <w:sz w:val="24"/>
          <w:szCs w:val="24"/>
        </w:rPr>
      </w:pPr>
      <w:r w:rsidRPr="002F19DE">
        <w:rPr>
          <w:rFonts w:hint="eastAsia"/>
          <w:sz w:val="24"/>
          <w:szCs w:val="24"/>
        </w:rPr>
        <w:t>◎王孟平、張世強（</w:t>
      </w:r>
      <w:r w:rsidRPr="002F19DE">
        <w:rPr>
          <w:sz w:val="24"/>
          <w:szCs w:val="24"/>
        </w:rPr>
        <w:t>2009）。自由主義民主政體中的移民規制與融合困境：從晚近歐美的論辯談起。警學叢刊39(4)：95-227。</w:t>
      </w:r>
    </w:p>
    <w:p w:rsidR="002F19DE" w:rsidRPr="002F19DE" w:rsidRDefault="002F19DE" w:rsidP="002F19DE">
      <w:pPr>
        <w:ind w:leftChars="0" w:left="0"/>
        <w:rPr>
          <w:sz w:val="24"/>
          <w:szCs w:val="24"/>
        </w:rPr>
      </w:pPr>
      <w:r w:rsidRPr="002F19DE">
        <w:rPr>
          <w:rFonts w:hint="eastAsia"/>
          <w:sz w:val="24"/>
          <w:szCs w:val="24"/>
        </w:rPr>
        <w:t>◎王孟平、張世強（</w:t>
      </w:r>
      <w:r w:rsidRPr="002F19DE">
        <w:rPr>
          <w:sz w:val="24"/>
          <w:szCs w:val="24"/>
        </w:rPr>
        <w:t>2010），涉外執法中的政治考量與人權爭議：美國亞利桑納州移民法爭議的借鏡與省思，收錄於中央警察大學外事警察研究所舉辦之2010年涉外執法政策與實務學術研討會論文集，頁18-37。</w:t>
      </w:r>
    </w:p>
    <w:p w:rsidR="002F19DE" w:rsidRPr="002F19DE" w:rsidRDefault="002F19DE" w:rsidP="002F19DE">
      <w:pPr>
        <w:ind w:leftChars="0" w:left="0"/>
        <w:rPr>
          <w:sz w:val="24"/>
          <w:szCs w:val="24"/>
        </w:rPr>
      </w:pPr>
      <w:r w:rsidRPr="002F19DE">
        <w:rPr>
          <w:rFonts w:hint="eastAsia"/>
          <w:sz w:val="24"/>
          <w:szCs w:val="24"/>
        </w:rPr>
        <w:t>◎王尚志</w:t>
      </w:r>
      <w:r w:rsidRPr="002F19DE">
        <w:rPr>
          <w:sz w:val="24"/>
          <w:szCs w:val="24"/>
        </w:rPr>
        <w:t>(2003)，我國外籍勞工許可及管理法制與實踐之研究，國立臺灣海洋大學海洋法律研究所碩士論文，頁152-154。</w:t>
      </w:r>
    </w:p>
    <w:p w:rsidR="002F19DE" w:rsidRPr="002F19DE" w:rsidRDefault="002F19DE" w:rsidP="002F19DE">
      <w:pPr>
        <w:ind w:leftChars="0" w:left="0"/>
        <w:rPr>
          <w:sz w:val="24"/>
          <w:szCs w:val="24"/>
        </w:rPr>
      </w:pPr>
      <w:r w:rsidRPr="002F19DE">
        <w:rPr>
          <w:rFonts w:hint="eastAsia"/>
          <w:sz w:val="24"/>
          <w:szCs w:val="24"/>
        </w:rPr>
        <w:t>◎王俊元</w:t>
      </w:r>
      <w:r w:rsidRPr="002F19DE">
        <w:rPr>
          <w:sz w:val="24"/>
          <w:szCs w:val="24"/>
        </w:rPr>
        <w:t>(2012)，計畫趕不上變化？風險因素對台灣地方政府策略管理影響之研究，東吳政治學報，第三十卷第三期，頁109-159頁。</w:t>
      </w:r>
    </w:p>
    <w:p w:rsidR="002F19DE" w:rsidRPr="002F19DE" w:rsidRDefault="002F19DE" w:rsidP="002F19DE">
      <w:pPr>
        <w:ind w:leftChars="0" w:left="0"/>
        <w:rPr>
          <w:sz w:val="24"/>
          <w:szCs w:val="24"/>
        </w:rPr>
      </w:pPr>
      <w:r w:rsidRPr="002F19DE">
        <w:rPr>
          <w:rFonts w:hint="eastAsia"/>
          <w:sz w:val="24"/>
          <w:szCs w:val="24"/>
        </w:rPr>
        <w:t>◎王保鍵</w:t>
      </w:r>
      <w:r w:rsidRPr="002F19DE">
        <w:rPr>
          <w:sz w:val="24"/>
          <w:szCs w:val="24"/>
        </w:rPr>
        <w:t>(2013)，解析美國2013年移民改革政策，國會，第41卷，第9期。</w:t>
      </w:r>
    </w:p>
    <w:p w:rsidR="002F19DE" w:rsidRPr="002F19DE" w:rsidRDefault="002F19DE" w:rsidP="002F19DE">
      <w:pPr>
        <w:ind w:leftChars="0" w:left="0"/>
        <w:rPr>
          <w:sz w:val="24"/>
          <w:szCs w:val="24"/>
        </w:rPr>
      </w:pPr>
      <w:r w:rsidRPr="002F19DE">
        <w:rPr>
          <w:rFonts w:hint="eastAsia"/>
          <w:sz w:val="24"/>
          <w:szCs w:val="24"/>
        </w:rPr>
        <w:t>◎王智盛（</w:t>
      </w:r>
      <w:r w:rsidRPr="002F19DE">
        <w:rPr>
          <w:sz w:val="24"/>
          <w:szCs w:val="24"/>
        </w:rPr>
        <w:t>2012），全球化下的人才競逐—臺灣專技移民法制的探討，收錄於中央警察大學移民研究中心主辦2012年人口移動與執法學術研討會論文集，頁1-184。</w:t>
      </w:r>
    </w:p>
    <w:p w:rsidR="002F19DE" w:rsidRPr="002F19DE" w:rsidRDefault="002F19DE" w:rsidP="002F19DE">
      <w:pPr>
        <w:ind w:leftChars="0" w:left="0"/>
        <w:rPr>
          <w:sz w:val="24"/>
          <w:szCs w:val="24"/>
        </w:rPr>
      </w:pPr>
      <w:r w:rsidRPr="002F19DE">
        <w:rPr>
          <w:rFonts w:hint="eastAsia"/>
          <w:sz w:val="24"/>
          <w:szCs w:val="24"/>
        </w:rPr>
        <w:t>◎王智盛（</w:t>
      </w:r>
      <w:r w:rsidRPr="002F19DE">
        <w:rPr>
          <w:sz w:val="24"/>
          <w:szCs w:val="24"/>
        </w:rPr>
        <w:t>2016）。從新南向政策看東南亞人流管理政策的重構。2016年國境管理與執法學術研討會發表之論文，中央警察大學。</w:t>
      </w:r>
    </w:p>
    <w:p w:rsidR="002F19DE" w:rsidRPr="002F19DE" w:rsidRDefault="002F19DE" w:rsidP="002F19DE">
      <w:pPr>
        <w:ind w:leftChars="0" w:left="0"/>
        <w:rPr>
          <w:sz w:val="24"/>
          <w:szCs w:val="24"/>
        </w:rPr>
      </w:pPr>
      <w:r w:rsidRPr="002F19DE">
        <w:rPr>
          <w:rFonts w:hint="eastAsia"/>
          <w:sz w:val="24"/>
          <w:szCs w:val="24"/>
        </w:rPr>
        <w:t>◎王智盛</w:t>
      </w:r>
      <w:r w:rsidRPr="002F19DE">
        <w:rPr>
          <w:sz w:val="24"/>
          <w:szCs w:val="24"/>
        </w:rPr>
        <w:t>(2017)，台灣地區民眾赴陸的國境執法管理：兩岸條例第9條的再檢視，發表於2017中央警察大學移民事務與國境管理學術研討會。</w:t>
      </w:r>
    </w:p>
    <w:p w:rsidR="002F19DE" w:rsidRPr="002F19DE" w:rsidRDefault="002F19DE" w:rsidP="002F19DE">
      <w:pPr>
        <w:ind w:leftChars="0" w:left="0"/>
        <w:rPr>
          <w:sz w:val="24"/>
          <w:szCs w:val="24"/>
        </w:rPr>
      </w:pPr>
      <w:r w:rsidRPr="002F19DE">
        <w:rPr>
          <w:rFonts w:hint="eastAsia"/>
          <w:sz w:val="24"/>
          <w:szCs w:val="24"/>
        </w:rPr>
        <w:t>◎王寬弘（</w:t>
      </w:r>
      <w:r w:rsidRPr="002F19DE">
        <w:rPr>
          <w:sz w:val="24"/>
          <w:szCs w:val="24"/>
        </w:rPr>
        <w:t>2016）。移民與國境管理—入出國證照查驗概念之探討。載於林盈君（主編），國土安全與移民政策：人權與安全的多元議題探析。（頁53-86）。臺北：獨立作家。</w:t>
      </w:r>
    </w:p>
    <w:p w:rsidR="002F19DE" w:rsidRPr="002F19DE" w:rsidRDefault="002F19DE" w:rsidP="002F19DE">
      <w:pPr>
        <w:ind w:leftChars="0" w:left="0"/>
        <w:rPr>
          <w:sz w:val="24"/>
          <w:szCs w:val="24"/>
        </w:rPr>
      </w:pPr>
      <w:r w:rsidRPr="002F19DE">
        <w:rPr>
          <w:rFonts w:hint="eastAsia"/>
          <w:sz w:val="24"/>
          <w:szCs w:val="24"/>
        </w:rPr>
        <w:t>◎王寬弘、柯雨瑞</w:t>
      </w:r>
      <w:r w:rsidRPr="002F19DE">
        <w:rPr>
          <w:sz w:val="24"/>
          <w:szCs w:val="24"/>
        </w:rPr>
        <w:t>(1997)，國境警察、外事警察與入出國及移民署危害防止任務分配之研究，發表於中央警察大學國境警察學術研討會。</w:t>
      </w:r>
    </w:p>
    <w:p w:rsidR="002F19DE" w:rsidRPr="002F19DE" w:rsidRDefault="002F19DE" w:rsidP="002F19DE">
      <w:pPr>
        <w:ind w:leftChars="0" w:left="0"/>
        <w:rPr>
          <w:sz w:val="24"/>
          <w:szCs w:val="24"/>
        </w:rPr>
      </w:pPr>
      <w:r w:rsidRPr="002F19DE">
        <w:rPr>
          <w:rFonts w:hint="eastAsia"/>
          <w:sz w:val="24"/>
          <w:szCs w:val="24"/>
        </w:rPr>
        <w:t>◎王寬弘、柯雨瑞</w:t>
      </w:r>
      <w:r w:rsidRPr="002F19DE">
        <w:rPr>
          <w:sz w:val="24"/>
          <w:szCs w:val="24"/>
        </w:rPr>
        <w:t>(1998)，美國1996年移民及國籍法收容、遣返及司法審查制度之介紹 ，發表於中央警察大學國境警察學術研討會。</w:t>
      </w:r>
    </w:p>
    <w:p w:rsidR="002F19DE" w:rsidRPr="002F19DE" w:rsidRDefault="002F19DE" w:rsidP="002F19DE">
      <w:pPr>
        <w:ind w:leftChars="0" w:left="0"/>
        <w:rPr>
          <w:sz w:val="24"/>
          <w:szCs w:val="24"/>
        </w:rPr>
      </w:pPr>
      <w:r w:rsidRPr="002F19DE">
        <w:rPr>
          <w:rFonts w:hint="eastAsia"/>
          <w:sz w:val="24"/>
          <w:szCs w:val="24"/>
        </w:rPr>
        <w:t>◎王寬弘、柯雨瑞</w:t>
      </w:r>
      <w:r w:rsidRPr="002F19DE">
        <w:rPr>
          <w:sz w:val="24"/>
          <w:szCs w:val="24"/>
        </w:rPr>
        <w:t>(1999)，國境警察、外事警察及入出國及移民署危害防止任務分配之比較分析，警學叢刊29卷4期。</w:t>
      </w:r>
    </w:p>
    <w:p w:rsidR="002F19DE" w:rsidRPr="002F19DE" w:rsidRDefault="002F19DE" w:rsidP="002F19DE">
      <w:pPr>
        <w:ind w:leftChars="0" w:left="0"/>
        <w:rPr>
          <w:sz w:val="24"/>
          <w:szCs w:val="24"/>
        </w:rPr>
      </w:pPr>
      <w:r w:rsidRPr="002F19DE">
        <w:rPr>
          <w:rFonts w:hint="eastAsia"/>
          <w:sz w:val="24"/>
          <w:szCs w:val="24"/>
        </w:rPr>
        <w:t>◎王寬弘、柯雨瑞</w:t>
      </w:r>
      <w:r w:rsidRPr="002F19DE">
        <w:rPr>
          <w:sz w:val="24"/>
          <w:szCs w:val="24"/>
        </w:rPr>
        <w:t>(2000)，美國1996年移民及國籍法收容、遣返及司法審查制度之介紹，警學叢刊30卷5期。</w:t>
      </w:r>
    </w:p>
    <w:p w:rsidR="002F19DE" w:rsidRPr="002F19DE" w:rsidRDefault="002F19DE" w:rsidP="002F19DE">
      <w:pPr>
        <w:ind w:leftChars="0" w:left="0"/>
        <w:rPr>
          <w:sz w:val="24"/>
          <w:szCs w:val="24"/>
        </w:rPr>
      </w:pPr>
      <w:r w:rsidRPr="002F19DE">
        <w:rPr>
          <w:rFonts w:hint="eastAsia"/>
          <w:sz w:val="24"/>
          <w:szCs w:val="24"/>
        </w:rPr>
        <w:t>◎王憶紅</w:t>
      </w:r>
      <w:r w:rsidRPr="002F19DE">
        <w:rPr>
          <w:sz w:val="24"/>
          <w:szCs w:val="24"/>
        </w:rPr>
        <w:t xml:space="preserve">(2017)，玉山協會理事長王伯元：重公平恐賠競爭力 攬才要非常手段, Access on </w:t>
      </w:r>
      <w:hyperlink r:id="rId786" w:history="1">
        <w:r w:rsidRPr="006B5D0A">
          <w:rPr>
            <w:rStyle w:val="a7"/>
            <w:rFonts w:cs="Times New Roman"/>
            <w:sz w:val="24"/>
            <w:szCs w:val="24"/>
            <w:lang w:eastAsia="zh-TW" w:bidi="ar-SA"/>
          </w:rPr>
          <w:t>http://news.ltn.com.tw/news/focus/paper/1157338</w:t>
        </w:r>
      </w:hyperlink>
    </w:p>
    <w:p w:rsidR="002F19DE" w:rsidRPr="002F19DE" w:rsidRDefault="002F19DE" w:rsidP="002F19DE">
      <w:pPr>
        <w:ind w:leftChars="0" w:left="0"/>
        <w:rPr>
          <w:sz w:val="24"/>
          <w:szCs w:val="24"/>
        </w:rPr>
      </w:pPr>
      <w:r w:rsidRPr="002F19DE">
        <w:rPr>
          <w:rFonts w:hint="eastAsia"/>
          <w:sz w:val="24"/>
          <w:szCs w:val="24"/>
        </w:rPr>
        <w:t>◎王曉明</w:t>
      </w:r>
      <w:r w:rsidRPr="002F19DE">
        <w:rPr>
          <w:sz w:val="24"/>
          <w:szCs w:val="24"/>
        </w:rPr>
        <w:t>(2006)，安全管理理論架構之探討，發表於風險管理與安全管理學術研討會，桃園：中央警察大學、政治大學公共行政學系合辦，頁16。</w:t>
      </w:r>
    </w:p>
    <w:p w:rsidR="002F19DE" w:rsidRPr="002F19DE" w:rsidRDefault="002F19DE" w:rsidP="002F19DE">
      <w:pPr>
        <w:ind w:leftChars="0" w:left="0"/>
        <w:rPr>
          <w:sz w:val="24"/>
          <w:szCs w:val="24"/>
        </w:rPr>
      </w:pPr>
      <w:r w:rsidRPr="002F19DE">
        <w:rPr>
          <w:rFonts w:hint="eastAsia"/>
          <w:sz w:val="24"/>
          <w:szCs w:val="24"/>
        </w:rPr>
        <w:t>◎王澤鑑</w:t>
      </w:r>
      <w:r w:rsidRPr="002F19DE">
        <w:rPr>
          <w:sz w:val="24"/>
          <w:szCs w:val="24"/>
        </w:rPr>
        <w:t>(2004)，民法總則，臺北：三民書局。</w:t>
      </w:r>
    </w:p>
    <w:p w:rsidR="002F19DE" w:rsidRPr="002F19DE" w:rsidRDefault="002F19DE" w:rsidP="002F19DE">
      <w:pPr>
        <w:ind w:leftChars="0" w:left="0"/>
        <w:rPr>
          <w:sz w:val="24"/>
          <w:szCs w:val="24"/>
        </w:rPr>
      </w:pPr>
      <w:r w:rsidRPr="002F19DE">
        <w:rPr>
          <w:rFonts w:hint="eastAsia"/>
          <w:sz w:val="24"/>
          <w:szCs w:val="24"/>
        </w:rPr>
        <w:t>◎王鐵崖等編著</w:t>
      </w:r>
      <w:r w:rsidRPr="002F19DE">
        <w:rPr>
          <w:sz w:val="24"/>
          <w:szCs w:val="24"/>
        </w:rPr>
        <w:t>(1992)，國際法，台北：五南出版社。</w:t>
      </w:r>
    </w:p>
    <w:p w:rsidR="002F19DE" w:rsidRPr="002F19DE" w:rsidRDefault="002F19DE" w:rsidP="002F19DE">
      <w:pPr>
        <w:ind w:leftChars="0" w:left="0"/>
        <w:rPr>
          <w:sz w:val="24"/>
          <w:szCs w:val="24"/>
        </w:rPr>
      </w:pPr>
      <w:r w:rsidRPr="002F19DE">
        <w:rPr>
          <w:rFonts w:hint="eastAsia"/>
          <w:sz w:val="24"/>
          <w:szCs w:val="24"/>
        </w:rPr>
        <w:t>◎丘宏達</w:t>
      </w:r>
      <w:r w:rsidRPr="002F19DE">
        <w:rPr>
          <w:sz w:val="24"/>
          <w:szCs w:val="24"/>
        </w:rPr>
        <w:t>(1997)，現代國際法基本文件，三民書局。</w:t>
      </w:r>
    </w:p>
    <w:p w:rsidR="002F19DE" w:rsidRPr="002F19DE" w:rsidRDefault="002F19DE" w:rsidP="002F19DE">
      <w:pPr>
        <w:ind w:leftChars="0" w:left="0"/>
        <w:rPr>
          <w:sz w:val="24"/>
          <w:szCs w:val="24"/>
        </w:rPr>
      </w:pPr>
      <w:r w:rsidRPr="002F19DE">
        <w:rPr>
          <w:rFonts w:hint="eastAsia"/>
          <w:sz w:val="24"/>
          <w:szCs w:val="24"/>
        </w:rPr>
        <w:t>◎丘宏達</w:t>
      </w:r>
      <w:r w:rsidRPr="002F19DE">
        <w:rPr>
          <w:sz w:val="24"/>
          <w:szCs w:val="24"/>
        </w:rPr>
        <w:t>(2002)，現代國際法，台北：三民書局。</w:t>
      </w:r>
    </w:p>
    <w:p w:rsidR="002F19DE" w:rsidRPr="002F19DE" w:rsidRDefault="002F19DE" w:rsidP="002F19DE">
      <w:pPr>
        <w:ind w:leftChars="0" w:left="0"/>
        <w:rPr>
          <w:sz w:val="24"/>
          <w:szCs w:val="24"/>
        </w:rPr>
      </w:pPr>
      <w:r w:rsidRPr="002F19DE">
        <w:rPr>
          <w:rFonts w:hint="eastAsia"/>
          <w:sz w:val="24"/>
          <w:szCs w:val="24"/>
        </w:rPr>
        <w:t>◎古允文、丁華、林盈君、張玉芬（</w:t>
      </w:r>
      <w:r w:rsidRPr="002F19DE">
        <w:rPr>
          <w:sz w:val="24"/>
          <w:szCs w:val="24"/>
        </w:rPr>
        <w:t>2010），風險基礎的社會政策：永續社會發展之路，收錄於古允文等著(2010)，透視台灣軟實力，台北：財團法人厚生基金會，頁128-207。</w:t>
      </w:r>
    </w:p>
    <w:p w:rsidR="002F19DE" w:rsidRPr="002F19DE" w:rsidRDefault="002F19DE" w:rsidP="002F19DE">
      <w:pPr>
        <w:ind w:leftChars="0" w:left="0"/>
        <w:rPr>
          <w:sz w:val="24"/>
          <w:szCs w:val="24"/>
        </w:rPr>
      </w:pPr>
      <w:r w:rsidRPr="002F19DE">
        <w:rPr>
          <w:rFonts w:hint="eastAsia"/>
          <w:sz w:val="24"/>
          <w:szCs w:val="24"/>
        </w:rPr>
        <w:t>◎台北市美國商會（</w:t>
      </w:r>
      <w:r w:rsidRPr="002F19DE">
        <w:rPr>
          <w:sz w:val="24"/>
          <w:szCs w:val="24"/>
        </w:rPr>
        <w:t>2016）。臺灣白皮書。載於D. Shapiro（主編），Taiwan Business TOPICS（第46冊）。臺北：美國商會。</w:t>
      </w:r>
    </w:p>
    <w:p w:rsidR="002F19DE" w:rsidRPr="002F19DE" w:rsidRDefault="002F19DE" w:rsidP="006B5D0A">
      <w:pPr>
        <w:ind w:leftChars="0" w:left="0"/>
        <w:jc w:val="left"/>
        <w:rPr>
          <w:sz w:val="24"/>
          <w:szCs w:val="24"/>
        </w:rPr>
      </w:pPr>
      <w:r w:rsidRPr="002F19DE">
        <w:rPr>
          <w:rFonts w:hint="eastAsia"/>
          <w:sz w:val="24"/>
          <w:szCs w:val="24"/>
        </w:rPr>
        <w:t>◎正德慈善醫療文教機構</w:t>
      </w:r>
      <w:r w:rsidRPr="002F19DE">
        <w:rPr>
          <w:sz w:val="24"/>
          <w:szCs w:val="24"/>
        </w:rPr>
        <w:t>(2018)，常律法師簡介，</w:t>
      </w:r>
      <w:hyperlink r:id="rId787" w:history="1">
        <w:r w:rsidRPr="006B5D0A">
          <w:rPr>
            <w:rStyle w:val="a7"/>
            <w:rFonts w:cs="Times New Roman"/>
            <w:sz w:val="24"/>
            <w:szCs w:val="24"/>
            <w:lang w:eastAsia="zh-TW" w:bidi="ar-SA"/>
          </w:rPr>
          <w:t>https://www.chengte.org.tw/01/Introduction3.aspx</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◎立法院</w:t>
      </w:r>
      <w:r w:rsidRPr="002F19DE">
        <w:rPr>
          <w:sz w:val="24"/>
          <w:szCs w:val="24"/>
        </w:rPr>
        <w:t>(2016)，立法院第9 屆第3 會期第12 次會議議案關係文書，院總第1537 號政府提案第15963 號，案由：行政院函請審議外國專業人才延攬及僱用法草案案。</w:t>
      </w:r>
    </w:p>
    <w:p w:rsidR="002F19DE" w:rsidRPr="002F19DE" w:rsidRDefault="002F19DE" w:rsidP="002F19DE">
      <w:pPr>
        <w:ind w:leftChars="0" w:left="0"/>
        <w:rPr>
          <w:sz w:val="24"/>
          <w:szCs w:val="24"/>
        </w:rPr>
      </w:pPr>
      <w:r w:rsidRPr="002F19DE">
        <w:rPr>
          <w:rFonts w:hint="eastAsia"/>
          <w:sz w:val="24"/>
          <w:szCs w:val="24"/>
        </w:rPr>
        <w:t>◎朱金池</w:t>
      </w:r>
      <w:r w:rsidRPr="002F19DE">
        <w:rPr>
          <w:sz w:val="24"/>
          <w:szCs w:val="24"/>
        </w:rPr>
        <w:t>(2007)，警察績效管理，桃園縣：中央警察大學。</w:t>
      </w:r>
    </w:p>
    <w:p w:rsidR="002F19DE" w:rsidRPr="002F19DE" w:rsidRDefault="002F19DE" w:rsidP="002F19DE">
      <w:pPr>
        <w:ind w:leftChars="0" w:left="0"/>
        <w:rPr>
          <w:sz w:val="24"/>
          <w:szCs w:val="24"/>
        </w:rPr>
      </w:pPr>
      <w:r w:rsidRPr="002F19DE">
        <w:rPr>
          <w:rFonts w:hint="eastAsia"/>
          <w:sz w:val="24"/>
          <w:szCs w:val="24"/>
        </w:rPr>
        <w:t>◎朱金池等著</w:t>
      </w:r>
      <w:r w:rsidRPr="002F19DE">
        <w:rPr>
          <w:sz w:val="24"/>
          <w:szCs w:val="24"/>
        </w:rPr>
        <w:t xml:space="preserve">(2009)，行政學析論，台北市：五南圖書出版股份有限公司。 </w:t>
      </w:r>
    </w:p>
    <w:p w:rsidR="002F19DE" w:rsidRPr="002F19DE" w:rsidRDefault="002F19DE" w:rsidP="002F19DE">
      <w:pPr>
        <w:ind w:leftChars="0" w:left="0"/>
        <w:rPr>
          <w:sz w:val="24"/>
          <w:szCs w:val="24"/>
        </w:rPr>
      </w:pPr>
      <w:r w:rsidRPr="002F19DE">
        <w:rPr>
          <w:rFonts w:hint="eastAsia"/>
          <w:sz w:val="24"/>
          <w:szCs w:val="24"/>
        </w:rPr>
        <w:t>◎朱愛群</w:t>
      </w:r>
      <w:r w:rsidRPr="002F19DE">
        <w:rPr>
          <w:sz w:val="24"/>
          <w:szCs w:val="24"/>
        </w:rPr>
        <w:t>(1994)，論德國外籍勞工管理及其法令之探討，中央警察大學外事警察學術研討會外籍勞工管理論文集。</w:t>
      </w:r>
    </w:p>
    <w:p w:rsidR="002F19DE" w:rsidRPr="002F19DE" w:rsidRDefault="002F19DE" w:rsidP="002F19DE">
      <w:pPr>
        <w:ind w:leftChars="0" w:left="0"/>
        <w:rPr>
          <w:sz w:val="24"/>
          <w:szCs w:val="24"/>
        </w:rPr>
      </w:pPr>
      <w:r w:rsidRPr="002F19DE">
        <w:rPr>
          <w:rFonts w:hint="eastAsia"/>
          <w:sz w:val="24"/>
          <w:szCs w:val="24"/>
        </w:rPr>
        <w:t>◎朱愛群</w:t>
      </w:r>
      <w:r w:rsidRPr="002F19DE">
        <w:rPr>
          <w:sz w:val="24"/>
          <w:szCs w:val="24"/>
        </w:rPr>
        <w:t>(2002)，危機管理，台北：五南書局。</w:t>
      </w:r>
    </w:p>
    <w:p w:rsidR="002F19DE" w:rsidRPr="002F19DE" w:rsidRDefault="002F19DE" w:rsidP="002F19DE">
      <w:pPr>
        <w:ind w:leftChars="0" w:left="0"/>
        <w:rPr>
          <w:sz w:val="24"/>
          <w:szCs w:val="24"/>
        </w:rPr>
      </w:pPr>
      <w:r w:rsidRPr="002F19DE">
        <w:rPr>
          <w:rFonts w:hint="eastAsia"/>
          <w:sz w:val="24"/>
          <w:szCs w:val="24"/>
        </w:rPr>
        <w:t>◎朱愛群</w:t>
      </w:r>
      <w:r w:rsidRPr="002F19DE">
        <w:rPr>
          <w:sz w:val="24"/>
          <w:szCs w:val="24"/>
        </w:rPr>
        <w:t>(2007)，政府危機管理，台北：空大。</w:t>
      </w:r>
    </w:p>
    <w:p w:rsidR="002F19DE" w:rsidRPr="002F19DE" w:rsidRDefault="002F19DE" w:rsidP="002F19DE">
      <w:pPr>
        <w:ind w:leftChars="0" w:left="0"/>
        <w:rPr>
          <w:sz w:val="24"/>
          <w:szCs w:val="24"/>
        </w:rPr>
      </w:pPr>
      <w:r w:rsidRPr="002F19DE">
        <w:rPr>
          <w:rFonts w:hint="eastAsia"/>
          <w:sz w:val="24"/>
          <w:szCs w:val="24"/>
        </w:rPr>
        <w:t>◎朱愛群</w:t>
      </w:r>
      <w:r w:rsidRPr="002F19DE">
        <w:rPr>
          <w:sz w:val="24"/>
          <w:szCs w:val="24"/>
        </w:rPr>
        <w:t>(2011)，政府風險管理與危機處理----實例系統分析，桃園：中央警察大學，第1-945頁。</w:t>
      </w:r>
    </w:p>
    <w:p w:rsidR="002F19DE" w:rsidRPr="002F19DE" w:rsidRDefault="002F19DE" w:rsidP="002F19DE">
      <w:pPr>
        <w:ind w:leftChars="0" w:left="0"/>
        <w:rPr>
          <w:sz w:val="24"/>
          <w:szCs w:val="24"/>
        </w:rPr>
      </w:pPr>
      <w:r w:rsidRPr="002F19DE">
        <w:rPr>
          <w:rFonts w:hint="eastAsia"/>
          <w:sz w:val="24"/>
          <w:szCs w:val="24"/>
        </w:rPr>
        <w:t>◎朱愛群</w:t>
      </w:r>
      <w:r w:rsidRPr="002F19DE">
        <w:rPr>
          <w:sz w:val="24"/>
          <w:szCs w:val="24"/>
        </w:rPr>
        <w:t>(2012)，行政學，初版，新北市：揚智文化。</w:t>
      </w:r>
    </w:p>
    <w:p w:rsidR="002F19DE" w:rsidRPr="002F19DE" w:rsidRDefault="002F19DE" w:rsidP="002F19DE">
      <w:pPr>
        <w:ind w:leftChars="0" w:left="0"/>
        <w:rPr>
          <w:sz w:val="24"/>
          <w:szCs w:val="24"/>
        </w:rPr>
      </w:pPr>
      <w:r w:rsidRPr="002F19DE">
        <w:rPr>
          <w:rFonts w:hint="eastAsia"/>
          <w:sz w:val="24"/>
          <w:szCs w:val="24"/>
        </w:rPr>
        <w:t>◎江世雄（</w:t>
      </w:r>
      <w:r w:rsidRPr="002F19DE">
        <w:rPr>
          <w:sz w:val="24"/>
          <w:szCs w:val="24"/>
        </w:rPr>
        <w:t>2010）。在臺灣越南籍配偶之國籍問題—從國際人權法中無國籍者保護之角度談起。中央警察大學學報47：275-296。</w:t>
      </w:r>
    </w:p>
    <w:p w:rsidR="002F19DE" w:rsidRPr="002F19DE" w:rsidRDefault="002F19DE" w:rsidP="002F19DE">
      <w:pPr>
        <w:ind w:leftChars="0" w:left="0"/>
        <w:rPr>
          <w:sz w:val="24"/>
          <w:szCs w:val="24"/>
        </w:rPr>
      </w:pPr>
      <w:r w:rsidRPr="002F19DE">
        <w:rPr>
          <w:rFonts w:hint="eastAsia"/>
          <w:sz w:val="24"/>
          <w:szCs w:val="24"/>
        </w:rPr>
        <w:t>◎行政院主計總處</w:t>
      </w:r>
      <w:r w:rsidRPr="002F19DE">
        <w:rPr>
          <w:sz w:val="24"/>
          <w:szCs w:val="24"/>
        </w:rPr>
        <w:t xml:space="preserve">(2018)，104年國人赴海外工作人數統計結果新聞稿, Access on </w:t>
      </w:r>
      <w:hyperlink r:id="rId788" w:history="1">
        <w:r w:rsidRPr="006B5D0A">
          <w:rPr>
            <w:rStyle w:val="a7"/>
            <w:rFonts w:cs="Times New Roman"/>
            <w:sz w:val="24"/>
            <w:szCs w:val="24"/>
            <w:lang w:eastAsia="zh-TW" w:bidi="ar-SA"/>
          </w:rPr>
          <w:t>https://www.dgbas.gov.tw/ct.asp?xItem=41034&amp;ctNode=5624</w:t>
        </w:r>
      </w:hyperlink>
    </w:p>
    <w:p w:rsidR="002F19DE" w:rsidRPr="002F19DE" w:rsidRDefault="002F19DE" w:rsidP="002F19DE">
      <w:pPr>
        <w:ind w:leftChars="0" w:left="0"/>
        <w:rPr>
          <w:sz w:val="24"/>
          <w:szCs w:val="24"/>
        </w:rPr>
      </w:pPr>
      <w:r w:rsidRPr="002F19DE">
        <w:rPr>
          <w:rFonts w:hint="eastAsia"/>
          <w:sz w:val="24"/>
          <w:szCs w:val="24"/>
        </w:rPr>
        <w:t>◎行政院國發會</w:t>
      </w:r>
      <w:r w:rsidRPr="002F19DE">
        <w:rPr>
          <w:sz w:val="24"/>
          <w:szCs w:val="24"/>
        </w:rPr>
        <w:t>(2016)，全球競才方案 - Contact Taiwan核定本。</w:t>
      </w:r>
    </w:p>
    <w:p w:rsidR="002F19DE" w:rsidRPr="002F19DE" w:rsidRDefault="002F19DE" w:rsidP="006B5D0A">
      <w:pPr>
        <w:ind w:leftChars="0" w:left="0"/>
        <w:jc w:val="left"/>
        <w:rPr>
          <w:sz w:val="24"/>
          <w:szCs w:val="24"/>
        </w:rPr>
      </w:pPr>
      <w:r w:rsidRPr="002F19DE">
        <w:rPr>
          <w:rFonts w:hint="eastAsia"/>
          <w:sz w:val="24"/>
          <w:szCs w:val="24"/>
        </w:rPr>
        <w:t>◎行政院國發會</w:t>
      </w:r>
      <w:r w:rsidRPr="002F19DE">
        <w:rPr>
          <w:sz w:val="24"/>
          <w:szCs w:val="24"/>
        </w:rPr>
        <w:t>(2017)，全球競才方案 - Contact Taiwan。</w:t>
      </w:r>
      <w:hyperlink r:id="rId789" w:history="1">
        <w:r w:rsidRPr="006B5D0A">
          <w:rPr>
            <w:rStyle w:val="a7"/>
            <w:rFonts w:cs="Times New Roman"/>
            <w:sz w:val="24"/>
            <w:szCs w:val="24"/>
            <w:lang w:eastAsia="zh-TW" w:bidi="ar-SA"/>
          </w:rPr>
          <w:t>https://www.ndc.gov.tw/Content_List.aspx?n=9A220CB77D7F4178&amp;upn=044D10B93AFA1714</w:t>
        </w:r>
      </w:hyperlink>
      <w:r w:rsidRPr="002F19DE">
        <w:rPr>
          <w:sz w:val="24"/>
          <w:szCs w:val="24"/>
        </w:rPr>
        <w:t>。</w:t>
      </w:r>
    </w:p>
    <w:p w:rsidR="002F19DE" w:rsidRPr="002F19DE" w:rsidRDefault="002F19DE" w:rsidP="006B5D0A">
      <w:pPr>
        <w:ind w:leftChars="0" w:left="0"/>
        <w:jc w:val="left"/>
        <w:rPr>
          <w:sz w:val="24"/>
          <w:szCs w:val="24"/>
        </w:rPr>
      </w:pPr>
      <w:r w:rsidRPr="002F19DE">
        <w:rPr>
          <w:rFonts w:hint="eastAsia"/>
          <w:sz w:val="24"/>
          <w:szCs w:val="24"/>
        </w:rPr>
        <w:t>◎行政院國發會</w:t>
      </w:r>
      <w:r w:rsidRPr="002F19DE">
        <w:rPr>
          <w:sz w:val="24"/>
          <w:szCs w:val="24"/>
        </w:rPr>
        <w:t>(2017)，完善我國留才環境方案。</w:t>
      </w:r>
      <w:hyperlink r:id="rId790" w:history="1">
        <w:r w:rsidRPr="006B5D0A">
          <w:rPr>
            <w:rStyle w:val="a7"/>
            <w:rFonts w:cs="Times New Roman"/>
            <w:sz w:val="24"/>
            <w:szCs w:val="24"/>
            <w:lang w:eastAsia="zh-TW" w:bidi="ar-SA"/>
          </w:rPr>
          <w:t>https://www.ndc.gov.tw/News7.aspx?n=5F5662157BC98A7D</w:t>
        </w:r>
      </w:hyperlink>
      <w:r w:rsidRPr="002F19DE">
        <w:rPr>
          <w:sz w:val="24"/>
          <w:szCs w:val="24"/>
        </w:rPr>
        <w:t xml:space="preserve">。 </w:t>
      </w:r>
    </w:p>
    <w:p w:rsidR="002F19DE" w:rsidRPr="002F19DE" w:rsidRDefault="002F19DE" w:rsidP="006B5D0A">
      <w:pPr>
        <w:ind w:leftChars="0" w:left="0"/>
        <w:jc w:val="left"/>
        <w:rPr>
          <w:sz w:val="24"/>
          <w:szCs w:val="24"/>
        </w:rPr>
      </w:pPr>
      <w:r w:rsidRPr="002F19DE">
        <w:rPr>
          <w:rFonts w:hint="eastAsia"/>
          <w:sz w:val="24"/>
          <w:szCs w:val="24"/>
        </w:rPr>
        <w:t>◎但昭偉</w:t>
      </w:r>
      <w:r w:rsidRPr="002F19DE">
        <w:rPr>
          <w:sz w:val="24"/>
          <w:szCs w:val="24"/>
        </w:rPr>
        <w:t>(2014)，世界人權宣言是怎麼來的？，臺灣人權學刊，第2卷第4期，頁197-207。</w:t>
      </w:r>
    </w:p>
    <w:p w:rsidR="002F19DE" w:rsidRPr="002F19DE" w:rsidRDefault="002F19DE" w:rsidP="006B5D0A">
      <w:pPr>
        <w:ind w:leftChars="0" w:left="0"/>
        <w:jc w:val="left"/>
        <w:rPr>
          <w:sz w:val="24"/>
          <w:szCs w:val="24"/>
        </w:rPr>
      </w:pPr>
      <w:r w:rsidRPr="002F19DE">
        <w:rPr>
          <w:rFonts w:hint="eastAsia"/>
          <w:sz w:val="24"/>
          <w:szCs w:val="24"/>
        </w:rPr>
        <w:t>◎何曜琛（</w:t>
      </w:r>
      <w:r w:rsidRPr="002F19DE">
        <w:rPr>
          <w:sz w:val="24"/>
          <w:szCs w:val="24"/>
        </w:rPr>
        <w:t>2011）。各國移民參政權之比較研究（RDEC-RES-099-038）。臺北：行政院研究發展考核委員會，取自</w:t>
      </w:r>
      <w:hyperlink r:id="rId791" w:history="1">
        <w:r w:rsidRPr="006B5D0A">
          <w:rPr>
            <w:rStyle w:val="a7"/>
            <w:rFonts w:cs="Times New Roman"/>
            <w:sz w:val="24"/>
            <w:szCs w:val="24"/>
            <w:lang w:eastAsia="zh-TW" w:bidi="ar-SA"/>
          </w:rPr>
          <w:t>http://www.ndc.gov.tw/News_Content.aspx?n=E4F9C91CF6EA4EC 4&amp;sms=4506D295372B40FB&amp;s=543AACAD0993B1F5</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◎吳佳樺</w:t>
      </w:r>
      <w:r w:rsidRPr="002F19DE">
        <w:rPr>
          <w:sz w:val="24"/>
          <w:szCs w:val="24"/>
        </w:rPr>
        <w:t>(2009)。隱藏不住的偏見--評釋字第六一八號解釋，法學新論，第6期，頁101-128。</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2008）。人力績效科技如何讓訓得更少但績效更好。研習論壇月刊，95，26-30。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2009）。任務式多媒體問題情境對問題定義與問題擁有感影響之研究。警察行政管理學報，5，117-128。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2009）。從數位學習前進組職變革。人事月刊，49(2)，46-50。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2010）。情境判斷測驗意涵及國外警察甄選之應用。警察行政管理學報，6，131-140。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2011）。訓練反應評鑑的新設計。研習論壇月刊，128，24-31。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2011）。警察特考情境題編製策略：以籃中演練與情境判斷測驗為例。警學叢刊，42(1)，141-154。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2011）。警察執勤安全訓練之問題與建議—以用槍判斷為例。2011警察危機應變與安全管理研討會研討會。2011年10月27日，桃園：中央警察大學。</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2012）。司法判決書中關於警察用槍時機判斷之分析研究。警察行政管理學報，8，171-183。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2012）。從訓練參與者觀點的評估。T&amp;D飛訊季刊，21，81-87。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2013）。從專精取向觀點探討警察在職訓練之架構。警察行政管理學報，9，127-140。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2014）。個人優勢、心流與警察職涯發展。載於林麗珊（主編），執法人員行政管理理論與實踐。桃園：中央警察大學。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2014）。國家考試多元評量之實踐：以警察特考情境測驗為例。文官制度季刊，6(1)，81-97。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2014）。情境模擬的訓練與測驗設計。臺北市：五南。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2014）。警大學生對夜間校園巡邏勤務之認知研究：以用心理論介入方案。執法人員行政管理理論與實踐研討會。2014年10月31日，台北：臺灣警察專科學校。</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2015）。情境模擬命題的品質管理：以考試錄取人員基礎訓練評量為例。T&amp;D飛訊，211，1-20。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2016）。海峽兩岸暨香港澳門跨境犯罪治安評量指標之研議。第11屆海峽兩岸暨香港澳門警學研討會。2016年11月8-9日，香港：香港警務處。</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2016）。探討警察用槍決策歷程及訓練設計。警察行政管理學報，12，57-68。</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2016）。數位與實體情境模擬的訓練設計。T&amp;D飛訊，220，1-16。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 xml:space="preserve">2016）。警察工作意義之追尋：工作塑造觀點。警學叢刊，47(2)，27-40。 </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2017）。大數據在服務導向警政之研究。第12屆海峽兩岸暨香港澳門警學研討會。2017年12月4-5日，澳門：澳門警察總局。</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2017）。從見警率觀點探討適地性服務大數據之應用。106年執法人員行政管理理論與實踐研討會。2017年10月20日，桃園：中央警察大學。</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2018）。論擴大巡官員額之警察組織結構變化：以派出所為例。警學叢刊，48(6)，1-12。</w:t>
      </w:r>
    </w:p>
    <w:p w:rsidR="002F19DE" w:rsidRPr="002F19DE" w:rsidRDefault="002F19DE" w:rsidP="002F19DE">
      <w:pPr>
        <w:ind w:leftChars="0" w:left="0"/>
        <w:rPr>
          <w:sz w:val="24"/>
          <w:szCs w:val="24"/>
        </w:rPr>
      </w:pPr>
      <w:r w:rsidRPr="002F19DE">
        <w:rPr>
          <w:rFonts w:hint="eastAsia"/>
          <w:sz w:val="24"/>
          <w:szCs w:val="24"/>
        </w:rPr>
        <w:t>◎吳斯茜（</w:t>
      </w:r>
      <w:r w:rsidRPr="002F19DE">
        <w:rPr>
          <w:sz w:val="24"/>
          <w:szCs w:val="24"/>
        </w:rPr>
        <w:t>2018）。警察年齡結構的戰略思考。警察行政管理學報，14，61-72。</w:t>
      </w:r>
    </w:p>
    <w:p w:rsidR="002F19DE" w:rsidRPr="002F19DE" w:rsidRDefault="002F19DE" w:rsidP="002F19DE">
      <w:pPr>
        <w:ind w:leftChars="0" w:left="0"/>
        <w:rPr>
          <w:sz w:val="24"/>
          <w:szCs w:val="24"/>
        </w:rPr>
      </w:pPr>
      <w:r w:rsidRPr="002F19DE">
        <w:rPr>
          <w:rFonts w:hint="eastAsia"/>
          <w:sz w:val="24"/>
          <w:szCs w:val="24"/>
        </w:rPr>
        <w:t>◎吳斯茜、吳柏臻（</w:t>
      </w:r>
      <w:r w:rsidRPr="002F19DE">
        <w:rPr>
          <w:sz w:val="24"/>
          <w:szCs w:val="24"/>
        </w:rPr>
        <w:t xml:space="preserve">2015）。專家表現與自我回饋之訓練觀。警察行政管理學報，11，75-86。 </w:t>
      </w:r>
    </w:p>
    <w:p w:rsidR="002F19DE" w:rsidRPr="002F19DE" w:rsidRDefault="002F19DE" w:rsidP="002F19DE">
      <w:pPr>
        <w:ind w:leftChars="0" w:left="0"/>
        <w:rPr>
          <w:sz w:val="24"/>
          <w:szCs w:val="24"/>
        </w:rPr>
      </w:pPr>
      <w:r w:rsidRPr="002F19DE">
        <w:rPr>
          <w:rFonts w:hint="eastAsia"/>
          <w:sz w:val="24"/>
          <w:szCs w:val="24"/>
        </w:rPr>
        <w:t>◎吳斯茜、李佳穎（</w:t>
      </w:r>
      <w:r w:rsidRPr="002F19DE">
        <w:rPr>
          <w:sz w:val="24"/>
          <w:szCs w:val="24"/>
        </w:rPr>
        <w:t>2016）。工作塑造之認知塑造研究：警大學生為例。105年執法人員行政管理理論與實踐研討會。2016年10月28日，台北：臺灣警察專科學校。</w:t>
      </w:r>
    </w:p>
    <w:p w:rsidR="002F19DE" w:rsidRPr="002F19DE" w:rsidRDefault="002F19DE" w:rsidP="002F19DE">
      <w:pPr>
        <w:ind w:leftChars="0" w:left="0"/>
        <w:rPr>
          <w:sz w:val="24"/>
          <w:szCs w:val="24"/>
        </w:rPr>
      </w:pPr>
      <w:r w:rsidRPr="002F19DE">
        <w:rPr>
          <w:rFonts w:hint="eastAsia"/>
          <w:sz w:val="24"/>
          <w:szCs w:val="24"/>
        </w:rPr>
        <w:t>◎吳斯茜、李佳穎（</w:t>
      </w:r>
      <w:r w:rsidRPr="002F19DE">
        <w:rPr>
          <w:sz w:val="24"/>
          <w:szCs w:val="24"/>
        </w:rPr>
        <w:t xml:space="preserve">2016）。警察人才管理方案之建構：以評鑑中心遴選分局長為例。執法新知論衡，12(1)，53-68。 </w:t>
      </w:r>
    </w:p>
    <w:p w:rsidR="002F19DE" w:rsidRPr="002F19DE" w:rsidRDefault="002F19DE" w:rsidP="002F19DE">
      <w:pPr>
        <w:ind w:leftChars="0" w:left="0"/>
        <w:rPr>
          <w:sz w:val="24"/>
          <w:szCs w:val="24"/>
        </w:rPr>
      </w:pPr>
      <w:r w:rsidRPr="002F19DE">
        <w:rPr>
          <w:rFonts w:hint="eastAsia"/>
          <w:sz w:val="24"/>
          <w:szCs w:val="24"/>
        </w:rPr>
        <w:t>◎吳斯茜、林佳琪（</w:t>
      </w:r>
      <w:r w:rsidRPr="002F19DE">
        <w:rPr>
          <w:sz w:val="24"/>
          <w:szCs w:val="24"/>
        </w:rPr>
        <w:t>2001）。探討我國公務數位學習推動現況及中韓發展比較。論文發表於2010年2010 TASPAA兩岸四地公共行政與公共事務學術研討會。2009年5月29日~30日，桃園：中央警察大學。</w:t>
      </w:r>
    </w:p>
    <w:p w:rsidR="002F19DE" w:rsidRPr="002F19DE" w:rsidRDefault="002F19DE" w:rsidP="002F19DE">
      <w:pPr>
        <w:ind w:leftChars="0" w:left="0"/>
        <w:rPr>
          <w:sz w:val="24"/>
          <w:szCs w:val="24"/>
        </w:rPr>
      </w:pPr>
      <w:r w:rsidRPr="002F19DE">
        <w:rPr>
          <w:rFonts w:hint="eastAsia"/>
          <w:sz w:val="24"/>
          <w:szCs w:val="24"/>
        </w:rPr>
        <w:t>◎吳斯茜、計惠卿（</w:t>
      </w:r>
      <w:r w:rsidRPr="002F19DE">
        <w:rPr>
          <w:sz w:val="24"/>
          <w:szCs w:val="24"/>
        </w:rPr>
        <w:t xml:space="preserve">2008）。開拓世界公民教育的新生地—以國小語文教學為例。教育資料與研究，83，227-240。 </w:t>
      </w:r>
    </w:p>
    <w:p w:rsidR="002F19DE" w:rsidRPr="002F19DE" w:rsidRDefault="002F19DE" w:rsidP="002F19DE">
      <w:pPr>
        <w:ind w:leftChars="0" w:left="0"/>
        <w:rPr>
          <w:sz w:val="24"/>
          <w:szCs w:val="24"/>
        </w:rPr>
      </w:pPr>
      <w:r w:rsidRPr="002F19DE">
        <w:rPr>
          <w:rFonts w:hint="eastAsia"/>
          <w:sz w:val="24"/>
          <w:szCs w:val="24"/>
        </w:rPr>
        <w:t>◎吳斯茜、高佩珊、陳佩詩（譯）（</w:t>
      </w:r>
      <w:r w:rsidRPr="002F19DE">
        <w:rPr>
          <w:sz w:val="24"/>
          <w:szCs w:val="24"/>
        </w:rPr>
        <w:t xml:space="preserve">2015）。建立公共信任：警民關係的基石。執法新知論衡，11(2)，15-28。 </w:t>
      </w:r>
    </w:p>
    <w:p w:rsidR="002F19DE" w:rsidRPr="002F19DE" w:rsidRDefault="002F19DE" w:rsidP="002F19DE">
      <w:pPr>
        <w:ind w:leftChars="0" w:left="0"/>
        <w:rPr>
          <w:sz w:val="24"/>
          <w:szCs w:val="24"/>
        </w:rPr>
      </w:pPr>
      <w:r w:rsidRPr="002F19DE">
        <w:rPr>
          <w:rFonts w:hint="eastAsia"/>
          <w:sz w:val="24"/>
          <w:szCs w:val="24"/>
        </w:rPr>
        <w:t>◎吳斯茜、陳佩詩、汪曉萱（</w:t>
      </w:r>
      <w:r w:rsidRPr="002F19DE">
        <w:rPr>
          <w:sz w:val="24"/>
          <w:szCs w:val="24"/>
        </w:rPr>
        <w:t xml:space="preserve">2015）。基層警察人員逆境思考模式之調查研究。警學叢刊，46(3)，87-101。 </w:t>
      </w:r>
    </w:p>
    <w:p w:rsidR="002F19DE" w:rsidRPr="002F19DE" w:rsidRDefault="002F19DE" w:rsidP="002F19DE">
      <w:pPr>
        <w:ind w:leftChars="0" w:left="0"/>
        <w:rPr>
          <w:sz w:val="24"/>
          <w:szCs w:val="24"/>
        </w:rPr>
      </w:pPr>
      <w:r w:rsidRPr="002F19DE">
        <w:rPr>
          <w:rFonts w:hint="eastAsia"/>
          <w:sz w:val="24"/>
          <w:szCs w:val="24"/>
        </w:rPr>
        <w:t>◎吳斯茜、陳薇棆（</w:t>
      </w:r>
      <w:r w:rsidRPr="002F19DE">
        <w:rPr>
          <w:sz w:val="24"/>
          <w:szCs w:val="24"/>
        </w:rPr>
        <w:t xml:space="preserve">2014）。工作塑造初探—用心理論之改變類別實驗研究。警察行政管理學報，10，127-140。 </w:t>
      </w:r>
    </w:p>
    <w:p w:rsidR="002F19DE" w:rsidRPr="002F19DE" w:rsidRDefault="002F19DE" w:rsidP="002F19DE">
      <w:pPr>
        <w:ind w:leftChars="0" w:left="0"/>
        <w:rPr>
          <w:sz w:val="24"/>
          <w:szCs w:val="24"/>
        </w:rPr>
      </w:pPr>
      <w:r w:rsidRPr="002F19DE">
        <w:rPr>
          <w:rFonts w:hint="eastAsia"/>
          <w:sz w:val="24"/>
          <w:szCs w:val="24"/>
        </w:rPr>
        <w:t>◎吳斯茜、黃家珍（</w:t>
      </w:r>
      <w:r w:rsidRPr="002F19DE">
        <w:rPr>
          <w:sz w:val="24"/>
          <w:szCs w:val="24"/>
        </w:rPr>
        <w:t xml:space="preserve">2011）。評估警察組織富足感之研究。警察行政管理學報，7，175-186。 </w:t>
      </w:r>
    </w:p>
    <w:p w:rsidR="002F19DE" w:rsidRPr="002F19DE" w:rsidRDefault="002F19DE" w:rsidP="002F19DE">
      <w:pPr>
        <w:ind w:leftChars="0" w:left="0"/>
        <w:rPr>
          <w:sz w:val="24"/>
          <w:szCs w:val="24"/>
        </w:rPr>
      </w:pPr>
      <w:r w:rsidRPr="002F19DE">
        <w:rPr>
          <w:rFonts w:hint="eastAsia"/>
          <w:sz w:val="24"/>
          <w:szCs w:val="24"/>
        </w:rPr>
        <w:t>◎吳斯茜、黃家珍（</w:t>
      </w:r>
      <w:r w:rsidRPr="002F19DE">
        <w:rPr>
          <w:sz w:val="24"/>
          <w:szCs w:val="24"/>
        </w:rPr>
        <w:t>2013）。派出所警察工作投入之研究：以蓋洛普Q12調查。執法人員行政管理理論與實踐研討會研討會。2013年10月4日，桃園：中央警察大學。</w:t>
      </w:r>
    </w:p>
    <w:p w:rsidR="002F19DE" w:rsidRPr="002F19DE" w:rsidRDefault="002F19DE" w:rsidP="002F19DE">
      <w:pPr>
        <w:ind w:leftChars="0" w:left="0"/>
        <w:rPr>
          <w:sz w:val="24"/>
          <w:szCs w:val="24"/>
        </w:rPr>
      </w:pPr>
      <w:r w:rsidRPr="002F19DE">
        <w:rPr>
          <w:rFonts w:hint="eastAsia"/>
          <w:sz w:val="24"/>
          <w:szCs w:val="24"/>
        </w:rPr>
        <w:t>◎吳斯茜、黃家珍（</w:t>
      </w:r>
      <w:r w:rsidRPr="002F19DE">
        <w:rPr>
          <w:sz w:val="24"/>
          <w:szCs w:val="24"/>
        </w:rPr>
        <w:t>2017）。城市治理與治安衡量指標之探討。警察行政管理學報，13，57-68。</w:t>
      </w:r>
    </w:p>
    <w:p w:rsidR="002F19DE" w:rsidRPr="002F19DE" w:rsidRDefault="002F19DE" w:rsidP="002F19DE">
      <w:pPr>
        <w:ind w:leftChars="0" w:left="0"/>
        <w:rPr>
          <w:sz w:val="24"/>
          <w:szCs w:val="24"/>
        </w:rPr>
      </w:pPr>
      <w:r w:rsidRPr="002F19DE">
        <w:rPr>
          <w:rFonts w:hint="eastAsia"/>
          <w:sz w:val="24"/>
          <w:szCs w:val="24"/>
        </w:rPr>
        <w:t>◎吳斯茜、盧恆隆（</w:t>
      </w:r>
      <w:r w:rsidRPr="002F19DE">
        <w:rPr>
          <w:sz w:val="24"/>
          <w:szCs w:val="24"/>
        </w:rPr>
        <w:t>2010）。警察人員招募考選與錄取訓練之策進芻議。2010警察組織與人事行政研討會。2010年11月4日，桃園：中央警察大學。</w:t>
      </w:r>
    </w:p>
    <w:p w:rsidR="002F19DE" w:rsidRPr="002F19DE" w:rsidRDefault="002F19DE" w:rsidP="002F19DE">
      <w:pPr>
        <w:ind w:leftChars="0" w:left="0"/>
        <w:rPr>
          <w:sz w:val="24"/>
          <w:szCs w:val="24"/>
        </w:rPr>
      </w:pPr>
      <w:r w:rsidRPr="002F19DE">
        <w:rPr>
          <w:rFonts w:hint="eastAsia"/>
          <w:sz w:val="24"/>
          <w:szCs w:val="24"/>
        </w:rPr>
        <w:t>◎吳斯茜、蘇志強（</w:t>
      </w:r>
      <w:r w:rsidRPr="002F19DE">
        <w:rPr>
          <w:sz w:val="24"/>
          <w:szCs w:val="24"/>
        </w:rPr>
        <w:t xml:space="preserve">2010）。論警察人員特種考試制度變遷對警察養成教育的影響。執法新知論衡，6（1），1-15。 </w:t>
      </w:r>
    </w:p>
    <w:p w:rsidR="002F19DE" w:rsidRPr="002F19DE" w:rsidRDefault="002F19DE" w:rsidP="002F19DE">
      <w:pPr>
        <w:ind w:leftChars="0" w:left="0"/>
        <w:rPr>
          <w:sz w:val="24"/>
          <w:szCs w:val="24"/>
        </w:rPr>
      </w:pPr>
      <w:r w:rsidRPr="002F19DE">
        <w:rPr>
          <w:rFonts w:hint="eastAsia"/>
          <w:sz w:val="24"/>
          <w:szCs w:val="24"/>
        </w:rPr>
        <w:t>◎吳嘉生</w:t>
      </w:r>
      <w:r w:rsidRPr="002F19DE">
        <w:rPr>
          <w:sz w:val="24"/>
          <w:szCs w:val="24"/>
        </w:rPr>
        <w:t>(2000)，國際法學原理—本質與功能之研究，臺北：五南圖書出版公司，頁314。</w:t>
      </w:r>
    </w:p>
    <w:p w:rsidR="002F19DE" w:rsidRPr="002F19DE" w:rsidRDefault="002F19DE" w:rsidP="002F19DE">
      <w:pPr>
        <w:ind w:leftChars="0" w:left="0"/>
        <w:rPr>
          <w:sz w:val="24"/>
          <w:szCs w:val="24"/>
        </w:rPr>
      </w:pPr>
      <w:r w:rsidRPr="002F19DE">
        <w:rPr>
          <w:rFonts w:hint="eastAsia"/>
          <w:sz w:val="24"/>
          <w:szCs w:val="24"/>
        </w:rPr>
        <w:t>◎吳嘉生</w:t>
      </w:r>
      <w:r w:rsidRPr="002F19DE">
        <w:rPr>
          <w:sz w:val="24"/>
          <w:szCs w:val="24"/>
        </w:rPr>
        <w:t>(2008)，當代國際法(上)，初版，臺北巿：五南公司。</w:t>
      </w:r>
    </w:p>
    <w:p w:rsidR="002F19DE" w:rsidRPr="002F19DE" w:rsidRDefault="002F19DE" w:rsidP="002F19DE">
      <w:pPr>
        <w:ind w:leftChars="0" w:left="0"/>
        <w:rPr>
          <w:sz w:val="24"/>
          <w:szCs w:val="24"/>
        </w:rPr>
      </w:pPr>
      <w:r w:rsidRPr="002F19DE">
        <w:rPr>
          <w:rFonts w:hint="eastAsia"/>
          <w:sz w:val="24"/>
          <w:szCs w:val="24"/>
        </w:rPr>
        <w:t>◎吳學燕</w:t>
      </w:r>
      <w:r w:rsidRPr="002F19DE">
        <w:rPr>
          <w:sz w:val="24"/>
          <w:szCs w:val="24"/>
        </w:rPr>
        <w:t>(2004)，國內外移民政策與輔導之探討，國境警察學報，第3期。</w:t>
      </w:r>
    </w:p>
    <w:p w:rsidR="002F19DE" w:rsidRPr="002F19DE" w:rsidRDefault="002F19DE" w:rsidP="002F19DE">
      <w:pPr>
        <w:ind w:leftChars="0" w:left="0"/>
        <w:rPr>
          <w:sz w:val="24"/>
          <w:szCs w:val="24"/>
        </w:rPr>
      </w:pPr>
      <w:r w:rsidRPr="002F19DE">
        <w:rPr>
          <w:rFonts w:hint="eastAsia"/>
          <w:sz w:val="24"/>
          <w:szCs w:val="24"/>
        </w:rPr>
        <w:t>◎吳學燕</w:t>
      </w:r>
      <w:r w:rsidRPr="002F19DE">
        <w:rPr>
          <w:sz w:val="24"/>
          <w:szCs w:val="24"/>
        </w:rPr>
        <w:t>(2004)，移民政策與法規，臺北：文笙書局。</w:t>
      </w:r>
    </w:p>
    <w:p w:rsidR="002F19DE" w:rsidRPr="002F19DE" w:rsidRDefault="002F19DE" w:rsidP="002F19DE">
      <w:pPr>
        <w:ind w:leftChars="0" w:left="0"/>
        <w:rPr>
          <w:sz w:val="24"/>
          <w:szCs w:val="24"/>
        </w:rPr>
      </w:pPr>
      <w:r w:rsidRPr="002F19DE">
        <w:rPr>
          <w:rFonts w:hint="eastAsia"/>
          <w:sz w:val="24"/>
          <w:szCs w:val="24"/>
        </w:rPr>
        <w:t>◎吳學燕</w:t>
      </w:r>
      <w:r w:rsidRPr="002F19DE">
        <w:rPr>
          <w:sz w:val="24"/>
          <w:szCs w:val="24"/>
        </w:rPr>
        <w:t>(2004)。國內外移民政策與輔導之探討，中央警察大學國境警察學報，第3期，頁1-34。</w:t>
      </w:r>
    </w:p>
    <w:p w:rsidR="002F19DE" w:rsidRPr="002F19DE" w:rsidRDefault="002F19DE" w:rsidP="002F19DE">
      <w:pPr>
        <w:ind w:leftChars="0" w:left="0"/>
        <w:rPr>
          <w:sz w:val="24"/>
          <w:szCs w:val="24"/>
        </w:rPr>
      </w:pPr>
      <w:r w:rsidRPr="002F19DE">
        <w:rPr>
          <w:rFonts w:hint="eastAsia"/>
          <w:sz w:val="24"/>
          <w:szCs w:val="24"/>
        </w:rPr>
        <w:t>◎吳學燕</w:t>
      </w:r>
      <w:r w:rsidRPr="002F19DE">
        <w:rPr>
          <w:sz w:val="24"/>
          <w:szCs w:val="24"/>
        </w:rPr>
        <w:t>(2004)。臺灣新移民問題—兩岸通婚，社區發展季刊，第105期，頁269-285。</w:t>
      </w:r>
    </w:p>
    <w:p w:rsidR="002F19DE" w:rsidRPr="002F19DE" w:rsidRDefault="002F19DE" w:rsidP="002F19DE">
      <w:pPr>
        <w:ind w:leftChars="0" w:left="0"/>
        <w:rPr>
          <w:sz w:val="24"/>
          <w:szCs w:val="24"/>
        </w:rPr>
      </w:pPr>
      <w:r w:rsidRPr="002F19DE">
        <w:rPr>
          <w:rFonts w:hint="eastAsia"/>
          <w:sz w:val="24"/>
          <w:szCs w:val="24"/>
        </w:rPr>
        <w:t>◎吳學燕</w:t>
      </w:r>
      <w:r w:rsidRPr="002F19DE">
        <w:rPr>
          <w:sz w:val="24"/>
          <w:szCs w:val="24"/>
        </w:rPr>
        <w:t>(2009)，入出國及移民法逐條釋義，臺北：文笙書局。</w:t>
      </w:r>
    </w:p>
    <w:p w:rsidR="002F19DE" w:rsidRPr="002F19DE" w:rsidRDefault="002F19DE" w:rsidP="002F19DE">
      <w:pPr>
        <w:ind w:leftChars="0" w:left="0"/>
        <w:rPr>
          <w:sz w:val="24"/>
          <w:szCs w:val="24"/>
        </w:rPr>
      </w:pPr>
      <w:r w:rsidRPr="002F19DE">
        <w:rPr>
          <w:rFonts w:hint="eastAsia"/>
          <w:sz w:val="24"/>
          <w:szCs w:val="24"/>
        </w:rPr>
        <w:t>◎吳學燕</w:t>
      </w:r>
      <w:r w:rsidRPr="002F19DE">
        <w:rPr>
          <w:sz w:val="24"/>
          <w:szCs w:val="24"/>
        </w:rPr>
        <w:t>(2011)，移民政策與法規，台北市：文笙書局。</w:t>
      </w:r>
    </w:p>
    <w:p w:rsidR="002F19DE" w:rsidRPr="002F19DE" w:rsidRDefault="002F19DE" w:rsidP="002F19DE">
      <w:pPr>
        <w:ind w:leftChars="0" w:left="0"/>
        <w:rPr>
          <w:sz w:val="24"/>
          <w:szCs w:val="24"/>
        </w:rPr>
      </w:pPr>
      <w:r w:rsidRPr="002F19DE">
        <w:rPr>
          <w:rFonts w:hint="eastAsia"/>
          <w:sz w:val="24"/>
          <w:szCs w:val="24"/>
        </w:rPr>
        <w:t>◎吳錦棋、曾秀雲、嚴愛群</w:t>
      </w:r>
      <w:r w:rsidRPr="002F19DE">
        <w:rPr>
          <w:sz w:val="24"/>
          <w:szCs w:val="24"/>
        </w:rPr>
        <w:t>(2008)，“沒有他們行嗎？”：從東南亞跨國婚姻困境談婚姻當事者與媒合業者的權力—依賴關係，中央警察大學國境警察學報，第10期。</w:t>
      </w:r>
    </w:p>
    <w:p w:rsidR="002F19DE" w:rsidRPr="002F19DE" w:rsidRDefault="002F19DE" w:rsidP="002F19DE">
      <w:pPr>
        <w:ind w:leftChars="0" w:left="0"/>
        <w:rPr>
          <w:sz w:val="24"/>
          <w:szCs w:val="24"/>
        </w:rPr>
      </w:pPr>
      <w:r w:rsidRPr="002F19DE">
        <w:rPr>
          <w:rFonts w:hint="eastAsia"/>
          <w:sz w:val="24"/>
          <w:szCs w:val="24"/>
        </w:rPr>
        <w:t>◎吳耀宗</w:t>
      </w:r>
      <w:r w:rsidRPr="002F19DE">
        <w:rPr>
          <w:sz w:val="24"/>
          <w:szCs w:val="24"/>
        </w:rPr>
        <w:t>(2003)，使公務員登載不實罪，月旦法學，97期。</w:t>
      </w:r>
    </w:p>
    <w:p w:rsidR="002F19DE" w:rsidRPr="002F19DE" w:rsidRDefault="002F19DE" w:rsidP="002F19DE">
      <w:pPr>
        <w:ind w:leftChars="0" w:left="0"/>
        <w:rPr>
          <w:sz w:val="24"/>
          <w:szCs w:val="24"/>
        </w:rPr>
      </w:pPr>
      <w:r w:rsidRPr="002F19DE">
        <w:rPr>
          <w:rFonts w:hint="eastAsia"/>
          <w:sz w:val="24"/>
          <w:szCs w:val="24"/>
        </w:rPr>
        <w:t>◎吳耀宗</w:t>
      </w:r>
      <w:r w:rsidRPr="002F19DE">
        <w:rPr>
          <w:sz w:val="24"/>
          <w:szCs w:val="24"/>
        </w:rPr>
        <w:t>(2013)，檢察官依職權核發鑑定許可書強制抽血---違法，台灣法學雜誌第228期。</w:t>
      </w:r>
    </w:p>
    <w:p w:rsidR="002F19DE" w:rsidRPr="002F19DE" w:rsidRDefault="002F19DE" w:rsidP="002F19DE">
      <w:pPr>
        <w:ind w:leftChars="0" w:left="0"/>
        <w:rPr>
          <w:sz w:val="24"/>
          <w:szCs w:val="24"/>
        </w:rPr>
      </w:pPr>
      <w:r w:rsidRPr="002F19DE">
        <w:rPr>
          <w:rFonts w:hint="eastAsia"/>
          <w:sz w:val="24"/>
          <w:szCs w:val="24"/>
        </w:rPr>
        <w:t>◎呂佳芸</w:t>
      </w:r>
      <w:r w:rsidRPr="002F19DE">
        <w:rPr>
          <w:sz w:val="24"/>
          <w:szCs w:val="24"/>
        </w:rPr>
        <w:t>(2011)。親密關係受暴女性求助行為分析，國立臺北大學犯罪學研究所碩士論文，臺北。</w:t>
      </w:r>
    </w:p>
    <w:p w:rsidR="002F19DE" w:rsidRPr="002F19DE" w:rsidRDefault="002F19DE" w:rsidP="002F19DE">
      <w:pPr>
        <w:ind w:leftChars="0" w:left="0"/>
        <w:rPr>
          <w:sz w:val="24"/>
          <w:szCs w:val="24"/>
        </w:rPr>
      </w:pPr>
      <w:r w:rsidRPr="002F19DE">
        <w:rPr>
          <w:rFonts w:hint="eastAsia"/>
          <w:sz w:val="24"/>
          <w:szCs w:val="24"/>
        </w:rPr>
        <w:t>◎呂思逸（</w:t>
      </w:r>
      <w:r w:rsidRPr="002F19DE">
        <w:rPr>
          <w:sz w:val="24"/>
          <w:szCs w:val="24"/>
        </w:rPr>
        <w:t>2017） 。外籍白領配偶即起可兼職。(</w:t>
      </w:r>
      <w:hyperlink r:id="rId792" w:history="1">
        <w:r w:rsidRPr="006B5D0A">
          <w:rPr>
            <w:rStyle w:val="a7"/>
            <w:rFonts w:cs="Times New Roman"/>
            <w:sz w:val="24"/>
            <w:szCs w:val="24"/>
            <w:lang w:eastAsia="zh-TW" w:bidi="ar-SA"/>
          </w:rPr>
          <w:t>https://udn.com/news/story/7314/2608930</w:t>
        </w:r>
      </w:hyperlink>
      <w:r w:rsidRPr="002F19DE">
        <w:rPr>
          <w:sz w:val="24"/>
          <w:szCs w:val="24"/>
        </w:rPr>
        <w:t>)。（2017/11/14）</w:t>
      </w:r>
    </w:p>
    <w:p w:rsidR="002F19DE" w:rsidRPr="002F19DE" w:rsidRDefault="002F19DE" w:rsidP="002F19DE">
      <w:pPr>
        <w:ind w:leftChars="0" w:left="0"/>
        <w:rPr>
          <w:sz w:val="24"/>
          <w:szCs w:val="24"/>
        </w:rPr>
      </w:pPr>
      <w:r w:rsidRPr="002F19DE">
        <w:rPr>
          <w:rFonts w:hint="eastAsia"/>
          <w:sz w:val="24"/>
          <w:szCs w:val="24"/>
        </w:rPr>
        <w:t>◎呂炳寬、項程華、楊智傑</w:t>
      </w:r>
      <w:r w:rsidRPr="002F19DE">
        <w:rPr>
          <w:sz w:val="24"/>
          <w:szCs w:val="24"/>
        </w:rPr>
        <w:t>(2007)，中華民國憲法精義，2版，臺北市：五南公司。</w:t>
      </w:r>
    </w:p>
    <w:p w:rsidR="002F19DE" w:rsidRPr="002F19DE" w:rsidRDefault="002F19DE" w:rsidP="002F19DE">
      <w:pPr>
        <w:ind w:leftChars="0" w:left="0"/>
        <w:rPr>
          <w:sz w:val="24"/>
          <w:szCs w:val="24"/>
        </w:rPr>
      </w:pPr>
      <w:r w:rsidRPr="002F19DE">
        <w:rPr>
          <w:rFonts w:hint="eastAsia"/>
          <w:sz w:val="24"/>
          <w:szCs w:val="24"/>
        </w:rPr>
        <w:t>◎宋世傑</w:t>
      </w:r>
      <w:r w:rsidRPr="002F19DE">
        <w:rPr>
          <w:sz w:val="24"/>
          <w:szCs w:val="24"/>
        </w:rPr>
        <w:t>(2010)，臺灣與新加坡移民政策制定因素之比較研究，國立暨南國際大學東南亞研究所碩士論文。</w:t>
      </w:r>
    </w:p>
    <w:p w:rsidR="002F19DE" w:rsidRPr="002F19DE" w:rsidRDefault="002F19DE" w:rsidP="002F19DE">
      <w:pPr>
        <w:ind w:leftChars="0" w:left="0"/>
        <w:rPr>
          <w:sz w:val="24"/>
          <w:szCs w:val="24"/>
        </w:rPr>
      </w:pPr>
      <w:r w:rsidRPr="002F19DE">
        <w:rPr>
          <w:rFonts w:hint="eastAsia"/>
          <w:sz w:val="24"/>
          <w:szCs w:val="24"/>
        </w:rPr>
        <w:t>◎宋學文</w:t>
      </w:r>
      <w:r w:rsidRPr="002F19DE">
        <w:rPr>
          <w:sz w:val="24"/>
          <w:szCs w:val="24"/>
        </w:rPr>
        <w:t>(2009)，全球化下的國際關係理論、政策與治理，台北：巨流圖書。</w:t>
      </w:r>
    </w:p>
    <w:p w:rsidR="002F19DE" w:rsidRPr="002F19DE" w:rsidRDefault="002F19DE" w:rsidP="002F19DE">
      <w:pPr>
        <w:ind w:leftChars="0" w:left="0"/>
        <w:rPr>
          <w:sz w:val="24"/>
          <w:szCs w:val="24"/>
        </w:rPr>
      </w:pPr>
      <w:r w:rsidRPr="002F19DE">
        <w:rPr>
          <w:rFonts w:hint="eastAsia"/>
          <w:sz w:val="24"/>
          <w:szCs w:val="24"/>
        </w:rPr>
        <w:t>◎李仲維</w:t>
      </w:r>
      <w:r w:rsidRPr="002F19DE">
        <w:rPr>
          <w:sz w:val="24"/>
          <w:szCs w:val="24"/>
        </w:rPr>
        <w:t>(2018)，聯合報，大陸公布31條惠台措施 台商、產學、影劇全包了，2018年2月28日，</w:t>
      </w:r>
      <w:hyperlink r:id="rId793" w:history="1">
        <w:r w:rsidRPr="006B5D0A">
          <w:rPr>
            <w:rStyle w:val="a7"/>
            <w:rFonts w:cs="Times New Roman"/>
            <w:sz w:val="24"/>
            <w:szCs w:val="24"/>
            <w:lang w:eastAsia="zh-TW" w:bidi="ar-SA"/>
          </w:rPr>
          <w:t>https://udn.com/news/story/11311/3005404</w:t>
        </w:r>
      </w:hyperlink>
    </w:p>
    <w:p w:rsidR="002F19DE" w:rsidRPr="002F19DE" w:rsidRDefault="002F19DE" w:rsidP="002F19DE">
      <w:pPr>
        <w:ind w:leftChars="0" w:left="0"/>
        <w:rPr>
          <w:sz w:val="24"/>
          <w:szCs w:val="24"/>
        </w:rPr>
      </w:pPr>
      <w:r w:rsidRPr="002F19DE">
        <w:rPr>
          <w:rFonts w:hint="eastAsia"/>
          <w:sz w:val="24"/>
          <w:szCs w:val="24"/>
        </w:rPr>
        <w:t>◎李侑珊</w:t>
      </w:r>
      <w:r w:rsidRPr="002F19DE">
        <w:rPr>
          <w:sz w:val="24"/>
          <w:szCs w:val="24"/>
        </w:rPr>
        <w:t>(2017)，這廂大砍福利，那廂狂撒銀彈！陸祭年薪220萬，台師明春湧逃離潮，</w:t>
      </w:r>
      <w:hyperlink r:id="rId794" w:history="1">
        <w:r w:rsidRPr="006B5D0A">
          <w:rPr>
            <w:rStyle w:val="a7"/>
            <w:rFonts w:cs="Times New Roman"/>
            <w:sz w:val="24"/>
            <w:szCs w:val="24"/>
            <w:lang w:eastAsia="zh-TW" w:bidi="ar-SA"/>
          </w:rPr>
          <w:t>http://www.chinatimes.com/newspapers/20171210000284-260108</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◎李其榮</w:t>
      </w:r>
      <w:r w:rsidRPr="002F19DE">
        <w:rPr>
          <w:sz w:val="24"/>
          <w:szCs w:val="24"/>
        </w:rPr>
        <w:t>(2007)，國際移民對輸出國與輸入國的雙重影響，社會科學，第9期。</w:t>
      </w:r>
    </w:p>
    <w:p w:rsidR="002F19DE" w:rsidRPr="002F19DE" w:rsidRDefault="002F19DE" w:rsidP="002F19DE">
      <w:pPr>
        <w:ind w:leftChars="0" w:left="0"/>
        <w:rPr>
          <w:sz w:val="24"/>
          <w:szCs w:val="24"/>
        </w:rPr>
      </w:pPr>
      <w:r w:rsidRPr="002F19DE">
        <w:rPr>
          <w:rFonts w:hint="eastAsia"/>
          <w:sz w:val="24"/>
          <w:szCs w:val="24"/>
        </w:rPr>
        <w:t>◎李其榮（</w:t>
      </w:r>
      <w:r w:rsidRPr="002F19DE">
        <w:rPr>
          <w:sz w:val="24"/>
          <w:szCs w:val="24"/>
        </w:rPr>
        <w:t xml:space="preserve">2007）。國際移民對輸出國與輸入國的雙重影響，社會科學9：38-49。Retrieve from: </w:t>
      </w:r>
      <w:hyperlink r:id="rId795" w:history="1">
        <w:r w:rsidRPr="006B5D0A">
          <w:rPr>
            <w:rStyle w:val="a7"/>
            <w:rFonts w:cs="Times New Roman"/>
            <w:sz w:val="24"/>
            <w:szCs w:val="24"/>
            <w:lang w:eastAsia="zh-TW" w:bidi="ar-SA"/>
          </w:rPr>
          <w:t>http://www.ims.sdu.edu.cn/cms/attachment/130521080100.pdf</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◎李孟玢</w:t>
      </w:r>
      <w:r w:rsidRPr="002F19DE">
        <w:rPr>
          <w:sz w:val="24"/>
          <w:szCs w:val="24"/>
        </w:rPr>
        <w:t>(1998)。論世界人權宣言之基本性質與法律效力，國立中正大學法學集刊，第1期，頁333-361。</w:t>
      </w:r>
    </w:p>
    <w:p w:rsidR="002F19DE" w:rsidRPr="002F19DE" w:rsidRDefault="002F19DE" w:rsidP="002F19DE">
      <w:pPr>
        <w:ind w:leftChars="0" w:left="0"/>
        <w:rPr>
          <w:sz w:val="24"/>
          <w:szCs w:val="24"/>
        </w:rPr>
      </w:pPr>
      <w:r w:rsidRPr="002F19DE">
        <w:rPr>
          <w:rFonts w:hint="eastAsia"/>
          <w:sz w:val="24"/>
          <w:szCs w:val="24"/>
        </w:rPr>
        <w:t>◎李宗勳、吳斯茜（</w:t>
      </w:r>
      <w:r w:rsidRPr="002F19DE">
        <w:rPr>
          <w:sz w:val="24"/>
          <w:szCs w:val="24"/>
        </w:rPr>
        <w:t xml:space="preserve">2010）。新制警察人員評量方法之研究。人事行政，173，20-25。 </w:t>
      </w:r>
    </w:p>
    <w:p w:rsidR="002F19DE" w:rsidRPr="002F19DE" w:rsidRDefault="002F19DE" w:rsidP="002F19DE">
      <w:pPr>
        <w:ind w:leftChars="0" w:left="0"/>
        <w:rPr>
          <w:sz w:val="24"/>
          <w:szCs w:val="24"/>
        </w:rPr>
      </w:pPr>
      <w:r w:rsidRPr="002F19DE">
        <w:rPr>
          <w:rFonts w:hint="eastAsia"/>
          <w:sz w:val="24"/>
          <w:szCs w:val="24"/>
        </w:rPr>
        <w:t>◎李明峻（</w:t>
      </w:r>
      <w:r w:rsidRPr="002F19DE">
        <w:rPr>
          <w:sz w:val="24"/>
          <w:szCs w:val="24"/>
        </w:rPr>
        <w:t>2006），針對特定對象的人權條約，新世紀智庫論壇，第34期，2006年6月。</w:t>
      </w:r>
    </w:p>
    <w:p w:rsidR="002F19DE" w:rsidRPr="002F19DE" w:rsidRDefault="002F19DE" w:rsidP="002F19DE">
      <w:pPr>
        <w:ind w:leftChars="0" w:left="0"/>
        <w:rPr>
          <w:sz w:val="24"/>
          <w:szCs w:val="24"/>
        </w:rPr>
      </w:pPr>
      <w:r w:rsidRPr="002F19DE">
        <w:rPr>
          <w:rFonts w:hint="eastAsia"/>
          <w:sz w:val="24"/>
          <w:szCs w:val="24"/>
        </w:rPr>
        <w:t>◎李明峻（</w:t>
      </w:r>
      <w:r w:rsidRPr="002F19DE">
        <w:rPr>
          <w:sz w:val="24"/>
          <w:szCs w:val="24"/>
        </w:rPr>
        <w:t>2007），移民人權導讀－外國人的人權，人權思潮導論，台北：秀威資訊科技。</w:t>
      </w:r>
    </w:p>
    <w:p w:rsidR="002F19DE" w:rsidRPr="002F19DE" w:rsidRDefault="002F19DE" w:rsidP="002F19DE">
      <w:pPr>
        <w:ind w:leftChars="0" w:left="0"/>
        <w:rPr>
          <w:sz w:val="24"/>
          <w:szCs w:val="24"/>
        </w:rPr>
      </w:pPr>
      <w:r w:rsidRPr="002F19DE">
        <w:rPr>
          <w:rFonts w:hint="eastAsia"/>
          <w:sz w:val="24"/>
          <w:szCs w:val="24"/>
        </w:rPr>
        <w:t>◎李明峻</w:t>
      </w:r>
      <w:r w:rsidRPr="002F19DE">
        <w:rPr>
          <w:sz w:val="24"/>
          <w:szCs w:val="24"/>
        </w:rPr>
        <w:t>(2011)。解讀公民與政治權利國際公約--平等原則之探討，國家菁英，第7卷2期，頁37-58。</w:t>
      </w:r>
    </w:p>
    <w:p w:rsidR="002F19DE" w:rsidRPr="002F19DE" w:rsidRDefault="002F19DE" w:rsidP="002F19DE">
      <w:pPr>
        <w:ind w:leftChars="0" w:left="0"/>
        <w:rPr>
          <w:sz w:val="24"/>
          <w:szCs w:val="24"/>
        </w:rPr>
      </w:pPr>
      <w:r w:rsidRPr="002F19DE">
        <w:rPr>
          <w:rFonts w:hint="eastAsia"/>
          <w:sz w:val="24"/>
          <w:szCs w:val="24"/>
        </w:rPr>
        <w:t>◎李建良（</w:t>
      </w:r>
      <w:r w:rsidRPr="002F19DE">
        <w:rPr>
          <w:sz w:val="24"/>
          <w:szCs w:val="24"/>
        </w:rPr>
        <w:t>1997）。基本權利理論體系之構成及其思考層次。人文及社會科學集刊9(1)：39-83。</w:t>
      </w:r>
    </w:p>
    <w:p w:rsidR="002F19DE" w:rsidRPr="002F19DE" w:rsidRDefault="002F19DE" w:rsidP="002F19DE">
      <w:pPr>
        <w:ind w:leftChars="0" w:left="0"/>
        <w:rPr>
          <w:sz w:val="24"/>
          <w:szCs w:val="24"/>
        </w:rPr>
      </w:pPr>
      <w:r w:rsidRPr="002F19DE">
        <w:rPr>
          <w:rFonts w:hint="eastAsia"/>
          <w:sz w:val="24"/>
          <w:szCs w:val="24"/>
        </w:rPr>
        <w:t>◎李建良</w:t>
      </w:r>
      <w:r w:rsidRPr="002F19DE">
        <w:rPr>
          <w:sz w:val="24"/>
          <w:szCs w:val="24"/>
        </w:rPr>
        <w:t>(1999)，憲法理論與實踐(二)，學林文化事業有限公司。</w:t>
      </w:r>
    </w:p>
    <w:p w:rsidR="002F19DE" w:rsidRPr="002F19DE" w:rsidRDefault="002F19DE" w:rsidP="002F19DE">
      <w:pPr>
        <w:ind w:leftChars="0" w:left="0"/>
        <w:rPr>
          <w:sz w:val="24"/>
          <w:szCs w:val="24"/>
        </w:rPr>
      </w:pPr>
      <w:r w:rsidRPr="002F19DE">
        <w:rPr>
          <w:rFonts w:hint="eastAsia"/>
          <w:sz w:val="24"/>
          <w:szCs w:val="24"/>
        </w:rPr>
        <w:t>◎李建良</w:t>
      </w:r>
      <w:r w:rsidRPr="002F19DE">
        <w:rPr>
          <w:sz w:val="24"/>
          <w:szCs w:val="24"/>
        </w:rPr>
        <w:t>(2000)，自由、人權與市民社會，收於李建良著，憲法理論與實踐（二），學林文化。</w:t>
      </w:r>
    </w:p>
    <w:p w:rsidR="002F19DE" w:rsidRPr="002F19DE" w:rsidRDefault="002F19DE" w:rsidP="002F19DE">
      <w:pPr>
        <w:ind w:leftChars="0" w:left="0"/>
        <w:rPr>
          <w:sz w:val="24"/>
          <w:szCs w:val="24"/>
        </w:rPr>
      </w:pPr>
      <w:r w:rsidRPr="002F19DE">
        <w:rPr>
          <w:rFonts w:hint="eastAsia"/>
          <w:sz w:val="24"/>
          <w:szCs w:val="24"/>
        </w:rPr>
        <w:t>◎李建良（</w:t>
      </w:r>
      <w:r w:rsidRPr="002F19DE">
        <w:rPr>
          <w:sz w:val="24"/>
          <w:szCs w:val="24"/>
        </w:rPr>
        <w:t>2006）。國籍與公民權：人民與國家身分連結的法制溯源與法理分析。公民權：臺灣社會變遷基本調查第八次研討會發表之論文，臺北：南港。</w:t>
      </w:r>
    </w:p>
    <w:p w:rsidR="002F19DE" w:rsidRPr="002F19DE" w:rsidRDefault="002F19DE" w:rsidP="002F19DE">
      <w:pPr>
        <w:ind w:leftChars="0" w:left="0"/>
        <w:rPr>
          <w:sz w:val="24"/>
          <w:szCs w:val="24"/>
        </w:rPr>
      </w:pPr>
      <w:r w:rsidRPr="002F19DE">
        <w:rPr>
          <w:rFonts w:hint="eastAsia"/>
          <w:sz w:val="24"/>
          <w:szCs w:val="24"/>
        </w:rPr>
        <w:t>◎李建良</w:t>
      </w:r>
      <w:r w:rsidRPr="002F19DE">
        <w:rPr>
          <w:sz w:val="24"/>
          <w:szCs w:val="24"/>
        </w:rPr>
        <w:t>(2010)。立法禁止性交易行為的平等課題--釋字第六六六號解釋，臺灣法學雜誌，公法特刊，頁11-18。</w:t>
      </w:r>
    </w:p>
    <w:p w:rsidR="002F19DE" w:rsidRPr="002F19DE" w:rsidRDefault="002F19DE" w:rsidP="002F19DE">
      <w:pPr>
        <w:ind w:leftChars="0" w:left="0"/>
        <w:rPr>
          <w:sz w:val="24"/>
          <w:szCs w:val="24"/>
        </w:rPr>
      </w:pPr>
      <w:r w:rsidRPr="002F19DE">
        <w:rPr>
          <w:rFonts w:hint="eastAsia"/>
          <w:sz w:val="24"/>
          <w:szCs w:val="24"/>
        </w:rPr>
        <w:t>◎李政展</w:t>
      </w:r>
      <w:r w:rsidRPr="002F19DE">
        <w:rPr>
          <w:sz w:val="24"/>
          <w:szCs w:val="24"/>
        </w:rPr>
        <w:t>(2009)，全球化人口移動之國境管理安全之研究，中山大學中國與亞太區域研究所在職專班碩士論文。</w:t>
      </w:r>
    </w:p>
    <w:p w:rsidR="002F19DE" w:rsidRPr="002F19DE" w:rsidRDefault="002F19DE" w:rsidP="002F19DE">
      <w:pPr>
        <w:ind w:leftChars="0" w:left="0"/>
        <w:rPr>
          <w:sz w:val="24"/>
          <w:szCs w:val="24"/>
        </w:rPr>
      </w:pPr>
      <w:r w:rsidRPr="002F19DE">
        <w:rPr>
          <w:rFonts w:hint="eastAsia"/>
          <w:sz w:val="24"/>
          <w:szCs w:val="24"/>
        </w:rPr>
        <w:t>◎李若一</w:t>
      </w:r>
      <w:r w:rsidRPr="002F19DE">
        <w:rPr>
          <w:sz w:val="24"/>
          <w:szCs w:val="24"/>
        </w:rPr>
        <w:t xml:space="preserve">(2000)，對於雙重國籍人士擔任公職之探討，人事月刊，第31卷第6期。 </w:t>
      </w:r>
    </w:p>
    <w:p w:rsidR="002F19DE" w:rsidRPr="002F19DE" w:rsidRDefault="002F19DE" w:rsidP="002F19DE">
      <w:pPr>
        <w:ind w:leftChars="0" w:left="0"/>
        <w:rPr>
          <w:sz w:val="24"/>
          <w:szCs w:val="24"/>
        </w:rPr>
      </w:pPr>
      <w:r w:rsidRPr="002F19DE">
        <w:rPr>
          <w:rFonts w:hint="eastAsia"/>
          <w:sz w:val="24"/>
          <w:szCs w:val="24"/>
        </w:rPr>
        <w:t>◎李國基（</w:t>
      </w:r>
      <w:r w:rsidRPr="002F19DE">
        <w:rPr>
          <w:sz w:val="24"/>
          <w:szCs w:val="24"/>
        </w:rPr>
        <w:t>2010）。東南亞外籍配偶子女的雙族裔認同境遇與適應策略。國民教育學報7：35-</w:t>
      </w:r>
    </w:p>
    <w:p w:rsidR="002F19DE" w:rsidRPr="002F19DE" w:rsidRDefault="002F19DE" w:rsidP="002F19DE">
      <w:pPr>
        <w:ind w:leftChars="0" w:left="0"/>
        <w:rPr>
          <w:sz w:val="24"/>
          <w:szCs w:val="24"/>
        </w:rPr>
      </w:pPr>
      <w:r w:rsidRPr="002F19DE">
        <w:rPr>
          <w:rFonts w:hint="eastAsia"/>
          <w:sz w:val="24"/>
          <w:szCs w:val="24"/>
        </w:rPr>
        <w:t>◎</w:t>
      </w:r>
      <w:r w:rsidRPr="002F19DE">
        <w:rPr>
          <w:sz w:val="24"/>
          <w:szCs w:val="24"/>
        </w:rPr>
        <w:t>60。</w:t>
      </w:r>
    </w:p>
    <w:p w:rsidR="002F19DE" w:rsidRPr="002F19DE" w:rsidRDefault="002F19DE" w:rsidP="002F19DE">
      <w:pPr>
        <w:ind w:leftChars="0" w:left="0"/>
        <w:rPr>
          <w:sz w:val="24"/>
          <w:szCs w:val="24"/>
        </w:rPr>
      </w:pPr>
      <w:r w:rsidRPr="002F19DE">
        <w:rPr>
          <w:rFonts w:hint="eastAsia"/>
          <w:sz w:val="24"/>
          <w:szCs w:val="24"/>
        </w:rPr>
        <w:t>◎李強（</w:t>
      </w:r>
      <w:r w:rsidRPr="002F19DE">
        <w:rPr>
          <w:sz w:val="24"/>
          <w:szCs w:val="24"/>
        </w:rPr>
        <w:t>2003），影響中國城鄉流動人口的推力與拉力因素分析，中國社會科學總第139期。</w:t>
      </w:r>
    </w:p>
    <w:p w:rsidR="002F19DE" w:rsidRPr="002F19DE" w:rsidRDefault="002F19DE" w:rsidP="002F19DE">
      <w:pPr>
        <w:ind w:leftChars="0" w:left="0"/>
        <w:rPr>
          <w:sz w:val="24"/>
          <w:szCs w:val="24"/>
        </w:rPr>
      </w:pPr>
      <w:r w:rsidRPr="002F19DE">
        <w:rPr>
          <w:rFonts w:hint="eastAsia"/>
          <w:sz w:val="24"/>
          <w:szCs w:val="24"/>
        </w:rPr>
        <w:t>◎李惠宗</w:t>
      </w:r>
      <w:r w:rsidRPr="002F19DE">
        <w:rPr>
          <w:sz w:val="24"/>
          <w:szCs w:val="24"/>
        </w:rPr>
        <w:t>(1988)。論平等權拘束立法之原理，憲政時代，第14卷第2期，頁14-33。</w:t>
      </w:r>
    </w:p>
    <w:p w:rsidR="002F19DE" w:rsidRPr="002F19DE" w:rsidRDefault="002F19DE" w:rsidP="002F19DE">
      <w:pPr>
        <w:ind w:leftChars="0" w:left="0"/>
        <w:rPr>
          <w:sz w:val="24"/>
          <w:szCs w:val="24"/>
        </w:rPr>
      </w:pPr>
      <w:r w:rsidRPr="002F19DE">
        <w:rPr>
          <w:rFonts w:hint="eastAsia"/>
          <w:sz w:val="24"/>
          <w:szCs w:val="24"/>
        </w:rPr>
        <w:t>◎李惠宗</w:t>
      </w:r>
      <w:r w:rsidRPr="002F19DE">
        <w:rPr>
          <w:sz w:val="24"/>
          <w:szCs w:val="24"/>
        </w:rPr>
        <w:t>(1990)。體系正義作為違憲審查基準之探討-以釋字第二二八號解釋為素材，憲政時代，第16卷第2期，頁26-40。</w:t>
      </w:r>
    </w:p>
    <w:p w:rsidR="002F19DE" w:rsidRPr="002F19DE" w:rsidRDefault="002F19DE" w:rsidP="002F19DE">
      <w:pPr>
        <w:ind w:leftChars="0" w:left="0"/>
        <w:rPr>
          <w:sz w:val="24"/>
          <w:szCs w:val="24"/>
        </w:rPr>
      </w:pPr>
      <w:r w:rsidRPr="002F19DE">
        <w:rPr>
          <w:rFonts w:hint="eastAsia"/>
          <w:sz w:val="24"/>
          <w:szCs w:val="24"/>
        </w:rPr>
        <w:t>◎李惠宗</w:t>
      </w:r>
      <w:r w:rsidRPr="002F19DE">
        <w:rPr>
          <w:sz w:val="24"/>
          <w:szCs w:val="24"/>
        </w:rPr>
        <w:t>(2000)，行政法要義，臺北：五南出版社。</w:t>
      </w:r>
    </w:p>
    <w:p w:rsidR="002F19DE" w:rsidRPr="002F19DE" w:rsidRDefault="002F19DE" w:rsidP="002F19DE">
      <w:pPr>
        <w:ind w:leftChars="0" w:left="0"/>
        <w:rPr>
          <w:sz w:val="24"/>
          <w:szCs w:val="24"/>
        </w:rPr>
      </w:pPr>
      <w:r w:rsidRPr="002F19DE">
        <w:rPr>
          <w:rFonts w:hint="eastAsia"/>
          <w:sz w:val="24"/>
          <w:szCs w:val="24"/>
        </w:rPr>
        <w:t>◎李惠宗</w:t>
      </w:r>
      <w:r w:rsidRPr="002F19DE">
        <w:rPr>
          <w:sz w:val="24"/>
          <w:szCs w:val="24"/>
        </w:rPr>
        <w:t>(2003)。憲法工作權保障系譜之再探—以司法院大法官解釋為中心，憲政時代，第29卷第1期，頁121-158。</w:t>
      </w:r>
    </w:p>
    <w:p w:rsidR="002F19DE" w:rsidRPr="002F19DE" w:rsidRDefault="002F19DE" w:rsidP="002F19DE">
      <w:pPr>
        <w:ind w:leftChars="0" w:left="0"/>
        <w:rPr>
          <w:sz w:val="24"/>
          <w:szCs w:val="24"/>
        </w:rPr>
      </w:pPr>
      <w:r w:rsidRPr="002F19DE">
        <w:rPr>
          <w:rFonts w:hint="eastAsia"/>
          <w:sz w:val="24"/>
          <w:szCs w:val="24"/>
        </w:rPr>
        <w:t>◎李惠宗</w:t>
      </w:r>
      <w:r w:rsidRPr="002F19DE">
        <w:rPr>
          <w:sz w:val="24"/>
          <w:szCs w:val="24"/>
        </w:rPr>
        <w:t>(2006)，中華民國憲法概要---憲法生活的新思維，5版，臺北市：元照公司，頁1-385。</w:t>
      </w:r>
    </w:p>
    <w:p w:rsidR="002F19DE" w:rsidRPr="002F19DE" w:rsidRDefault="002F19DE" w:rsidP="002F19DE">
      <w:pPr>
        <w:ind w:leftChars="0" w:left="0"/>
        <w:rPr>
          <w:sz w:val="24"/>
          <w:szCs w:val="24"/>
        </w:rPr>
      </w:pPr>
      <w:r w:rsidRPr="002F19DE">
        <w:rPr>
          <w:rFonts w:hint="eastAsia"/>
          <w:sz w:val="24"/>
          <w:szCs w:val="24"/>
        </w:rPr>
        <w:t>◎李惠宗（</w:t>
      </w:r>
      <w:r w:rsidRPr="002F19DE">
        <w:rPr>
          <w:sz w:val="24"/>
          <w:szCs w:val="24"/>
        </w:rPr>
        <w:t>2011），中華民國憲法概要──憲法生活的新思維（Introduction to the Constitution of the Republic of China），9版第1刷，台北：元照。</w:t>
      </w:r>
    </w:p>
    <w:p w:rsidR="002F19DE" w:rsidRPr="002F19DE" w:rsidRDefault="002F19DE" w:rsidP="002F19DE">
      <w:pPr>
        <w:ind w:leftChars="0" w:left="0"/>
        <w:rPr>
          <w:sz w:val="24"/>
          <w:szCs w:val="24"/>
        </w:rPr>
      </w:pPr>
      <w:r w:rsidRPr="002F19DE">
        <w:rPr>
          <w:rFonts w:hint="eastAsia"/>
          <w:sz w:val="24"/>
          <w:szCs w:val="24"/>
        </w:rPr>
        <w:t>◎李開遠</w:t>
      </w:r>
      <w:r w:rsidRPr="002F19DE">
        <w:rPr>
          <w:sz w:val="24"/>
          <w:szCs w:val="24"/>
        </w:rPr>
        <w:t>(2011)，美國移民法有關國籍取得、放棄及雙重國籍法律問題之研究，法學論叢，第15期。</w:t>
      </w:r>
    </w:p>
    <w:p w:rsidR="002F19DE" w:rsidRPr="002F19DE" w:rsidRDefault="002F19DE" w:rsidP="002F19DE">
      <w:pPr>
        <w:ind w:leftChars="0" w:left="0"/>
        <w:rPr>
          <w:sz w:val="24"/>
          <w:szCs w:val="24"/>
        </w:rPr>
      </w:pPr>
      <w:r w:rsidRPr="002F19DE">
        <w:rPr>
          <w:rFonts w:hint="eastAsia"/>
          <w:sz w:val="24"/>
          <w:szCs w:val="24"/>
        </w:rPr>
        <w:t>◎李瑞金、張美智</w:t>
      </w:r>
      <w:r w:rsidRPr="002F19DE">
        <w:rPr>
          <w:sz w:val="24"/>
          <w:szCs w:val="24"/>
        </w:rPr>
        <w:t>(2004），從文化觀點探討東南亞外籍配偶在臺灣之生活適應，社區發展季刊，第105期，頁103。</w:t>
      </w:r>
    </w:p>
    <w:p w:rsidR="002F19DE" w:rsidRPr="002F19DE" w:rsidRDefault="002F19DE" w:rsidP="002F19DE">
      <w:pPr>
        <w:ind w:leftChars="0" w:left="0"/>
        <w:rPr>
          <w:sz w:val="24"/>
          <w:szCs w:val="24"/>
        </w:rPr>
      </w:pPr>
      <w:r w:rsidRPr="002F19DE">
        <w:rPr>
          <w:rFonts w:hint="eastAsia"/>
          <w:sz w:val="24"/>
          <w:szCs w:val="24"/>
        </w:rPr>
        <w:t>◎李銀英</w:t>
      </w:r>
      <w:r w:rsidRPr="002F19DE">
        <w:rPr>
          <w:sz w:val="24"/>
          <w:szCs w:val="24"/>
        </w:rPr>
        <w:t>(2009)，婚姻無效之有效化--兼論婚姻無效之訴與提訴權失效，法令月刊第60卷第1期，頁61-74。</w:t>
      </w:r>
    </w:p>
    <w:p w:rsidR="002F19DE" w:rsidRPr="002F19DE" w:rsidRDefault="002F19DE" w:rsidP="002F19DE">
      <w:pPr>
        <w:ind w:leftChars="0" w:left="0"/>
        <w:rPr>
          <w:sz w:val="24"/>
          <w:szCs w:val="24"/>
        </w:rPr>
      </w:pPr>
      <w:r w:rsidRPr="002F19DE">
        <w:rPr>
          <w:rFonts w:hint="eastAsia"/>
          <w:sz w:val="24"/>
          <w:szCs w:val="24"/>
        </w:rPr>
        <w:t>◎李震山</w:t>
      </w:r>
      <w:r w:rsidRPr="002F19DE">
        <w:rPr>
          <w:sz w:val="24"/>
          <w:szCs w:val="24"/>
        </w:rPr>
        <w:t>(1993)，德國入出境管理法制與執行，載於中央警察大學國境警察學系學術研討會，我國警察安全檢查理論與實務。</w:t>
      </w:r>
    </w:p>
    <w:p w:rsidR="002F19DE" w:rsidRPr="002F19DE" w:rsidRDefault="002F19DE" w:rsidP="002F19DE">
      <w:pPr>
        <w:ind w:leftChars="0" w:left="0"/>
        <w:rPr>
          <w:sz w:val="24"/>
          <w:szCs w:val="24"/>
        </w:rPr>
      </w:pPr>
      <w:r w:rsidRPr="002F19DE">
        <w:rPr>
          <w:rFonts w:hint="eastAsia"/>
          <w:sz w:val="24"/>
          <w:szCs w:val="24"/>
        </w:rPr>
        <w:t>◎李震山</w:t>
      </w:r>
      <w:r w:rsidRPr="002F19DE">
        <w:rPr>
          <w:sz w:val="24"/>
          <w:szCs w:val="24"/>
        </w:rPr>
        <w:t>(1995)，入出境管理之概念與範疇，警專學報第1卷第8期。</w:t>
      </w:r>
    </w:p>
    <w:p w:rsidR="002F19DE" w:rsidRPr="002F19DE" w:rsidRDefault="002F19DE" w:rsidP="002F19DE">
      <w:pPr>
        <w:ind w:leftChars="0" w:left="0"/>
        <w:rPr>
          <w:sz w:val="24"/>
          <w:szCs w:val="24"/>
        </w:rPr>
      </w:pPr>
      <w:r w:rsidRPr="002F19DE">
        <w:rPr>
          <w:rFonts w:hint="eastAsia"/>
          <w:sz w:val="24"/>
          <w:szCs w:val="24"/>
        </w:rPr>
        <w:t>◎李震山</w:t>
      </w:r>
      <w:r w:rsidRPr="002F19DE">
        <w:rPr>
          <w:sz w:val="24"/>
          <w:szCs w:val="24"/>
        </w:rPr>
        <w:t>(1999)，入出境管理之一般法理基礎，收錄於李震山等著(1999)，入出國管理及安全檢查專題研究，桃園：中央警察大學。</w:t>
      </w:r>
    </w:p>
    <w:p w:rsidR="002F19DE" w:rsidRPr="002F19DE" w:rsidRDefault="002F19DE" w:rsidP="002F19DE">
      <w:pPr>
        <w:ind w:leftChars="0" w:left="0"/>
        <w:rPr>
          <w:sz w:val="24"/>
          <w:szCs w:val="24"/>
        </w:rPr>
      </w:pPr>
      <w:r w:rsidRPr="002F19DE">
        <w:rPr>
          <w:rFonts w:hint="eastAsia"/>
          <w:sz w:val="24"/>
          <w:szCs w:val="24"/>
        </w:rPr>
        <w:t>◎李震山</w:t>
      </w:r>
      <w:r w:rsidRPr="002F19DE">
        <w:rPr>
          <w:sz w:val="24"/>
          <w:szCs w:val="24"/>
        </w:rPr>
        <w:t>(2000)，人性尊嚴與人權保障，臺北：元照出版社。</w:t>
      </w:r>
    </w:p>
    <w:p w:rsidR="002F19DE" w:rsidRPr="002F19DE" w:rsidRDefault="002F19DE" w:rsidP="002F19DE">
      <w:pPr>
        <w:ind w:leftChars="0" w:left="0"/>
        <w:rPr>
          <w:sz w:val="24"/>
          <w:szCs w:val="24"/>
        </w:rPr>
      </w:pPr>
      <w:r w:rsidRPr="002F19DE">
        <w:rPr>
          <w:rFonts w:hint="eastAsia"/>
          <w:sz w:val="24"/>
          <w:szCs w:val="24"/>
        </w:rPr>
        <w:t>◎李震山</w:t>
      </w:r>
      <w:r w:rsidRPr="002F19DE">
        <w:rPr>
          <w:sz w:val="24"/>
          <w:szCs w:val="24"/>
        </w:rPr>
        <w:t>(2000)，入出國管理之一般法理基礎，收錄於蔡庭榕編，警察百科全書（九）：外事與國境警察，臺北：正中書局。</w:t>
      </w:r>
    </w:p>
    <w:p w:rsidR="002F19DE" w:rsidRPr="002F19DE" w:rsidRDefault="002F19DE" w:rsidP="002F19DE">
      <w:pPr>
        <w:ind w:leftChars="0" w:left="0"/>
        <w:rPr>
          <w:sz w:val="24"/>
          <w:szCs w:val="24"/>
        </w:rPr>
      </w:pPr>
      <w:r w:rsidRPr="002F19DE">
        <w:rPr>
          <w:rFonts w:hint="eastAsia"/>
          <w:sz w:val="24"/>
          <w:szCs w:val="24"/>
        </w:rPr>
        <w:t>◎李震山</w:t>
      </w:r>
      <w:r w:rsidRPr="002F19DE">
        <w:rPr>
          <w:sz w:val="24"/>
          <w:szCs w:val="24"/>
        </w:rPr>
        <w:t>(2001)，行政法導論，臺北：三民書局，修訂四版。</w:t>
      </w:r>
    </w:p>
    <w:p w:rsidR="002F19DE" w:rsidRPr="002F19DE" w:rsidRDefault="002F19DE" w:rsidP="002F19DE">
      <w:pPr>
        <w:ind w:leftChars="0" w:left="0"/>
        <w:rPr>
          <w:sz w:val="24"/>
          <w:szCs w:val="24"/>
        </w:rPr>
      </w:pPr>
      <w:r w:rsidRPr="002F19DE">
        <w:rPr>
          <w:rFonts w:hint="eastAsia"/>
          <w:sz w:val="24"/>
          <w:szCs w:val="24"/>
        </w:rPr>
        <w:t>◎李震山</w:t>
      </w:r>
      <w:r w:rsidRPr="002F19DE">
        <w:rPr>
          <w:sz w:val="24"/>
          <w:szCs w:val="24"/>
        </w:rPr>
        <w:t>(2004)。憲法意義下之家庭權，國立中正大學法學集刊，第16期，頁61-104。</w:t>
      </w:r>
    </w:p>
    <w:p w:rsidR="002F19DE" w:rsidRPr="002F19DE" w:rsidRDefault="002F19DE" w:rsidP="002F19DE">
      <w:pPr>
        <w:ind w:leftChars="0" w:left="0"/>
        <w:rPr>
          <w:sz w:val="24"/>
          <w:szCs w:val="24"/>
        </w:rPr>
      </w:pPr>
      <w:r w:rsidRPr="002F19DE">
        <w:rPr>
          <w:rFonts w:hint="eastAsia"/>
          <w:sz w:val="24"/>
          <w:szCs w:val="24"/>
        </w:rPr>
        <w:t>◎李震山（</w:t>
      </w:r>
      <w:r w:rsidRPr="002F19DE">
        <w:rPr>
          <w:sz w:val="24"/>
          <w:szCs w:val="24"/>
        </w:rPr>
        <w:t>2006），從憲法保障基本權利之觀點論大陸地區人民之收容與遣返－ 以臺灣地區與大陸地區人民關係條例第18 條為中心，警察法學第五期。</w:t>
      </w:r>
    </w:p>
    <w:p w:rsidR="002F19DE" w:rsidRPr="002F19DE" w:rsidRDefault="002F19DE" w:rsidP="002F19DE">
      <w:pPr>
        <w:ind w:leftChars="0" w:left="0"/>
        <w:rPr>
          <w:sz w:val="24"/>
          <w:szCs w:val="24"/>
        </w:rPr>
      </w:pPr>
      <w:r w:rsidRPr="002F19DE">
        <w:rPr>
          <w:rFonts w:hint="eastAsia"/>
          <w:sz w:val="24"/>
          <w:szCs w:val="24"/>
        </w:rPr>
        <w:t>◎李震山</w:t>
      </w:r>
      <w:r w:rsidRPr="002F19DE">
        <w:rPr>
          <w:sz w:val="24"/>
          <w:szCs w:val="24"/>
        </w:rPr>
        <w:t>(2007)，多元，寬容與人權保障以憲法未列舉權之保障為中心，台北市：元照出版。</w:t>
      </w:r>
    </w:p>
    <w:p w:rsidR="002F19DE" w:rsidRPr="002F19DE" w:rsidRDefault="002F19DE" w:rsidP="002F19DE">
      <w:pPr>
        <w:ind w:leftChars="0" w:left="0"/>
        <w:rPr>
          <w:sz w:val="24"/>
          <w:szCs w:val="24"/>
        </w:rPr>
      </w:pPr>
      <w:r w:rsidRPr="002F19DE">
        <w:rPr>
          <w:rFonts w:hint="eastAsia"/>
          <w:sz w:val="24"/>
          <w:szCs w:val="24"/>
        </w:rPr>
        <w:t>◎李震山</w:t>
      </w:r>
      <w:r w:rsidRPr="002F19DE">
        <w:rPr>
          <w:sz w:val="24"/>
          <w:szCs w:val="24"/>
        </w:rPr>
        <w:t>(2009)，人性尊嚴與人權保障，台北：元照出版。</w:t>
      </w:r>
    </w:p>
    <w:p w:rsidR="002F19DE" w:rsidRPr="002F19DE" w:rsidRDefault="002F19DE" w:rsidP="002F19DE">
      <w:pPr>
        <w:ind w:leftChars="0" w:left="0"/>
        <w:rPr>
          <w:sz w:val="24"/>
          <w:szCs w:val="24"/>
        </w:rPr>
      </w:pPr>
      <w:r w:rsidRPr="002F19DE">
        <w:rPr>
          <w:rFonts w:hint="eastAsia"/>
          <w:sz w:val="24"/>
          <w:szCs w:val="24"/>
        </w:rPr>
        <w:t>◎李震山等編著</w:t>
      </w:r>
      <w:r w:rsidRPr="002F19DE">
        <w:rPr>
          <w:sz w:val="24"/>
          <w:szCs w:val="24"/>
        </w:rPr>
        <w:t>(1999)，入出國管理及安全檢查專題研究，桃園：中央警察大學。</w:t>
      </w:r>
    </w:p>
    <w:p w:rsidR="002F19DE" w:rsidRPr="002F19DE" w:rsidRDefault="002F19DE" w:rsidP="002F19DE">
      <w:pPr>
        <w:ind w:leftChars="0" w:left="0"/>
        <w:rPr>
          <w:sz w:val="24"/>
          <w:szCs w:val="24"/>
        </w:rPr>
      </w:pPr>
      <w:r w:rsidRPr="002F19DE">
        <w:rPr>
          <w:rFonts w:hint="eastAsia"/>
          <w:sz w:val="24"/>
          <w:szCs w:val="24"/>
        </w:rPr>
        <w:t>◎李震山譯</w:t>
      </w:r>
      <w:r w:rsidRPr="002F19DE">
        <w:rPr>
          <w:sz w:val="24"/>
          <w:szCs w:val="24"/>
        </w:rPr>
        <w:t>(1993)，德國外國人法----居留許可之核發與延長，新知譯粹，第９卷第２期。</w:t>
      </w:r>
    </w:p>
    <w:p w:rsidR="002F19DE" w:rsidRPr="002F19DE" w:rsidRDefault="002F19DE" w:rsidP="002F19DE">
      <w:pPr>
        <w:ind w:leftChars="0" w:left="0"/>
        <w:rPr>
          <w:sz w:val="24"/>
          <w:szCs w:val="24"/>
        </w:rPr>
      </w:pPr>
      <w:r w:rsidRPr="002F19DE">
        <w:rPr>
          <w:rFonts w:hint="eastAsia"/>
          <w:sz w:val="24"/>
          <w:szCs w:val="24"/>
        </w:rPr>
        <w:t>◎李謀旺、徐坤隆</w:t>
      </w:r>
      <w:r w:rsidRPr="002F19DE">
        <w:rPr>
          <w:sz w:val="24"/>
          <w:szCs w:val="24"/>
        </w:rPr>
        <w:t>(2001)，申根資訊系統之探討與啟示，涉外執法與政策學報。</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2001），移民問題之威脅，收錄於國家安全局主編，非傳統安全威脅研究報告（第一輯），台北市：國家安全局，頁75-101。</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(2002)，非法移民問題威脅，非傳統安全威脅研究報告2002，國家安全叢書。</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2003），二十一世紀國家安全議題之探討，台北：中央警察大學出版社。</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(2007)，人口移動與移民控制政策之研究，中央警察大學國境警察學報，第8期。</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 xml:space="preserve">(2008)，台灣國境管理應有之面向與未來發展，發表於2008年國境安全與人口移動學術研討會，桃園：中央警察大學國境警察學系。 </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(2008)，我國專技移民及投資移民之策略研究，內政部入出國及移民署委託研究報告。</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(2008)，國土安全之情報導向警務及台灣警務發展之思考方向，第二屆國土安全學術研討會論文集，桃園：中央警察大學，頁1-28。</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(2008)，情報導向警務運作與評估之探討，第四屆恐怖主義與國家安全學術研討會論文集，頁49-67。</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(2009)，社會安全之情治資訊分享網建構與台灣警務發展之啟示，中央警察大學國境警察學報第11期，頁1-55。</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(2009)，情報導向警務運作與評估之探討，中央警察大學國境警察學報第12期，頁177-217。</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(2009)，移民政策發展之國家安全、法治、人權內涵之平衡思考─兼論處理人口販運應有之改善作為，2009年防制人口販運國際及兩岸學術研討會，台北：福華國際文教會館。</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2010），移民政策之犯罪與安全思考及未來發展方向初探，2010年國境管理與移民事務研討會論文集，桃園：中央警察大學，頁1-14。</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(2010)，移民與國境安全管理機制，2010國土安全國際研討會論文集 (台北)，頁 169-186。</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(2011)，國境執法之情報導向警務與運作， 2011年國土安全與國境管理學術研討會論文，頁1-30。</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2012），安全脈絡下之移民政策發展，收錄於中央警察大學移民研究中心主辦2012年人口移動與執法學術研討會論文集，頁1-184。</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(2012)，美國強化移民與國境管理之研究，2012年國境管理與執法學術研討會論文集，頁65-95。</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 xml:space="preserve">(2012)，移民與國境管理，發表於2012年國境管理與執法學術研討會，桃園：中央警察大學國境警察學系，頁57-70。 </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(2012)，跨國境組織犯罪理論與執法實踐之研究總論，臺北：元照出版社。</w:t>
      </w:r>
    </w:p>
    <w:p w:rsidR="002F19DE" w:rsidRPr="002F19DE" w:rsidRDefault="002F19DE" w:rsidP="002F19DE">
      <w:pPr>
        <w:ind w:leftChars="0" w:left="0"/>
        <w:rPr>
          <w:sz w:val="24"/>
          <w:szCs w:val="24"/>
        </w:rPr>
      </w:pPr>
      <w:r w:rsidRPr="002F19DE">
        <w:rPr>
          <w:rFonts w:hint="eastAsia"/>
          <w:sz w:val="24"/>
          <w:szCs w:val="24"/>
        </w:rPr>
        <w:t>◎汪毓瑋</w:t>
      </w:r>
      <w:r w:rsidRPr="002F19DE">
        <w:rPr>
          <w:sz w:val="24"/>
          <w:szCs w:val="24"/>
        </w:rPr>
        <w:t>(2015)，國土安全（上冊、下冊），修訂2版，臺北：元照出版社。</w:t>
      </w:r>
    </w:p>
    <w:p w:rsidR="002F19DE" w:rsidRPr="002F19DE" w:rsidRDefault="002F19DE" w:rsidP="002F19DE">
      <w:pPr>
        <w:ind w:leftChars="0" w:left="0"/>
        <w:rPr>
          <w:sz w:val="24"/>
          <w:szCs w:val="24"/>
        </w:rPr>
      </w:pPr>
      <w:r w:rsidRPr="002F19DE">
        <w:rPr>
          <w:rFonts w:hint="eastAsia"/>
          <w:sz w:val="24"/>
          <w:szCs w:val="24"/>
        </w:rPr>
        <w:t>◎汪毓瑋主編</w:t>
      </w:r>
      <w:r w:rsidRPr="002F19DE">
        <w:rPr>
          <w:sz w:val="24"/>
          <w:szCs w:val="24"/>
        </w:rPr>
        <w:t>(2016)，國境執法，第3版，臺北：元照出版社。</w:t>
      </w:r>
    </w:p>
    <w:p w:rsidR="002F19DE" w:rsidRPr="002F19DE" w:rsidRDefault="002F19DE" w:rsidP="002F19DE">
      <w:pPr>
        <w:ind w:leftChars="0" w:left="0"/>
        <w:rPr>
          <w:sz w:val="24"/>
          <w:szCs w:val="24"/>
        </w:rPr>
      </w:pPr>
      <w:r w:rsidRPr="002F19DE">
        <w:rPr>
          <w:rFonts w:hint="eastAsia"/>
          <w:sz w:val="24"/>
          <w:szCs w:val="24"/>
        </w:rPr>
        <w:t>◎辛炳隆、鄭津津、林淑慧（</w:t>
      </w:r>
      <w:r w:rsidRPr="002F19DE">
        <w:rPr>
          <w:sz w:val="24"/>
          <w:szCs w:val="24"/>
        </w:rPr>
        <w:t>2014），我國婚姻移民勞動工作權益保障及促進之研究，行政院國家發展委員會委託研究報告，頁165。</w:t>
      </w:r>
    </w:p>
    <w:p w:rsidR="002F19DE" w:rsidRPr="002F19DE" w:rsidRDefault="002F19DE" w:rsidP="002F19DE">
      <w:pPr>
        <w:ind w:leftChars="0" w:left="0"/>
        <w:rPr>
          <w:sz w:val="24"/>
          <w:szCs w:val="24"/>
        </w:rPr>
      </w:pPr>
      <w:r w:rsidRPr="002F19DE">
        <w:rPr>
          <w:rFonts w:hint="eastAsia"/>
          <w:sz w:val="24"/>
          <w:szCs w:val="24"/>
        </w:rPr>
        <w:t>◎阮曉眉（</w:t>
      </w:r>
      <w:r w:rsidRPr="002F19DE">
        <w:rPr>
          <w:sz w:val="24"/>
          <w:szCs w:val="24"/>
        </w:rPr>
        <w:t>2012）。功能分化社會的涵括與排除機制：以臺灣外籍新娘為例。社會分析4：1-43。</w:t>
      </w:r>
    </w:p>
    <w:p w:rsidR="002F19DE" w:rsidRPr="002F19DE" w:rsidRDefault="002F19DE" w:rsidP="002F19DE">
      <w:pPr>
        <w:ind w:leftChars="0" w:left="0"/>
        <w:rPr>
          <w:sz w:val="24"/>
          <w:szCs w:val="24"/>
        </w:rPr>
      </w:pPr>
      <w:r w:rsidRPr="002F19DE">
        <w:rPr>
          <w:rFonts w:hint="eastAsia"/>
          <w:sz w:val="24"/>
          <w:szCs w:val="24"/>
        </w:rPr>
        <w:t>◎孟維德</w:t>
      </w:r>
      <w:r w:rsidRPr="002F19DE">
        <w:rPr>
          <w:sz w:val="24"/>
          <w:szCs w:val="24"/>
        </w:rPr>
        <w:t>(2014），跨國犯罪，臺北：五南圖書出版股份有限公司，頁47-49。</w:t>
      </w:r>
    </w:p>
    <w:p w:rsidR="002F19DE" w:rsidRPr="002F19DE" w:rsidRDefault="002F19DE" w:rsidP="002F19DE">
      <w:pPr>
        <w:ind w:leftChars="0" w:left="0"/>
        <w:rPr>
          <w:sz w:val="24"/>
          <w:szCs w:val="24"/>
        </w:rPr>
      </w:pPr>
      <w:r w:rsidRPr="002F19DE">
        <w:rPr>
          <w:rFonts w:hint="eastAsia"/>
          <w:sz w:val="24"/>
          <w:szCs w:val="24"/>
        </w:rPr>
        <w:t>◎孟維德、黃翠紋（</w:t>
      </w:r>
      <w:r w:rsidRPr="002F19DE">
        <w:rPr>
          <w:sz w:val="24"/>
          <w:szCs w:val="24"/>
        </w:rPr>
        <w:t>2011），女性新移民家庭暴力被害人警政系統服務之實施現況、困境與分析，內政部委託研究報告，頁215-216。</w:t>
      </w:r>
    </w:p>
    <w:p w:rsidR="002F19DE" w:rsidRPr="002F19DE" w:rsidRDefault="002F19DE" w:rsidP="002F19DE">
      <w:pPr>
        <w:ind w:leftChars="0" w:left="0"/>
        <w:rPr>
          <w:sz w:val="24"/>
          <w:szCs w:val="24"/>
        </w:rPr>
      </w:pPr>
      <w:r w:rsidRPr="002F19DE">
        <w:rPr>
          <w:rFonts w:hint="eastAsia"/>
          <w:sz w:val="24"/>
          <w:szCs w:val="24"/>
        </w:rPr>
        <w:t>◎林奇伯</w:t>
      </w:r>
      <w:r w:rsidRPr="002F19DE">
        <w:rPr>
          <w:sz w:val="24"/>
          <w:szCs w:val="24"/>
        </w:rPr>
        <w:t>(2010)，遠見雜誌2010年3月號，六大誘因，四波挖角台灣師資。</w:t>
      </w:r>
    </w:p>
    <w:p w:rsidR="002F19DE" w:rsidRPr="002F19DE" w:rsidRDefault="002F19DE" w:rsidP="002F19DE">
      <w:pPr>
        <w:ind w:leftChars="0" w:left="0"/>
        <w:rPr>
          <w:sz w:val="24"/>
          <w:szCs w:val="24"/>
        </w:rPr>
      </w:pPr>
      <w:r w:rsidRPr="002F19DE">
        <w:rPr>
          <w:rFonts w:hint="eastAsia"/>
          <w:sz w:val="24"/>
          <w:szCs w:val="24"/>
        </w:rPr>
        <w:t>◎林冠儀、游琇雅（</w:t>
      </w:r>
      <w:r w:rsidRPr="002F19DE">
        <w:rPr>
          <w:sz w:val="24"/>
          <w:szCs w:val="24"/>
        </w:rPr>
        <w:t>2013），探討父權結構下之社會建構：以台灣新移民女性為例，家庭教育雙月刊，第 41 期，頁76-77。</w:t>
      </w:r>
    </w:p>
    <w:p w:rsidR="002F19DE" w:rsidRPr="002F19DE" w:rsidRDefault="002F19DE" w:rsidP="002F19DE">
      <w:pPr>
        <w:ind w:leftChars="0" w:left="0"/>
        <w:rPr>
          <w:sz w:val="24"/>
          <w:szCs w:val="24"/>
        </w:rPr>
      </w:pPr>
      <w:r w:rsidRPr="002F19DE">
        <w:rPr>
          <w:rFonts w:hint="eastAsia"/>
          <w:sz w:val="24"/>
          <w:szCs w:val="24"/>
        </w:rPr>
        <w:t>◎林盈君（</w:t>
      </w:r>
      <w:r w:rsidRPr="002F19DE">
        <w:rPr>
          <w:sz w:val="24"/>
          <w:szCs w:val="24"/>
        </w:rPr>
        <w:t xml:space="preserve">2015）。當代臺灣婚姻移民現象與挑戰：論國家角色在準國民移民政策的方向。中央警察大學國土安全與國境管理學報24：63-91。 </w:t>
      </w:r>
    </w:p>
    <w:p w:rsidR="002F19DE" w:rsidRPr="002F19DE" w:rsidRDefault="002F19DE" w:rsidP="002F19DE">
      <w:pPr>
        <w:ind w:leftChars="0" w:left="0"/>
        <w:rPr>
          <w:sz w:val="24"/>
          <w:szCs w:val="24"/>
        </w:rPr>
      </w:pPr>
      <w:r w:rsidRPr="002F19DE">
        <w:rPr>
          <w:rFonts w:hint="eastAsia"/>
          <w:sz w:val="24"/>
          <w:szCs w:val="24"/>
        </w:rPr>
        <w:t>◎林盈君</w:t>
      </w:r>
      <w:r w:rsidRPr="002F19DE">
        <w:rPr>
          <w:sz w:val="24"/>
          <w:szCs w:val="24"/>
        </w:rPr>
        <w:t>(2017)，國家主權與人權照顧間的拔河-論黑戶娃娃的國籍與受教權，發表於2017中央警察大學移民事務與國境管理學術研討會。</w:t>
      </w:r>
    </w:p>
    <w:p w:rsidR="002F19DE" w:rsidRPr="002F19DE" w:rsidRDefault="002F19DE" w:rsidP="002F19DE">
      <w:pPr>
        <w:ind w:leftChars="0" w:left="0"/>
        <w:rPr>
          <w:sz w:val="24"/>
          <w:szCs w:val="24"/>
        </w:rPr>
      </w:pPr>
      <w:r w:rsidRPr="002F19DE">
        <w:rPr>
          <w:rFonts w:hint="eastAsia"/>
          <w:sz w:val="24"/>
          <w:szCs w:val="24"/>
        </w:rPr>
        <w:t>◎林盈君、陳明傳、王寬弘、黃文志、高佩珊、許義寶、柯雨瑞、蔡政杰、王智盛等合著（</w:t>
      </w:r>
      <w:r w:rsidRPr="002F19DE">
        <w:rPr>
          <w:sz w:val="24"/>
          <w:szCs w:val="24"/>
        </w:rPr>
        <w:t>2016）。國土安全與移民政策（Homeland Security and Immigration Policy），臺北：獨立作家出版公司。</w:t>
      </w:r>
    </w:p>
    <w:p w:rsidR="002F19DE" w:rsidRPr="002F19DE" w:rsidRDefault="002F19DE" w:rsidP="002F19DE">
      <w:pPr>
        <w:ind w:leftChars="0" w:left="0"/>
        <w:rPr>
          <w:sz w:val="24"/>
          <w:szCs w:val="24"/>
        </w:rPr>
      </w:pPr>
      <w:r w:rsidRPr="002F19DE">
        <w:rPr>
          <w:rFonts w:hint="eastAsia"/>
          <w:sz w:val="24"/>
          <w:szCs w:val="24"/>
        </w:rPr>
        <w:t>◎林益山</w:t>
      </w:r>
      <w:r w:rsidRPr="002F19DE">
        <w:rPr>
          <w:sz w:val="24"/>
          <w:szCs w:val="24"/>
        </w:rPr>
        <w:t>(2011)。外國人歸化法制之探討--兼論大陸地區人民入臺居留之規定，臺灣法學雜誌，第6期，頁161-189。</w:t>
      </w:r>
    </w:p>
    <w:p w:rsidR="002F19DE" w:rsidRPr="002F19DE" w:rsidRDefault="002F19DE" w:rsidP="002F19DE">
      <w:pPr>
        <w:ind w:leftChars="0" w:left="0"/>
        <w:rPr>
          <w:sz w:val="24"/>
          <w:szCs w:val="24"/>
        </w:rPr>
      </w:pPr>
      <w:r w:rsidRPr="002F19DE">
        <w:rPr>
          <w:rFonts w:hint="eastAsia"/>
          <w:sz w:val="24"/>
          <w:szCs w:val="24"/>
        </w:rPr>
        <w:t>◎法治斌</w:t>
      </w:r>
      <w:r w:rsidRPr="002F19DE">
        <w:rPr>
          <w:sz w:val="24"/>
          <w:szCs w:val="24"/>
        </w:rPr>
        <w:t>(1996)。司法審查中之平等權:建構雙重基準之研究，國家科學委員會研究彙刊：人文及社會科學，第6卷第1期，頁35-50。</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(1996)，外籍勞工在臺工作問題之探討--兼論就業服務法與外國人聘僱許可及管理辦法若干條文之修訂，中國勞工第949期，頁12-14。</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(1996)，外籍勞工聘僱與管理，台北：三鋒出版社。</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(2003)，入出國管理法制之研究，中央警察大學法學論集第8期。</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(2003)，入出境管理理論之研究，發表於外事警察法制學術研討會，中央警察大學外事警察學系主辦。</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(2004)，2002年加拿大移民及難民保護法之探討---兼論對我國移民法制之啟示，發表於中央警察大學外事警察學系學術研討會。</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(2004)，2002年加拿大移民及難民保護法對我國移民法制之啟發，中央警察大學國境警察學報第3期。</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(2004)，我國移民管理機關之組織定位與未來發展--美國聯邦移民管理機關的啟示，警學叢刊第34卷第6期，頁161-184。</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(2009)，論國境執法面臨之問題及未來可行之發展方向---以國際機場執法為中心，中央警察大學國境警察學報第12期，頁217-272。</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2010），新加坡移民法之初探，發表於中央警察大學國境警察學系與移民研究中心共同舉辦之國境管理與移民事務學術研討會。</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(2010)，新加坡移民法之探討----兼論對我國移民法之啟示，中央警察大學國境警察學報第14期，頁151-202。</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(2011)，淺論加拿大安大略省外籍家庭幫傭薪資與工作時間之法制保障，發表於中央警察大學國境警察學系2011年人口移動與執法學術研討會</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(2011)，新加坡國境人流管理機制與具體作為之研究，中央警察大學國土安全與國境管理學報第16期，頁47-115。</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(2011)，新加坡國境管理對策之初探----以人流管理為中心，發表於中央警察大學2011年國土安全與國境管理學術研討會。</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2011）。淺論加拿大安大略省外籍家庭幫傭薪資與工作時間之法制保障，發表於中央警察大學國境警察學系2011年人口移動與執法學術研討會。</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(2012)，從國際法探討驅逐出國相關之法規範，發表於2012年中央警察大學國境警察學系國土管理與執法學術研討會。</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(2012)，臺灣入出國及移民法有關驅逐出國機制之現況、問題與未來可行之發展方向，初版，桃園：中央警察大學出版社。</w:t>
      </w:r>
    </w:p>
    <w:p w:rsidR="002F19DE" w:rsidRPr="002F19DE" w:rsidRDefault="002F19DE" w:rsidP="002F19DE">
      <w:pPr>
        <w:ind w:leftChars="0" w:left="0"/>
        <w:rPr>
          <w:sz w:val="24"/>
          <w:szCs w:val="24"/>
        </w:rPr>
      </w:pPr>
      <w:r w:rsidRPr="002F19DE">
        <w:rPr>
          <w:rFonts w:hint="eastAsia"/>
          <w:sz w:val="24"/>
          <w:szCs w:val="24"/>
        </w:rPr>
        <w:t>◎柯雨瑞</w:t>
      </w:r>
      <w:r w:rsidRPr="002F19DE">
        <w:rPr>
          <w:sz w:val="24"/>
          <w:szCs w:val="24"/>
        </w:rPr>
        <w:t>(2012)，論加拿大安大略省外籍家事勞工薪資與工作時間之法制保障----對台灣之啟示，涉外執法與政策學報第2期，頁55-111。</w:t>
      </w:r>
    </w:p>
    <w:p w:rsidR="002F19DE" w:rsidRPr="002F19DE" w:rsidRDefault="002F19DE" w:rsidP="002F19DE">
      <w:pPr>
        <w:ind w:leftChars="0" w:left="0"/>
        <w:rPr>
          <w:sz w:val="24"/>
          <w:szCs w:val="24"/>
        </w:rPr>
      </w:pPr>
      <w:r w:rsidRPr="002F19DE">
        <w:rPr>
          <w:rFonts w:hint="eastAsia"/>
          <w:sz w:val="24"/>
          <w:szCs w:val="24"/>
        </w:rPr>
        <w:t>◎柯雨瑞、李佳樺</w:t>
      </w:r>
      <w:r w:rsidRPr="002F19DE">
        <w:rPr>
          <w:sz w:val="24"/>
          <w:szCs w:val="24"/>
        </w:rPr>
        <w:t>(2015)，計分制技術移民政策之研究---以加拿大、紐西蘭與澳洲為核心，中央警察大學國土安全與國境管理學報第24期。</w:t>
      </w:r>
    </w:p>
    <w:p w:rsidR="002F19DE" w:rsidRPr="002F19DE" w:rsidRDefault="002F19DE" w:rsidP="002F19DE">
      <w:pPr>
        <w:ind w:leftChars="0" w:left="0"/>
        <w:rPr>
          <w:sz w:val="24"/>
          <w:szCs w:val="24"/>
        </w:rPr>
      </w:pPr>
      <w:r w:rsidRPr="002F19DE">
        <w:rPr>
          <w:rFonts w:hint="eastAsia"/>
          <w:sz w:val="24"/>
          <w:szCs w:val="24"/>
        </w:rPr>
        <w:t>◎柯雨瑞、孟維德、吳宛玲</w:t>
      </w:r>
      <w:r w:rsidRPr="002F19DE">
        <w:rPr>
          <w:sz w:val="24"/>
          <w:szCs w:val="24"/>
        </w:rPr>
        <w:t xml:space="preserve"> (2017)，臺中市新住民家庭暴力被害人保護機制之實證調查研究，中央警察大學國土安全與國境管理學報第27期，頁27-78。</w:t>
      </w:r>
    </w:p>
    <w:p w:rsidR="002F19DE" w:rsidRPr="002F19DE" w:rsidRDefault="002F19DE" w:rsidP="002F19DE">
      <w:pPr>
        <w:ind w:leftChars="0" w:left="0"/>
        <w:rPr>
          <w:sz w:val="24"/>
          <w:szCs w:val="24"/>
        </w:rPr>
      </w:pPr>
      <w:r w:rsidRPr="002F19DE">
        <w:rPr>
          <w:rFonts w:hint="eastAsia"/>
          <w:sz w:val="24"/>
          <w:szCs w:val="24"/>
        </w:rPr>
        <w:t>◎柯雨瑞、孟維德、李佳樺</w:t>
      </w:r>
      <w:r w:rsidRPr="002F19DE">
        <w:rPr>
          <w:sz w:val="24"/>
          <w:szCs w:val="24"/>
        </w:rPr>
        <w:t>(2016)，臺灣計分制技術移民政策之現況、問題與可行之對策，中央警察大學國土安全與國境管理學報第25期。</w:t>
      </w:r>
    </w:p>
    <w:p w:rsidR="002F19DE" w:rsidRPr="002F19DE" w:rsidRDefault="002F19DE" w:rsidP="002F19DE">
      <w:pPr>
        <w:ind w:leftChars="0" w:left="0"/>
        <w:rPr>
          <w:sz w:val="24"/>
          <w:szCs w:val="24"/>
        </w:rPr>
      </w:pPr>
      <w:r w:rsidRPr="002F19DE">
        <w:rPr>
          <w:rFonts w:hint="eastAsia"/>
          <w:sz w:val="24"/>
          <w:szCs w:val="24"/>
        </w:rPr>
        <w:t>◎柯雨瑞、孟維德、徐嘉助</w:t>
      </w:r>
      <w:r w:rsidRPr="002F19DE">
        <w:rPr>
          <w:sz w:val="24"/>
          <w:szCs w:val="24"/>
        </w:rPr>
        <w:t>(2016)，從移民融合政策指標（MIPEX）探討我國移民融合機制之現況、成效與未來可行之發展對策，中央警察大學國土安全與國境管理學報第26期。</w:t>
      </w:r>
    </w:p>
    <w:p w:rsidR="002F19DE" w:rsidRPr="002F19DE" w:rsidRDefault="002F19DE" w:rsidP="002F19DE">
      <w:pPr>
        <w:ind w:leftChars="0" w:left="0"/>
        <w:rPr>
          <w:sz w:val="24"/>
          <w:szCs w:val="24"/>
        </w:rPr>
      </w:pPr>
      <w:r w:rsidRPr="002F19DE">
        <w:rPr>
          <w:rFonts w:hint="eastAsia"/>
          <w:sz w:val="24"/>
          <w:szCs w:val="24"/>
        </w:rPr>
        <w:t>◎柯雨瑞、孟維德、徐嘉助</w:t>
      </w:r>
      <w:r w:rsidRPr="002F19DE">
        <w:rPr>
          <w:sz w:val="24"/>
          <w:szCs w:val="24"/>
        </w:rPr>
        <w:t>(2017)，從移民融合政策指標（MIPEX）探討韓國移民融合機制之現況、成效與對策：兼論對我國之啟示，中央警察大學警學叢刊第47卷第4期(總230期)，頁61-105。</w:t>
      </w:r>
    </w:p>
    <w:p w:rsidR="002F19DE" w:rsidRPr="002F19DE" w:rsidRDefault="002F19DE" w:rsidP="002F19DE">
      <w:pPr>
        <w:ind w:leftChars="0" w:left="0"/>
        <w:rPr>
          <w:sz w:val="24"/>
          <w:szCs w:val="24"/>
        </w:rPr>
      </w:pPr>
      <w:r w:rsidRPr="002F19DE">
        <w:rPr>
          <w:rFonts w:hint="eastAsia"/>
          <w:sz w:val="24"/>
          <w:szCs w:val="24"/>
        </w:rPr>
        <w:t>◎柯雨瑞、孟維德、徐嘉助、陳佩詩</w:t>
      </w:r>
      <w:r w:rsidRPr="002F19DE">
        <w:rPr>
          <w:sz w:val="24"/>
          <w:szCs w:val="24"/>
        </w:rPr>
        <w:t>(2017)，我國移民融合機制之實際成效與可行對策之研究：從移民融合政策指標（MIPEX）之角度開展，中央警察大學警學叢刊第48卷第1期(總233期)，頁25-84。</w:t>
      </w:r>
    </w:p>
    <w:p w:rsidR="002F19DE" w:rsidRPr="002F19DE" w:rsidRDefault="002F19DE" w:rsidP="002F19DE">
      <w:pPr>
        <w:ind w:leftChars="0" w:left="0"/>
        <w:rPr>
          <w:sz w:val="24"/>
          <w:szCs w:val="24"/>
        </w:rPr>
      </w:pPr>
      <w:r w:rsidRPr="002F19DE">
        <w:rPr>
          <w:rFonts w:hint="eastAsia"/>
          <w:sz w:val="24"/>
          <w:szCs w:val="24"/>
        </w:rPr>
        <w:t>◎柯雨瑞、侯夙芳</w:t>
      </w:r>
      <w:r w:rsidRPr="002F19DE">
        <w:rPr>
          <w:sz w:val="24"/>
          <w:szCs w:val="24"/>
        </w:rPr>
        <w:t>(2012)，2010年聯合國國際法院Diallo驅逐出國案例之評析，發表於2012年中央警察大學2012年人口移動與執法學術研討會。</w:t>
      </w:r>
    </w:p>
    <w:p w:rsidR="002F19DE" w:rsidRPr="002F19DE" w:rsidRDefault="002F19DE" w:rsidP="002F19DE">
      <w:pPr>
        <w:ind w:leftChars="0" w:left="0"/>
        <w:rPr>
          <w:sz w:val="24"/>
          <w:szCs w:val="24"/>
        </w:rPr>
      </w:pPr>
      <w:r w:rsidRPr="002F19DE">
        <w:rPr>
          <w:rFonts w:hint="eastAsia"/>
          <w:sz w:val="24"/>
          <w:szCs w:val="24"/>
        </w:rPr>
        <w:t>◎柯雨瑞、侯夙芳</w:t>
      </w:r>
      <w:r w:rsidRPr="002F19DE">
        <w:rPr>
          <w:sz w:val="24"/>
          <w:szCs w:val="24"/>
        </w:rPr>
        <w:t>(2013)，2004年聯合國人權事務委員會Ahani驅逐出國案例之研究，發表於2013年中央警察大學國境警察學系國境管理與執法學術研討會。</w:t>
      </w:r>
    </w:p>
    <w:p w:rsidR="002F19DE" w:rsidRPr="002F19DE" w:rsidRDefault="002F19DE" w:rsidP="002F19DE">
      <w:pPr>
        <w:ind w:leftChars="0" w:left="0"/>
        <w:rPr>
          <w:sz w:val="24"/>
          <w:szCs w:val="24"/>
        </w:rPr>
      </w:pPr>
      <w:r w:rsidRPr="002F19DE">
        <w:rPr>
          <w:rFonts w:hint="eastAsia"/>
          <w:sz w:val="24"/>
          <w:szCs w:val="24"/>
        </w:rPr>
        <w:t>◎柯雨瑞、侯夙芳</w:t>
      </w:r>
      <w:r w:rsidRPr="002F19DE">
        <w:rPr>
          <w:sz w:val="24"/>
          <w:szCs w:val="24"/>
        </w:rPr>
        <w:t>(2013)，憲法逐條釋義與人權保障，初版增訂，桃園：自行出版。</w:t>
      </w:r>
    </w:p>
    <w:p w:rsidR="002F19DE" w:rsidRPr="002F19DE" w:rsidRDefault="002F19DE" w:rsidP="002F19DE">
      <w:pPr>
        <w:ind w:leftChars="0" w:left="0"/>
        <w:rPr>
          <w:sz w:val="24"/>
          <w:szCs w:val="24"/>
        </w:rPr>
      </w:pPr>
      <w:r w:rsidRPr="002F19DE">
        <w:rPr>
          <w:rFonts w:hint="eastAsia"/>
          <w:sz w:val="24"/>
          <w:szCs w:val="24"/>
        </w:rPr>
        <w:t>◎柯雨瑞、侯夙芳（</w:t>
      </w:r>
      <w:r w:rsidRPr="002F19DE">
        <w:rPr>
          <w:sz w:val="24"/>
          <w:szCs w:val="24"/>
        </w:rPr>
        <w:t>2015）。憲法逐條釋義與人權保障，增訂2版，桃園：自行出版。</w:t>
      </w:r>
    </w:p>
    <w:p w:rsidR="002F19DE" w:rsidRPr="002F19DE" w:rsidRDefault="002F19DE" w:rsidP="002F19DE">
      <w:pPr>
        <w:ind w:leftChars="0" w:left="0"/>
        <w:rPr>
          <w:sz w:val="24"/>
          <w:szCs w:val="24"/>
        </w:rPr>
      </w:pPr>
      <w:r w:rsidRPr="002F19DE">
        <w:rPr>
          <w:rFonts w:hint="eastAsia"/>
          <w:sz w:val="24"/>
          <w:szCs w:val="24"/>
        </w:rPr>
        <w:t>◎柯雨瑞、曾琦</w:t>
      </w:r>
      <w:r w:rsidRPr="002F19DE">
        <w:rPr>
          <w:sz w:val="24"/>
          <w:szCs w:val="24"/>
        </w:rPr>
        <w:t>(2006)，加拿大對於外國人入出國管理救濟機制之研究，中央警察大學國境警察學報，第五期，桃園：中央警察大學。</w:t>
      </w:r>
    </w:p>
    <w:p w:rsidR="002F19DE" w:rsidRPr="002F19DE" w:rsidRDefault="002F19DE" w:rsidP="002F19DE">
      <w:pPr>
        <w:ind w:leftChars="0" w:left="0"/>
        <w:rPr>
          <w:sz w:val="24"/>
          <w:szCs w:val="24"/>
        </w:rPr>
      </w:pPr>
      <w:r w:rsidRPr="002F19DE">
        <w:rPr>
          <w:rFonts w:hint="eastAsia"/>
          <w:sz w:val="24"/>
          <w:szCs w:val="24"/>
        </w:rPr>
        <w:t>◎柯雨瑞、蔡政杰（</w:t>
      </w:r>
      <w:r w:rsidRPr="002F19DE">
        <w:rPr>
          <w:sz w:val="24"/>
          <w:szCs w:val="24"/>
        </w:rPr>
        <w:t xml:space="preserve">2012）。從平等權論臺灣新住民配偶入籍及生活權益保障。中央警察大學國土安全與國境管理學報18：91-172。 </w:t>
      </w:r>
    </w:p>
    <w:p w:rsidR="002F19DE" w:rsidRPr="002F19DE" w:rsidRDefault="002F19DE" w:rsidP="002F19DE">
      <w:pPr>
        <w:ind w:leftChars="0" w:left="0"/>
        <w:rPr>
          <w:sz w:val="24"/>
          <w:szCs w:val="24"/>
        </w:rPr>
      </w:pPr>
      <w:r w:rsidRPr="002F19DE">
        <w:rPr>
          <w:rFonts w:hint="eastAsia"/>
          <w:sz w:val="24"/>
          <w:szCs w:val="24"/>
        </w:rPr>
        <w:t>◎柯雨瑞、蔡政杰</w:t>
      </w:r>
      <w:r w:rsidRPr="002F19DE">
        <w:rPr>
          <w:sz w:val="24"/>
          <w:szCs w:val="24"/>
        </w:rPr>
        <w:t>(2015)，從源頭安全管理觀點探討大陸地區人民來台的國境人流管理機制，收錄於中央警察大學移民研究中心2015年人口移動與執法學術研討會論文集。</w:t>
      </w:r>
    </w:p>
    <w:p w:rsidR="002F19DE" w:rsidRPr="002F19DE" w:rsidRDefault="002F19DE" w:rsidP="002F19DE">
      <w:pPr>
        <w:ind w:leftChars="0" w:left="0"/>
        <w:rPr>
          <w:sz w:val="24"/>
          <w:szCs w:val="24"/>
        </w:rPr>
      </w:pPr>
      <w:r w:rsidRPr="002F19DE">
        <w:rPr>
          <w:rFonts w:hint="eastAsia"/>
          <w:sz w:val="24"/>
          <w:szCs w:val="24"/>
        </w:rPr>
        <w:t>◎柯雨瑞、蔡政杰</w:t>
      </w:r>
      <w:r w:rsidRPr="002F19DE">
        <w:rPr>
          <w:sz w:val="24"/>
          <w:szCs w:val="24"/>
        </w:rPr>
        <w:t>(2016)，國土安全與移民政策，獨立作家，頁223-224。</w:t>
      </w:r>
    </w:p>
    <w:p w:rsidR="002F19DE" w:rsidRPr="002F19DE" w:rsidRDefault="002F19DE" w:rsidP="002F19DE">
      <w:pPr>
        <w:ind w:leftChars="0" w:left="0"/>
        <w:rPr>
          <w:sz w:val="24"/>
          <w:szCs w:val="24"/>
        </w:rPr>
      </w:pPr>
      <w:r w:rsidRPr="002F19DE">
        <w:rPr>
          <w:rFonts w:hint="eastAsia"/>
          <w:sz w:val="24"/>
          <w:szCs w:val="24"/>
        </w:rPr>
        <w:t>◎柯慶忠</w:t>
      </w:r>
      <w:r w:rsidRPr="002F19DE">
        <w:rPr>
          <w:sz w:val="24"/>
          <w:szCs w:val="24"/>
        </w:rPr>
        <w:t>(2007)，東協警察組織簡介，刑事雙月刊，第17期。</w:t>
      </w:r>
    </w:p>
    <w:p w:rsidR="002F19DE" w:rsidRPr="002F19DE" w:rsidRDefault="002F19DE" w:rsidP="002F19DE">
      <w:pPr>
        <w:ind w:leftChars="0" w:left="0"/>
        <w:rPr>
          <w:sz w:val="24"/>
          <w:szCs w:val="24"/>
        </w:rPr>
      </w:pPr>
      <w:r w:rsidRPr="002F19DE">
        <w:rPr>
          <w:rFonts w:hint="eastAsia"/>
          <w:sz w:val="24"/>
          <w:szCs w:val="24"/>
        </w:rPr>
        <w:t>◎洪玉儒</w:t>
      </w:r>
      <w:r w:rsidRPr="002F19DE">
        <w:rPr>
          <w:sz w:val="24"/>
          <w:szCs w:val="24"/>
        </w:rPr>
        <w:t>(2006)。美國台灣移民政策的現狀(1980-2004)，中興史學，第12期，頁153-196。</w:t>
      </w:r>
    </w:p>
    <w:p w:rsidR="002F19DE" w:rsidRPr="002F19DE" w:rsidRDefault="002F19DE" w:rsidP="002F19DE">
      <w:pPr>
        <w:ind w:leftChars="0" w:left="0"/>
        <w:rPr>
          <w:sz w:val="24"/>
          <w:szCs w:val="24"/>
        </w:rPr>
      </w:pPr>
      <w:r w:rsidRPr="002F19DE">
        <w:rPr>
          <w:rFonts w:hint="eastAsia"/>
          <w:sz w:val="24"/>
          <w:szCs w:val="24"/>
        </w:rPr>
        <w:t>◎洪泉湖、盧瑞鍾、劉阿榮、李炳南、樊中原</w:t>
      </w:r>
      <w:r w:rsidRPr="002F19DE">
        <w:rPr>
          <w:sz w:val="24"/>
          <w:szCs w:val="24"/>
        </w:rPr>
        <w:t>(2000)，憲法新論，初版，臺北市：幼獅，頁1-370。</w:t>
      </w:r>
    </w:p>
    <w:p w:rsidR="002F19DE" w:rsidRPr="002F19DE" w:rsidRDefault="002F19DE" w:rsidP="002F19DE">
      <w:pPr>
        <w:ind w:leftChars="0" w:left="0"/>
        <w:rPr>
          <w:sz w:val="24"/>
          <w:szCs w:val="24"/>
        </w:rPr>
      </w:pPr>
      <w:r w:rsidRPr="002F19DE">
        <w:rPr>
          <w:rFonts w:hint="eastAsia"/>
          <w:sz w:val="24"/>
          <w:szCs w:val="24"/>
        </w:rPr>
        <w:t>◎洪凱音</w:t>
      </w:r>
      <w:r w:rsidRPr="002F19DE">
        <w:rPr>
          <w:sz w:val="24"/>
          <w:szCs w:val="24"/>
        </w:rPr>
        <w:t>(2017)，教育評比第2名，卻淪為人才中繼站，中國時報A4版，2017年11月22日。</w:t>
      </w:r>
    </w:p>
    <w:p w:rsidR="002F19DE" w:rsidRPr="002F19DE" w:rsidRDefault="002F19DE" w:rsidP="002F19DE">
      <w:pPr>
        <w:ind w:leftChars="0" w:left="0"/>
        <w:rPr>
          <w:sz w:val="24"/>
          <w:szCs w:val="24"/>
        </w:rPr>
      </w:pPr>
      <w:r w:rsidRPr="002F19DE">
        <w:rPr>
          <w:rFonts w:hint="eastAsia"/>
          <w:sz w:val="24"/>
          <w:szCs w:val="24"/>
        </w:rPr>
        <w:t>◎洪嘉仁、王士榮、張若霖、廖瓊樅（</w:t>
      </w:r>
      <w:r w:rsidRPr="002F19DE">
        <w:rPr>
          <w:sz w:val="24"/>
          <w:szCs w:val="24"/>
        </w:rPr>
        <w:t>2011），憲法與立國精神，新北市：高立圖書公司。</w:t>
      </w:r>
    </w:p>
    <w:p w:rsidR="002F19DE" w:rsidRPr="002F19DE" w:rsidRDefault="002F19DE" w:rsidP="002F19DE">
      <w:pPr>
        <w:ind w:leftChars="0" w:left="0"/>
        <w:rPr>
          <w:sz w:val="24"/>
          <w:szCs w:val="24"/>
        </w:rPr>
      </w:pPr>
      <w:r w:rsidRPr="002F19DE">
        <w:rPr>
          <w:rFonts w:hint="eastAsia"/>
          <w:sz w:val="24"/>
          <w:szCs w:val="24"/>
        </w:rPr>
        <w:t>◎美國國務院民主、人權和勞工事務局</w:t>
      </w:r>
      <w:r w:rsidRPr="002F19DE">
        <w:rPr>
          <w:sz w:val="24"/>
          <w:szCs w:val="24"/>
        </w:rPr>
        <w:t>(2012)，2011年度各國人權報告(台灣部分)</w:t>
      </w:r>
      <w:r w:rsidR="00CE2331">
        <w:rPr>
          <w:sz w:val="24"/>
          <w:szCs w:val="24"/>
        </w:rPr>
        <w:t>。</w:t>
      </w:r>
      <w:r w:rsidRPr="002F19DE">
        <w:rPr>
          <w:sz w:val="24"/>
          <w:szCs w:val="24"/>
        </w:rPr>
        <w:t xml:space="preserve"> </w:t>
      </w:r>
    </w:p>
    <w:p w:rsidR="002F19DE" w:rsidRPr="002F19DE" w:rsidRDefault="002F19DE" w:rsidP="002F19DE">
      <w:pPr>
        <w:ind w:leftChars="0" w:left="0"/>
        <w:rPr>
          <w:sz w:val="24"/>
          <w:szCs w:val="24"/>
        </w:rPr>
      </w:pPr>
      <w:r w:rsidRPr="002F19DE">
        <w:rPr>
          <w:rFonts w:hint="eastAsia"/>
          <w:sz w:val="24"/>
          <w:szCs w:val="24"/>
        </w:rPr>
        <w:t>◎胡佛、沈清松、周陽山、石之瑜</w:t>
      </w:r>
      <w:r w:rsidRPr="002F19DE">
        <w:rPr>
          <w:sz w:val="24"/>
          <w:szCs w:val="24"/>
        </w:rPr>
        <w:t>(1993)，中華民國憲法與立國精神，初版，臺北市：三民，頁1-642。</w:t>
      </w:r>
    </w:p>
    <w:p w:rsidR="002F19DE" w:rsidRPr="002F19DE" w:rsidRDefault="002F19DE" w:rsidP="002F19DE">
      <w:pPr>
        <w:ind w:leftChars="0" w:left="0"/>
        <w:rPr>
          <w:sz w:val="24"/>
          <w:szCs w:val="24"/>
        </w:rPr>
      </w:pPr>
      <w:r w:rsidRPr="002F19DE">
        <w:rPr>
          <w:rFonts w:hint="eastAsia"/>
          <w:sz w:val="24"/>
          <w:szCs w:val="24"/>
        </w:rPr>
        <w:t>◎胡龍騰、黃瑋瑩、潘中道合譯（</w:t>
      </w:r>
      <w:r w:rsidRPr="002F19DE">
        <w:rPr>
          <w:sz w:val="24"/>
          <w:szCs w:val="24"/>
        </w:rPr>
        <w:t>2005），研究方法－步驟化學習指南，Ramjit Kumar原著，初版七刷，台北：學富。</w:t>
      </w:r>
    </w:p>
    <w:p w:rsidR="002F19DE" w:rsidRPr="002F19DE" w:rsidRDefault="002F19DE" w:rsidP="00CE2331">
      <w:pPr>
        <w:ind w:leftChars="0" w:left="0"/>
        <w:jc w:val="left"/>
        <w:rPr>
          <w:sz w:val="24"/>
          <w:szCs w:val="24"/>
        </w:rPr>
      </w:pPr>
      <w:r w:rsidRPr="002F19DE">
        <w:rPr>
          <w:rFonts w:hint="eastAsia"/>
          <w:sz w:val="24"/>
          <w:szCs w:val="24"/>
        </w:rPr>
        <w:t>◎范光中、許永河，台灣人口高齡化的社經衝擊，</w:t>
      </w:r>
      <w:hyperlink r:id="rId796" w:history="1">
        <w:r w:rsidRPr="00CE2331">
          <w:rPr>
            <w:rStyle w:val="a7"/>
            <w:rFonts w:cs="Times New Roman"/>
            <w:sz w:val="24"/>
            <w:szCs w:val="24"/>
            <w:lang w:eastAsia="zh-TW" w:bidi="ar-SA"/>
          </w:rPr>
          <w:t>http://www.tagg.org.tw/DOWN/%E9%9B%9C%E8%AA%8C/5-3-%E5%85%A8%E6%96%87/5-3-1%E7%B6%9C%E8%AB%96-%E8%8C%83%E5%85%89%E4%B8%AD-p149-168.pdf</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◎夏曉鵑（</w:t>
      </w:r>
      <w:r w:rsidRPr="002F19DE">
        <w:rPr>
          <w:sz w:val="24"/>
          <w:szCs w:val="24"/>
        </w:rPr>
        <w:t>2000），資本國際化下的國際婚姻-以臺灣的外籍新娘現象為例，臺灣社會研究季刊，第39期，頁47。</w:t>
      </w:r>
    </w:p>
    <w:p w:rsidR="002F19DE" w:rsidRPr="002F19DE" w:rsidRDefault="002F19DE" w:rsidP="002F19DE">
      <w:pPr>
        <w:ind w:leftChars="0" w:left="0"/>
        <w:rPr>
          <w:sz w:val="24"/>
          <w:szCs w:val="24"/>
        </w:rPr>
      </w:pPr>
      <w:r w:rsidRPr="002F19DE">
        <w:rPr>
          <w:rFonts w:hint="eastAsia"/>
          <w:sz w:val="24"/>
          <w:szCs w:val="24"/>
        </w:rPr>
        <w:t>◎夏曉鵑</w:t>
      </w:r>
      <w:r w:rsidRPr="002F19DE">
        <w:rPr>
          <w:sz w:val="24"/>
          <w:szCs w:val="24"/>
        </w:rPr>
        <w:t>(2011)，全球化下臺灣的移民/移工問題，收錄於瞿海源、張苙雲主編(2011)，臺灣的社會問題，臺北：巨流圖書股份有限公司。</w:t>
      </w:r>
    </w:p>
    <w:p w:rsidR="002F19DE" w:rsidRPr="002F19DE" w:rsidRDefault="002F19DE" w:rsidP="002F19DE">
      <w:pPr>
        <w:ind w:leftChars="0" w:left="0"/>
        <w:rPr>
          <w:sz w:val="24"/>
          <w:szCs w:val="24"/>
        </w:rPr>
      </w:pPr>
      <w:r w:rsidRPr="002F19DE">
        <w:rPr>
          <w:rFonts w:hint="eastAsia"/>
          <w:sz w:val="24"/>
          <w:szCs w:val="24"/>
        </w:rPr>
        <w:t>◎夏曉鵑、陳信行、黃德北（</w:t>
      </w:r>
      <w:r w:rsidRPr="002F19DE">
        <w:rPr>
          <w:sz w:val="24"/>
          <w:szCs w:val="24"/>
        </w:rPr>
        <w:t>2008）。跨界流離：全球化下的移民與移工。臺北：臺灣社會研究雜誌社。</w:t>
      </w:r>
    </w:p>
    <w:p w:rsidR="002F19DE" w:rsidRPr="002F19DE" w:rsidRDefault="002F19DE" w:rsidP="002F19DE">
      <w:pPr>
        <w:ind w:leftChars="0" w:left="0"/>
        <w:rPr>
          <w:sz w:val="24"/>
          <w:szCs w:val="24"/>
        </w:rPr>
      </w:pPr>
      <w:r w:rsidRPr="002F19DE">
        <w:rPr>
          <w:rFonts w:hint="eastAsia"/>
          <w:sz w:val="24"/>
          <w:szCs w:val="24"/>
        </w:rPr>
        <w:t>◎孫以凡</w:t>
      </w:r>
      <w:r w:rsidRPr="002F19DE">
        <w:rPr>
          <w:sz w:val="24"/>
          <w:szCs w:val="24"/>
        </w:rPr>
        <w:t>(1996)，外籍勞工法制與國際法上保障之研究，中華法學第6期。</w:t>
      </w:r>
    </w:p>
    <w:p w:rsidR="002F19DE" w:rsidRPr="002F19DE" w:rsidRDefault="002F19DE" w:rsidP="002F19DE">
      <w:pPr>
        <w:ind w:leftChars="0" w:left="0"/>
        <w:rPr>
          <w:sz w:val="24"/>
          <w:szCs w:val="24"/>
        </w:rPr>
      </w:pPr>
      <w:r w:rsidRPr="002F19DE">
        <w:rPr>
          <w:rFonts w:hint="eastAsia"/>
          <w:sz w:val="24"/>
          <w:szCs w:val="24"/>
        </w:rPr>
        <w:t>◎孫健忠（</w:t>
      </w:r>
      <w:r w:rsidRPr="002F19DE">
        <w:rPr>
          <w:sz w:val="24"/>
          <w:szCs w:val="24"/>
        </w:rPr>
        <w:t>2008)，移工社會保障宣言及實施：國際經驗與我國現況的初探，社區發展，第123期</w:t>
      </w:r>
      <w:r w:rsidR="00CE2331">
        <w:rPr>
          <w:sz w:val="24"/>
          <w:szCs w:val="24"/>
        </w:rPr>
        <w:t>。</w:t>
      </w:r>
    </w:p>
    <w:p w:rsidR="002F19DE" w:rsidRPr="002F19DE" w:rsidRDefault="002F19DE" w:rsidP="002F19DE">
      <w:pPr>
        <w:ind w:leftChars="0" w:left="0"/>
        <w:rPr>
          <w:sz w:val="24"/>
          <w:szCs w:val="24"/>
        </w:rPr>
      </w:pPr>
      <w:r w:rsidRPr="002F19DE">
        <w:rPr>
          <w:rFonts w:hint="eastAsia"/>
          <w:sz w:val="24"/>
          <w:szCs w:val="24"/>
        </w:rPr>
        <w:t>◎徐旭輝</w:t>
      </w:r>
      <w:r w:rsidRPr="002F19DE">
        <w:rPr>
          <w:sz w:val="24"/>
          <w:szCs w:val="24"/>
        </w:rPr>
        <w:t>(2011)，破獲剝削外籍勞工案，移民月刊，第19期。</w:t>
      </w:r>
    </w:p>
    <w:p w:rsidR="002F19DE" w:rsidRPr="002F19DE" w:rsidRDefault="002F19DE" w:rsidP="002F19DE">
      <w:pPr>
        <w:ind w:leftChars="0" w:left="0"/>
        <w:rPr>
          <w:sz w:val="24"/>
          <w:szCs w:val="24"/>
        </w:rPr>
      </w:pPr>
      <w:r w:rsidRPr="002F19DE">
        <w:rPr>
          <w:rFonts w:hint="eastAsia"/>
          <w:sz w:val="24"/>
          <w:szCs w:val="24"/>
        </w:rPr>
        <w:t>◎徐振雄</w:t>
      </w:r>
      <w:r w:rsidRPr="002F19DE">
        <w:rPr>
          <w:sz w:val="24"/>
          <w:szCs w:val="24"/>
        </w:rPr>
        <w:t>(2008)，憲法學導論，4版修訂，新北市：高立，頁1-388</w:t>
      </w:r>
      <w:r w:rsidR="00CE2331">
        <w:rPr>
          <w:sz w:val="24"/>
          <w:szCs w:val="24"/>
        </w:rPr>
        <w:t>。</w:t>
      </w:r>
    </w:p>
    <w:p w:rsidR="002F19DE" w:rsidRPr="002F19DE" w:rsidRDefault="002F19DE" w:rsidP="002F19DE">
      <w:pPr>
        <w:ind w:leftChars="0" w:left="0"/>
        <w:rPr>
          <w:sz w:val="24"/>
          <w:szCs w:val="24"/>
        </w:rPr>
      </w:pPr>
      <w:r w:rsidRPr="002F19DE">
        <w:rPr>
          <w:rFonts w:hint="eastAsia"/>
          <w:sz w:val="24"/>
          <w:szCs w:val="24"/>
        </w:rPr>
        <w:t>◎徐揮彥</w:t>
      </w:r>
      <w:r w:rsidRPr="002F19DE">
        <w:rPr>
          <w:sz w:val="24"/>
          <w:szCs w:val="24"/>
        </w:rPr>
        <w:t>(2014)。公民與政治權利國際公約與經濟、社會與文化權利國際公約在我國最高法院與最高行政法院適用之研究，台大法學論叢，第43卷特刊，頁839-909。</w:t>
      </w:r>
    </w:p>
    <w:p w:rsidR="002F19DE" w:rsidRPr="002F19DE" w:rsidRDefault="002F19DE" w:rsidP="002F19DE">
      <w:pPr>
        <w:ind w:leftChars="0" w:left="0"/>
        <w:rPr>
          <w:sz w:val="24"/>
          <w:szCs w:val="24"/>
        </w:rPr>
      </w:pPr>
      <w:r w:rsidRPr="002F19DE">
        <w:rPr>
          <w:rFonts w:hint="eastAsia"/>
          <w:sz w:val="24"/>
          <w:szCs w:val="24"/>
        </w:rPr>
        <w:t>◎徐嘉助（</w:t>
      </w:r>
      <w:r w:rsidRPr="002F19DE">
        <w:rPr>
          <w:sz w:val="24"/>
          <w:szCs w:val="24"/>
        </w:rPr>
        <w:t>2015）。以移民整合政策指數分析臺灣與韓國之移民整合。未出版之碩士論文，中央警察大學外事警察研究所，桃園。</w:t>
      </w:r>
    </w:p>
    <w:p w:rsidR="002F19DE" w:rsidRPr="002F19DE" w:rsidRDefault="002F19DE" w:rsidP="002F19DE">
      <w:pPr>
        <w:ind w:leftChars="0" w:left="0"/>
        <w:rPr>
          <w:sz w:val="24"/>
          <w:szCs w:val="24"/>
        </w:rPr>
      </w:pPr>
      <w:r w:rsidRPr="002F19DE">
        <w:rPr>
          <w:rFonts w:hint="eastAsia"/>
          <w:sz w:val="24"/>
          <w:szCs w:val="24"/>
        </w:rPr>
        <w:t>◎徐榮崇（</w:t>
      </w:r>
      <w:r w:rsidRPr="002F19DE">
        <w:rPr>
          <w:sz w:val="24"/>
          <w:szCs w:val="24"/>
        </w:rPr>
        <w:t xml:space="preserve">2008），跨國的移置與鑲嵌-談加拿大臺灣僑民的移民動機與居住地選擇，臺北市立教育大學學報，第 39 卷第2期，頁44-45。 </w:t>
      </w:r>
    </w:p>
    <w:p w:rsidR="002F19DE" w:rsidRPr="002F19DE" w:rsidRDefault="002F19DE" w:rsidP="002F19DE">
      <w:pPr>
        <w:ind w:leftChars="0" w:left="0"/>
        <w:rPr>
          <w:sz w:val="24"/>
          <w:szCs w:val="24"/>
        </w:rPr>
      </w:pPr>
      <w:r w:rsidRPr="002F19DE">
        <w:rPr>
          <w:rFonts w:hint="eastAsia"/>
          <w:sz w:val="24"/>
          <w:szCs w:val="24"/>
        </w:rPr>
        <w:t>◎徐慧怡</w:t>
      </w:r>
      <w:r w:rsidRPr="002F19DE">
        <w:rPr>
          <w:sz w:val="24"/>
          <w:szCs w:val="24"/>
        </w:rPr>
        <w:t>(1997)。美國移民詐婚修正案之研究，中興法學，第42期，頁137-161。</w:t>
      </w:r>
    </w:p>
    <w:p w:rsidR="002F19DE" w:rsidRPr="002F19DE" w:rsidRDefault="002F19DE" w:rsidP="002F19DE">
      <w:pPr>
        <w:ind w:leftChars="0" w:left="0"/>
        <w:rPr>
          <w:sz w:val="24"/>
          <w:szCs w:val="24"/>
        </w:rPr>
      </w:pPr>
      <w:r w:rsidRPr="002F19DE">
        <w:rPr>
          <w:rFonts w:hint="eastAsia"/>
          <w:sz w:val="24"/>
          <w:szCs w:val="24"/>
        </w:rPr>
        <w:t>◎徐學陶等編著</w:t>
      </w:r>
      <w:r w:rsidRPr="002F19DE">
        <w:rPr>
          <w:sz w:val="24"/>
          <w:szCs w:val="24"/>
        </w:rPr>
        <w:t>(1991)，新加坡外籍勞工制度考察報告，臺北：職業訓練局，頁3至頁55。</w:t>
      </w:r>
    </w:p>
    <w:p w:rsidR="002F19DE" w:rsidRPr="002F19DE" w:rsidRDefault="002F19DE" w:rsidP="002F19DE">
      <w:pPr>
        <w:ind w:leftChars="0" w:left="0"/>
        <w:rPr>
          <w:sz w:val="24"/>
          <w:szCs w:val="24"/>
        </w:rPr>
      </w:pPr>
      <w:r w:rsidRPr="002F19DE">
        <w:rPr>
          <w:rFonts w:hint="eastAsia"/>
          <w:sz w:val="24"/>
          <w:szCs w:val="24"/>
        </w:rPr>
        <w:t>◎柴松林</w:t>
      </w:r>
      <w:r w:rsidRPr="002F19DE">
        <w:rPr>
          <w:sz w:val="24"/>
          <w:szCs w:val="24"/>
        </w:rPr>
        <w:t>(2001)，人權伸張與人權譜系的擴增，收錄於中國人權協會編，人權法典，初版，台北巿：遠流，頁III-V。</w:t>
      </w:r>
    </w:p>
    <w:p w:rsidR="002F19DE" w:rsidRPr="002F19DE" w:rsidRDefault="002F19DE" w:rsidP="002F19DE">
      <w:pPr>
        <w:ind w:leftChars="0" w:left="0"/>
        <w:rPr>
          <w:sz w:val="24"/>
          <w:szCs w:val="24"/>
        </w:rPr>
      </w:pPr>
      <w:r w:rsidRPr="002F19DE">
        <w:rPr>
          <w:rFonts w:hint="eastAsia"/>
          <w:sz w:val="24"/>
          <w:szCs w:val="24"/>
        </w:rPr>
        <w:t>◎柴松林</w:t>
      </w:r>
      <w:r w:rsidRPr="002F19DE">
        <w:rPr>
          <w:sz w:val="24"/>
          <w:szCs w:val="24"/>
        </w:rPr>
        <w:t>(2005)。婚姻移民及其衍生問題的解析，日新，第5期，頁162-173。</w:t>
      </w:r>
    </w:p>
    <w:p w:rsidR="002F19DE" w:rsidRPr="002F19DE" w:rsidRDefault="002F19DE" w:rsidP="002F19DE">
      <w:pPr>
        <w:ind w:leftChars="0" w:left="0"/>
        <w:rPr>
          <w:sz w:val="24"/>
          <w:szCs w:val="24"/>
        </w:rPr>
      </w:pPr>
      <w:r w:rsidRPr="002F19DE">
        <w:rPr>
          <w:rFonts w:hint="eastAsia"/>
          <w:sz w:val="24"/>
          <w:szCs w:val="24"/>
        </w:rPr>
        <w:t>◎桃園縣政府（</w:t>
      </w:r>
      <w:r w:rsidRPr="002F19DE">
        <w:rPr>
          <w:sz w:val="24"/>
          <w:szCs w:val="24"/>
        </w:rPr>
        <w:t>2009），外籍配偶服務專案報告，桃園縣政府九十八年度第二次婦女權益促進委員會報告，頁4-5。</w:t>
      </w:r>
    </w:p>
    <w:p w:rsidR="002F19DE" w:rsidRPr="002F19DE" w:rsidRDefault="002F19DE" w:rsidP="002F19DE">
      <w:pPr>
        <w:ind w:leftChars="0" w:left="0"/>
        <w:rPr>
          <w:sz w:val="24"/>
          <w:szCs w:val="24"/>
        </w:rPr>
      </w:pPr>
      <w:r w:rsidRPr="002F19DE">
        <w:rPr>
          <w:rFonts w:hint="eastAsia"/>
          <w:sz w:val="24"/>
          <w:szCs w:val="24"/>
        </w:rPr>
        <w:t>◎桑原昌宏</w:t>
      </w:r>
      <w:r w:rsidRPr="002F19DE">
        <w:rPr>
          <w:sz w:val="24"/>
          <w:szCs w:val="24"/>
        </w:rPr>
        <w:t>(1991)，產業國際化下外籍勞工問題對勞動關係之影響，就業與訓練，第９卷第１期，頁65至69。</w:t>
      </w:r>
    </w:p>
    <w:p w:rsidR="002F19DE" w:rsidRPr="002F19DE" w:rsidRDefault="002F19DE" w:rsidP="002F19DE">
      <w:pPr>
        <w:ind w:leftChars="0" w:left="0"/>
        <w:rPr>
          <w:sz w:val="24"/>
          <w:szCs w:val="24"/>
        </w:rPr>
      </w:pPr>
      <w:r w:rsidRPr="002F19DE">
        <w:rPr>
          <w:rFonts w:hint="eastAsia"/>
          <w:sz w:val="24"/>
          <w:szCs w:val="24"/>
        </w:rPr>
        <w:t>◎翁里</w:t>
      </w:r>
      <w:r w:rsidRPr="002F19DE">
        <w:rPr>
          <w:sz w:val="24"/>
          <w:szCs w:val="24"/>
        </w:rPr>
        <w:t>(2001)，國際移民法理論與實踐，北京：法律出版。</w:t>
      </w:r>
    </w:p>
    <w:p w:rsidR="002F19DE" w:rsidRPr="002F19DE" w:rsidRDefault="002F19DE" w:rsidP="002F19DE">
      <w:pPr>
        <w:ind w:leftChars="0" w:left="0"/>
        <w:rPr>
          <w:sz w:val="24"/>
          <w:szCs w:val="24"/>
        </w:rPr>
      </w:pPr>
      <w:r w:rsidRPr="002F19DE">
        <w:rPr>
          <w:rFonts w:hint="eastAsia"/>
          <w:sz w:val="24"/>
          <w:szCs w:val="24"/>
        </w:rPr>
        <w:t>◎翁明賢</w:t>
      </w:r>
      <w:r w:rsidRPr="002F19DE">
        <w:rPr>
          <w:sz w:val="24"/>
          <w:szCs w:val="24"/>
        </w:rPr>
        <w:t>(2003)。全球化時代的國家安全。臺北：創世文化事業出版社。</w:t>
      </w:r>
    </w:p>
    <w:p w:rsidR="002F19DE" w:rsidRPr="002F19DE" w:rsidRDefault="002F19DE" w:rsidP="002F19DE">
      <w:pPr>
        <w:ind w:leftChars="0" w:left="0"/>
        <w:rPr>
          <w:sz w:val="24"/>
          <w:szCs w:val="24"/>
        </w:rPr>
      </w:pPr>
      <w:r w:rsidRPr="002F19DE">
        <w:rPr>
          <w:rFonts w:hint="eastAsia"/>
          <w:sz w:val="24"/>
          <w:szCs w:val="24"/>
        </w:rPr>
        <w:t>◎翁萃芳（</w:t>
      </w:r>
      <w:r w:rsidRPr="002F19DE">
        <w:rPr>
          <w:sz w:val="24"/>
          <w:szCs w:val="24"/>
        </w:rPr>
        <w:t>2010），解讀警察情境實務---保安警察，2010 治安與警政學術研討會。</w:t>
      </w:r>
    </w:p>
    <w:p w:rsidR="002F19DE" w:rsidRPr="002F19DE" w:rsidRDefault="002F19DE" w:rsidP="002F19DE">
      <w:pPr>
        <w:ind w:leftChars="0" w:left="0"/>
        <w:rPr>
          <w:sz w:val="24"/>
          <w:szCs w:val="24"/>
        </w:rPr>
      </w:pPr>
      <w:r w:rsidRPr="002F19DE">
        <w:rPr>
          <w:rFonts w:hint="eastAsia"/>
          <w:sz w:val="24"/>
          <w:szCs w:val="24"/>
        </w:rPr>
        <w:t>◎翁燕菁（</w:t>
      </w:r>
      <w:r w:rsidRPr="002F19DE">
        <w:rPr>
          <w:sz w:val="24"/>
          <w:szCs w:val="24"/>
        </w:rPr>
        <w:t xml:space="preserve">2013）。不歧視原則之經濟社會權利保障效力：歐洲人權公約當代課題。歐美研究，43(3)：637-707。 </w:t>
      </w:r>
    </w:p>
    <w:p w:rsidR="002F19DE" w:rsidRPr="002F19DE" w:rsidRDefault="002F19DE" w:rsidP="002F19DE">
      <w:pPr>
        <w:ind w:leftChars="0" w:left="0"/>
        <w:rPr>
          <w:sz w:val="24"/>
          <w:szCs w:val="24"/>
        </w:rPr>
      </w:pPr>
      <w:r w:rsidRPr="002F19DE">
        <w:rPr>
          <w:rFonts w:hint="eastAsia"/>
          <w:sz w:val="24"/>
          <w:szCs w:val="24"/>
        </w:rPr>
        <w:t>◎財團法人臺灣綜合研究院</w:t>
      </w:r>
      <w:r w:rsidRPr="002F19DE">
        <w:rPr>
          <w:sz w:val="24"/>
          <w:szCs w:val="24"/>
        </w:rPr>
        <w:t>(2006)，人口結構變遷對經濟發展之影響，經濟部研究發展委員會委託研究報告。</w:t>
      </w:r>
    </w:p>
    <w:p w:rsidR="002F19DE" w:rsidRPr="002F19DE" w:rsidRDefault="002F19DE" w:rsidP="002F19DE">
      <w:pPr>
        <w:ind w:leftChars="0" w:left="0"/>
        <w:rPr>
          <w:sz w:val="24"/>
          <w:szCs w:val="24"/>
        </w:rPr>
      </w:pPr>
      <w:r w:rsidRPr="002F19DE">
        <w:rPr>
          <w:rFonts w:hint="eastAsia"/>
          <w:sz w:val="24"/>
          <w:szCs w:val="24"/>
        </w:rPr>
        <w:t>◎馬福美</w:t>
      </w:r>
      <w:r w:rsidRPr="002F19DE">
        <w:rPr>
          <w:sz w:val="24"/>
          <w:szCs w:val="24"/>
        </w:rPr>
        <w:t>(2008)，我國移民法制之研究，國立臺灣師範大學政治學研究所國家事務與管理在職進修碩士專班碩士論文。</w:t>
      </w:r>
    </w:p>
    <w:p w:rsidR="002F19DE" w:rsidRPr="002F19DE" w:rsidRDefault="002F19DE" w:rsidP="002F19DE">
      <w:pPr>
        <w:ind w:leftChars="0" w:left="0"/>
        <w:rPr>
          <w:sz w:val="24"/>
          <w:szCs w:val="24"/>
        </w:rPr>
      </w:pPr>
      <w:r w:rsidRPr="002F19DE">
        <w:rPr>
          <w:rFonts w:hint="eastAsia"/>
          <w:sz w:val="24"/>
          <w:szCs w:val="24"/>
        </w:rPr>
        <w:t>◎高佩珊（</w:t>
      </w:r>
      <w:r w:rsidRPr="002F19DE">
        <w:rPr>
          <w:sz w:val="24"/>
          <w:szCs w:val="24"/>
        </w:rPr>
        <w:t>2015）。歐盟移民問題探討。2015年人口移動與執法學術研討會發表之論文，中央警察大學。</w:t>
      </w:r>
    </w:p>
    <w:p w:rsidR="002F19DE" w:rsidRPr="002F19DE" w:rsidRDefault="002F19DE" w:rsidP="002F19DE">
      <w:pPr>
        <w:ind w:leftChars="0" w:left="0"/>
        <w:rPr>
          <w:sz w:val="24"/>
          <w:szCs w:val="24"/>
        </w:rPr>
      </w:pPr>
      <w:r w:rsidRPr="002F19DE">
        <w:rPr>
          <w:rFonts w:hint="eastAsia"/>
          <w:sz w:val="24"/>
          <w:szCs w:val="24"/>
        </w:rPr>
        <w:t>◎高佩珊（</w:t>
      </w:r>
      <w:r w:rsidRPr="002F19DE">
        <w:rPr>
          <w:sz w:val="24"/>
          <w:szCs w:val="24"/>
        </w:rPr>
        <w:t>2016）。歐盟反恐機制分析與探討。2016年國境管理與執法學術研討會發表之論文，中央警察大學。</w:t>
      </w:r>
    </w:p>
    <w:p w:rsidR="002F19DE" w:rsidRPr="002F19DE" w:rsidRDefault="002F19DE" w:rsidP="002F19DE">
      <w:pPr>
        <w:ind w:leftChars="0" w:left="0"/>
        <w:rPr>
          <w:sz w:val="24"/>
          <w:szCs w:val="24"/>
        </w:rPr>
      </w:pPr>
      <w:r w:rsidRPr="002F19DE">
        <w:rPr>
          <w:rFonts w:hint="eastAsia"/>
          <w:sz w:val="24"/>
          <w:szCs w:val="24"/>
        </w:rPr>
        <w:t>◎高佩珊</w:t>
      </w:r>
      <w:r w:rsidRPr="002F19DE">
        <w:rPr>
          <w:sz w:val="24"/>
          <w:szCs w:val="24"/>
        </w:rPr>
        <w:t>(2017)，國土安全之關鍵基礎設施防護研究，發表於2017中央警察大學移民事務與國境管理學術研討會。</w:t>
      </w:r>
    </w:p>
    <w:p w:rsidR="002F19DE" w:rsidRPr="002F19DE" w:rsidRDefault="002F19DE" w:rsidP="002F19DE">
      <w:pPr>
        <w:ind w:leftChars="0" w:left="0"/>
        <w:rPr>
          <w:sz w:val="24"/>
          <w:szCs w:val="24"/>
        </w:rPr>
      </w:pPr>
      <w:r w:rsidRPr="002F19DE">
        <w:rPr>
          <w:rFonts w:hint="eastAsia"/>
          <w:sz w:val="24"/>
          <w:szCs w:val="24"/>
        </w:rPr>
        <w:t>◎高佩珊主編（</w:t>
      </w:r>
      <w:r w:rsidRPr="002F19DE">
        <w:rPr>
          <w:sz w:val="24"/>
          <w:szCs w:val="24"/>
        </w:rPr>
        <w:t>2016）。陳明傳、柯雨瑞、蔡政杰、王智盛、王寬弘、許義寶、黃文志、何招凡、高佩珊等合著（2016）。全球化下之國境執法，臺北：五南圖書出版公司。</w:t>
      </w:r>
    </w:p>
    <w:p w:rsidR="002F19DE" w:rsidRPr="002F19DE" w:rsidRDefault="002F19DE" w:rsidP="002F19DE">
      <w:pPr>
        <w:ind w:leftChars="0" w:left="0"/>
        <w:rPr>
          <w:sz w:val="24"/>
          <w:szCs w:val="24"/>
        </w:rPr>
      </w:pPr>
      <w:r w:rsidRPr="002F19DE">
        <w:rPr>
          <w:rFonts w:hint="eastAsia"/>
          <w:sz w:val="24"/>
          <w:szCs w:val="24"/>
        </w:rPr>
        <w:t>◎高鳳仙（</w:t>
      </w:r>
      <w:r w:rsidRPr="002F19DE">
        <w:rPr>
          <w:sz w:val="24"/>
          <w:szCs w:val="24"/>
        </w:rPr>
        <w:t>1998），家庭暴力防治法規專論，台北：五南圖書出版公司。</w:t>
      </w:r>
    </w:p>
    <w:p w:rsidR="002F19DE" w:rsidRPr="002F19DE" w:rsidRDefault="002F19DE" w:rsidP="002F19DE">
      <w:pPr>
        <w:ind w:leftChars="0" w:left="0"/>
        <w:rPr>
          <w:sz w:val="24"/>
          <w:szCs w:val="24"/>
        </w:rPr>
      </w:pPr>
      <w:r w:rsidRPr="002F19DE">
        <w:rPr>
          <w:rFonts w:hint="eastAsia"/>
          <w:sz w:val="24"/>
          <w:szCs w:val="24"/>
        </w:rPr>
        <w:t>◎高鳳仙</w:t>
      </w:r>
      <w:r w:rsidRPr="002F19DE">
        <w:rPr>
          <w:sz w:val="24"/>
          <w:szCs w:val="24"/>
        </w:rPr>
        <w:t>(2000)。家庭暴力防治法規專論。臺北：五南。</w:t>
      </w:r>
    </w:p>
    <w:p w:rsidR="002F19DE" w:rsidRPr="002F19DE" w:rsidRDefault="002F19DE" w:rsidP="002F19DE">
      <w:pPr>
        <w:ind w:leftChars="0" w:left="0"/>
        <w:rPr>
          <w:sz w:val="24"/>
          <w:szCs w:val="24"/>
        </w:rPr>
      </w:pPr>
      <w:r w:rsidRPr="002F19DE">
        <w:rPr>
          <w:rFonts w:hint="eastAsia"/>
          <w:sz w:val="24"/>
          <w:szCs w:val="24"/>
        </w:rPr>
        <w:t>◎高鳳仙</w:t>
      </w:r>
      <w:r w:rsidRPr="002F19DE">
        <w:rPr>
          <w:sz w:val="24"/>
          <w:szCs w:val="24"/>
        </w:rPr>
        <w:t>(2013)。台灣家庭暴力防治法之刑事保護令解析，萬國法律，第190期，頁51-62。</w:t>
      </w:r>
    </w:p>
    <w:p w:rsidR="002F19DE" w:rsidRPr="002F19DE" w:rsidRDefault="002F19DE" w:rsidP="00CE2331">
      <w:pPr>
        <w:ind w:leftChars="0" w:left="0"/>
        <w:jc w:val="left"/>
        <w:rPr>
          <w:sz w:val="24"/>
          <w:szCs w:val="24"/>
        </w:rPr>
      </w:pPr>
      <w:r w:rsidRPr="002F19DE">
        <w:rPr>
          <w:rFonts w:hint="eastAsia"/>
          <w:sz w:val="24"/>
          <w:szCs w:val="24"/>
        </w:rPr>
        <w:t>◎國立中山大學研究發展處</w:t>
      </w:r>
      <w:r w:rsidRPr="002F19DE">
        <w:rPr>
          <w:sz w:val="24"/>
          <w:szCs w:val="24"/>
        </w:rPr>
        <w:t>(Office of Research and Development, National Sun Yat-sen University)(2017)，血親姻親之親等圖，取自於</w:t>
      </w:r>
      <w:hyperlink r:id="rId797" w:history="1">
        <w:r w:rsidRPr="00CE2331">
          <w:rPr>
            <w:rStyle w:val="a7"/>
            <w:rFonts w:cs="Times New Roman"/>
            <w:sz w:val="24"/>
            <w:szCs w:val="24"/>
            <w:lang w:eastAsia="zh-TW" w:bidi="ar-SA"/>
          </w:rPr>
          <w:t>http://ora.nsysu.edu.tw/files/11-1049-4512-1.php?Lang=zh-tw</w:t>
        </w:r>
      </w:hyperlink>
      <w:r w:rsidRPr="002F19DE">
        <w:rPr>
          <w:sz w:val="24"/>
          <w:szCs w:val="24"/>
        </w:rPr>
        <w:t>。</w:t>
      </w:r>
    </w:p>
    <w:p w:rsidR="002F19DE" w:rsidRPr="002F19DE" w:rsidRDefault="002F19DE" w:rsidP="00CE2331">
      <w:pPr>
        <w:ind w:leftChars="0" w:left="0"/>
        <w:jc w:val="left"/>
        <w:rPr>
          <w:sz w:val="24"/>
          <w:szCs w:val="24"/>
        </w:rPr>
      </w:pPr>
      <w:r w:rsidRPr="002F19DE">
        <w:rPr>
          <w:rFonts w:hint="eastAsia"/>
          <w:sz w:val="24"/>
          <w:szCs w:val="24"/>
        </w:rPr>
        <w:t>◎國立編譯館</w:t>
      </w:r>
      <w:r w:rsidRPr="002F19DE">
        <w:rPr>
          <w:sz w:val="24"/>
          <w:szCs w:val="24"/>
        </w:rPr>
        <w:t>(2009)，人權的概念與標準，臺北巿:國立編譯館，頁58-243</w:t>
      </w:r>
      <w:r w:rsidR="00CE2331">
        <w:rPr>
          <w:sz w:val="24"/>
          <w:szCs w:val="24"/>
        </w:rPr>
        <w:t>。</w:t>
      </w:r>
    </w:p>
    <w:p w:rsidR="002F19DE" w:rsidRPr="002F19DE" w:rsidRDefault="002F19DE" w:rsidP="00CE2331">
      <w:pPr>
        <w:ind w:leftChars="0" w:left="0"/>
        <w:jc w:val="left"/>
        <w:rPr>
          <w:sz w:val="24"/>
          <w:szCs w:val="24"/>
        </w:rPr>
      </w:pPr>
      <w:r w:rsidRPr="002F19DE">
        <w:rPr>
          <w:rFonts w:hint="eastAsia"/>
          <w:sz w:val="24"/>
          <w:szCs w:val="24"/>
        </w:rPr>
        <w:t>◎國家發展委員會</w:t>
      </w:r>
      <w:r w:rsidRPr="002F19DE">
        <w:rPr>
          <w:sz w:val="24"/>
          <w:szCs w:val="24"/>
        </w:rPr>
        <w:t>(2017)，2017年IMD世界競爭力我國排名維持全球第14名，國家發展委員會新聞稿，發布日期：2017年6月1日，</w:t>
      </w:r>
      <w:hyperlink r:id="rId798" w:history="1">
        <w:r w:rsidRPr="00CE2331">
          <w:rPr>
            <w:rStyle w:val="a7"/>
            <w:rFonts w:cs="Times New Roman"/>
            <w:sz w:val="24"/>
            <w:szCs w:val="24"/>
            <w:lang w:eastAsia="zh-TW" w:bidi="ar-SA"/>
          </w:rPr>
          <w:t>https://www.ndc.gov.tw/News_Content.aspx?n=114AAE178CD95D4C&amp;sms=DF717169EA26F1A3&amp;s=5E5A4ED7DF4A900F&amp;Create=1</w:t>
        </w:r>
      </w:hyperlink>
      <w:r w:rsidRPr="002F19DE">
        <w:rPr>
          <w:sz w:val="24"/>
          <w:szCs w:val="24"/>
        </w:rPr>
        <w:t>。</w:t>
      </w:r>
    </w:p>
    <w:p w:rsidR="002F19DE" w:rsidRPr="002F19DE" w:rsidRDefault="002F19DE" w:rsidP="00CE2331">
      <w:pPr>
        <w:ind w:leftChars="0" w:left="0"/>
        <w:jc w:val="left"/>
        <w:rPr>
          <w:sz w:val="24"/>
          <w:szCs w:val="24"/>
        </w:rPr>
      </w:pPr>
      <w:r w:rsidRPr="002F19DE">
        <w:rPr>
          <w:rFonts w:hint="eastAsia"/>
          <w:sz w:val="24"/>
          <w:szCs w:val="24"/>
        </w:rPr>
        <w:t>◎</w:t>
      </w:r>
      <w:r w:rsidRPr="002F19DE">
        <w:rPr>
          <w:sz w:val="24"/>
          <w:szCs w:val="24"/>
        </w:rPr>
        <w:t xml:space="preserve"> 國家發展委員會(2017)，育才、留才及攬才整合方案，</w:t>
      </w:r>
      <w:hyperlink r:id="rId799" w:history="1">
        <w:r w:rsidRPr="00CE2331">
          <w:rPr>
            <w:rStyle w:val="a7"/>
            <w:rFonts w:cs="Times New Roman"/>
            <w:sz w:val="24"/>
            <w:szCs w:val="24"/>
            <w:lang w:eastAsia="zh-TW" w:bidi="ar-SA"/>
          </w:rPr>
          <w:t>https://www.ndc.gov.tw/cp.aspx?n=43E064AE4DB3FD96&amp;upn=83E8E2C85878BB68</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◎國家發展委員會（</w:t>
      </w:r>
      <w:r w:rsidRPr="002F19DE">
        <w:rPr>
          <w:sz w:val="24"/>
          <w:szCs w:val="24"/>
        </w:rPr>
        <w:t xml:space="preserve">2017）。國發會推動外國人才專法，鼓勵人才來臺並留臺！The NDC is planning a foreign talent act to encourage more foreign professional talent to work and live in Taiwan. Retrieved from </w:t>
      </w:r>
      <w:hyperlink r:id="rId800" w:history="1">
        <w:r w:rsidRPr="00CE2331">
          <w:rPr>
            <w:rStyle w:val="a7"/>
            <w:rFonts w:cs="Times New Roman"/>
            <w:sz w:val="24"/>
            <w:szCs w:val="24"/>
            <w:lang w:eastAsia="zh-TW" w:bidi="ar-SA"/>
          </w:rPr>
          <w:t>https://join.gov.tw/policies/detail/877b8764-4623-4c2a-9fc4- 124d2f6e3f2c</w:t>
        </w:r>
      </w:hyperlink>
      <w:r w:rsidRPr="002F19DE">
        <w:rPr>
          <w:sz w:val="24"/>
          <w:szCs w:val="24"/>
        </w:rPr>
        <w:t xml:space="preserve">. </w:t>
      </w:r>
    </w:p>
    <w:p w:rsidR="002F19DE" w:rsidRPr="002F19DE" w:rsidRDefault="002F19DE" w:rsidP="002F19DE">
      <w:pPr>
        <w:ind w:leftChars="0" w:left="0"/>
        <w:rPr>
          <w:sz w:val="24"/>
          <w:szCs w:val="24"/>
        </w:rPr>
      </w:pPr>
      <w:r w:rsidRPr="002F19DE">
        <w:rPr>
          <w:rFonts w:hint="eastAsia"/>
          <w:sz w:val="24"/>
          <w:szCs w:val="24"/>
        </w:rPr>
        <w:t>◎國家發展委員會</w:t>
      </w:r>
      <w:r w:rsidRPr="002F19DE">
        <w:rPr>
          <w:sz w:val="24"/>
          <w:szCs w:val="24"/>
        </w:rPr>
        <w:t>(2018)，國家發展委員會外國專業人才延攬及僱用法資訊專頁，</w:t>
      </w:r>
      <w:hyperlink r:id="rId801" w:history="1">
        <w:r w:rsidRPr="00CE2331">
          <w:rPr>
            <w:rStyle w:val="a7"/>
            <w:rFonts w:cs="Times New Roman"/>
            <w:sz w:val="24"/>
            <w:szCs w:val="24"/>
            <w:lang w:eastAsia="zh-TW" w:bidi="ar-SA"/>
          </w:rPr>
          <w:t>https://foreigntalentact.ndc.gov.tw/Content_List.aspx?n=AA24EC33DACC5CB7</w:t>
        </w:r>
      </w:hyperlink>
      <w:r w:rsidRPr="002F19DE">
        <w:rPr>
          <w:sz w:val="24"/>
          <w:szCs w:val="24"/>
        </w:rPr>
        <w:t>，瀏覽日期：2018年3月30日。</w:t>
      </w:r>
    </w:p>
    <w:p w:rsidR="002F19DE" w:rsidRPr="002F19DE" w:rsidRDefault="002F19DE" w:rsidP="002F19DE">
      <w:pPr>
        <w:ind w:leftChars="0" w:left="0"/>
        <w:rPr>
          <w:sz w:val="24"/>
          <w:szCs w:val="24"/>
        </w:rPr>
      </w:pPr>
      <w:r w:rsidRPr="002F19DE">
        <w:rPr>
          <w:rFonts w:hint="eastAsia"/>
          <w:sz w:val="24"/>
          <w:szCs w:val="24"/>
        </w:rPr>
        <w:t>◎國家發展委員會，外國專業人才延攬及僱用法，</w:t>
      </w:r>
      <w:hyperlink r:id="rId802" w:history="1">
        <w:r w:rsidRPr="00CE2331">
          <w:rPr>
            <w:rStyle w:val="a7"/>
            <w:rFonts w:cs="Times New Roman"/>
            <w:sz w:val="24"/>
            <w:szCs w:val="24"/>
            <w:lang w:eastAsia="zh-TW" w:bidi="ar-SA"/>
          </w:rPr>
          <w:t>https://www.ndc.gov.tw/Content_List.aspx?n=E61E31EE6FB10140&amp;upn=0A078649EEC83462</w:t>
        </w:r>
      </w:hyperlink>
    </w:p>
    <w:p w:rsidR="002F19DE" w:rsidRPr="002F19DE" w:rsidRDefault="002F19DE" w:rsidP="002F19DE">
      <w:pPr>
        <w:ind w:leftChars="0" w:left="0"/>
        <w:rPr>
          <w:sz w:val="24"/>
          <w:szCs w:val="24"/>
        </w:rPr>
      </w:pPr>
      <w:r w:rsidRPr="002F19DE">
        <w:rPr>
          <w:rFonts w:hint="eastAsia"/>
          <w:sz w:val="24"/>
          <w:szCs w:val="24"/>
        </w:rPr>
        <w:t>◎崔衛國、汪建豐</w:t>
      </w:r>
      <w:r w:rsidRPr="002F19DE">
        <w:rPr>
          <w:sz w:val="24"/>
          <w:szCs w:val="24"/>
        </w:rPr>
        <w:t>(2009)，社會科學學導論，北京：中國社會科學出版社。</w:t>
      </w:r>
    </w:p>
    <w:p w:rsidR="002F19DE" w:rsidRPr="002F19DE" w:rsidRDefault="002F19DE" w:rsidP="002F19DE">
      <w:pPr>
        <w:ind w:leftChars="0" w:left="0"/>
        <w:rPr>
          <w:sz w:val="24"/>
          <w:szCs w:val="24"/>
        </w:rPr>
      </w:pPr>
      <w:r w:rsidRPr="002F19DE">
        <w:rPr>
          <w:rFonts w:hint="eastAsia"/>
          <w:sz w:val="24"/>
          <w:szCs w:val="24"/>
        </w:rPr>
        <w:t>◎常律法師</w:t>
      </w:r>
      <w:r w:rsidRPr="002F19DE">
        <w:rPr>
          <w:sz w:val="24"/>
          <w:szCs w:val="24"/>
        </w:rPr>
        <w:t>(2001)，清涼法語，宇河文化出版有限公司。</w:t>
      </w:r>
    </w:p>
    <w:p w:rsidR="002F19DE" w:rsidRPr="002F19DE" w:rsidRDefault="002F19DE" w:rsidP="002F19DE">
      <w:pPr>
        <w:ind w:leftChars="0" w:left="0"/>
        <w:rPr>
          <w:sz w:val="24"/>
          <w:szCs w:val="24"/>
        </w:rPr>
      </w:pPr>
      <w:r w:rsidRPr="002F19DE">
        <w:rPr>
          <w:rFonts w:hint="eastAsia"/>
          <w:sz w:val="24"/>
          <w:szCs w:val="24"/>
        </w:rPr>
        <w:t>◎張文貞</w:t>
      </w:r>
      <w:r w:rsidRPr="002F19DE">
        <w:rPr>
          <w:sz w:val="24"/>
          <w:szCs w:val="24"/>
        </w:rPr>
        <w:t>(2013)。2012年憲法發展回顧，台大法學論叢，第42卷特刊，頁933-965。</w:t>
      </w:r>
    </w:p>
    <w:p w:rsidR="002F19DE" w:rsidRPr="002F19DE" w:rsidRDefault="002F19DE" w:rsidP="002F19DE">
      <w:pPr>
        <w:ind w:leftChars="0" w:left="0"/>
        <w:rPr>
          <w:sz w:val="24"/>
          <w:szCs w:val="24"/>
        </w:rPr>
      </w:pPr>
      <w:r w:rsidRPr="002F19DE">
        <w:rPr>
          <w:rFonts w:hint="eastAsia"/>
          <w:sz w:val="24"/>
          <w:szCs w:val="24"/>
        </w:rPr>
        <w:t>◎張文貞</w:t>
      </w:r>
      <w:r w:rsidRPr="002F19DE">
        <w:rPr>
          <w:sz w:val="24"/>
          <w:szCs w:val="24"/>
        </w:rPr>
        <w:t>(2013)。兩公約國際審查的困局：法務部作為秘書處的定位失當，臺灣人權學刊，第2卷第1期，頁141-150。</w:t>
      </w:r>
    </w:p>
    <w:p w:rsidR="002F19DE" w:rsidRPr="002F19DE" w:rsidRDefault="002F19DE" w:rsidP="002F19DE">
      <w:pPr>
        <w:ind w:leftChars="0" w:left="0"/>
        <w:rPr>
          <w:sz w:val="24"/>
          <w:szCs w:val="24"/>
        </w:rPr>
      </w:pPr>
      <w:r w:rsidRPr="002F19DE">
        <w:rPr>
          <w:rFonts w:hint="eastAsia"/>
          <w:sz w:val="24"/>
          <w:szCs w:val="24"/>
        </w:rPr>
        <w:t>◎張文貞、呂尚雲</w:t>
      </w:r>
      <w:r w:rsidRPr="002F19DE">
        <w:rPr>
          <w:sz w:val="24"/>
          <w:szCs w:val="24"/>
        </w:rPr>
        <w:t>(2011)。兩公約與環境人權的主張，臺灣人權學刊，第1卷第1期，頁69-102。</w:t>
      </w:r>
    </w:p>
    <w:p w:rsidR="002F19DE" w:rsidRPr="002F19DE" w:rsidRDefault="002F19DE" w:rsidP="002F19DE">
      <w:pPr>
        <w:ind w:leftChars="0" w:left="0"/>
        <w:rPr>
          <w:sz w:val="24"/>
          <w:szCs w:val="24"/>
        </w:rPr>
      </w:pPr>
      <w:r w:rsidRPr="002F19DE">
        <w:rPr>
          <w:rFonts w:hint="eastAsia"/>
          <w:sz w:val="24"/>
          <w:szCs w:val="24"/>
        </w:rPr>
        <w:t>◎張亞中</w:t>
      </w:r>
      <w:r w:rsidRPr="002F19DE">
        <w:rPr>
          <w:sz w:val="24"/>
          <w:szCs w:val="24"/>
        </w:rPr>
        <w:t>(2004)。移民與基本權利：移民政治參與權的提出，政治科學論叢，第22期，頁67-90。</w:t>
      </w:r>
    </w:p>
    <w:p w:rsidR="002F19DE" w:rsidRPr="002F19DE" w:rsidRDefault="002F19DE" w:rsidP="002F19DE">
      <w:pPr>
        <w:ind w:leftChars="0" w:left="0"/>
        <w:rPr>
          <w:sz w:val="24"/>
          <w:szCs w:val="24"/>
        </w:rPr>
      </w:pPr>
      <w:r w:rsidRPr="002F19DE">
        <w:rPr>
          <w:rFonts w:hint="eastAsia"/>
          <w:sz w:val="24"/>
          <w:szCs w:val="24"/>
        </w:rPr>
        <w:t>◎張為竣（</w:t>
      </w:r>
      <w:r w:rsidRPr="002F19DE">
        <w:rPr>
          <w:sz w:val="24"/>
          <w:szCs w:val="24"/>
        </w:rPr>
        <w:t xml:space="preserve">2016）。歐洲商會提臺灣5大問題建議改善免阻發展，Retrieved from </w:t>
      </w:r>
      <w:hyperlink r:id="rId803" w:history="1">
        <w:r w:rsidRPr="00CE2331">
          <w:rPr>
            <w:rStyle w:val="a7"/>
            <w:rFonts w:cs="Times New Roman"/>
            <w:sz w:val="24"/>
            <w:szCs w:val="24"/>
            <w:lang w:eastAsia="zh-TW" w:bidi="ar-SA"/>
          </w:rPr>
          <w:t>https://udn.com/news/story/7238/2097397</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◎張晉芬（</w:t>
      </w:r>
      <w:r w:rsidRPr="002F19DE">
        <w:rPr>
          <w:sz w:val="24"/>
          <w:szCs w:val="24"/>
        </w:rPr>
        <w:t>2013）。全球化效果的侷限：臺灣民眾對接納跨國移民的態度。臺灣社會學刊52：131-167。</w:t>
      </w:r>
    </w:p>
    <w:p w:rsidR="002F19DE" w:rsidRPr="002F19DE" w:rsidRDefault="002F19DE" w:rsidP="002F19DE">
      <w:pPr>
        <w:ind w:leftChars="0" w:left="0"/>
        <w:rPr>
          <w:sz w:val="24"/>
          <w:szCs w:val="24"/>
        </w:rPr>
      </w:pPr>
      <w:r w:rsidRPr="002F19DE">
        <w:rPr>
          <w:rFonts w:hint="eastAsia"/>
          <w:sz w:val="24"/>
          <w:szCs w:val="24"/>
        </w:rPr>
        <w:t>◎張素紅</w:t>
      </w:r>
      <w:r w:rsidRPr="002F19DE">
        <w:rPr>
          <w:sz w:val="24"/>
          <w:szCs w:val="24"/>
        </w:rPr>
        <w:t>(2012)，考察新加坡移民政策，內政部入出國及移民署出國考察報告。</w:t>
      </w:r>
    </w:p>
    <w:p w:rsidR="002F19DE" w:rsidRPr="002F19DE" w:rsidRDefault="002F19DE" w:rsidP="002F19DE">
      <w:pPr>
        <w:ind w:leftChars="0" w:left="0"/>
        <w:rPr>
          <w:sz w:val="24"/>
          <w:szCs w:val="24"/>
        </w:rPr>
      </w:pPr>
      <w:r w:rsidRPr="002F19DE">
        <w:rPr>
          <w:rFonts w:hint="eastAsia"/>
          <w:sz w:val="24"/>
          <w:szCs w:val="24"/>
        </w:rPr>
        <w:t>◎張淑中、姚中原（</w:t>
      </w:r>
      <w:r w:rsidRPr="002F19DE">
        <w:rPr>
          <w:sz w:val="24"/>
          <w:szCs w:val="24"/>
        </w:rPr>
        <w:t>2012），台灣憲政改革－修憲理論、政治過程與制度影響，台北市：五南圖書公司。</w:t>
      </w:r>
    </w:p>
    <w:p w:rsidR="002F19DE" w:rsidRPr="002F19DE" w:rsidRDefault="002F19DE" w:rsidP="002F19DE">
      <w:pPr>
        <w:ind w:leftChars="0" w:left="0"/>
        <w:rPr>
          <w:sz w:val="24"/>
          <w:szCs w:val="24"/>
        </w:rPr>
      </w:pPr>
      <w:r w:rsidRPr="002F19DE">
        <w:rPr>
          <w:rFonts w:hint="eastAsia"/>
          <w:sz w:val="24"/>
          <w:szCs w:val="24"/>
        </w:rPr>
        <w:t>◎張添童</w:t>
      </w:r>
      <w:r w:rsidRPr="002F19DE">
        <w:rPr>
          <w:sz w:val="24"/>
          <w:szCs w:val="24"/>
        </w:rPr>
        <w:t>(2010)，台灣外籍勞工行蹤不明之研究，逢甲大學公共政策研究所碩士論文。</w:t>
      </w:r>
    </w:p>
    <w:p w:rsidR="002F19DE" w:rsidRPr="002F19DE" w:rsidRDefault="002F19DE" w:rsidP="002F19DE">
      <w:pPr>
        <w:ind w:leftChars="0" w:left="0"/>
        <w:rPr>
          <w:sz w:val="24"/>
          <w:szCs w:val="24"/>
        </w:rPr>
      </w:pPr>
      <w:r w:rsidRPr="002F19DE">
        <w:rPr>
          <w:rFonts w:hint="eastAsia"/>
          <w:sz w:val="24"/>
          <w:szCs w:val="24"/>
        </w:rPr>
        <w:t>◎張瑞源</w:t>
      </w:r>
      <w:r w:rsidRPr="002F19DE">
        <w:rPr>
          <w:sz w:val="24"/>
          <w:szCs w:val="24"/>
        </w:rPr>
        <w:t>(2006)，台灣外勞管理機制之探討---以高雄捷運泰勞事件為例，東海大學政治學系碩士論文，頁114-126。</w:t>
      </w:r>
    </w:p>
    <w:p w:rsidR="002F19DE" w:rsidRPr="002F19DE" w:rsidRDefault="002F19DE" w:rsidP="002F19DE">
      <w:pPr>
        <w:ind w:leftChars="0" w:left="0"/>
        <w:rPr>
          <w:sz w:val="24"/>
          <w:szCs w:val="24"/>
        </w:rPr>
      </w:pPr>
      <w:r w:rsidRPr="002F19DE">
        <w:rPr>
          <w:rFonts w:hint="eastAsia"/>
          <w:sz w:val="24"/>
          <w:szCs w:val="24"/>
        </w:rPr>
        <w:t>◎曹顧齡</w:t>
      </w:r>
      <w:r w:rsidRPr="002F19DE">
        <w:rPr>
          <w:sz w:val="24"/>
          <w:szCs w:val="24"/>
        </w:rPr>
        <w:t>(2010)，人權大步走，落實兩公約，移民月刊，第2期。</w:t>
      </w:r>
    </w:p>
    <w:p w:rsidR="002F19DE" w:rsidRPr="002F19DE" w:rsidRDefault="002F19DE" w:rsidP="002F19DE">
      <w:pPr>
        <w:ind w:leftChars="0" w:left="0"/>
        <w:rPr>
          <w:sz w:val="24"/>
          <w:szCs w:val="24"/>
        </w:rPr>
      </w:pPr>
      <w:r w:rsidRPr="002F19DE">
        <w:rPr>
          <w:rFonts w:hint="eastAsia"/>
          <w:sz w:val="24"/>
          <w:szCs w:val="24"/>
        </w:rPr>
        <w:t>◎梁添盛</w:t>
      </w:r>
      <w:r w:rsidRPr="002F19DE">
        <w:rPr>
          <w:sz w:val="24"/>
          <w:szCs w:val="24"/>
        </w:rPr>
        <w:t>(2011)，論我國警察任務規範之修正，警察法學10 期，1</w:t>
      </w:r>
      <w:r w:rsidRPr="002F19DE">
        <w:rPr>
          <w:rFonts w:hint="eastAsia"/>
          <w:sz w:val="24"/>
          <w:szCs w:val="24"/>
        </w:rPr>
        <w:t>〜</w:t>
      </w:r>
      <w:r w:rsidRPr="002F19DE">
        <w:rPr>
          <w:sz w:val="24"/>
          <w:szCs w:val="24"/>
        </w:rPr>
        <w:t>34 頁。</w:t>
      </w:r>
    </w:p>
    <w:p w:rsidR="002F19DE" w:rsidRPr="002F19DE" w:rsidRDefault="002F19DE" w:rsidP="002F19DE">
      <w:pPr>
        <w:ind w:leftChars="0" w:left="0"/>
        <w:rPr>
          <w:sz w:val="24"/>
          <w:szCs w:val="24"/>
        </w:rPr>
      </w:pPr>
      <w:r w:rsidRPr="002F19DE">
        <w:rPr>
          <w:rFonts w:hint="eastAsia"/>
          <w:sz w:val="24"/>
          <w:szCs w:val="24"/>
        </w:rPr>
        <w:t>◎梁添盛</w:t>
      </w:r>
      <w:r w:rsidRPr="002F19DE">
        <w:rPr>
          <w:sz w:val="24"/>
          <w:szCs w:val="24"/>
        </w:rPr>
        <w:t>(2011)，論警察權限之強制手段與任意手段，中央警察大學學報48 期，223</w:t>
      </w:r>
      <w:r w:rsidRPr="002F19DE">
        <w:rPr>
          <w:rFonts w:hint="eastAsia"/>
          <w:sz w:val="24"/>
          <w:szCs w:val="24"/>
        </w:rPr>
        <w:t>〜</w:t>
      </w:r>
      <w:r w:rsidRPr="002F19DE">
        <w:rPr>
          <w:sz w:val="24"/>
          <w:szCs w:val="24"/>
        </w:rPr>
        <w:t>260 頁。</w:t>
      </w:r>
    </w:p>
    <w:p w:rsidR="002F19DE" w:rsidRPr="002F19DE" w:rsidRDefault="002F19DE" w:rsidP="002F19DE">
      <w:pPr>
        <w:ind w:leftChars="0" w:left="0"/>
        <w:rPr>
          <w:sz w:val="24"/>
          <w:szCs w:val="24"/>
        </w:rPr>
      </w:pPr>
      <w:r w:rsidRPr="002F19DE">
        <w:rPr>
          <w:rFonts w:hint="eastAsia"/>
          <w:sz w:val="24"/>
          <w:szCs w:val="24"/>
        </w:rPr>
        <w:t>◎梁添盛</w:t>
      </w:r>
      <w:r w:rsidRPr="002F19DE">
        <w:rPr>
          <w:sz w:val="24"/>
          <w:szCs w:val="24"/>
        </w:rPr>
        <w:t>(2012)，論警察權限法上之強制手段與任意手段，101年度警察執法專題研究年報，1</w:t>
      </w:r>
      <w:r w:rsidRPr="002F19DE">
        <w:rPr>
          <w:rFonts w:hint="eastAsia"/>
          <w:sz w:val="24"/>
          <w:szCs w:val="24"/>
        </w:rPr>
        <w:t>〜</w:t>
      </w:r>
      <w:r w:rsidRPr="002F19DE">
        <w:rPr>
          <w:sz w:val="24"/>
          <w:szCs w:val="24"/>
        </w:rPr>
        <w:t>44 頁。</w:t>
      </w:r>
    </w:p>
    <w:p w:rsidR="002F19DE" w:rsidRPr="002F19DE" w:rsidRDefault="002F19DE" w:rsidP="002F19DE">
      <w:pPr>
        <w:ind w:leftChars="0" w:left="0"/>
        <w:rPr>
          <w:sz w:val="24"/>
          <w:szCs w:val="24"/>
        </w:rPr>
      </w:pPr>
      <w:r w:rsidRPr="002F19DE">
        <w:rPr>
          <w:rFonts w:hint="eastAsia"/>
          <w:sz w:val="24"/>
          <w:szCs w:val="24"/>
        </w:rPr>
        <w:t>◎梅可望、陳明傳、朱清池等合著</w:t>
      </w:r>
      <w:r w:rsidRPr="002F19DE">
        <w:rPr>
          <w:sz w:val="24"/>
          <w:szCs w:val="24"/>
        </w:rPr>
        <w:t>(2008)，警察學，桃園：中央警察大學，頁25-32。</w:t>
      </w:r>
    </w:p>
    <w:p w:rsidR="002F19DE" w:rsidRPr="002F19DE" w:rsidRDefault="002F19DE" w:rsidP="002F19DE">
      <w:pPr>
        <w:ind w:leftChars="0" w:left="0"/>
        <w:rPr>
          <w:sz w:val="24"/>
          <w:szCs w:val="24"/>
        </w:rPr>
      </w:pPr>
      <w:r w:rsidRPr="002F19DE">
        <w:rPr>
          <w:rFonts w:hint="eastAsia"/>
          <w:sz w:val="24"/>
          <w:szCs w:val="24"/>
        </w:rPr>
        <w:t>◎梅可望、陳明傳、朱清池等合著</w:t>
      </w:r>
      <w:r w:rsidRPr="002F19DE">
        <w:rPr>
          <w:sz w:val="24"/>
          <w:szCs w:val="24"/>
        </w:rPr>
        <w:t>(2008)，警察學，桃園：中央警察大學。</w:t>
      </w:r>
    </w:p>
    <w:p w:rsidR="002F19DE" w:rsidRPr="002F19DE" w:rsidRDefault="002F19DE" w:rsidP="002F19DE">
      <w:pPr>
        <w:ind w:leftChars="0" w:left="0"/>
        <w:rPr>
          <w:sz w:val="24"/>
          <w:szCs w:val="24"/>
        </w:rPr>
      </w:pPr>
      <w:r w:rsidRPr="002F19DE">
        <w:rPr>
          <w:rFonts w:hint="eastAsia"/>
          <w:sz w:val="24"/>
          <w:szCs w:val="24"/>
        </w:rPr>
        <w:t>◎梅可望等人合著</w:t>
      </w:r>
      <w:r w:rsidRPr="002F19DE">
        <w:rPr>
          <w:sz w:val="24"/>
          <w:szCs w:val="24"/>
        </w:rPr>
        <w:t>(2008)，警察學，桃園：中央警察大學。</w:t>
      </w:r>
    </w:p>
    <w:p w:rsidR="002F19DE" w:rsidRPr="002F19DE" w:rsidRDefault="002F19DE" w:rsidP="002F19DE">
      <w:pPr>
        <w:ind w:leftChars="0" w:left="0"/>
        <w:rPr>
          <w:sz w:val="24"/>
          <w:szCs w:val="24"/>
        </w:rPr>
      </w:pPr>
      <w:r w:rsidRPr="002F19DE">
        <w:rPr>
          <w:rFonts w:hint="eastAsia"/>
          <w:sz w:val="24"/>
          <w:szCs w:val="24"/>
        </w:rPr>
        <w:t>◎梅秀庭</w:t>
      </w:r>
      <w:r w:rsidRPr="002F19DE">
        <w:rPr>
          <w:sz w:val="24"/>
          <w:szCs w:val="24"/>
        </w:rPr>
        <w:t>(2014)。日本外國移民管理經驗及對中國的啟示，日本問題研究，第28卷第6期，頁25-30。</w:t>
      </w:r>
    </w:p>
    <w:p w:rsidR="002F19DE" w:rsidRPr="002F19DE" w:rsidRDefault="002F19DE" w:rsidP="00CE2331">
      <w:pPr>
        <w:ind w:leftChars="0" w:left="0"/>
        <w:jc w:val="left"/>
        <w:rPr>
          <w:sz w:val="24"/>
          <w:szCs w:val="24"/>
        </w:rPr>
      </w:pPr>
      <w:r w:rsidRPr="002F19DE">
        <w:rPr>
          <w:rFonts w:hint="eastAsia"/>
          <w:sz w:val="24"/>
          <w:szCs w:val="24"/>
        </w:rPr>
        <w:t>◎移民署</w:t>
      </w:r>
      <w:r w:rsidRPr="002F19DE">
        <w:rPr>
          <w:sz w:val="24"/>
          <w:szCs w:val="24"/>
        </w:rPr>
        <w:t>(106)，106年5月統計資料，</w:t>
      </w:r>
      <w:hyperlink r:id="rId804" w:history="1">
        <w:r w:rsidRPr="00CE2331">
          <w:rPr>
            <w:rStyle w:val="a7"/>
            <w:rFonts w:cs="Times New Roman"/>
            <w:sz w:val="24"/>
            <w:szCs w:val="24"/>
            <w:lang w:eastAsia="zh-TW" w:bidi="ar-SA"/>
          </w:rPr>
          <w:t>https://www.immigration.gov.tw/lp.asp?ctNode=29699&amp;CtUnit=16434&amp;BaseDSD=7&amp;mp=1</w:t>
        </w:r>
      </w:hyperlink>
      <w:r w:rsidRPr="002F19DE">
        <w:rPr>
          <w:sz w:val="24"/>
          <w:szCs w:val="24"/>
        </w:rPr>
        <w:t>（查閱日期2017年7月13日）。</w:t>
      </w:r>
    </w:p>
    <w:p w:rsidR="002F19DE" w:rsidRPr="002F19DE" w:rsidRDefault="002F19DE" w:rsidP="002F19DE">
      <w:pPr>
        <w:ind w:leftChars="0" w:left="0"/>
        <w:rPr>
          <w:sz w:val="24"/>
          <w:szCs w:val="24"/>
        </w:rPr>
      </w:pPr>
      <w:r w:rsidRPr="002F19DE">
        <w:rPr>
          <w:rFonts w:hint="eastAsia"/>
          <w:sz w:val="24"/>
          <w:szCs w:val="24"/>
        </w:rPr>
        <w:t>◎章光明</w:t>
      </w:r>
      <w:r w:rsidRPr="002F19DE">
        <w:rPr>
          <w:sz w:val="24"/>
          <w:szCs w:val="24"/>
        </w:rPr>
        <w:t>(2013)，臺灣警政發展史，桃園：中央警察大學，頁113-114。</w:t>
      </w:r>
    </w:p>
    <w:p w:rsidR="002F19DE" w:rsidRPr="002F19DE" w:rsidRDefault="002F19DE" w:rsidP="002F19DE">
      <w:pPr>
        <w:ind w:leftChars="0" w:left="0"/>
        <w:rPr>
          <w:sz w:val="24"/>
          <w:szCs w:val="24"/>
        </w:rPr>
      </w:pPr>
      <w:r w:rsidRPr="002F19DE">
        <w:rPr>
          <w:rFonts w:hint="eastAsia"/>
          <w:sz w:val="24"/>
          <w:szCs w:val="24"/>
        </w:rPr>
        <w:t>◎許世楷編</w:t>
      </w:r>
      <w:r w:rsidRPr="002F19DE">
        <w:rPr>
          <w:sz w:val="24"/>
          <w:szCs w:val="24"/>
        </w:rPr>
        <w:t>(1995)，世界各國憲法選集，初版，臺北市：前衛出版社。</w:t>
      </w:r>
    </w:p>
    <w:p w:rsidR="002F19DE" w:rsidRPr="002F19DE" w:rsidRDefault="002F19DE" w:rsidP="002F19DE">
      <w:pPr>
        <w:ind w:leftChars="0" w:left="0"/>
        <w:rPr>
          <w:sz w:val="24"/>
          <w:szCs w:val="24"/>
        </w:rPr>
      </w:pPr>
      <w:r w:rsidRPr="002F19DE">
        <w:rPr>
          <w:rFonts w:hint="eastAsia"/>
          <w:sz w:val="24"/>
          <w:szCs w:val="24"/>
        </w:rPr>
        <w:t>◎許育典</w:t>
      </w:r>
      <w:r w:rsidRPr="002F19DE">
        <w:rPr>
          <w:sz w:val="24"/>
          <w:szCs w:val="24"/>
        </w:rPr>
        <w:t>(2006)，憲法，初版，臺北市：元照</w:t>
      </w:r>
      <w:r w:rsidR="00CE2331">
        <w:rPr>
          <w:sz w:val="24"/>
          <w:szCs w:val="24"/>
        </w:rPr>
        <w:t>。</w:t>
      </w:r>
    </w:p>
    <w:p w:rsidR="002F19DE" w:rsidRPr="002F19DE" w:rsidRDefault="002F19DE" w:rsidP="002F19DE">
      <w:pPr>
        <w:ind w:leftChars="0" w:left="0"/>
        <w:rPr>
          <w:sz w:val="24"/>
          <w:szCs w:val="24"/>
        </w:rPr>
      </w:pPr>
      <w:r w:rsidRPr="002F19DE">
        <w:rPr>
          <w:rFonts w:hint="eastAsia"/>
          <w:sz w:val="24"/>
          <w:szCs w:val="24"/>
        </w:rPr>
        <w:t>◎許春金</w:t>
      </w:r>
      <w:r w:rsidRPr="002F19DE">
        <w:rPr>
          <w:sz w:val="24"/>
          <w:szCs w:val="24"/>
        </w:rPr>
        <w:t>(2001)，犯罪學，桃園：中央警察大學出版社。</w:t>
      </w:r>
    </w:p>
    <w:p w:rsidR="002F19DE" w:rsidRPr="002F19DE" w:rsidRDefault="002F19DE" w:rsidP="002F19DE">
      <w:pPr>
        <w:ind w:leftChars="0" w:left="0"/>
        <w:rPr>
          <w:sz w:val="24"/>
          <w:szCs w:val="24"/>
        </w:rPr>
      </w:pPr>
      <w:r w:rsidRPr="002F19DE">
        <w:rPr>
          <w:rFonts w:hint="eastAsia"/>
          <w:sz w:val="24"/>
          <w:szCs w:val="24"/>
        </w:rPr>
        <w:t>◎許春金（</w:t>
      </w:r>
      <w:r w:rsidRPr="002F19DE">
        <w:rPr>
          <w:sz w:val="24"/>
          <w:szCs w:val="24"/>
        </w:rPr>
        <w:t>2007）。犯罪學。臺北：三民書局。</w:t>
      </w:r>
    </w:p>
    <w:p w:rsidR="002F19DE" w:rsidRPr="002F19DE" w:rsidRDefault="002F19DE" w:rsidP="002F19DE">
      <w:pPr>
        <w:ind w:leftChars="0" w:left="0"/>
        <w:rPr>
          <w:sz w:val="24"/>
          <w:szCs w:val="24"/>
        </w:rPr>
      </w:pPr>
      <w:r w:rsidRPr="002F19DE">
        <w:rPr>
          <w:rFonts w:hint="eastAsia"/>
          <w:sz w:val="24"/>
          <w:szCs w:val="24"/>
        </w:rPr>
        <w:t>◎許春金，陳玉書</w:t>
      </w:r>
      <w:r w:rsidRPr="002F19DE">
        <w:rPr>
          <w:sz w:val="24"/>
          <w:szCs w:val="24"/>
        </w:rPr>
        <w:t>(2013)，犯罪預防與犯罪分析，二版，臺北：三民。</w:t>
      </w:r>
    </w:p>
    <w:p w:rsidR="002F19DE" w:rsidRPr="002F19DE" w:rsidRDefault="002F19DE" w:rsidP="002F19DE">
      <w:pPr>
        <w:ind w:leftChars="0" w:left="0"/>
        <w:rPr>
          <w:sz w:val="24"/>
          <w:szCs w:val="24"/>
        </w:rPr>
      </w:pPr>
      <w:r w:rsidRPr="002F19DE">
        <w:rPr>
          <w:rFonts w:hint="eastAsia"/>
          <w:sz w:val="24"/>
          <w:szCs w:val="24"/>
        </w:rPr>
        <w:t>◎許家雋</w:t>
      </w:r>
      <w:r w:rsidRPr="002F19DE">
        <w:rPr>
          <w:sz w:val="24"/>
          <w:szCs w:val="24"/>
        </w:rPr>
        <w:t>(2011)，外籍漁工血汗值多少，法扶會訊第二十九期</w:t>
      </w:r>
      <w:r w:rsidR="00CE2331">
        <w:rPr>
          <w:sz w:val="24"/>
          <w:szCs w:val="24"/>
        </w:rPr>
        <w:t>。</w:t>
      </w:r>
    </w:p>
    <w:p w:rsidR="002F19DE" w:rsidRPr="002F19DE" w:rsidRDefault="002F19DE" w:rsidP="002F19DE">
      <w:pPr>
        <w:ind w:leftChars="0" w:left="0"/>
        <w:rPr>
          <w:sz w:val="24"/>
          <w:szCs w:val="24"/>
        </w:rPr>
      </w:pPr>
      <w:r w:rsidRPr="002F19DE">
        <w:rPr>
          <w:rFonts w:hint="eastAsia"/>
          <w:sz w:val="24"/>
          <w:szCs w:val="24"/>
        </w:rPr>
        <w:t>◎許書揚</w:t>
      </w:r>
      <w:r w:rsidRPr="002F19DE">
        <w:rPr>
          <w:sz w:val="24"/>
          <w:szCs w:val="24"/>
        </w:rPr>
        <w:t>(2013)，外籍人才政策彈性化---打造新臺灣競爭力，臺灣經濟論衡，第11卷第2期。</w:t>
      </w:r>
    </w:p>
    <w:p w:rsidR="002F19DE" w:rsidRPr="002F19DE" w:rsidRDefault="002F19DE" w:rsidP="002F19DE">
      <w:pPr>
        <w:ind w:leftChars="0" w:left="0"/>
        <w:rPr>
          <w:sz w:val="24"/>
          <w:szCs w:val="24"/>
        </w:rPr>
      </w:pPr>
      <w:r w:rsidRPr="002F19DE">
        <w:rPr>
          <w:rFonts w:hint="eastAsia"/>
          <w:sz w:val="24"/>
          <w:szCs w:val="24"/>
        </w:rPr>
        <w:t>◎許得洋</w:t>
      </w:r>
      <w:r w:rsidRPr="002F19DE">
        <w:rPr>
          <w:sz w:val="24"/>
          <w:szCs w:val="24"/>
        </w:rPr>
        <w:t>(2017)，男同志性侵害行為與其被性侵害、強暴迷思、性別偏見的關聯，玄奘大學應用心理學系碩士班碩士論文。</w:t>
      </w:r>
    </w:p>
    <w:p w:rsidR="002F19DE" w:rsidRPr="002F19DE" w:rsidRDefault="002F19DE" w:rsidP="002F19DE">
      <w:pPr>
        <w:ind w:leftChars="0" w:left="0"/>
        <w:rPr>
          <w:sz w:val="24"/>
          <w:szCs w:val="24"/>
        </w:rPr>
      </w:pPr>
      <w:r w:rsidRPr="002F19DE">
        <w:rPr>
          <w:rFonts w:hint="eastAsia"/>
          <w:sz w:val="24"/>
          <w:szCs w:val="24"/>
        </w:rPr>
        <w:t>◎許琇筑</w:t>
      </w:r>
      <w:r w:rsidRPr="002F19DE">
        <w:rPr>
          <w:sz w:val="24"/>
          <w:szCs w:val="24"/>
        </w:rPr>
        <w:t>(2016)，性侵害犯連續犯罪路徑之時空分析，中央警察大學犯罪防治研究所碩士論文。</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(2002)，外國人居留權之研究，中央警察大學外事警察學術研討會。</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(2005)，淺論聘僱外國人工作之雇主義務，警學叢刊36卷2期，頁1-18。</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(2005)，論驅逐出國處分之停止執行，警學叢刊35卷6期，頁273-288。</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(2006)，外國人之入國程序與限制之研究，法令月刊57卷11期，頁27-44。</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(2007)，外國人入出國與居留之研究—以我國法制為探討中心，國立中正大學法律研究所博士論文。</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(2007)，論外國人之居留資格與法定範圍，警察法學第6期，頁265-299。</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(2008)，禁止外國人出國之法定程序與事由之研究，收於變遷中的警察法與公法學，皮特涅教授七十歲祝壽論文集，五南，頁201-232。</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 xml:space="preserve">(2009)，日本永久居留權之取得及其衍生問題之研究，中央警察大學法學論集17期，頁89-135。 </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(2009)，外國人相關基本權利之初探，警察法第8期，頁81-127。</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(2009)，論新移民之基本權與其保障─以工作權與財產權為例，警學叢刊185期，頁113-134。</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(2009)。論新移民之基本權與其保障—以工作權與財產權為例，中央警察大學警學叢刊，第40卷第1期，頁113-134。</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(2010)，入出國法制與家庭權保護，國境警察學報14期，第111-140頁。</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(2010)，我國移民政策與法制之初探，發表於中央警察大學國境警察學系與移民研究中心共同舉辦之國境管理與移民事務學術研討會。</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(2010)，論人民之入出國及其規範，中央警察大學警學叢刊，第40卷4期，頁3</w:t>
      </w:r>
      <w:r w:rsidR="00CE2331">
        <w:rPr>
          <w:sz w:val="24"/>
          <w:szCs w:val="24"/>
        </w:rPr>
        <w:t>。</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(2010)，論禁止入國之規範--以反恐事由為例，國境警察學報13期，頁67-111 。</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(2011)，外國人合法居留期間相關法定義務之研究，中央警察大學國土安全與國境管理學報15期，頁69-115。</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(2011)，論外國人之權益保護與行政救濟--以入出國與居留為中心，中央警察大學國土安全與國境管理學報16期，頁117-168。</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(2012)，入出國法制與人權保障，臺北：五南圖書公司。</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(2012)，外國人之相關基本權利保障，收錄於許義寶著入出國法制與人權保障，初版1刷，台北:五南。</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2012），港澳居民在臺居留與定居相關問題之研究，收錄於中央警察大學移民研究中心主辦2012年人口移動與執法學術研討會論文集，頁1-184。</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(2012)，論人民出國檢查之法規範與航空保安，中央警察大學國土安全與國境管理學報，第17 期，頁113-153。</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(2012)，論人民出境安全檢查與航空保安，發表於2012年國境管理與執法學術研討會，桃園：中央警察大學國境警察學系。</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(2013)，外國人作為基本權利主體相關問題之研究，中央警察大學國土安全與國境管理學報19期，頁19-61。</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(2013)，論外國人收容之相關法律問題--兼論入出國及移民法第38條未來之修正，中央警察大學國土安全與國境管理學報20期，頁151-196。</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2014）。論移民的概念與其基本權利的保障。中央警察大學國土安全與國境管理學報22：175-219。</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2015）。國際法與國內法對移民相關規範之探討。中央警察大學國土安全與國境管理學報23：139-179。</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2015）。移民人權保障之立法規範—以入出國及移民法為例。2015年人口移動與執法學術研討會發表之論文，中央警察大學。</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2016）。移民行政調查職權之研究。2016年國境管理與執法學術研討會發表之論文，中央警察大學。</w:t>
      </w:r>
    </w:p>
    <w:p w:rsidR="002F19DE" w:rsidRPr="002F19DE" w:rsidRDefault="002F19DE" w:rsidP="002F19DE">
      <w:pPr>
        <w:ind w:leftChars="0" w:left="0"/>
        <w:rPr>
          <w:sz w:val="24"/>
          <w:szCs w:val="24"/>
        </w:rPr>
      </w:pPr>
      <w:r w:rsidRPr="002F19DE">
        <w:rPr>
          <w:rFonts w:hint="eastAsia"/>
          <w:sz w:val="24"/>
          <w:szCs w:val="24"/>
        </w:rPr>
        <w:t>◎許義寶</w:t>
      </w:r>
      <w:r w:rsidRPr="002F19DE">
        <w:rPr>
          <w:sz w:val="24"/>
          <w:szCs w:val="24"/>
        </w:rPr>
        <w:t>(2017)，移民法制與人權保障，初版1刷，桃園:中央警察大學出版社。</w:t>
      </w:r>
    </w:p>
    <w:p w:rsidR="002F19DE" w:rsidRPr="002F19DE" w:rsidRDefault="002F19DE" w:rsidP="002F19DE">
      <w:pPr>
        <w:ind w:leftChars="0" w:left="0"/>
        <w:rPr>
          <w:sz w:val="24"/>
          <w:szCs w:val="24"/>
        </w:rPr>
      </w:pPr>
      <w:r w:rsidRPr="002F19DE">
        <w:rPr>
          <w:rFonts w:hint="eastAsia"/>
          <w:sz w:val="24"/>
          <w:szCs w:val="24"/>
        </w:rPr>
        <w:t>◎許義寶等編著（</w:t>
      </w:r>
      <w:r w:rsidRPr="002F19DE">
        <w:rPr>
          <w:sz w:val="24"/>
          <w:szCs w:val="24"/>
        </w:rPr>
        <w:t>2011），國境警察專業法規彙編，桃園：中央警察大學印行。</w:t>
      </w:r>
    </w:p>
    <w:p w:rsidR="002F19DE" w:rsidRPr="002F19DE" w:rsidRDefault="002F19DE" w:rsidP="002F19DE">
      <w:pPr>
        <w:ind w:leftChars="0" w:left="0"/>
        <w:rPr>
          <w:sz w:val="24"/>
          <w:szCs w:val="24"/>
        </w:rPr>
      </w:pPr>
      <w:r w:rsidRPr="002F19DE">
        <w:rPr>
          <w:rFonts w:hint="eastAsia"/>
          <w:sz w:val="24"/>
          <w:szCs w:val="24"/>
        </w:rPr>
        <w:t>◎許福生</w:t>
      </w:r>
      <w:r w:rsidRPr="002F19DE">
        <w:rPr>
          <w:sz w:val="24"/>
          <w:szCs w:val="24"/>
        </w:rPr>
        <w:t>(2010)，風險社會與犯罪治理，台北：元照出版。</w:t>
      </w:r>
    </w:p>
    <w:p w:rsidR="002F19DE" w:rsidRPr="002F19DE" w:rsidRDefault="002F19DE" w:rsidP="002F19DE">
      <w:pPr>
        <w:ind w:leftChars="0" w:left="0"/>
        <w:rPr>
          <w:sz w:val="24"/>
          <w:szCs w:val="24"/>
        </w:rPr>
      </w:pPr>
      <w:r w:rsidRPr="002F19DE">
        <w:rPr>
          <w:rFonts w:hint="eastAsia"/>
          <w:sz w:val="24"/>
          <w:szCs w:val="24"/>
        </w:rPr>
        <w:t>◎許德琳</w:t>
      </w:r>
      <w:r w:rsidRPr="002F19DE">
        <w:rPr>
          <w:sz w:val="24"/>
          <w:szCs w:val="24"/>
        </w:rPr>
        <w:t>(2005)，台灣外籍勞工問題之研究---以外籍勞工管理為中心，中央警察大學法律學研究所碩士論文。</w:t>
      </w:r>
    </w:p>
    <w:p w:rsidR="002F19DE" w:rsidRPr="002F19DE" w:rsidRDefault="002F19DE" w:rsidP="002F19DE">
      <w:pPr>
        <w:ind w:leftChars="0" w:left="0"/>
        <w:rPr>
          <w:sz w:val="24"/>
          <w:szCs w:val="24"/>
        </w:rPr>
      </w:pPr>
      <w:r w:rsidRPr="002F19DE">
        <w:rPr>
          <w:rFonts w:hint="eastAsia"/>
          <w:sz w:val="24"/>
          <w:szCs w:val="24"/>
        </w:rPr>
        <w:t>◎許慶雄、李明峻</w:t>
      </w:r>
      <w:r w:rsidRPr="002F19DE">
        <w:rPr>
          <w:sz w:val="24"/>
          <w:szCs w:val="24"/>
        </w:rPr>
        <w:t>(1993)，現代國際法入門，臺北：月旦出版社。</w:t>
      </w:r>
    </w:p>
    <w:p w:rsidR="002F19DE" w:rsidRPr="002F19DE" w:rsidRDefault="002F19DE" w:rsidP="002F19DE">
      <w:pPr>
        <w:ind w:leftChars="0" w:left="0"/>
        <w:rPr>
          <w:sz w:val="24"/>
          <w:szCs w:val="24"/>
        </w:rPr>
      </w:pPr>
      <w:r w:rsidRPr="002F19DE">
        <w:rPr>
          <w:rFonts w:hint="eastAsia"/>
          <w:sz w:val="24"/>
          <w:szCs w:val="24"/>
        </w:rPr>
        <w:t>◎連橫</w:t>
      </w:r>
      <w:r w:rsidRPr="002F19DE">
        <w:rPr>
          <w:sz w:val="24"/>
          <w:szCs w:val="24"/>
        </w:rPr>
        <w:t>(1985). 台灣通史，臺北市：幼獅文化事業公司，第6版。</w:t>
      </w:r>
    </w:p>
    <w:p w:rsidR="002F19DE" w:rsidRPr="002F19DE" w:rsidRDefault="002F19DE" w:rsidP="002F19DE">
      <w:pPr>
        <w:ind w:leftChars="0" w:left="0"/>
        <w:rPr>
          <w:sz w:val="24"/>
          <w:szCs w:val="24"/>
        </w:rPr>
      </w:pPr>
      <w:r w:rsidRPr="002F19DE">
        <w:rPr>
          <w:rFonts w:hint="eastAsia"/>
          <w:sz w:val="24"/>
          <w:szCs w:val="24"/>
        </w:rPr>
        <w:t>◎郭小沙</w:t>
      </w:r>
      <w:r w:rsidRPr="002F19DE">
        <w:rPr>
          <w:sz w:val="24"/>
          <w:szCs w:val="24"/>
        </w:rPr>
        <w:t>(2004)。德國移民法評說，德國研究，第71期，頁14-19。</w:t>
      </w:r>
    </w:p>
    <w:p w:rsidR="002F19DE" w:rsidRPr="002F19DE" w:rsidRDefault="002F19DE" w:rsidP="002F19DE">
      <w:pPr>
        <w:ind w:leftChars="0" w:left="0"/>
        <w:rPr>
          <w:sz w:val="24"/>
          <w:szCs w:val="24"/>
        </w:rPr>
      </w:pPr>
      <w:r w:rsidRPr="002F19DE">
        <w:rPr>
          <w:rFonts w:hint="eastAsia"/>
          <w:sz w:val="24"/>
          <w:szCs w:val="24"/>
        </w:rPr>
        <w:t>◎郭耀昌（</w:t>
      </w:r>
      <w:r w:rsidRPr="002F19DE">
        <w:rPr>
          <w:sz w:val="24"/>
          <w:szCs w:val="24"/>
        </w:rPr>
        <w:t>2011）。臺灣新移民社會融合困境初探—一個課責的角度。涉外執法與政策學報1：93-119。</w:t>
      </w:r>
    </w:p>
    <w:p w:rsidR="002F19DE" w:rsidRPr="002F19DE" w:rsidRDefault="002F19DE" w:rsidP="002F19DE">
      <w:pPr>
        <w:ind w:leftChars="0" w:left="0"/>
        <w:rPr>
          <w:sz w:val="24"/>
          <w:szCs w:val="24"/>
        </w:rPr>
      </w:pPr>
      <w:r w:rsidRPr="002F19DE">
        <w:rPr>
          <w:rFonts w:hint="eastAsia"/>
          <w:sz w:val="24"/>
          <w:szCs w:val="24"/>
        </w:rPr>
        <w:t>◎陳自強（</w:t>
      </w:r>
      <w:r w:rsidRPr="002F19DE">
        <w:rPr>
          <w:sz w:val="24"/>
          <w:szCs w:val="24"/>
        </w:rPr>
        <w:t>2002），民法講義（1）---契約之成立與生效，臺北：學林文化，頁175-180。</w:t>
      </w:r>
    </w:p>
    <w:p w:rsidR="002F19DE" w:rsidRPr="002F19DE" w:rsidRDefault="002F19DE" w:rsidP="002F19DE">
      <w:pPr>
        <w:ind w:leftChars="0" w:left="0"/>
        <w:rPr>
          <w:sz w:val="24"/>
          <w:szCs w:val="24"/>
        </w:rPr>
      </w:pPr>
      <w:r w:rsidRPr="002F19DE">
        <w:rPr>
          <w:rFonts w:hint="eastAsia"/>
          <w:sz w:val="24"/>
          <w:szCs w:val="24"/>
        </w:rPr>
        <w:t>◎陳志柔、于德林（</w:t>
      </w:r>
      <w:r w:rsidRPr="002F19DE">
        <w:rPr>
          <w:sz w:val="24"/>
          <w:szCs w:val="24"/>
        </w:rPr>
        <w:t>2005）。臺灣民眾對外來配偶移民政策的態度。臺灣社會學10，：95-147。</w:t>
      </w:r>
    </w:p>
    <w:p w:rsidR="002F19DE" w:rsidRPr="002F19DE" w:rsidRDefault="002F19DE" w:rsidP="002F19DE">
      <w:pPr>
        <w:ind w:leftChars="0" w:left="0"/>
        <w:rPr>
          <w:sz w:val="24"/>
          <w:szCs w:val="24"/>
        </w:rPr>
      </w:pPr>
      <w:r w:rsidRPr="002F19DE">
        <w:rPr>
          <w:rFonts w:hint="eastAsia"/>
          <w:sz w:val="24"/>
          <w:szCs w:val="24"/>
        </w:rPr>
        <w:t>◎陳志強</w:t>
      </w:r>
      <w:r w:rsidRPr="002F19DE">
        <w:rPr>
          <w:sz w:val="24"/>
          <w:szCs w:val="24"/>
        </w:rPr>
        <w:t>(2010)，全球化語境下的歐洲化移民治理困境，華東經濟管理，第24卷第10期。</w:t>
      </w:r>
    </w:p>
    <w:p w:rsidR="002F19DE" w:rsidRPr="002F19DE" w:rsidRDefault="002F19DE" w:rsidP="002F19DE">
      <w:pPr>
        <w:ind w:leftChars="0" w:left="0"/>
        <w:rPr>
          <w:sz w:val="24"/>
          <w:szCs w:val="24"/>
        </w:rPr>
      </w:pPr>
      <w:r w:rsidRPr="002F19DE">
        <w:rPr>
          <w:rFonts w:hint="eastAsia"/>
          <w:sz w:val="24"/>
          <w:szCs w:val="24"/>
        </w:rPr>
        <w:t>◎陳志華</w:t>
      </w:r>
      <w:r w:rsidRPr="002F19DE">
        <w:rPr>
          <w:sz w:val="24"/>
          <w:szCs w:val="24"/>
        </w:rPr>
        <w:t>(2012)，中華民國憲法概要，修訂5版，臺北市：三民公司，頁1-383</w:t>
      </w:r>
      <w:r w:rsidR="00CE2331">
        <w:rPr>
          <w:sz w:val="24"/>
          <w:szCs w:val="24"/>
        </w:rPr>
        <w:t>。</w:t>
      </w:r>
    </w:p>
    <w:p w:rsidR="002F19DE" w:rsidRPr="002F19DE" w:rsidRDefault="002F19DE" w:rsidP="002F19DE">
      <w:pPr>
        <w:ind w:leftChars="0" w:left="0"/>
        <w:rPr>
          <w:sz w:val="24"/>
          <w:szCs w:val="24"/>
        </w:rPr>
      </w:pPr>
      <w:r w:rsidRPr="002F19DE">
        <w:rPr>
          <w:rFonts w:hint="eastAsia"/>
          <w:sz w:val="24"/>
          <w:szCs w:val="24"/>
        </w:rPr>
        <w:t>◎陳佩詩（</w:t>
      </w:r>
      <w:r w:rsidRPr="002F19DE">
        <w:rPr>
          <w:sz w:val="24"/>
          <w:szCs w:val="24"/>
        </w:rPr>
        <w:t>2016）。Professional English for Immigration Administration。桃園：中央警察大學。</w:t>
      </w:r>
    </w:p>
    <w:p w:rsidR="002F19DE" w:rsidRPr="002F19DE" w:rsidRDefault="002F19DE" w:rsidP="002F19DE">
      <w:pPr>
        <w:ind w:leftChars="0" w:left="0"/>
        <w:rPr>
          <w:sz w:val="24"/>
          <w:szCs w:val="24"/>
        </w:rPr>
      </w:pPr>
      <w:r w:rsidRPr="002F19DE">
        <w:rPr>
          <w:rFonts w:hint="eastAsia"/>
          <w:sz w:val="24"/>
          <w:szCs w:val="24"/>
        </w:rPr>
        <w:t>◎陳佩詩（</w:t>
      </w:r>
      <w:r w:rsidRPr="002F19DE">
        <w:rPr>
          <w:sz w:val="24"/>
          <w:szCs w:val="24"/>
        </w:rPr>
        <w:t>2017）。Professional English for Immigration Administration II。桃園：中央警察大學。</w:t>
      </w:r>
    </w:p>
    <w:p w:rsidR="002F19DE" w:rsidRPr="002F19DE" w:rsidRDefault="002F19DE" w:rsidP="002F19DE">
      <w:pPr>
        <w:ind w:leftChars="0" w:left="0"/>
        <w:rPr>
          <w:sz w:val="24"/>
          <w:szCs w:val="24"/>
        </w:rPr>
      </w:pPr>
      <w:r w:rsidRPr="002F19DE">
        <w:rPr>
          <w:rFonts w:hint="eastAsia"/>
          <w:sz w:val="24"/>
          <w:szCs w:val="24"/>
        </w:rPr>
        <w:t>◎陳佩詩等編著</w:t>
      </w:r>
      <w:r w:rsidRPr="002F19DE">
        <w:rPr>
          <w:sz w:val="24"/>
          <w:szCs w:val="24"/>
        </w:rPr>
        <w:t>(2011)，警察專業英文，Professional Police English，桃園縣：中央警察大學出版社。</w:t>
      </w:r>
    </w:p>
    <w:p w:rsidR="002F19DE" w:rsidRPr="002F19DE" w:rsidRDefault="002F19DE" w:rsidP="002F19DE">
      <w:pPr>
        <w:ind w:leftChars="0" w:left="0"/>
        <w:rPr>
          <w:sz w:val="24"/>
          <w:szCs w:val="24"/>
        </w:rPr>
      </w:pPr>
      <w:r w:rsidRPr="002F19DE">
        <w:rPr>
          <w:rFonts w:hint="eastAsia"/>
          <w:sz w:val="24"/>
          <w:szCs w:val="24"/>
        </w:rPr>
        <w:t>◎陳岳隆</w:t>
      </w:r>
      <w:r w:rsidRPr="002F19DE">
        <w:rPr>
          <w:sz w:val="24"/>
          <w:szCs w:val="24"/>
        </w:rPr>
        <w:t>(2010)，臺灣自動通關系統及生物特徵辨別技術，內政部入出國及移民署2010年國境管理國際研討會論文集。</w:t>
      </w:r>
    </w:p>
    <w:p w:rsidR="002F19DE" w:rsidRPr="002F19DE" w:rsidRDefault="002F19DE" w:rsidP="002F19DE">
      <w:pPr>
        <w:ind w:leftChars="0" w:left="0"/>
        <w:rPr>
          <w:sz w:val="24"/>
          <w:szCs w:val="24"/>
        </w:rPr>
      </w:pPr>
      <w:r w:rsidRPr="002F19DE">
        <w:rPr>
          <w:rFonts w:hint="eastAsia"/>
          <w:sz w:val="24"/>
          <w:szCs w:val="24"/>
        </w:rPr>
        <w:t>◎陳怡如</w:t>
      </w:r>
      <w:r w:rsidRPr="002F19DE">
        <w:rPr>
          <w:sz w:val="24"/>
          <w:szCs w:val="24"/>
        </w:rPr>
        <w:t>(2005)。司法院大法官法律保留原則違憲審查標準之探究：兼評工作權相關釋憲案例，國立臺中技術學院人文社會學報，第4期，頁123-148。</w:t>
      </w:r>
    </w:p>
    <w:p w:rsidR="002F19DE" w:rsidRPr="002F19DE" w:rsidRDefault="002F19DE" w:rsidP="002F19DE">
      <w:pPr>
        <w:ind w:leftChars="0" w:left="0"/>
        <w:rPr>
          <w:sz w:val="24"/>
          <w:szCs w:val="24"/>
        </w:rPr>
      </w:pPr>
      <w:r w:rsidRPr="002F19DE">
        <w:rPr>
          <w:rFonts w:hint="eastAsia"/>
          <w:sz w:val="24"/>
          <w:szCs w:val="24"/>
        </w:rPr>
        <w:t>◎陳怡如</w:t>
      </w:r>
      <w:r w:rsidRPr="002F19DE">
        <w:rPr>
          <w:sz w:val="24"/>
          <w:szCs w:val="24"/>
        </w:rPr>
        <w:t>(2010)，台灣與德國移民政策之比較，國立臺灣大學國家發展研究所碩士論文。</w:t>
      </w:r>
    </w:p>
    <w:p w:rsidR="002F19DE" w:rsidRPr="002F19DE" w:rsidRDefault="002F19DE" w:rsidP="002F19DE">
      <w:pPr>
        <w:ind w:leftChars="0" w:left="0"/>
        <w:rPr>
          <w:sz w:val="24"/>
          <w:szCs w:val="24"/>
        </w:rPr>
      </w:pPr>
      <w:r w:rsidRPr="002F19DE">
        <w:rPr>
          <w:rFonts w:hint="eastAsia"/>
          <w:sz w:val="24"/>
          <w:szCs w:val="24"/>
        </w:rPr>
        <w:t>◎陳怡倩</w:t>
      </w:r>
      <w:r w:rsidRPr="002F19DE">
        <w:rPr>
          <w:sz w:val="24"/>
          <w:szCs w:val="24"/>
        </w:rPr>
        <w:t>(2012)，婚姻移民與子女親權酌定之研究，國立臺北大學法律學系碩士論文。</w:t>
      </w:r>
    </w:p>
    <w:p w:rsidR="002F19DE" w:rsidRPr="002F19DE" w:rsidRDefault="002F19DE" w:rsidP="002F19DE">
      <w:pPr>
        <w:ind w:leftChars="0" w:left="0"/>
        <w:rPr>
          <w:sz w:val="24"/>
          <w:szCs w:val="24"/>
        </w:rPr>
      </w:pPr>
      <w:r w:rsidRPr="002F19DE">
        <w:rPr>
          <w:rFonts w:hint="eastAsia"/>
          <w:sz w:val="24"/>
          <w:szCs w:val="24"/>
        </w:rPr>
        <w:t>◎陳明訓（</w:t>
      </w:r>
      <w:r w:rsidRPr="002F19DE">
        <w:rPr>
          <w:sz w:val="24"/>
          <w:szCs w:val="24"/>
        </w:rPr>
        <w:t xml:space="preserve">2016）。國際移民對經濟及政策之影響，經濟部人才快訊電子報，Retrieve from: </w:t>
      </w:r>
      <w:hyperlink r:id="rId805" w:history="1">
        <w:r w:rsidRPr="00CE2331">
          <w:rPr>
            <w:rStyle w:val="a7"/>
            <w:rFonts w:cs="Times New Roman"/>
            <w:sz w:val="24"/>
            <w:szCs w:val="24"/>
            <w:lang w:eastAsia="zh-TW" w:bidi="ar-SA"/>
          </w:rPr>
          <w:t>http://itriexpress.blogspot.tw/2016/01/blog-post_42.html</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◎陳明傳（</w:t>
      </w:r>
      <w:r w:rsidRPr="002F19DE">
        <w:rPr>
          <w:sz w:val="24"/>
          <w:szCs w:val="24"/>
        </w:rPr>
        <w:t>1992），論社區警察之發展，桃園：中央警察大學出版社。</w:t>
      </w:r>
    </w:p>
    <w:p w:rsidR="002F19DE" w:rsidRPr="002F19DE" w:rsidRDefault="002F19DE" w:rsidP="002F19DE">
      <w:pPr>
        <w:ind w:leftChars="0" w:left="0"/>
        <w:rPr>
          <w:sz w:val="24"/>
          <w:szCs w:val="24"/>
        </w:rPr>
      </w:pPr>
      <w:r w:rsidRPr="002F19DE">
        <w:rPr>
          <w:rFonts w:hint="eastAsia"/>
          <w:sz w:val="24"/>
          <w:szCs w:val="24"/>
        </w:rPr>
        <w:t>◎陳明傳（</w:t>
      </w:r>
      <w:r w:rsidRPr="002F19DE">
        <w:rPr>
          <w:sz w:val="24"/>
          <w:szCs w:val="24"/>
        </w:rPr>
        <w:t>2014）。我國移民管理之政策與未來之發展。文官制度季刊6(2)：35-63。</w:t>
      </w:r>
    </w:p>
    <w:p w:rsidR="002F19DE" w:rsidRPr="002F19DE" w:rsidRDefault="002F19DE" w:rsidP="002F19DE">
      <w:pPr>
        <w:ind w:leftChars="0" w:left="0"/>
        <w:rPr>
          <w:sz w:val="24"/>
          <w:szCs w:val="24"/>
        </w:rPr>
      </w:pPr>
      <w:r w:rsidRPr="002F19DE">
        <w:rPr>
          <w:rFonts w:hint="eastAsia"/>
          <w:sz w:val="24"/>
          <w:szCs w:val="24"/>
        </w:rPr>
        <w:t>◎陳明傳（</w:t>
      </w:r>
      <w:r w:rsidRPr="002F19DE">
        <w:rPr>
          <w:sz w:val="24"/>
          <w:szCs w:val="24"/>
        </w:rPr>
        <w:t>2015）。各國入出國管理系統之比較研究。2015年人口移動與執法學術研討會發表之論文，中央警察大學。</w:t>
      </w:r>
    </w:p>
    <w:p w:rsidR="002F19DE" w:rsidRPr="002F19DE" w:rsidRDefault="002F19DE" w:rsidP="002F19DE">
      <w:pPr>
        <w:ind w:leftChars="0" w:left="0"/>
        <w:rPr>
          <w:sz w:val="24"/>
          <w:szCs w:val="24"/>
        </w:rPr>
      </w:pPr>
      <w:r w:rsidRPr="002F19DE">
        <w:rPr>
          <w:rFonts w:hint="eastAsia"/>
          <w:sz w:val="24"/>
          <w:szCs w:val="24"/>
        </w:rPr>
        <w:t>◎陳明傳</w:t>
      </w:r>
      <w:r w:rsidRPr="002F19DE">
        <w:rPr>
          <w:sz w:val="24"/>
          <w:szCs w:val="24"/>
        </w:rPr>
        <w:t>(2017)，美國近年移民政策之比較研究，發表於2017中央警察大學移民事務與國境管理學術研討會。</w:t>
      </w:r>
    </w:p>
    <w:p w:rsidR="002F19DE" w:rsidRPr="002F19DE" w:rsidRDefault="002F19DE" w:rsidP="002F19DE">
      <w:pPr>
        <w:ind w:leftChars="0" w:left="0"/>
        <w:rPr>
          <w:sz w:val="24"/>
          <w:szCs w:val="24"/>
        </w:rPr>
      </w:pPr>
      <w:r w:rsidRPr="002F19DE">
        <w:rPr>
          <w:rFonts w:hint="eastAsia"/>
          <w:sz w:val="24"/>
          <w:szCs w:val="24"/>
        </w:rPr>
        <w:t>◎陳明傳、王寬弘、黃文志、高佩珊、許義寶、柯雨瑞等人（</w:t>
      </w:r>
      <w:r w:rsidRPr="002F19DE">
        <w:rPr>
          <w:sz w:val="24"/>
          <w:szCs w:val="24"/>
        </w:rPr>
        <w:t>2016）。國土安全與移民政策：人權與安全的多元議題探析。臺北：獨立作家。</w:t>
      </w:r>
    </w:p>
    <w:p w:rsidR="002F19DE" w:rsidRPr="002F19DE" w:rsidRDefault="002F19DE" w:rsidP="002F19DE">
      <w:pPr>
        <w:ind w:leftChars="0" w:left="0"/>
        <w:rPr>
          <w:sz w:val="24"/>
          <w:szCs w:val="24"/>
        </w:rPr>
      </w:pPr>
      <w:r w:rsidRPr="002F19DE">
        <w:rPr>
          <w:rFonts w:hint="eastAsia"/>
          <w:sz w:val="24"/>
          <w:szCs w:val="24"/>
        </w:rPr>
        <w:t>◎陳明傳、柯雨瑞、蔡政杰、王智盛、王寬弘、許義寶等人（</w:t>
      </w:r>
      <w:r w:rsidRPr="002F19DE">
        <w:rPr>
          <w:sz w:val="24"/>
          <w:szCs w:val="24"/>
        </w:rPr>
        <w:t>2016）。全球化下之國境執法。臺北：五南。</w:t>
      </w:r>
    </w:p>
    <w:p w:rsidR="002F19DE" w:rsidRPr="002F19DE" w:rsidRDefault="002F19DE" w:rsidP="002F19DE">
      <w:pPr>
        <w:ind w:leftChars="0" w:left="0"/>
        <w:rPr>
          <w:sz w:val="24"/>
          <w:szCs w:val="24"/>
        </w:rPr>
      </w:pPr>
      <w:r w:rsidRPr="002F19DE">
        <w:rPr>
          <w:rFonts w:hint="eastAsia"/>
          <w:sz w:val="24"/>
          <w:szCs w:val="24"/>
        </w:rPr>
        <w:t>◎陳明傳、高佩珊、許義寶、謝文忠、王寬弘、柯雨瑞等人（</w:t>
      </w:r>
      <w:r w:rsidRPr="002F19DE">
        <w:rPr>
          <w:sz w:val="24"/>
          <w:szCs w:val="24"/>
        </w:rPr>
        <w:t>2016）。移民理論與移民行政（第1版）。臺北：五南。</w:t>
      </w:r>
    </w:p>
    <w:p w:rsidR="002F19DE" w:rsidRPr="002F19DE" w:rsidRDefault="002F19DE" w:rsidP="002F19DE">
      <w:pPr>
        <w:ind w:leftChars="0" w:left="0"/>
        <w:rPr>
          <w:sz w:val="24"/>
          <w:szCs w:val="24"/>
        </w:rPr>
      </w:pPr>
      <w:r w:rsidRPr="002F19DE">
        <w:rPr>
          <w:rFonts w:hint="eastAsia"/>
          <w:sz w:val="24"/>
          <w:szCs w:val="24"/>
        </w:rPr>
        <w:t>◎陳明傳、謝立功、孟維德、蔡庭榕、柯雨瑞、許義寶等人（</w:t>
      </w:r>
      <w:r w:rsidRPr="002F19DE">
        <w:rPr>
          <w:sz w:val="24"/>
          <w:szCs w:val="24"/>
        </w:rPr>
        <w:t>2013）。移民的理論與實務。桃園：中央警察大學。</w:t>
      </w:r>
    </w:p>
    <w:p w:rsidR="002F19DE" w:rsidRPr="002F19DE" w:rsidRDefault="002F19DE" w:rsidP="002F19DE">
      <w:pPr>
        <w:ind w:leftChars="0" w:left="0"/>
        <w:rPr>
          <w:sz w:val="24"/>
          <w:szCs w:val="24"/>
        </w:rPr>
      </w:pPr>
      <w:r w:rsidRPr="002F19DE">
        <w:rPr>
          <w:rFonts w:hint="eastAsia"/>
          <w:sz w:val="24"/>
          <w:szCs w:val="24"/>
        </w:rPr>
        <w:t>◎陳建榮</w:t>
      </w:r>
      <w:r w:rsidRPr="002F19DE">
        <w:rPr>
          <w:sz w:val="24"/>
          <w:szCs w:val="24"/>
        </w:rPr>
        <w:t>(2004)，中華民國憲法，華立圖書。</w:t>
      </w:r>
    </w:p>
    <w:p w:rsidR="002F19DE" w:rsidRPr="002F19DE" w:rsidRDefault="002F19DE" w:rsidP="002F19DE">
      <w:pPr>
        <w:ind w:leftChars="0" w:left="0"/>
        <w:rPr>
          <w:sz w:val="24"/>
          <w:szCs w:val="24"/>
        </w:rPr>
      </w:pPr>
      <w:r w:rsidRPr="002F19DE">
        <w:rPr>
          <w:rFonts w:hint="eastAsia"/>
          <w:sz w:val="24"/>
          <w:szCs w:val="24"/>
        </w:rPr>
        <w:t>◎陳彥君</w:t>
      </w:r>
      <w:r w:rsidRPr="002F19DE">
        <w:rPr>
          <w:sz w:val="24"/>
          <w:szCs w:val="24"/>
        </w:rPr>
        <w:t>(2009)，跨國公司與國際勞動人權保障─管制類型的觀點，臺灣大學法律學院法律學系研究所碩士論文。</w:t>
      </w:r>
    </w:p>
    <w:p w:rsidR="002F19DE" w:rsidRPr="002F19DE" w:rsidRDefault="002F19DE" w:rsidP="002F19DE">
      <w:pPr>
        <w:ind w:leftChars="0" w:left="0"/>
        <w:rPr>
          <w:sz w:val="24"/>
          <w:szCs w:val="24"/>
        </w:rPr>
      </w:pPr>
      <w:r w:rsidRPr="002F19DE">
        <w:rPr>
          <w:rFonts w:hint="eastAsia"/>
          <w:sz w:val="24"/>
          <w:szCs w:val="24"/>
        </w:rPr>
        <w:t>◎陳科維</w:t>
      </w:r>
      <w:r w:rsidRPr="002F19DE">
        <w:rPr>
          <w:sz w:val="24"/>
          <w:szCs w:val="24"/>
        </w:rPr>
        <w:t>(2016)，我國性侵害犯治療處遇問題之探究，國立中正大學犯罪防治研究所碩士論文。</w:t>
      </w:r>
    </w:p>
    <w:p w:rsidR="002F19DE" w:rsidRPr="002F19DE" w:rsidRDefault="002F19DE" w:rsidP="002F19DE">
      <w:pPr>
        <w:ind w:leftChars="0" w:left="0"/>
        <w:rPr>
          <w:sz w:val="24"/>
          <w:szCs w:val="24"/>
        </w:rPr>
      </w:pPr>
      <w:r w:rsidRPr="002F19DE">
        <w:rPr>
          <w:rFonts w:hint="eastAsia"/>
          <w:sz w:val="24"/>
          <w:szCs w:val="24"/>
        </w:rPr>
        <w:t>◎陳菊</w:t>
      </w:r>
      <w:r w:rsidRPr="002F19DE">
        <w:rPr>
          <w:sz w:val="24"/>
          <w:szCs w:val="24"/>
        </w:rPr>
        <w:t>(2001)，植基於勞動人權與勞動競爭力之台灣外籍勞工政策，國立中山大學公共事務管理研究所碩士論文。</w:t>
      </w:r>
    </w:p>
    <w:p w:rsidR="002F19DE" w:rsidRPr="002F19DE" w:rsidRDefault="002F19DE" w:rsidP="002F19DE">
      <w:pPr>
        <w:ind w:leftChars="0" w:left="0"/>
        <w:rPr>
          <w:sz w:val="24"/>
          <w:szCs w:val="24"/>
        </w:rPr>
      </w:pPr>
      <w:r w:rsidRPr="002F19DE">
        <w:rPr>
          <w:rFonts w:hint="eastAsia"/>
          <w:sz w:val="24"/>
          <w:szCs w:val="24"/>
        </w:rPr>
        <w:t>◎陳隆志</w:t>
      </w:r>
      <w:r w:rsidRPr="002F19DE">
        <w:rPr>
          <w:sz w:val="24"/>
          <w:szCs w:val="24"/>
        </w:rPr>
        <w:t>(2000)，台灣參加國際組織之展望，新世紀智庫論壇第9期，</w:t>
      </w:r>
      <w:hyperlink r:id="rId806" w:history="1">
        <w:r w:rsidRPr="00CE2331">
          <w:rPr>
            <w:rStyle w:val="a7"/>
            <w:rFonts w:cs="Times New Roman"/>
            <w:sz w:val="24"/>
            <w:szCs w:val="24"/>
            <w:lang w:eastAsia="zh-TW" w:bidi="ar-SA"/>
          </w:rPr>
          <w:t>http://www.taiwanncf.org.tw/ttforum/09/09-01.pdf</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◎陳新民</w:t>
      </w:r>
      <w:r w:rsidRPr="002F19DE">
        <w:rPr>
          <w:sz w:val="24"/>
          <w:szCs w:val="24"/>
        </w:rPr>
        <w:t>(1989)。憲法平等權之意義，理論與政策，第4卷第1期，頁46-57。</w:t>
      </w:r>
    </w:p>
    <w:p w:rsidR="002F19DE" w:rsidRPr="002F19DE" w:rsidRDefault="002F19DE" w:rsidP="002F19DE">
      <w:pPr>
        <w:ind w:leftChars="0" w:left="0"/>
        <w:rPr>
          <w:sz w:val="24"/>
          <w:szCs w:val="24"/>
        </w:rPr>
      </w:pPr>
      <w:r w:rsidRPr="002F19DE">
        <w:rPr>
          <w:rFonts w:hint="eastAsia"/>
          <w:sz w:val="24"/>
          <w:szCs w:val="24"/>
        </w:rPr>
        <w:t>◎陳新民</w:t>
      </w:r>
      <w:r w:rsidRPr="002F19DE">
        <w:rPr>
          <w:sz w:val="24"/>
          <w:szCs w:val="24"/>
        </w:rPr>
        <w:t>(1992)，憲法基本權利之基本理論(上冊)，臺北：三民書局。</w:t>
      </w:r>
    </w:p>
    <w:p w:rsidR="002F19DE" w:rsidRPr="002F19DE" w:rsidRDefault="002F19DE" w:rsidP="002F19DE">
      <w:pPr>
        <w:ind w:leftChars="0" w:left="0"/>
        <w:rPr>
          <w:sz w:val="24"/>
          <w:szCs w:val="24"/>
        </w:rPr>
      </w:pPr>
      <w:r w:rsidRPr="002F19DE">
        <w:rPr>
          <w:rFonts w:hint="eastAsia"/>
          <w:sz w:val="24"/>
          <w:szCs w:val="24"/>
        </w:rPr>
        <w:t>◎陳新民</w:t>
      </w:r>
      <w:r w:rsidRPr="002F19DE">
        <w:rPr>
          <w:sz w:val="24"/>
          <w:szCs w:val="24"/>
        </w:rPr>
        <w:t>(1992)，憲法基本權利之基本理論(下冊)，臺北：三民書局。</w:t>
      </w:r>
    </w:p>
    <w:p w:rsidR="002F19DE" w:rsidRPr="002F19DE" w:rsidRDefault="002F19DE" w:rsidP="002F19DE">
      <w:pPr>
        <w:ind w:leftChars="0" w:left="0"/>
        <w:rPr>
          <w:sz w:val="24"/>
          <w:szCs w:val="24"/>
        </w:rPr>
      </w:pPr>
      <w:r w:rsidRPr="002F19DE">
        <w:rPr>
          <w:rFonts w:hint="eastAsia"/>
          <w:sz w:val="24"/>
          <w:szCs w:val="24"/>
        </w:rPr>
        <w:t>◎陳新民</w:t>
      </w:r>
      <w:r w:rsidRPr="002F19DE">
        <w:rPr>
          <w:sz w:val="24"/>
          <w:szCs w:val="24"/>
        </w:rPr>
        <w:t>(1999)，中華民國憲法釋論，修訂3版，臺北市：三民，頁1-875。</w:t>
      </w:r>
    </w:p>
    <w:p w:rsidR="002F19DE" w:rsidRPr="002F19DE" w:rsidRDefault="002F19DE" w:rsidP="002F19DE">
      <w:pPr>
        <w:ind w:leftChars="0" w:left="0"/>
        <w:rPr>
          <w:sz w:val="24"/>
          <w:szCs w:val="24"/>
        </w:rPr>
      </w:pPr>
      <w:r w:rsidRPr="002F19DE">
        <w:rPr>
          <w:rFonts w:hint="eastAsia"/>
          <w:sz w:val="24"/>
          <w:szCs w:val="24"/>
        </w:rPr>
        <w:t>◎陳新民</w:t>
      </w:r>
      <w:r w:rsidRPr="002F19DE">
        <w:rPr>
          <w:sz w:val="24"/>
          <w:szCs w:val="24"/>
        </w:rPr>
        <w:t>(2005)，憲法導論，5版，臺北市：新學林公司，頁1-466</w:t>
      </w:r>
      <w:r w:rsidR="00CE2331">
        <w:rPr>
          <w:sz w:val="24"/>
          <w:szCs w:val="24"/>
        </w:rPr>
        <w:t>。</w:t>
      </w:r>
      <w:r w:rsidRPr="002F19DE">
        <w:rPr>
          <w:sz w:val="24"/>
          <w:szCs w:val="24"/>
        </w:rPr>
        <w:t xml:space="preserve"> </w:t>
      </w:r>
    </w:p>
    <w:p w:rsidR="002F19DE" w:rsidRPr="002F19DE" w:rsidRDefault="002F19DE" w:rsidP="002F19DE">
      <w:pPr>
        <w:ind w:leftChars="0" w:left="0"/>
        <w:rPr>
          <w:sz w:val="24"/>
          <w:szCs w:val="24"/>
        </w:rPr>
      </w:pPr>
      <w:r w:rsidRPr="002F19DE">
        <w:rPr>
          <w:rFonts w:hint="eastAsia"/>
          <w:sz w:val="24"/>
          <w:szCs w:val="24"/>
        </w:rPr>
        <w:t>◎陳澤憲</w:t>
      </w:r>
      <w:r w:rsidRPr="002F19DE">
        <w:rPr>
          <w:sz w:val="24"/>
          <w:szCs w:val="24"/>
        </w:rPr>
        <w:t>(2008)，公民權利與政治權利國際公約的批准與實施，初版，北京：中國社會科學出版社。</w:t>
      </w:r>
    </w:p>
    <w:p w:rsidR="002F19DE" w:rsidRPr="002F19DE" w:rsidRDefault="002F19DE" w:rsidP="002F19DE">
      <w:pPr>
        <w:ind w:leftChars="0" w:left="0"/>
        <w:rPr>
          <w:sz w:val="24"/>
          <w:szCs w:val="24"/>
        </w:rPr>
      </w:pPr>
      <w:r w:rsidRPr="002F19DE">
        <w:rPr>
          <w:rFonts w:hint="eastAsia"/>
          <w:sz w:val="24"/>
          <w:szCs w:val="24"/>
        </w:rPr>
        <w:t>◎陳燕禎（</w:t>
      </w:r>
      <w:r w:rsidRPr="002F19DE">
        <w:rPr>
          <w:sz w:val="24"/>
          <w:szCs w:val="24"/>
        </w:rPr>
        <w:t xml:space="preserve">2008）。臺灣新移民的文化認同、社會適應與社會網路。國家與社會4：43-99。 </w:t>
      </w:r>
    </w:p>
    <w:p w:rsidR="002F19DE" w:rsidRPr="002F19DE" w:rsidRDefault="002F19DE" w:rsidP="002F19DE">
      <w:pPr>
        <w:ind w:leftChars="0" w:left="0"/>
        <w:rPr>
          <w:sz w:val="24"/>
          <w:szCs w:val="24"/>
        </w:rPr>
      </w:pPr>
      <w:r w:rsidRPr="002F19DE">
        <w:rPr>
          <w:rFonts w:hint="eastAsia"/>
          <w:sz w:val="24"/>
          <w:szCs w:val="24"/>
        </w:rPr>
        <w:t>◎陳錦華譯</w:t>
      </w:r>
      <w:r w:rsidRPr="002F19DE">
        <w:rPr>
          <w:sz w:val="24"/>
          <w:szCs w:val="24"/>
        </w:rPr>
        <w:t>(1999)，國際法，臺北：五南公司。</w:t>
      </w:r>
    </w:p>
    <w:p w:rsidR="002F19DE" w:rsidRPr="002F19DE" w:rsidRDefault="002F19DE" w:rsidP="002F19DE">
      <w:pPr>
        <w:ind w:leftChars="0" w:left="0"/>
        <w:rPr>
          <w:sz w:val="24"/>
          <w:szCs w:val="24"/>
        </w:rPr>
      </w:pPr>
      <w:r w:rsidRPr="002F19DE">
        <w:rPr>
          <w:rFonts w:hint="eastAsia"/>
          <w:sz w:val="24"/>
          <w:szCs w:val="24"/>
        </w:rPr>
        <w:t>◎陳靜慧</w:t>
      </w:r>
      <w:r w:rsidRPr="002F19DE">
        <w:rPr>
          <w:sz w:val="24"/>
          <w:szCs w:val="24"/>
        </w:rPr>
        <w:t>(2002)。從平等權的觀點論大陸配偶在台灣地區之法律地位及其基本權利之保障，憲政時代，第28卷第2期，頁58-78。</w:t>
      </w:r>
    </w:p>
    <w:p w:rsidR="002F19DE" w:rsidRPr="002F19DE" w:rsidRDefault="002F19DE" w:rsidP="002F19DE">
      <w:pPr>
        <w:ind w:leftChars="0" w:left="0"/>
        <w:rPr>
          <w:sz w:val="24"/>
          <w:szCs w:val="24"/>
        </w:rPr>
      </w:pPr>
      <w:r w:rsidRPr="002F19DE">
        <w:rPr>
          <w:rFonts w:hint="eastAsia"/>
          <w:sz w:val="24"/>
          <w:szCs w:val="24"/>
        </w:rPr>
        <w:t>◎勞動部勞動力發展署劉佳鈞署長（</w:t>
      </w:r>
      <w:r w:rsidRPr="002F19DE">
        <w:rPr>
          <w:sz w:val="24"/>
          <w:szCs w:val="24"/>
        </w:rPr>
        <w:t xml:space="preserve">2014）。延攬外籍人才執行情形及後續推動做法，Retrieved from </w:t>
      </w:r>
      <w:hyperlink r:id="rId807" w:history="1">
        <w:r w:rsidRPr="00CE2331">
          <w:rPr>
            <w:rStyle w:val="a7"/>
            <w:rFonts w:cs="Times New Roman"/>
            <w:sz w:val="24"/>
            <w:szCs w:val="24"/>
            <w:lang w:eastAsia="zh-TW" w:bidi="ar-SA"/>
          </w:rPr>
          <w:t>http://www.ey.gov.tw/DL.ashx?u=%2FUpload%2FRelFile%2F19%2F731448%2F90 5193dc-0983-470f-9a68-442ab7fb2ddd.pptx</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◎彭台臨</w:t>
      </w:r>
      <w:r w:rsidRPr="002F19DE">
        <w:rPr>
          <w:sz w:val="24"/>
          <w:szCs w:val="24"/>
        </w:rPr>
        <w:t>(1995)，瑞士的外籍勞動力引進與管理，就業與訓練。</w:t>
      </w:r>
    </w:p>
    <w:p w:rsidR="002F19DE" w:rsidRPr="002F19DE" w:rsidRDefault="002F19DE" w:rsidP="002F19DE">
      <w:pPr>
        <w:ind w:leftChars="0" w:left="0"/>
        <w:rPr>
          <w:sz w:val="24"/>
          <w:szCs w:val="24"/>
        </w:rPr>
      </w:pPr>
      <w:r w:rsidRPr="002F19DE">
        <w:rPr>
          <w:rFonts w:hint="eastAsia"/>
          <w:sz w:val="24"/>
          <w:szCs w:val="24"/>
        </w:rPr>
        <w:t>◎彭晟（</w:t>
      </w:r>
      <w:r w:rsidRPr="002F19DE">
        <w:rPr>
          <w:sz w:val="24"/>
          <w:szCs w:val="24"/>
        </w:rPr>
        <w:t>2011），移民政策（概要），臺北市：志光。</w:t>
      </w:r>
    </w:p>
    <w:p w:rsidR="002F19DE" w:rsidRPr="002F19DE" w:rsidRDefault="002F19DE" w:rsidP="002F19DE">
      <w:pPr>
        <w:ind w:leftChars="0" w:left="0"/>
        <w:rPr>
          <w:sz w:val="24"/>
          <w:szCs w:val="24"/>
        </w:rPr>
      </w:pPr>
      <w:r w:rsidRPr="002F19DE">
        <w:rPr>
          <w:rFonts w:hint="eastAsia"/>
          <w:sz w:val="24"/>
          <w:szCs w:val="24"/>
        </w:rPr>
        <w:t>◎曾文昌</w:t>
      </w:r>
      <w:r w:rsidRPr="002F19DE">
        <w:rPr>
          <w:sz w:val="24"/>
          <w:szCs w:val="24"/>
        </w:rPr>
        <w:t>(1999)，入出國及移民法釋論，台北：中正。</w:t>
      </w:r>
    </w:p>
    <w:p w:rsidR="002F19DE" w:rsidRPr="002F19DE" w:rsidRDefault="002F19DE" w:rsidP="00CE2331">
      <w:pPr>
        <w:ind w:leftChars="0" w:left="0"/>
        <w:jc w:val="left"/>
        <w:rPr>
          <w:sz w:val="24"/>
          <w:szCs w:val="24"/>
        </w:rPr>
      </w:pPr>
      <w:r w:rsidRPr="002F19DE">
        <w:rPr>
          <w:rFonts w:hint="eastAsia"/>
          <w:sz w:val="24"/>
          <w:szCs w:val="24"/>
        </w:rPr>
        <w:t>◎曾志超</w:t>
      </w:r>
      <w:r w:rsidRPr="002F19DE">
        <w:rPr>
          <w:sz w:val="24"/>
          <w:szCs w:val="24"/>
        </w:rPr>
        <w:t>(2018)，從供需面看台灣人才外流問題，師友月刊，</w:t>
      </w:r>
      <w:hyperlink r:id="rId808" w:history="1">
        <w:r w:rsidRPr="00CE2331">
          <w:rPr>
            <w:rStyle w:val="a7"/>
            <w:rFonts w:cs="Times New Roman"/>
            <w:sz w:val="24"/>
            <w:szCs w:val="24"/>
            <w:lang w:eastAsia="zh-TW" w:bidi="ar-SA"/>
          </w:rPr>
          <w:t>https://www.npf.org.tw/printfriendly/18196</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◎曾嬿芬（</w:t>
      </w:r>
      <w:r w:rsidRPr="002F19DE">
        <w:rPr>
          <w:sz w:val="24"/>
          <w:szCs w:val="24"/>
        </w:rPr>
        <w:t>1998），居留權商品化：臺灣的商業移民市場，臺灣社會研究季刊第27期，頁37-67。</w:t>
      </w:r>
    </w:p>
    <w:p w:rsidR="002F19DE" w:rsidRPr="002F19DE" w:rsidRDefault="002F19DE" w:rsidP="002F19DE">
      <w:pPr>
        <w:ind w:leftChars="0" w:left="0"/>
        <w:rPr>
          <w:sz w:val="24"/>
          <w:szCs w:val="24"/>
        </w:rPr>
      </w:pPr>
      <w:r w:rsidRPr="002F19DE">
        <w:rPr>
          <w:rFonts w:hint="eastAsia"/>
          <w:sz w:val="24"/>
          <w:szCs w:val="24"/>
        </w:rPr>
        <w:t>◎植憲（</w:t>
      </w:r>
      <w:r w:rsidRPr="002F19DE">
        <w:rPr>
          <w:sz w:val="24"/>
          <w:szCs w:val="24"/>
        </w:rPr>
        <w:t>2011），憲法解題概念操作（下），6版，台北：高點文化公司。</w:t>
      </w:r>
    </w:p>
    <w:p w:rsidR="002F19DE" w:rsidRPr="002F19DE" w:rsidRDefault="002F19DE" w:rsidP="002F19DE">
      <w:pPr>
        <w:ind w:leftChars="0" w:left="0"/>
        <w:rPr>
          <w:sz w:val="24"/>
          <w:szCs w:val="24"/>
        </w:rPr>
      </w:pPr>
      <w:r w:rsidRPr="002F19DE">
        <w:rPr>
          <w:rFonts w:hint="eastAsia"/>
          <w:sz w:val="24"/>
          <w:szCs w:val="24"/>
        </w:rPr>
        <w:t>◎植憲（</w:t>
      </w:r>
      <w:r w:rsidRPr="002F19DE">
        <w:rPr>
          <w:sz w:val="24"/>
          <w:szCs w:val="24"/>
        </w:rPr>
        <w:t>2012），憲法必背釋字精研，7版2刷，台北：植憲公司。</w:t>
      </w:r>
    </w:p>
    <w:p w:rsidR="002F19DE" w:rsidRPr="002F19DE" w:rsidRDefault="002F19DE" w:rsidP="002F19DE">
      <w:pPr>
        <w:ind w:leftChars="0" w:left="0"/>
        <w:rPr>
          <w:sz w:val="24"/>
          <w:szCs w:val="24"/>
        </w:rPr>
      </w:pPr>
      <w:r w:rsidRPr="002F19DE">
        <w:rPr>
          <w:rFonts w:hint="eastAsia"/>
          <w:sz w:val="24"/>
          <w:szCs w:val="24"/>
        </w:rPr>
        <w:t>◎植憲（</w:t>
      </w:r>
      <w:r w:rsidRPr="002F19DE">
        <w:rPr>
          <w:sz w:val="24"/>
          <w:szCs w:val="24"/>
        </w:rPr>
        <w:t>2012），憲法解題概念操作（下），7版1刷，台北：植憲公司。</w:t>
      </w:r>
    </w:p>
    <w:p w:rsidR="002F19DE" w:rsidRPr="002F19DE" w:rsidRDefault="002F19DE" w:rsidP="002F19DE">
      <w:pPr>
        <w:ind w:leftChars="0" w:left="0"/>
        <w:rPr>
          <w:sz w:val="24"/>
          <w:szCs w:val="24"/>
        </w:rPr>
      </w:pPr>
      <w:r w:rsidRPr="002F19DE">
        <w:rPr>
          <w:rFonts w:hint="eastAsia"/>
          <w:sz w:val="24"/>
          <w:szCs w:val="24"/>
        </w:rPr>
        <w:t>◎湯淑君</w:t>
      </w:r>
      <w:r w:rsidRPr="002F19DE">
        <w:rPr>
          <w:sz w:val="24"/>
          <w:szCs w:val="24"/>
        </w:rPr>
        <w:t>(2014)，張忠謀談接班、網路與中國崛起，有法可用 集體帶槍投靠仍連爆，反挖角，台灣需要下一個明星產業，</w:t>
      </w:r>
      <w:hyperlink r:id="rId809" w:history="1">
        <w:r w:rsidRPr="00CE2331">
          <w:rPr>
            <w:rStyle w:val="a7"/>
            <w:rFonts w:cs="Times New Roman"/>
            <w:sz w:val="24"/>
            <w:szCs w:val="24"/>
            <w:lang w:eastAsia="zh-TW" w:bidi="ar-SA"/>
          </w:rPr>
          <w:t>http://blog.udn.com/geshela/18353520</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◎焦興鎧</w:t>
      </w:r>
      <w:r w:rsidRPr="002F19DE">
        <w:rPr>
          <w:sz w:val="24"/>
          <w:szCs w:val="24"/>
        </w:rPr>
        <w:t>(2005)，保障外籍家事工作者勞動權益國際基準之研究，經社法制論叢，第35期，頁147-180。</w:t>
      </w:r>
    </w:p>
    <w:p w:rsidR="002F19DE" w:rsidRPr="002F19DE" w:rsidRDefault="002F19DE" w:rsidP="002F19DE">
      <w:pPr>
        <w:ind w:leftChars="0" w:left="0"/>
        <w:rPr>
          <w:sz w:val="24"/>
          <w:szCs w:val="24"/>
        </w:rPr>
      </w:pPr>
      <w:r w:rsidRPr="002F19DE">
        <w:rPr>
          <w:rFonts w:hint="eastAsia"/>
          <w:sz w:val="24"/>
          <w:szCs w:val="24"/>
        </w:rPr>
        <w:t>◎程晏鈴</w:t>
      </w:r>
      <w:r w:rsidRPr="002F19DE">
        <w:rPr>
          <w:sz w:val="24"/>
          <w:szCs w:val="24"/>
        </w:rPr>
        <w:t>(2017)，高出低進沒人才，4年後，台灣人才缺口全球最嚴重，</w:t>
      </w:r>
      <w:hyperlink r:id="rId810" w:history="1">
        <w:r w:rsidRPr="00CE2331">
          <w:rPr>
            <w:rStyle w:val="a7"/>
            <w:rFonts w:cs="Times New Roman"/>
            <w:sz w:val="24"/>
            <w:szCs w:val="24"/>
            <w:lang w:eastAsia="zh-TW" w:bidi="ar-SA"/>
          </w:rPr>
          <w:t>https://www.cw.com.tw/article/article.action?id=5083320</w:t>
        </w:r>
      </w:hyperlink>
      <w:r w:rsidRPr="002F19DE">
        <w:rPr>
          <w:sz w:val="24"/>
          <w:szCs w:val="24"/>
        </w:rPr>
        <w:t xml:space="preserve">。 </w:t>
      </w:r>
    </w:p>
    <w:p w:rsidR="002F19DE" w:rsidRPr="002F19DE" w:rsidRDefault="002F19DE" w:rsidP="002F19DE">
      <w:pPr>
        <w:ind w:leftChars="0" w:left="0"/>
        <w:rPr>
          <w:sz w:val="24"/>
          <w:szCs w:val="24"/>
        </w:rPr>
      </w:pPr>
      <w:r w:rsidRPr="002F19DE">
        <w:rPr>
          <w:rFonts w:hint="eastAsia"/>
          <w:sz w:val="24"/>
          <w:szCs w:val="24"/>
        </w:rPr>
        <w:t>◎童振源</w:t>
      </w:r>
      <w:r w:rsidRPr="002F19DE">
        <w:rPr>
          <w:sz w:val="24"/>
          <w:szCs w:val="24"/>
        </w:rPr>
        <w:t>(2003)，兩岸經濟整合與臺灣的國家安全顧慮，台北：遠景基金會季刊第4卷第3期。</w:t>
      </w:r>
    </w:p>
    <w:p w:rsidR="002F19DE" w:rsidRPr="002F19DE" w:rsidRDefault="002F19DE" w:rsidP="002F19DE">
      <w:pPr>
        <w:ind w:leftChars="0" w:left="0"/>
        <w:rPr>
          <w:sz w:val="24"/>
          <w:szCs w:val="24"/>
        </w:rPr>
      </w:pPr>
      <w:r w:rsidRPr="002F19DE">
        <w:rPr>
          <w:rFonts w:hint="eastAsia"/>
          <w:sz w:val="24"/>
          <w:szCs w:val="24"/>
        </w:rPr>
        <w:t>◎賀祥宏（</w:t>
      </w:r>
      <w:r w:rsidRPr="002F19DE">
        <w:rPr>
          <w:sz w:val="24"/>
          <w:szCs w:val="24"/>
        </w:rPr>
        <w:t>2010），中華民國憲法，台北：高點公司。</w:t>
      </w:r>
    </w:p>
    <w:p w:rsidR="002F19DE" w:rsidRPr="002F19DE" w:rsidRDefault="002F19DE" w:rsidP="002F19DE">
      <w:pPr>
        <w:ind w:leftChars="0" w:left="0"/>
        <w:rPr>
          <w:sz w:val="24"/>
          <w:szCs w:val="24"/>
        </w:rPr>
      </w:pPr>
      <w:r w:rsidRPr="002F19DE">
        <w:rPr>
          <w:rFonts w:hint="eastAsia"/>
          <w:sz w:val="24"/>
          <w:szCs w:val="24"/>
        </w:rPr>
        <w:t>◎馮震宇</w:t>
      </w:r>
      <w:r w:rsidRPr="002F19DE">
        <w:rPr>
          <w:sz w:val="24"/>
          <w:szCs w:val="24"/>
        </w:rPr>
        <w:t xml:space="preserve">(2017)，7大緊箍咒 國際人才來台就業難, Access on </w:t>
      </w:r>
      <w:hyperlink r:id="rId811" w:history="1">
        <w:r w:rsidRPr="00CE2331">
          <w:rPr>
            <w:rStyle w:val="a7"/>
            <w:rFonts w:cs="Times New Roman"/>
            <w:sz w:val="24"/>
            <w:szCs w:val="24"/>
            <w:lang w:eastAsia="zh-TW" w:bidi="ar-SA"/>
          </w:rPr>
          <w:t>https://udn.com/news/story/6868/2442079</w:t>
        </w:r>
      </w:hyperlink>
    </w:p>
    <w:p w:rsidR="002F19DE" w:rsidRPr="002F19DE" w:rsidRDefault="002F19DE" w:rsidP="002F19DE">
      <w:pPr>
        <w:ind w:leftChars="0" w:left="0"/>
        <w:rPr>
          <w:sz w:val="24"/>
          <w:szCs w:val="24"/>
        </w:rPr>
      </w:pPr>
      <w:r w:rsidRPr="002F19DE">
        <w:rPr>
          <w:rFonts w:hint="eastAsia"/>
          <w:sz w:val="24"/>
          <w:szCs w:val="24"/>
        </w:rPr>
        <w:t>◎黃文志</w:t>
      </w:r>
      <w:r w:rsidRPr="002F19DE">
        <w:rPr>
          <w:sz w:val="24"/>
          <w:szCs w:val="24"/>
        </w:rPr>
        <w:t>(2002)，赴加拿大出席國際警察首長協會第一Ｏ八屆年會暨執行委員會出國報告，行政院及所屬各機關出國報告。</w:t>
      </w:r>
    </w:p>
    <w:p w:rsidR="002F19DE" w:rsidRPr="002F19DE" w:rsidRDefault="002F19DE" w:rsidP="002F19DE">
      <w:pPr>
        <w:ind w:leftChars="0" w:left="0"/>
        <w:rPr>
          <w:sz w:val="24"/>
          <w:szCs w:val="24"/>
        </w:rPr>
      </w:pPr>
      <w:r w:rsidRPr="002F19DE">
        <w:rPr>
          <w:rFonts w:hint="eastAsia"/>
          <w:sz w:val="24"/>
          <w:szCs w:val="24"/>
        </w:rPr>
        <w:t>◎黃文志</w:t>
      </w:r>
      <w:r w:rsidRPr="002F19DE">
        <w:rPr>
          <w:sz w:val="24"/>
          <w:szCs w:val="24"/>
        </w:rPr>
        <w:t>(2008)，前進越南、眺望世界，刑事雙月刊。</w:t>
      </w:r>
    </w:p>
    <w:p w:rsidR="002F19DE" w:rsidRPr="002F19DE" w:rsidRDefault="002F19DE" w:rsidP="002F19DE">
      <w:pPr>
        <w:ind w:leftChars="0" w:left="0"/>
        <w:rPr>
          <w:sz w:val="24"/>
          <w:szCs w:val="24"/>
        </w:rPr>
      </w:pPr>
      <w:r w:rsidRPr="002F19DE">
        <w:rPr>
          <w:rFonts w:hint="eastAsia"/>
          <w:sz w:val="24"/>
          <w:szCs w:val="24"/>
        </w:rPr>
        <w:t>◎黃秀端、林政楠</w:t>
      </w:r>
      <w:r w:rsidRPr="002F19DE">
        <w:rPr>
          <w:sz w:val="24"/>
          <w:szCs w:val="24"/>
        </w:rPr>
        <w:t>(2014)。移民權利、移民管制與整合—入出國及移民法在立法院修法過程的分析，臺灣民主季刊，第11卷第3期，頁83-133。</w:t>
      </w:r>
    </w:p>
    <w:p w:rsidR="002F19DE" w:rsidRPr="002F19DE" w:rsidRDefault="002F19DE" w:rsidP="002F19DE">
      <w:pPr>
        <w:ind w:leftChars="0" w:left="0"/>
        <w:rPr>
          <w:sz w:val="24"/>
          <w:szCs w:val="24"/>
        </w:rPr>
      </w:pPr>
      <w:r w:rsidRPr="002F19DE">
        <w:rPr>
          <w:rFonts w:hint="eastAsia"/>
          <w:sz w:val="24"/>
          <w:szCs w:val="24"/>
        </w:rPr>
        <w:t>◎黃坤祥</w:t>
      </w:r>
      <w:r w:rsidRPr="002F19DE">
        <w:rPr>
          <w:sz w:val="24"/>
          <w:szCs w:val="24"/>
        </w:rPr>
        <w:t>(1994)，我國外籍勞工政策的回顧與展望，勞工之友第521期。</w:t>
      </w:r>
    </w:p>
    <w:p w:rsidR="002F19DE" w:rsidRPr="002F19DE" w:rsidRDefault="002F19DE" w:rsidP="002F19DE">
      <w:pPr>
        <w:ind w:leftChars="0" w:left="0"/>
        <w:rPr>
          <w:sz w:val="24"/>
          <w:szCs w:val="24"/>
        </w:rPr>
      </w:pPr>
      <w:r w:rsidRPr="002F19DE">
        <w:rPr>
          <w:rFonts w:hint="eastAsia"/>
          <w:sz w:val="24"/>
          <w:szCs w:val="24"/>
        </w:rPr>
        <w:t>◎黃居正</w:t>
      </w:r>
      <w:r w:rsidRPr="002F19DE">
        <w:rPr>
          <w:sz w:val="24"/>
          <w:szCs w:val="24"/>
        </w:rPr>
        <w:t>(2004)，國籍與公民身分---一個跨領域的探索，台灣國際法季刊，第1卷第4期，（10月）。</w:t>
      </w:r>
    </w:p>
    <w:p w:rsidR="002F19DE" w:rsidRPr="002F19DE" w:rsidRDefault="002F19DE" w:rsidP="002F19DE">
      <w:pPr>
        <w:ind w:leftChars="0" w:left="0"/>
        <w:rPr>
          <w:sz w:val="24"/>
          <w:szCs w:val="24"/>
        </w:rPr>
      </w:pPr>
      <w:r w:rsidRPr="002F19DE">
        <w:rPr>
          <w:rFonts w:hint="eastAsia"/>
          <w:sz w:val="24"/>
          <w:szCs w:val="24"/>
        </w:rPr>
        <w:t>◎黃居正</w:t>
      </w:r>
      <w:r w:rsidRPr="002F19DE">
        <w:rPr>
          <w:sz w:val="24"/>
          <w:szCs w:val="24"/>
        </w:rPr>
        <w:t>(2005)，國籍與效忠---從意識到規範的探索，台灣國際研究季刊，第1卷第1期。</w:t>
      </w:r>
    </w:p>
    <w:p w:rsidR="002F19DE" w:rsidRPr="002F19DE" w:rsidRDefault="002F19DE" w:rsidP="002F19DE">
      <w:pPr>
        <w:ind w:leftChars="0" w:left="0"/>
        <w:rPr>
          <w:sz w:val="24"/>
          <w:szCs w:val="24"/>
        </w:rPr>
      </w:pPr>
      <w:r w:rsidRPr="002F19DE">
        <w:rPr>
          <w:rFonts w:hint="eastAsia"/>
          <w:sz w:val="24"/>
          <w:szCs w:val="24"/>
        </w:rPr>
        <w:t>◎黃居正</w:t>
      </w:r>
      <w:r w:rsidRPr="002F19DE">
        <w:rPr>
          <w:sz w:val="24"/>
          <w:szCs w:val="24"/>
        </w:rPr>
        <w:t>(2011)，諾特邦案：國籍的意義、得喪與承認，台灣法學，第185期。</w:t>
      </w:r>
    </w:p>
    <w:p w:rsidR="002F19DE" w:rsidRPr="002F19DE" w:rsidRDefault="002F19DE" w:rsidP="002F19DE">
      <w:pPr>
        <w:ind w:leftChars="0" w:left="0"/>
        <w:rPr>
          <w:sz w:val="24"/>
          <w:szCs w:val="24"/>
        </w:rPr>
      </w:pPr>
      <w:r w:rsidRPr="002F19DE">
        <w:rPr>
          <w:rFonts w:hint="eastAsia"/>
          <w:sz w:val="24"/>
          <w:szCs w:val="24"/>
        </w:rPr>
        <w:t>◎黃炎東</w:t>
      </w:r>
      <w:r w:rsidRPr="002F19DE">
        <w:rPr>
          <w:sz w:val="24"/>
          <w:szCs w:val="24"/>
        </w:rPr>
        <w:t>(2006)，中華民國憲法新論，五南圖書出版股份有限公司。</w:t>
      </w:r>
    </w:p>
    <w:p w:rsidR="002F19DE" w:rsidRPr="002F19DE" w:rsidRDefault="002F19DE" w:rsidP="002F19DE">
      <w:pPr>
        <w:ind w:leftChars="0" w:left="0"/>
        <w:rPr>
          <w:sz w:val="24"/>
          <w:szCs w:val="24"/>
        </w:rPr>
      </w:pPr>
      <w:r w:rsidRPr="002F19DE">
        <w:rPr>
          <w:rFonts w:hint="eastAsia"/>
          <w:sz w:val="24"/>
          <w:szCs w:val="24"/>
        </w:rPr>
        <w:t>◎黃昭元</w:t>
      </w:r>
      <w:r w:rsidRPr="002F19DE">
        <w:rPr>
          <w:sz w:val="24"/>
          <w:szCs w:val="24"/>
        </w:rPr>
        <w:t>(2008)。平等權審查標準的選擇問題：兼論比例原則在平等權審查上的適用可能，臺大法學論叢，第37卷第4期，頁253-284。</w:t>
      </w:r>
    </w:p>
    <w:p w:rsidR="002F19DE" w:rsidRPr="002F19DE" w:rsidRDefault="002F19DE" w:rsidP="002F19DE">
      <w:pPr>
        <w:ind w:leftChars="0" w:left="0"/>
        <w:rPr>
          <w:sz w:val="24"/>
          <w:szCs w:val="24"/>
        </w:rPr>
      </w:pPr>
      <w:r w:rsidRPr="002F19DE">
        <w:rPr>
          <w:rFonts w:hint="eastAsia"/>
          <w:sz w:val="24"/>
          <w:szCs w:val="24"/>
        </w:rPr>
        <w:t>◎黃昭元（</w:t>
      </w:r>
      <w:r w:rsidRPr="002F19DE">
        <w:rPr>
          <w:sz w:val="24"/>
          <w:szCs w:val="24"/>
        </w:rPr>
        <w:t>2012）。論差別影響歧視與差別對待歧視的關係--評美國最高法院Ricci v. DeStefano （2009）判決。中研院法學期刊11：1-63。</w:t>
      </w:r>
    </w:p>
    <w:p w:rsidR="002F19DE" w:rsidRPr="002F19DE" w:rsidRDefault="002F19DE" w:rsidP="002F19DE">
      <w:pPr>
        <w:ind w:leftChars="0" w:left="0"/>
        <w:rPr>
          <w:sz w:val="24"/>
          <w:szCs w:val="24"/>
        </w:rPr>
      </w:pPr>
      <w:r w:rsidRPr="002F19DE">
        <w:rPr>
          <w:rFonts w:hint="eastAsia"/>
          <w:sz w:val="24"/>
          <w:szCs w:val="24"/>
        </w:rPr>
        <w:t>◎黃秋龍</w:t>
      </w:r>
      <w:r w:rsidRPr="002F19DE">
        <w:rPr>
          <w:sz w:val="24"/>
          <w:szCs w:val="24"/>
        </w:rPr>
        <w:t>(2004)，非傳統安全的理論與實踐，展望與探索(新北市新店區)，第2卷第4期，頁11-22。</w:t>
      </w:r>
    </w:p>
    <w:p w:rsidR="002F19DE" w:rsidRPr="002F19DE" w:rsidRDefault="002F19DE" w:rsidP="002F19DE">
      <w:pPr>
        <w:ind w:leftChars="0" w:left="0"/>
        <w:rPr>
          <w:sz w:val="24"/>
          <w:szCs w:val="24"/>
        </w:rPr>
      </w:pPr>
      <w:r w:rsidRPr="002F19DE">
        <w:rPr>
          <w:rFonts w:hint="eastAsia"/>
          <w:sz w:val="24"/>
          <w:szCs w:val="24"/>
        </w:rPr>
        <w:t>◎黃秋龍（</w:t>
      </w:r>
      <w:r w:rsidRPr="002F19DE">
        <w:rPr>
          <w:sz w:val="24"/>
          <w:szCs w:val="24"/>
        </w:rPr>
        <w:t>2006），國家安全報告與新安全觀，展望與探索，第4卷第6期。</w:t>
      </w:r>
    </w:p>
    <w:p w:rsidR="002F19DE" w:rsidRPr="002F19DE" w:rsidRDefault="002F19DE" w:rsidP="002F19DE">
      <w:pPr>
        <w:ind w:leftChars="0" w:left="0"/>
        <w:rPr>
          <w:sz w:val="24"/>
          <w:szCs w:val="24"/>
        </w:rPr>
      </w:pPr>
      <w:r w:rsidRPr="002F19DE">
        <w:rPr>
          <w:rFonts w:hint="eastAsia"/>
          <w:sz w:val="24"/>
          <w:szCs w:val="24"/>
        </w:rPr>
        <w:t>◎黃美美</w:t>
      </w:r>
      <w:r w:rsidRPr="002F19DE">
        <w:rPr>
          <w:sz w:val="24"/>
          <w:szCs w:val="24"/>
        </w:rPr>
        <w:t>(2006)，台灣外籍監護工問題與改進之研究，逢甲大學經營管理碩士在職專班碩士論文</w:t>
      </w:r>
      <w:r w:rsidR="00CE2331">
        <w:rPr>
          <w:sz w:val="24"/>
          <w:szCs w:val="24"/>
        </w:rPr>
        <w:t>。</w:t>
      </w:r>
    </w:p>
    <w:p w:rsidR="002F19DE" w:rsidRPr="002F19DE" w:rsidRDefault="002F19DE" w:rsidP="002F19DE">
      <w:pPr>
        <w:ind w:leftChars="0" w:left="0"/>
        <w:rPr>
          <w:sz w:val="24"/>
          <w:szCs w:val="24"/>
        </w:rPr>
      </w:pPr>
      <w:r w:rsidRPr="002F19DE">
        <w:rPr>
          <w:rFonts w:hint="eastAsia"/>
          <w:sz w:val="24"/>
          <w:szCs w:val="24"/>
        </w:rPr>
        <w:t>◎黃英貴（</w:t>
      </w:r>
      <w:r w:rsidRPr="002F19DE">
        <w:rPr>
          <w:sz w:val="24"/>
          <w:szCs w:val="24"/>
        </w:rPr>
        <w:t>2011），臺灣移民仲介業管制治理之政策網絡研究，國立臺灣大學碩士論文。</w:t>
      </w:r>
    </w:p>
    <w:p w:rsidR="002F19DE" w:rsidRPr="002F19DE" w:rsidRDefault="002F19DE" w:rsidP="002F19DE">
      <w:pPr>
        <w:ind w:leftChars="0" w:left="0"/>
        <w:rPr>
          <w:sz w:val="24"/>
          <w:szCs w:val="24"/>
        </w:rPr>
      </w:pPr>
      <w:r w:rsidRPr="002F19DE">
        <w:rPr>
          <w:rFonts w:hint="eastAsia"/>
          <w:sz w:val="24"/>
          <w:szCs w:val="24"/>
        </w:rPr>
        <w:t>◎黃紹祥</w:t>
      </w:r>
      <w:r w:rsidRPr="002F19DE">
        <w:rPr>
          <w:sz w:val="24"/>
          <w:szCs w:val="24"/>
        </w:rPr>
        <w:t>(1994)，我國外籍勞工管理實務之探討，中央警察大學外事警察學術研討會論文。</w:t>
      </w:r>
    </w:p>
    <w:p w:rsidR="002F19DE" w:rsidRPr="002F19DE" w:rsidRDefault="002F19DE" w:rsidP="002F19DE">
      <w:pPr>
        <w:ind w:leftChars="0" w:left="0"/>
        <w:rPr>
          <w:sz w:val="24"/>
          <w:szCs w:val="24"/>
        </w:rPr>
      </w:pPr>
      <w:r w:rsidRPr="002F19DE">
        <w:rPr>
          <w:rFonts w:hint="eastAsia"/>
          <w:sz w:val="24"/>
          <w:szCs w:val="24"/>
        </w:rPr>
        <w:t>◎黃朝義</w:t>
      </w:r>
      <w:r w:rsidRPr="002F19DE">
        <w:rPr>
          <w:sz w:val="24"/>
          <w:szCs w:val="24"/>
        </w:rPr>
        <w:t>(2013)，刑事訴訟法，台北市：新學林出版股份有限公司。</w:t>
      </w:r>
    </w:p>
    <w:p w:rsidR="002F19DE" w:rsidRPr="002F19DE" w:rsidRDefault="002F19DE" w:rsidP="002F19DE">
      <w:pPr>
        <w:ind w:leftChars="0" w:left="0"/>
        <w:rPr>
          <w:sz w:val="24"/>
          <w:szCs w:val="24"/>
        </w:rPr>
      </w:pPr>
      <w:r w:rsidRPr="002F19DE">
        <w:rPr>
          <w:rFonts w:hint="eastAsia"/>
          <w:sz w:val="24"/>
          <w:szCs w:val="24"/>
        </w:rPr>
        <w:t>◎黃越欽等編著</w:t>
      </w:r>
      <w:r w:rsidRPr="002F19DE">
        <w:rPr>
          <w:sz w:val="24"/>
          <w:szCs w:val="24"/>
        </w:rPr>
        <w:t>(1992)，十四項重要工程得標業者聘僱海外補充勞工措施之追蹤調查與評估──我國外籍勞工政策之長期研究第一期計劃，行政院勞工委員會職業訓練局委託研究。</w:t>
      </w:r>
    </w:p>
    <w:p w:rsidR="002F19DE" w:rsidRPr="002F19DE" w:rsidRDefault="002F19DE" w:rsidP="002F19DE">
      <w:pPr>
        <w:ind w:leftChars="0" w:left="0"/>
        <w:rPr>
          <w:sz w:val="24"/>
          <w:szCs w:val="24"/>
        </w:rPr>
      </w:pPr>
      <w:r w:rsidRPr="002F19DE">
        <w:rPr>
          <w:rFonts w:hint="eastAsia"/>
          <w:sz w:val="24"/>
          <w:szCs w:val="24"/>
        </w:rPr>
        <w:t>◎黃逸珊（</w:t>
      </w:r>
      <w:r w:rsidRPr="002F19DE">
        <w:rPr>
          <w:sz w:val="24"/>
          <w:szCs w:val="24"/>
        </w:rPr>
        <w:t>2005），臺灣地區大陸女性配偶生活適應之研究－以桃園縣個案為例，中央警察大學犯罪防治研究所碩士論文，頁47-48。</w:t>
      </w:r>
    </w:p>
    <w:p w:rsidR="002F19DE" w:rsidRPr="002F19DE" w:rsidRDefault="002F19DE" w:rsidP="00CE2331">
      <w:pPr>
        <w:ind w:leftChars="0" w:left="0"/>
        <w:jc w:val="left"/>
        <w:rPr>
          <w:sz w:val="24"/>
          <w:szCs w:val="24"/>
        </w:rPr>
      </w:pPr>
      <w:r w:rsidRPr="002F19DE">
        <w:rPr>
          <w:rFonts w:hint="eastAsia"/>
          <w:sz w:val="24"/>
          <w:szCs w:val="24"/>
        </w:rPr>
        <w:t>◎黃嘉倫</w:t>
      </w:r>
      <w:r w:rsidRPr="002F19DE">
        <w:rPr>
          <w:sz w:val="24"/>
          <w:szCs w:val="24"/>
        </w:rPr>
        <w:t xml:space="preserve">(2014)，台灣人才缺口世界第一, Access on </w:t>
      </w:r>
      <w:hyperlink r:id="rId812" w:history="1">
        <w:r w:rsidRPr="00CE2331">
          <w:rPr>
            <w:rStyle w:val="a7"/>
            <w:rFonts w:cs="Times New Roman"/>
            <w:sz w:val="24"/>
            <w:szCs w:val="24"/>
            <w:lang w:eastAsia="zh-TW" w:bidi="ar-SA"/>
          </w:rPr>
          <w:t>https://www.cw.com.tw/article/article.action?id=5059155</w:t>
        </w:r>
      </w:hyperlink>
    </w:p>
    <w:p w:rsidR="002F19DE" w:rsidRPr="002F19DE" w:rsidRDefault="002F19DE" w:rsidP="002F19DE">
      <w:pPr>
        <w:ind w:leftChars="0" w:left="0"/>
        <w:rPr>
          <w:sz w:val="24"/>
          <w:szCs w:val="24"/>
        </w:rPr>
      </w:pPr>
      <w:r w:rsidRPr="002F19DE">
        <w:rPr>
          <w:rFonts w:hint="eastAsia"/>
          <w:sz w:val="24"/>
          <w:szCs w:val="24"/>
        </w:rPr>
        <w:t>◎黃翠紋</w:t>
      </w:r>
      <w:r w:rsidRPr="002F19DE">
        <w:rPr>
          <w:sz w:val="24"/>
          <w:szCs w:val="24"/>
        </w:rPr>
        <w:t>(2007)，涉及暴力之家事事件調解現況及改進方向之研究--以試辦法院之推動狀況為中心，刑事政策與犯罪研究論文集（十），頁97~138。</w:t>
      </w:r>
    </w:p>
    <w:p w:rsidR="002F19DE" w:rsidRPr="002F19DE" w:rsidRDefault="002F19DE" w:rsidP="002F19DE">
      <w:pPr>
        <w:ind w:leftChars="0" w:left="0"/>
        <w:rPr>
          <w:sz w:val="24"/>
          <w:szCs w:val="24"/>
        </w:rPr>
      </w:pPr>
      <w:r w:rsidRPr="002F19DE">
        <w:rPr>
          <w:rFonts w:hint="eastAsia"/>
          <w:sz w:val="24"/>
          <w:szCs w:val="24"/>
        </w:rPr>
        <w:t>◎黃翠紋</w:t>
      </w:r>
      <w:r w:rsidRPr="002F19DE">
        <w:rPr>
          <w:sz w:val="24"/>
          <w:szCs w:val="24"/>
        </w:rPr>
        <w:t>(2009)，我國家事事件調解機制運作現況之比較分析，月旦法學雜誌第一七三期，頁42-~62。</w:t>
      </w:r>
    </w:p>
    <w:p w:rsidR="002F19DE" w:rsidRPr="002F19DE" w:rsidRDefault="002F19DE" w:rsidP="002F19DE">
      <w:pPr>
        <w:ind w:leftChars="0" w:left="0"/>
        <w:rPr>
          <w:sz w:val="24"/>
          <w:szCs w:val="24"/>
        </w:rPr>
      </w:pPr>
      <w:r w:rsidRPr="002F19DE">
        <w:rPr>
          <w:rFonts w:hint="eastAsia"/>
          <w:sz w:val="24"/>
          <w:szCs w:val="24"/>
        </w:rPr>
        <w:t>◎黃翠紋</w:t>
      </w:r>
      <w:r w:rsidRPr="002F19DE">
        <w:rPr>
          <w:sz w:val="24"/>
          <w:szCs w:val="24"/>
        </w:rPr>
        <w:t>(2009)，鄉鎮市區調解委員會調解家事事件現況與成效之研究，執法新知論衡第五卷二期，頁125-163。</w:t>
      </w:r>
    </w:p>
    <w:p w:rsidR="002F19DE" w:rsidRPr="002F19DE" w:rsidRDefault="002F19DE" w:rsidP="002F19DE">
      <w:pPr>
        <w:ind w:leftChars="0" w:left="0"/>
        <w:rPr>
          <w:sz w:val="24"/>
          <w:szCs w:val="24"/>
        </w:rPr>
      </w:pPr>
      <w:r w:rsidRPr="002F19DE">
        <w:rPr>
          <w:rFonts w:hint="eastAsia"/>
          <w:sz w:val="24"/>
          <w:szCs w:val="24"/>
        </w:rPr>
        <w:t>◎黃翠紋</w:t>
      </w:r>
      <w:r w:rsidRPr="002F19DE">
        <w:rPr>
          <w:sz w:val="24"/>
          <w:szCs w:val="24"/>
        </w:rPr>
        <w:t>(2009)，調解委員調解能力認知與影響因素之研究—以家庭暴力案件調解為例，刑事政策與犯罪研究論文集（十二）。</w:t>
      </w:r>
    </w:p>
    <w:p w:rsidR="002F19DE" w:rsidRPr="002F19DE" w:rsidRDefault="002F19DE" w:rsidP="002F19DE">
      <w:pPr>
        <w:ind w:leftChars="0" w:left="0"/>
        <w:rPr>
          <w:sz w:val="24"/>
          <w:szCs w:val="24"/>
        </w:rPr>
      </w:pPr>
      <w:r w:rsidRPr="002F19DE">
        <w:rPr>
          <w:rFonts w:hint="eastAsia"/>
          <w:sz w:val="24"/>
          <w:szCs w:val="24"/>
        </w:rPr>
        <w:t>◎黃翠紋</w:t>
      </w:r>
      <w:r w:rsidRPr="002F19DE">
        <w:rPr>
          <w:sz w:val="24"/>
          <w:szCs w:val="24"/>
        </w:rPr>
        <w:t>(2013），婦幼安全政策分析，臺北：五南圖書出版股份有限公司，頁265-267。</w:t>
      </w:r>
    </w:p>
    <w:p w:rsidR="002F19DE" w:rsidRPr="002F19DE" w:rsidRDefault="002F19DE" w:rsidP="002F19DE">
      <w:pPr>
        <w:ind w:leftChars="0" w:left="0"/>
        <w:rPr>
          <w:sz w:val="24"/>
          <w:szCs w:val="24"/>
        </w:rPr>
      </w:pPr>
      <w:r w:rsidRPr="002F19DE">
        <w:rPr>
          <w:rFonts w:hint="eastAsia"/>
          <w:sz w:val="24"/>
          <w:szCs w:val="24"/>
        </w:rPr>
        <w:t>◎黃翠紋、周坤寶（</w:t>
      </w:r>
      <w:r w:rsidRPr="002F19DE">
        <w:rPr>
          <w:sz w:val="24"/>
          <w:szCs w:val="24"/>
        </w:rPr>
        <w:t>2011），我國婚姻移民輔導之實施現況評估，警學叢刊（桃園），第42卷第3期，頁79。</w:t>
      </w:r>
    </w:p>
    <w:p w:rsidR="002F19DE" w:rsidRPr="002F19DE" w:rsidRDefault="002F19DE" w:rsidP="002F19DE">
      <w:pPr>
        <w:ind w:leftChars="0" w:left="0"/>
        <w:rPr>
          <w:sz w:val="24"/>
          <w:szCs w:val="24"/>
        </w:rPr>
      </w:pPr>
      <w:r w:rsidRPr="002F19DE">
        <w:rPr>
          <w:rFonts w:hint="eastAsia"/>
          <w:sz w:val="24"/>
          <w:szCs w:val="24"/>
        </w:rPr>
        <w:t>◎黃翠紋、孟維德（</w:t>
      </w:r>
      <w:r w:rsidRPr="002F19DE">
        <w:rPr>
          <w:sz w:val="24"/>
          <w:szCs w:val="24"/>
        </w:rPr>
        <w:t>2007），大陸籍女性婚姻移民者觸法行為影響因素及其輔導對策之研究，內政部委託專題研究報告，頁4。</w:t>
      </w:r>
    </w:p>
    <w:p w:rsidR="002F19DE" w:rsidRPr="002F19DE" w:rsidRDefault="002F19DE" w:rsidP="002F19DE">
      <w:pPr>
        <w:ind w:leftChars="0" w:left="0"/>
        <w:rPr>
          <w:sz w:val="24"/>
          <w:szCs w:val="24"/>
        </w:rPr>
      </w:pPr>
      <w:r w:rsidRPr="002F19DE">
        <w:rPr>
          <w:rFonts w:hint="eastAsia"/>
          <w:sz w:val="24"/>
          <w:szCs w:val="24"/>
        </w:rPr>
        <w:t>◎黃翠紋、孟維德（</w:t>
      </w:r>
      <w:r w:rsidRPr="002F19DE">
        <w:rPr>
          <w:sz w:val="24"/>
          <w:szCs w:val="24"/>
        </w:rPr>
        <w:t>2012），警察與犯罪預防，台北：五南圖書出版公司。</w:t>
      </w:r>
    </w:p>
    <w:p w:rsidR="002F19DE" w:rsidRPr="002F19DE" w:rsidRDefault="002F19DE" w:rsidP="002F19DE">
      <w:pPr>
        <w:ind w:leftChars="0" w:left="0"/>
        <w:rPr>
          <w:sz w:val="24"/>
          <w:szCs w:val="24"/>
        </w:rPr>
      </w:pPr>
      <w:r w:rsidRPr="002F19DE">
        <w:rPr>
          <w:rFonts w:hint="eastAsia"/>
          <w:sz w:val="24"/>
          <w:szCs w:val="24"/>
        </w:rPr>
        <w:t>◎黃麒英</w:t>
      </w:r>
      <w:r w:rsidRPr="002F19DE">
        <w:rPr>
          <w:sz w:val="24"/>
          <w:szCs w:val="24"/>
        </w:rPr>
        <w:t xml:space="preserve">(2017)，新南向、勞動力、人才與移民政策大戰略，風傳媒，參照: </w:t>
      </w:r>
      <w:hyperlink r:id="rId813" w:history="1">
        <w:r w:rsidRPr="006E019D">
          <w:rPr>
            <w:rStyle w:val="a7"/>
            <w:rFonts w:cs="Times New Roman"/>
            <w:sz w:val="24"/>
            <w:szCs w:val="24"/>
            <w:lang w:eastAsia="zh-TW" w:bidi="ar-SA"/>
          </w:rPr>
          <w:t>http://www.storm.mg/article/360138</w:t>
        </w:r>
      </w:hyperlink>
      <w:r w:rsidRPr="002F19DE">
        <w:rPr>
          <w:sz w:val="24"/>
          <w:szCs w:val="24"/>
        </w:rPr>
        <w:t>，最後閱覽日:2017年2月9日。</w:t>
      </w:r>
    </w:p>
    <w:p w:rsidR="002F19DE" w:rsidRPr="002F19DE" w:rsidRDefault="002F19DE" w:rsidP="002F19DE">
      <w:pPr>
        <w:ind w:leftChars="0" w:left="0"/>
        <w:rPr>
          <w:sz w:val="24"/>
          <w:szCs w:val="24"/>
        </w:rPr>
      </w:pPr>
      <w:r w:rsidRPr="002F19DE">
        <w:rPr>
          <w:rFonts w:hint="eastAsia"/>
          <w:sz w:val="24"/>
          <w:szCs w:val="24"/>
        </w:rPr>
        <w:t>◎黃齡玉</w:t>
      </w:r>
      <w:r w:rsidRPr="002F19DE">
        <w:rPr>
          <w:sz w:val="24"/>
          <w:szCs w:val="24"/>
        </w:rPr>
        <w:t>(2006)，考察美國移民政策之現況，行政院考察報告。</w:t>
      </w:r>
    </w:p>
    <w:p w:rsidR="002F19DE" w:rsidRPr="002F19DE" w:rsidRDefault="002F19DE" w:rsidP="002F19DE">
      <w:pPr>
        <w:ind w:leftChars="0" w:left="0"/>
        <w:rPr>
          <w:sz w:val="24"/>
          <w:szCs w:val="24"/>
        </w:rPr>
      </w:pPr>
      <w:r w:rsidRPr="002F19DE">
        <w:rPr>
          <w:rFonts w:hint="eastAsia"/>
          <w:sz w:val="24"/>
          <w:szCs w:val="24"/>
        </w:rPr>
        <w:t>◎新唐人亞太台</w:t>
      </w:r>
      <w:r w:rsidRPr="002F19DE">
        <w:rPr>
          <w:sz w:val="24"/>
          <w:szCs w:val="24"/>
        </w:rPr>
        <w:t>( 2017)，台灣人才流失成隱憂，學者：低薪為主因，</w:t>
      </w:r>
      <w:hyperlink r:id="rId814" w:history="1">
        <w:r w:rsidRPr="00CE2331">
          <w:rPr>
            <w:rStyle w:val="a7"/>
            <w:rFonts w:cs="Times New Roman"/>
            <w:sz w:val="24"/>
            <w:szCs w:val="24"/>
            <w:lang w:eastAsia="zh-TW" w:bidi="ar-SA"/>
          </w:rPr>
          <w:t>http://www.ntdtv.com.tw/b5/20171121/video/209951.html?%E5%8F%B0%E7%81%A3%E4%BA%BA%E6%89%8D%E6%B5%81%E5%A4%B1%E6%88%90%E9%9A%B1%E6%86%82%20%E5%AD%B8%E8%80%85%EF%BC%9A%E4%BD%8E%E8%96%AA%E7%82%BA%E4%B8%BB%E5%9B%A0</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◎楊日旭、鄧學良等編著</w:t>
      </w:r>
      <w:r w:rsidRPr="002F19DE">
        <w:rPr>
          <w:sz w:val="24"/>
          <w:szCs w:val="24"/>
        </w:rPr>
        <w:t>(1991)，高雄市外籍勞工問題研究，高雄市政府研究發展考核委員會委託研究。</w:t>
      </w:r>
    </w:p>
    <w:p w:rsidR="002F19DE" w:rsidRPr="002F19DE" w:rsidRDefault="002F19DE" w:rsidP="002F19DE">
      <w:pPr>
        <w:ind w:leftChars="0" w:left="0"/>
        <w:rPr>
          <w:sz w:val="24"/>
          <w:szCs w:val="24"/>
        </w:rPr>
      </w:pPr>
      <w:r w:rsidRPr="002F19DE">
        <w:rPr>
          <w:rFonts w:hint="eastAsia"/>
          <w:sz w:val="24"/>
          <w:szCs w:val="24"/>
        </w:rPr>
        <w:t>◎楊君仁</w:t>
      </w:r>
      <w:r w:rsidRPr="002F19DE">
        <w:rPr>
          <w:sz w:val="24"/>
          <w:szCs w:val="24"/>
        </w:rPr>
        <w:t>(2009)。德國移民法制之變遷及其對我之借鏡，經社法制論叢，第44期，頁1-38。</w:t>
      </w:r>
    </w:p>
    <w:p w:rsidR="002F19DE" w:rsidRPr="002F19DE" w:rsidRDefault="002F19DE" w:rsidP="002F19DE">
      <w:pPr>
        <w:ind w:leftChars="0" w:left="0"/>
        <w:rPr>
          <w:sz w:val="24"/>
          <w:szCs w:val="24"/>
        </w:rPr>
      </w:pPr>
      <w:r w:rsidRPr="002F19DE">
        <w:rPr>
          <w:rFonts w:hint="eastAsia"/>
          <w:sz w:val="24"/>
          <w:szCs w:val="24"/>
        </w:rPr>
        <w:t>◎楊君仁</w:t>
      </w:r>
      <w:r w:rsidRPr="002F19DE">
        <w:rPr>
          <w:sz w:val="24"/>
          <w:szCs w:val="24"/>
        </w:rPr>
        <w:t>(2011)，新移民的勞動-權利與法治，臺北：巨流圖書公司。</w:t>
      </w:r>
    </w:p>
    <w:p w:rsidR="002F19DE" w:rsidRPr="002F19DE" w:rsidRDefault="002F19DE" w:rsidP="002F19DE">
      <w:pPr>
        <w:ind w:leftChars="0" w:left="0"/>
        <w:rPr>
          <w:sz w:val="24"/>
          <w:szCs w:val="24"/>
        </w:rPr>
      </w:pPr>
      <w:r w:rsidRPr="002F19DE">
        <w:rPr>
          <w:rFonts w:hint="eastAsia"/>
          <w:sz w:val="24"/>
          <w:szCs w:val="24"/>
        </w:rPr>
        <w:t>◎楊秀玲</w:t>
      </w:r>
      <w:r w:rsidRPr="002F19DE">
        <w:rPr>
          <w:sz w:val="24"/>
          <w:szCs w:val="24"/>
        </w:rPr>
        <w:t>(1989)，外籍勞工如何引進臺灣﹖歐美各國作法介紹，臺灣經濟研究月刊，第12卷第6期。</w:t>
      </w:r>
    </w:p>
    <w:p w:rsidR="002F19DE" w:rsidRPr="002F19DE" w:rsidRDefault="002F19DE" w:rsidP="002F19DE">
      <w:pPr>
        <w:ind w:leftChars="0" w:left="0"/>
        <w:rPr>
          <w:sz w:val="24"/>
          <w:szCs w:val="24"/>
        </w:rPr>
      </w:pPr>
      <w:r w:rsidRPr="002F19DE">
        <w:rPr>
          <w:rFonts w:hint="eastAsia"/>
          <w:sz w:val="24"/>
          <w:szCs w:val="24"/>
        </w:rPr>
        <w:t>◎楊秀玲</w:t>
      </w:r>
      <w:r w:rsidRPr="002F19DE">
        <w:rPr>
          <w:sz w:val="24"/>
          <w:szCs w:val="24"/>
        </w:rPr>
        <w:t>(1989)，失衡的西德外籍勞工政策，國際經濟，第12卷第10期，頁71至75。</w:t>
      </w:r>
    </w:p>
    <w:p w:rsidR="002F19DE" w:rsidRPr="002F19DE" w:rsidRDefault="002F19DE" w:rsidP="002F19DE">
      <w:pPr>
        <w:ind w:leftChars="0" w:left="0"/>
        <w:rPr>
          <w:sz w:val="24"/>
          <w:szCs w:val="24"/>
        </w:rPr>
      </w:pPr>
      <w:r w:rsidRPr="002F19DE">
        <w:rPr>
          <w:rFonts w:hint="eastAsia"/>
          <w:sz w:val="24"/>
          <w:szCs w:val="24"/>
        </w:rPr>
        <w:t>◎楊婉瑩</w:t>
      </w:r>
      <w:r w:rsidRPr="002F19DE">
        <w:rPr>
          <w:sz w:val="24"/>
          <w:szCs w:val="24"/>
        </w:rPr>
        <w:t>(2012)，我國婚姻移民政策措施之影響評估與因應對策，臺北：行政院研究發展考核委員會。</w:t>
      </w:r>
    </w:p>
    <w:p w:rsidR="002F19DE" w:rsidRPr="002F19DE" w:rsidRDefault="002F19DE" w:rsidP="002F19DE">
      <w:pPr>
        <w:ind w:leftChars="0" w:left="0"/>
        <w:rPr>
          <w:sz w:val="24"/>
          <w:szCs w:val="24"/>
        </w:rPr>
      </w:pPr>
      <w:r w:rsidRPr="002F19DE">
        <w:rPr>
          <w:rFonts w:hint="eastAsia"/>
          <w:sz w:val="24"/>
          <w:szCs w:val="24"/>
        </w:rPr>
        <w:t>◎楊智傑（</w:t>
      </w:r>
      <w:r w:rsidRPr="002F19DE">
        <w:rPr>
          <w:sz w:val="24"/>
          <w:szCs w:val="24"/>
        </w:rPr>
        <w:t>2010），圖解憲法，2版1刷，台北市：書泉出版社。</w:t>
      </w:r>
    </w:p>
    <w:p w:rsidR="002F19DE" w:rsidRPr="002F19DE" w:rsidRDefault="002F19DE" w:rsidP="002F19DE">
      <w:pPr>
        <w:ind w:leftChars="0" w:left="0"/>
        <w:rPr>
          <w:sz w:val="24"/>
          <w:szCs w:val="24"/>
        </w:rPr>
      </w:pPr>
      <w:r w:rsidRPr="002F19DE">
        <w:rPr>
          <w:rFonts w:hint="eastAsia"/>
          <w:sz w:val="24"/>
          <w:szCs w:val="24"/>
        </w:rPr>
        <w:t>◎楊靜利</w:t>
      </w:r>
      <w:r w:rsidRPr="002F19DE">
        <w:rPr>
          <w:sz w:val="24"/>
          <w:szCs w:val="24"/>
        </w:rPr>
        <w:t>(2011)，人口問題，收錄於瞿海源、張苙雲主編(2011)，臺灣的社會問題，臺北：巨流圖書股份有限公司。</w:t>
      </w:r>
    </w:p>
    <w:p w:rsidR="002F19DE" w:rsidRPr="002F19DE" w:rsidRDefault="002F19DE" w:rsidP="002F19DE">
      <w:pPr>
        <w:ind w:leftChars="0" w:left="0"/>
        <w:rPr>
          <w:sz w:val="24"/>
          <w:szCs w:val="24"/>
        </w:rPr>
      </w:pPr>
      <w:r w:rsidRPr="002F19DE">
        <w:rPr>
          <w:rFonts w:hint="eastAsia"/>
          <w:sz w:val="24"/>
          <w:szCs w:val="24"/>
        </w:rPr>
        <w:t>◎楊翹楚</w:t>
      </w:r>
      <w:r w:rsidRPr="002F19DE">
        <w:rPr>
          <w:sz w:val="24"/>
          <w:szCs w:val="24"/>
        </w:rPr>
        <w:t>(2009)，我國移民制度之探討—以大陸地區配偶與外籍配偶為例，國境警察學報，第12期。</w:t>
      </w:r>
    </w:p>
    <w:p w:rsidR="002F19DE" w:rsidRPr="002F19DE" w:rsidRDefault="002F19DE" w:rsidP="002F19DE">
      <w:pPr>
        <w:ind w:leftChars="0" w:left="0"/>
        <w:rPr>
          <w:sz w:val="24"/>
          <w:szCs w:val="24"/>
        </w:rPr>
      </w:pPr>
      <w:r w:rsidRPr="002F19DE">
        <w:rPr>
          <w:rFonts w:hint="eastAsia"/>
          <w:sz w:val="24"/>
          <w:szCs w:val="24"/>
        </w:rPr>
        <w:t>◎楊翹楚</w:t>
      </w:r>
      <w:r w:rsidRPr="002F19DE">
        <w:rPr>
          <w:sz w:val="24"/>
          <w:szCs w:val="24"/>
        </w:rPr>
        <w:t>(2010)。全球化下我國移民人權之探討--以入出國及移民法規定為例，警學叢刊，第41卷第2期，頁219-236。</w:t>
      </w:r>
    </w:p>
    <w:p w:rsidR="002F19DE" w:rsidRPr="002F19DE" w:rsidRDefault="002F19DE" w:rsidP="002F19DE">
      <w:pPr>
        <w:ind w:leftChars="0" w:left="0"/>
        <w:rPr>
          <w:sz w:val="24"/>
          <w:szCs w:val="24"/>
        </w:rPr>
      </w:pPr>
      <w:r w:rsidRPr="002F19DE">
        <w:rPr>
          <w:rFonts w:hint="eastAsia"/>
          <w:sz w:val="24"/>
          <w:szCs w:val="24"/>
        </w:rPr>
        <w:t>◎楊翹楚</w:t>
      </w:r>
      <w:r w:rsidRPr="002F19DE">
        <w:rPr>
          <w:sz w:val="24"/>
          <w:szCs w:val="24"/>
        </w:rPr>
        <w:t>(2012)，移民政策與法規，臺北：元照。</w:t>
      </w:r>
    </w:p>
    <w:p w:rsidR="002F19DE" w:rsidRPr="002F19DE" w:rsidRDefault="002F19DE" w:rsidP="002F19DE">
      <w:pPr>
        <w:ind w:leftChars="0" w:left="0"/>
        <w:rPr>
          <w:sz w:val="24"/>
          <w:szCs w:val="24"/>
        </w:rPr>
      </w:pPr>
      <w:r w:rsidRPr="002F19DE">
        <w:rPr>
          <w:rFonts w:hint="eastAsia"/>
          <w:sz w:val="24"/>
          <w:szCs w:val="24"/>
        </w:rPr>
        <w:t>◎楊翹楚</w:t>
      </w:r>
      <w:r w:rsidRPr="002F19DE">
        <w:rPr>
          <w:sz w:val="24"/>
          <w:szCs w:val="24"/>
        </w:rPr>
        <w:t xml:space="preserve">(2013)，臺灣地區無戶籍國民問題之探討，警學叢刊，第43卷第5期。 </w:t>
      </w:r>
    </w:p>
    <w:p w:rsidR="002F19DE" w:rsidRPr="002F19DE" w:rsidRDefault="002F19DE" w:rsidP="002F19DE">
      <w:pPr>
        <w:ind w:leftChars="0" w:left="0"/>
        <w:rPr>
          <w:sz w:val="24"/>
          <w:szCs w:val="24"/>
        </w:rPr>
      </w:pPr>
      <w:r w:rsidRPr="002F19DE">
        <w:rPr>
          <w:rFonts w:hint="eastAsia"/>
          <w:sz w:val="24"/>
          <w:szCs w:val="24"/>
        </w:rPr>
        <w:t>◎楊翹楚</w:t>
      </w:r>
      <w:r w:rsidRPr="002F19DE">
        <w:rPr>
          <w:sz w:val="24"/>
          <w:szCs w:val="24"/>
        </w:rPr>
        <w:t>(2014)，從全球移民下雙重國籍發展趨勢論臺灣地區之現況及未來發展，中國文化大學政治學系博士論文。</w:t>
      </w:r>
    </w:p>
    <w:p w:rsidR="002F19DE" w:rsidRPr="002F19DE" w:rsidRDefault="002F19DE" w:rsidP="002F19DE">
      <w:pPr>
        <w:ind w:leftChars="0" w:left="0"/>
        <w:rPr>
          <w:sz w:val="24"/>
          <w:szCs w:val="24"/>
        </w:rPr>
      </w:pPr>
      <w:r w:rsidRPr="002F19DE">
        <w:rPr>
          <w:rFonts w:hint="eastAsia"/>
          <w:sz w:val="24"/>
          <w:szCs w:val="24"/>
        </w:rPr>
        <w:t>◎葉宗鑫</w:t>
      </w:r>
      <w:r w:rsidRPr="002F19DE">
        <w:rPr>
          <w:sz w:val="24"/>
          <w:szCs w:val="24"/>
        </w:rPr>
        <w:t>(2004)，政府人流管理機制之考察與我國制度之省思，發表兩岸經貿研究中心族群與文化發展學術研討會，台北：行政院退除役官兵輔導委員會</w:t>
      </w:r>
      <w:r w:rsidR="00CE2331">
        <w:rPr>
          <w:sz w:val="24"/>
          <w:szCs w:val="24"/>
        </w:rPr>
        <w:t>。</w:t>
      </w:r>
    </w:p>
    <w:p w:rsidR="002F19DE" w:rsidRPr="002F19DE" w:rsidRDefault="002F19DE" w:rsidP="002F19DE">
      <w:pPr>
        <w:ind w:leftChars="0" w:left="0"/>
        <w:rPr>
          <w:sz w:val="24"/>
          <w:szCs w:val="24"/>
        </w:rPr>
      </w:pPr>
      <w:r w:rsidRPr="002F19DE">
        <w:rPr>
          <w:rFonts w:hint="eastAsia"/>
          <w:sz w:val="24"/>
          <w:szCs w:val="24"/>
        </w:rPr>
        <w:t>◎葉俊榮</w:t>
      </w:r>
      <w:r w:rsidRPr="002F19DE">
        <w:rPr>
          <w:sz w:val="24"/>
          <w:szCs w:val="24"/>
        </w:rPr>
        <w:t>(2000)，行政法案例分析與研究方法，台北：三民書局。</w:t>
      </w:r>
    </w:p>
    <w:p w:rsidR="002F19DE" w:rsidRPr="002F19DE" w:rsidRDefault="002F19DE" w:rsidP="002F19DE">
      <w:pPr>
        <w:ind w:leftChars="0" w:left="0"/>
        <w:rPr>
          <w:sz w:val="24"/>
          <w:szCs w:val="24"/>
        </w:rPr>
      </w:pPr>
      <w:r w:rsidRPr="002F19DE">
        <w:rPr>
          <w:rFonts w:hint="eastAsia"/>
          <w:sz w:val="24"/>
          <w:szCs w:val="24"/>
        </w:rPr>
        <w:t>◎葉雲虎</w:t>
      </w:r>
      <w:r w:rsidRPr="002F19DE">
        <w:rPr>
          <w:sz w:val="24"/>
          <w:szCs w:val="24"/>
        </w:rPr>
        <w:t>(2012)。台灣海洋法制度的法律發展：以海事刑法為視角。第十九屆水上警察學術研討會論文集。</w:t>
      </w:r>
    </w:p>
    <w:p w:rsidR="002F19DE" w:rsidRPr="002F19DE" w:rsidRDefault="002F19DE" w:rsidP="002F19DE">
      <w:pPr>
        <w:ind w:leftChars="0" w:left="0"/>
        <w:rPr>
          <w:sz w:val="24"/>
          <w:szCs w:val="24"/>
        </w:rPr>
      </w:pPr>
      <w:r w:rsidRPr="002F19DE">
        <w:rPr>
          <w:rFonts w:hint="eastAsia"/>
          <w:sz w:val="24"/>
          <w:szCs w:val="24"/>
        </w:rPr>
        <w:t>◎詹中原（</w:t>
      </w:r>
      <w:r w:rsidRPr="002F19DE">
        <w:rPr>
          <w:sz w:val="24"/>
          <w:szCs w:val="24"/>
        </w:rPr>
        <w:t>2016）。全球移民與人力資源管理－我國移民政策現況。發表於2016年安全研究與情報學術研討會（專題演講），公共安全學系暨研究所、刑事司法研究中心安全研究組主辦。中央警察大學。</w:t>
      </w:r>
    </w:p>
    <w:p w:rsidR="002F19DE" w:rsidRPr="002F19DE" w:rsidRDefault="002F19DE" w:rsidP="002F19DE">
      <w:pPr>
        <w:ind w:leftChars="0" w:left="0"/>
        <w:rPr>
          <w:sz w:val="24"/>
          <w:szCs w:val="24"/>
        </w:rPr>
      </w:pPr>
      <w:r w:rsidRPr="002F19DE">
        <w:rPr>
          <w:rFonts w:hint="eastAsia"/>
          <w:sz w:val="24"/>
          <w:szCs w:val="24"/>
        </w:rPr>
        <w:t>◎詹寧斯</w:t>
      </w:r>
      <w:r w:rsidRPr="002F19DE">
        <w:rPr>
          <w:sz w:val="24"/>
          <w:szCs w:val="24"/>
        </w:rPr>
        <w:t>(Robert Jennings)、瓦茨(Arthur Watts)修訂，王鐵崖、陳公綽、湯宗舜、周仁譯(1995)，奧本海國際法，第1卷第1分冊，北京：中國大百科全書出版社。</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(1996)。美國種族優惠性差別待遇(Racial Affirmative Action)合憲性之研究--兼論平等原則之真義，東吳法律學報，第9卷第2期，頁1-44。</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(2004)。哪兒來的二等公民，月旦法學教室，第16期，頁8-9。</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(2004)。海納百川或非我族類的國家圖像？--檢討民國九十二年的次等國民憲法實務，全國律師，第8卷第4期，頁28-47。</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(2004)。從外籍新娘到新移民女性--移民人權的法學研究亟待投入，臺灣本土法學雜誌，第61期，頁1-3。</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(2005)。實質平等，月旦法學教室，第27期，頁38-41。</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(2006)。全球化趨勢中婚姻移民之人權保障：全球化、臺灣新國族主義、人權論述的關係，思與言，第44卷第3期，頁81-129。</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(2007)。外人做頭家？--外籍人士參政權之可能性，月旦法學教室，第54期，頁6-7。</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(2007)。試用期的臺灣人？--承認次等公民的釋字六一八號解釋，全國律師，第11卷第5期，頁27-37。</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(2008)，移民－基本人權的化外之民，月旦法學雜誌，第161期，頁83-104。</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(2008)。平等權：第一講 憲法平等權之意義，月旦法學教室，第68期，頁48-58。</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(2008)。移民-基本人權的化外之民—檢視批判移民無人權的憲法論述與實務，月旦法學雜誌，第161 期，頁83-104。</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(2009)。平等權：第二講 大法官對平等權之審查基準，月旦法學教室，第76期，頁37-46。</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(2009)。平等權：第三講 從嚴審查概論，月旦法學教室，第79期，頁38-46。</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(2009)。次等移民的大陸配偶？，月旦法學教室，第77期，頁10-11。</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2010）。外人做頭家？—論外國人的公民權。政大法學評論113：245-306。</w:t>
      </w:r>
    </w:p>
    <w:p w:rsidR="002F19DE" w:rsidRPr="002F19DE" w:rsidRDefault="002F19DE" w:rsidP="002F19DE">
      <w:pPr>
        <w:ind w:leftChars="0" w:left="0"/>
        <w:rPr>
          <w:sz w:val="24"/>
          <w:szCs w:val="24"/>
        </w:rPr>
      </w:pPr>
      <w:r w:rsidRPr="002F19DE">
        <w:rPr>
          <w:rFonts w:hint="eastAsia"/>
          <w:sz w:val="24"/>
          <w:szCs w:val="24"/>
        </w:rPr>
        <w:t>◎廖元豪</w:t>
      </w:r>
      <w:r w:rsidRPr="002F19DE">
        <w:rPr>
          <w:sz w:val="24"/>
          <w:szCs w:val="24"/>
        </w:rPr>
        <w:t>(2010)。平等權的檢討與展望，月旦法學教室，第90期，頁28-36。</w:t>
      </w:r>
    </w:p>
    <w:p w:rsidR="002F19DE" w:rsidRPr="002F19DE" w:rsidRDefault="002F19DE" w:rsidP="002F19DE">
      <w:pPr>
        <w:ind w:leftChars="0" w:left="0"/>
        <w:rPr>
          <w:sz w:val="24"/>
          <w:szCs w:val="24"/>
        </w:rPr>
      </w:pPr>
      <w:r w:rsidRPr="002F19DE">
        <w:rPr>
          <w:rFonts w:hint="eastAsia"/>
          <w:sz w:val="24"/>
          <w:szCs w:val="24"/>
        </w:rPr>
        <w:t>◎廖正宏</w:t>
      </w:r>
      <w:r w:rsidRPr="002F19DE">
        <w:rPr>
          <w:sz w:val="24"/>
          <w:szCs w:val="24"/>
        </w:rPr>
        <w:t>(1995)，人口遷移，臺北，三民書局。</w:t>
      </w:r>
    </w:p>
    <w:p w:rsidR="002F19DE" w:rsidRPr="002F19DE" w:rsidRDefault="002F19DE" w:rsidP="002F19DE">
      <w:pPr>
        <w:ind w:leftChars="0" w:left="0"/>
        <w:rPr>
          <w:sz w:val="24"/>
          <w:szCs w:val="24"/>
        </w:rPr>
      </w:pPr>
      <w:r w:rsidRPr="002F19DE">
        <w:rPr>
          <w:rFonts w:hint="eastAsia"/>
          <w:sz w:val="24"/>
          <w:szCs w:val="24"/>
        </w:rPr>
        <w:t>◎廖正宏</w:t>
      </w:r>
      <w:r w:rsidRPr="002F19DE">
        <w:rPr>
          <w:sz w:val="24"/>
          <w:szCs w:val="24"/>
        </w:rPr>
        <w:t>(1995)，人口遷移，臺北市：三民。</w:t>
      </w:r>
    </w:p>
    <w:p w:rsidR="002F19DE" w:rsidRPr="002F19DE" w:rsidRDefault="002F19DE" w:rsidP="002F19DE">
      <w:pPr>
        <w:ind w:leftChars="0" w:left="0"/>
        <w:rPr>
          <w:sz w:val="24"/>
          <w:szCs w:val="24"/>
        </w:rPr>
      </w:pPr>
      <w:r w:rsidRPr="002F19DE">
        <w:rPr>
          <w:rFonts w:hint="eastAsia"/>
          <w:sz w:val="24"/>
          <w:szCs w:val="24"/>
        </w:rPr>
        <w:t>◎廖其偉（</w:t>
      </w:r>
      <w:r w:rsidRPr="002F19DE">
        <w:rPr>
          <w:sz w:val="24"/>
          <w:szCs w:val="24"/>
        </w:rPr>
        <w:t>2011），中華民國憲法，台北：鼎文書局。</w:t>
      </w:r>
    </w:p>
    <w:p w:rsidR="002F19DE" w:rsidRPr="002F19DE" w:rsidRDefault="002F19DE" w:rsidP="002F19DE">
      <w:pPr>
        <w:ind w:leftChars="0" w:left="0"/>
        <w:rPr>
          <w:sz w:val="24"/>
          <w:szCs w:val="24"/>
        </w:rPr>
      </w:pPr>
      <w:r w:rsidRPr="002F19DE">
        <w:rPr>
          <w:rFonts w:hint="eastAsia"/>
          <w:sz w:val="24"/>
          <w:szCs w:val="24"/>
        </w:rPr>
        <w:t>◎廖福村</w:t>
      </w:r>
      <w:r w:rsidRPr="002F19DE">
        <w:rPr>
          <w:sz w:val="24"/>
          <w:szCs w:val="24"/>
        </w:rPr>
        <w:t>(2007)，犯罪預防，(臺北：警專)。</w:t>
      </w:r>
    </w:p>
    <w:p w:rsidR="002F19DE" w:rsidRPr="002F19DE" w:rsidRDefault="002F19DE" w:rsidP="002F19DE">
      <w:pPr>
        <w:ind w:leftChars="0" w:left="0"/>
        <w:rPr>
          <w:sz w:val="24"/>
          <w:szCs w:val="24"/>
        </w:rPr>
      </w:pPr>
      <w:r w:rsidRPr="002F19DE">
        <w:rPr>
          <w:rFonts w:hint="eastAsia"/>
          <w:sz w:val="24"/>
          <w:szCs w:val="24"/>
        </w:rPr>
        <w:t>◎廖福特</w:t>
      </w:r>
      <w:r w:rsidRPr="002F19DE">
        <w:rPr>
          <w:sz w:val="24"/>
          <w:szCs w:val="24"/>
        </w:rPr>
        <w:t>(2002)。實踐國際人權法典之方式--批准、加入或國內法化﹖，律師雜誌，第272期，頁36-51。</w:t>
      </w:r>
    </w:p>
    <w:p w:rsidR="002F19DE" w:rsidRPr="002F19DE" w:rsidRDefault="002F19DE" w:rsidP="002F19DE">
      <w:pPr>
        <w:ind w:leftChars="0" w:left="0"/>
        <w:rPr>
          <w:sz w:val="24"/>
          <w:szCs w:val="24"/>
        </w:rPr>
      </w:pPr>
      <w:r w:rsidRPr="002F19DE">
        <w:rPr>
          <w:rFonts w:hint="eastAsia"/>
          <w:sz w:val="24"/>
          <w:szCs w:val="24"/>
        </w:rPr>
        <w:t>◎廖福特</w:t>
      </w:r>
      <w:r w:rsidRPr="002F19DE">
        <w:rPr>
          <w:sz w:val="24"/>
          <w:szCs w:val="24"/>
        </w:rPr>
        <w:t>(2007)，國際人權法：第一講，國際人權法典---普世人權範疇，月旦法學教室第54期，頁88-100。</w:t>
      </w:r>
    </w:p>
    <w:p w:rsidR="002F19DE" w:rsidRPr="002F19DE" w:rsidRDefault="002F19DE" w:rsidP="002F19DE">
      <w:pPr>
        <w:ind w:leftChars="0" w:left="0"/>
        <w:rPr>
          <w:sz w:val="24"/>
          <w:szCs w:val="24"/>
        </w:rPr>
      </w:pPr>
      <w:r w:rsidRPr="002F19DE">
        <w:rPr>
          <w:rFonts w:hint="eastAsia"/>
          <w:sz w:val="24"/>
          <w:szCs w:val="24"/>
        </w:rPr>
        <w:t>◎廖福特</w:t>
      </w:r>
      <w:r w:rsidRPr="002F19DE">
        <w:rPr>
          <w:sz w:val="24"/>
          <w:szCs w:val="24"/>
        </w:rPr>
        <w:t>(2007)。英國平等及人權委員會之探究，臺灣國際法季刊，第4卷第2期，頁207-241。</w:t>
      </w:r>
    </w:p>
    <w:p w:rsidR="002F19DE" w:rsidRPr="002F19DE" w:rsidRDefault="002F19DE" w:rsidP="002F19DE">
      <w:pPr>
        <w:ind w:leftChars="0" w:left="0"/>
        <w:rPr>
          <w:sz w:val="24"/>
          <w:szCs w:val="24"/>
        </w:rPr>
      </w:pPr>
      <w:r w:rsidRPr="002F19DE">
        <w:rPr>
          <w:rFonts w:hint="eastAsia"/>
          <w:sz w:val="24"/>
          <w:szCs w:val="24"/>
        </w:rPr>
        <w:t>◎廖福特</w:t>
      </w:r>
      <w:r w:rsidRPr="002F19DE">
        <w:rPr>
          <w:sz w:val="24"/>
          <w:szCs w:val="24"/>
        </w:rPr>
        <w:t>(2007)。國際人權法：第二講 最具普世性的三個人權條約：種族、婦女及兒童，月旦法學教室，第56期，頁56-69。</w:t>
      </w:r>
    </w:p>
    <w:p w:rsidR="002F19DE" w:rsidRPr="002F19DE" w:rsidRDefault="002F19DE" w:rsidP="002F19DE">
      <w:pPr>
        <w:ind w:leftChars="0" w:left="0"/>
        <w:rPr>
          <w:sz w:val="24"/>
          <w:szCs w:val="24"/>
        </w:rPr>
      </w:pPr>
      <w:r w:rsidRPr="002F19DE">
        <w:rPr>
          <w:rFonts w:hint="eastAsia"/>
          <w:sz w:val="24"/>
          <w:szCs w:val="24"/>
        </w:rPr>
        <w:t>◎廖福特</w:t>
      </w:r>
      <w:r w:rsidRPr="002F19DE">
        <w:rPr>
          <w:sz w:val="24"/>
          <w:szCs w:val="24"/>
        </w:rPr>
        <w:t>(2009)。批准聯合國兩個人權公約及制訂施行法之評論，月旦法學雜誌，第174期，頁223-229。</w:t>
      </w:r>
    </w:p>
    <w:p w:rsidR="002F19DE" w:rsidRPr="002F19DE" w:rsidRDefault="002F19DE" w:rsidP="002F19DE">
      <w:pPr>
        <w:ind w:leftChars="0" w:left="0"/>
        <w:rPr>
          <w:sz w:val="24"/>
          <w:szCs w:val="24"/>
        </w:rPr>
      </w:pPr>
      <w:r w:rsidRPr="002F19DE">
        <w:rPr>
          <w:rFonts w:hint="eastAsia"/>
          <w:sz w:val="24"/>
          <w:szCs w:val="24"/>
        </w:rPr>
        <w:t>◎廖福特</w:t>
      </w:r>
      <w:r w:rsidRPr="002F19DE">
        <w:rPr>
          <w:sz w:val="24"/>
          <w:szCs w:val="24"/>
        </w:rPr>
        <w:t>(2010)。法院應否及如何適用公民與政治權利國際公約，臺灣法學雜誌，第163期，頁45-65。</w:t>
      </w:r>
    </w:p>
    <w:p w:rsidR="002F19DE" w:rsidRPr="002F19DE" w:rsidRDefault="002F19DE" w:rsidP="002F19DE">
      <w:pPr>
        <w:ind w:leftChars="0" w:left="0"/>
        <w:rPr>
          <w:sz w:val="24"/>
          <w:szCs w:val="24"/>
        </w:rPr>
      </w:pPr>
      <w:r w:rsidRPr="002F19DE">
        <w:rPr>
          <w:rFonts w:hint="eastAsia"/>
          <w:sz w:val="24"/>
          <w:szCs w:val="24"/>
        </w:rPr>
        <w:t>◎廖福特</w:t>
      </w:r>
      <w:r w:rsidRPr="002F19DE">
        <w:rPr>
          <w:sz w:val="24"/>
          <w:szCs w:val="24"/>
        </w:rPr>
        <w:t>(2010)。國際人權條約內國法化與地方自治體，臺灣國際法季刊，第7卷第2期，頁75-116。</w:t>
      </w:r>
    </w:p>
    <w:p w:rsidR="002F19DE" w:rsidRPr="002F19DE" w:rsidRDefault="002F19DE" w:rsidP="002F19DE">
      <w:pPr>
        <w:ind w:leftChars="0" w:left="0"/>
        <w:rPr>
          <w:sz w:val="24"/>
          <w:szCs w:val="24"/>
        </w:rPr>
      </w:pPr>
      <w:r w:rsidRPr="002F19DE">
        <w:rPr>
          <w:rFonts w:hint="eastAsia"/>
          <w:sz w:val="24"/>
          <w:szCs w:val="24"/>
        </w:rPr>
        <w:t>◎管中閔</w:t>
      </w:r>
      <w:r w:rsidRPr="002F19DE">
        <w:rPr>
          <w:sz w:val="24"/>
          <w:szCs w:val="24"/>
        </w:rPr>
        <w:t>(2004)，統計學—觀念與方法，第2版，台北：華泰出版社</w:t>
      </w:r>
      <w:r w:rsidR="00CE2331">
        <w:rPr>
          <w:sz w:val="24"/>
          <w:szCs w:val="24"/>
        </w:rPr>
        <w:t>。</w:t>
      </w:r>
    </w:p>
    <w:p w:rsidR="002F19DE" w:rsidRPr="002F19DE" w:rsidRDefault="002F19DE" w:rsidP="002F19DE">
      <w:pPr>
        <w:ind w:leftChars="0" w:left="0"/>
        <w:rPr>
          <w:sz w:val="24"/>
          <w:szCs w:val="24"/>
        </w:rPr>
      </w:pPr>
      <w:r w:rsidRPr="002F19DE">
        <w:rPr>
          <w:rFonts w:hint="eastAsia"/>
          <w:sz w:val="24"/>
          <w:szCs w:val="24"/>
        </w:rPr>
        <w:t>◎管歐著、林騰鷂修訂</w:t>
      </w:r>
      <w:r w:rsidRPr="002F19DE">
        <w:rPr>
          <w:sz w:val="24"/>
          <w:szCs w:val="24"/>
        </w:rPr>
        <w:t>(2010)，中華民國憲法論，修訂12版，臺北市：三民，頁1-406</w:t>
      </w:r>
      <w:r w:rsidR="00CE2331">
        <w:rPr>
          <w:sz w:val="24"/>
          <w:szCs w:val="24"/>
        </w:rPr>
        <w:t>。</w:t>
      </w:r>
    </w:p>
    <w:p w:rsidR="002F19DE" w:rsidRPr="002F19DE" w:rsidRDefault="002F19DE" w:rsidP="00CE2331">
      <w:pPr>
        <w:ind w:leftChars="0" w:left="0"/>
        <w:jc w:val="left"/>
        <w:rPr>
          <w:sz w:val="24"/>
          <w:szCs w:val="24"/>
        </w:rPr>
      </w:pPr>
      <w:r w:rsidRPr="002F19DE">
        <w:rPr>
          <w:rFonts w:hint="eastAsia"/>
          <w:sz w:val="24"/>
          <w:szCs w:val="24"/>
        </w:rPr>
        <w:t>◎維基百科</w:t>
      </w:r>
      <w:r w:rsidRPr="002F19DE">
        <w:rPr>
          <w:sz w:val="24"/>
          <w:szCs w:val="24"/>
        </w:rPr>
        <w:t>(2017)，台灣經濟史，</w:t>
      </w:r>
      <w:hyperlink r:id="rId815" w:history="1">
        <w:r w:rsidRPr="00CE2331">
          <w:rPr>
            <w:rStyle w:val="a7"/>
            <w:rFonts w:cs="Times New Roman"/>
            <w:sz w:val="24"/>
            <w:szCs w:val="24"/>
            <w:lang w:eastAsia="zh-TW" w:bidi="ar-SA"/>
          </w:rPr>
          <w:t>https://zh.wikipedia.org/zh-tw/%E5%8F%B0%E7%81%A3%E7%B6%93%E6%BF%9F%E5%8F%B2</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◎翟振武、明豔</w:t>
      </w:r>
      <w:r w:rsidRPr="002F19DE">
        <w:rPr>
          <w:sz w:val="24"/>
          <w:szCs w:val="24"/>
        </w:rPr>
        <w:t>(2005)，定義人口安全，人口研究，第29卷第3期。</w:t>
      </w:r>
    </w:p>
    <w:p w:rsidR="002F19DE" w:rsidRPr="002F19DE" w:rsidRDefault="002F19DE" w:rsidP="002F19DE">
      <w:pPr>
        <w:ind w:leftChars="0" w:left="0"/>
        <w:rPr>
          <w:sz w:val="24"/>
          <w:szCs w:val="24"/>
        </w:rPr>
      </w:pPr>
      <w:r w:rsidRPr="002F19DE">
        <w:rPr>
          <w:rFonts w:hint="eastAsia"/>
          <w:sz w:val="24"/>
          <w:szCs w:val="24"/>
        </w:rPr>
        <w:t>◎賓靜蓀譯</w:t>
      </w:r>
      <w:r w:rsidRPr="002F19DE">
        <w:rPr>
          <w:sz w:val="24"/>
          <w:szCs w:val="24"/>
        </w:rPr>
        <w:t>(1990)。日本移民小檔案，遠見雜誌，第50期，頁13。</w:t>
      </w:r>
    </w:p>
    <w:p w:rsidR="002F19DE" w:rsidRPr="002F19DE" w:rsidRDefault="002F19DE" w:rsidP="002F19DE">
      <w:pPr>
        <w:ind w:leftChars="0" w:left="0"/>
        <w:rPr>
          <w:sz w:val="24"/>
          <w:szCs w:val="24"/>
        </w:rPr>
      </w:pPr>
      <w:r w:rsidRPr="002F19DE">
        <w:rPr>
          <w:rFonts w:hint="eastAsia"/>
          <w:sz w:val="24"/>
          <w:szCs w:val="24"/>
        </w:rPr>
        <w:t>◎趙守博</w:t>
      </w:r>
      <w:r w:rsidRPr="002F19DE">
        <w:rPr>
          <w:sz w:val="24"/>
          <w:szCs w:val="24"/>
        </w:rPr>
        <w:t>(1992)，談引進大陸勞工的前提與要件，中國勞工，第905期。</w:t>
      </w:r>
    </w:p>
    <w:p w:rsidR="002F19DE" w:rsidRPr="002F19DE" w:rsidRDefault="002F19DE" w:rsidP="002F19DE">
      <w:pPr>
        <w:ind w:leftChars="0" w:left="0"/>
        <w:rPr>
          <w:sz w:val="24"/>
          <w:szCs w:val="24"/>
        </w:rPr>
      </w:pPr>
      <w:r w:rsidRPr="002F19DE">
        <w:rPr>
          <w:rFonts w:hint="eastAsia"/>
          <w:sz w:val="24"/>
          <w:szCs w:val="24"/>
        </w:rPr>
        <w:t>◎趙守博</w:t>
      </w:r>
      <w:r w:rsidRPr="002F19DE">
        <w:rPr>
          <w:sz w:val="24"/>
          <w:szCs w:val="24"/>
        </w:rPr>
        <w:t>(1993)，外籍勞工的引進及因應對策，勞工行政第57期。</w:t>
      </w:r>
    </w:p>
    <w:p w:rsidR="002F19DE" w:rsidRPr="002F19DE" w:rsidRDefault="002F19DE" w:rsidP="002F19DE">
      <w:pPr>
        <w:ind w:leftChars="0" w:left="0"/>
        <w:rPr>
          <w:sz w:val="24"/>
          <w:szCs w:val="24"/>
        </w:rPr>
      </w:pPr>
      <w:r w:rsidRPr="002F19DE">
        <w:rPr>
          <w:rFonts w:hint="eastAsia"/>
          <w:sz w:val="24"/>
          <w:szCs w:val="24"/>
        </w:rPr>
        <w:t>◎趙明義</w:t>
      </w:r>
      <w:r w:rsidRPr="002F19DE">
        <w:rPr>
          <w:sz w:val="24"/>
          <w:szCs w:val="24"/>
        </w:rPr>
        <w:t xml:space="preserve">(2003)，當代國際法導論，初版，臺北巿：五南圖書公司，頁171-177。 </w:t>
      </w:r>
    </w:p>
    <w:p w:rsidR="002F19DE" w:rsidRPr="002F19DE" w:rsidRDefault="002F19DE" w:rsidP="002F19DE">
      <w:pPr>
        <w:ind w:leftChars="0" w:left="0"/>
        <w:rPr>
          <w:sz w:val="24"/>
          <w:szCs w:val="24"/>
        </w:rPr>
      </w:pPr>
      <w:r w:rsidRPr="002F19DE">
        <w:rPr>
          <w:rFonts w:hint="eastAsia"/>
          <w:sz w:val="24"/>
          <w:szCs w:val="24"/>
        </w:rPr>
        <w:t>◎趙秉志主編（</w:t>
      </w:r>
      <w:r w:rsidRPr="002F19DE">
        <w:rPr>
          <w:sz w:val="24"/>
          <w:szCs w:val="24"/>
        </w:rPr>
        <w:t>1996），中國大陸特別刑法要論，台北：中庸出版社，初版。</w:t>
      </w:r>
    </w:p>
    <w:p w:rsidR="002F19DE" w:rsidRPr="002F19DE" w:rsidRDefault="002F19DE" w:rsidP="002F19DE">
      <w:pPr>
        <w:ind w:leftChars="0" w:left="0"/>
        <w:rPr>
          <w:sz w:val="24"/>
          <w:szCs w:val="24"/>
        </w:rPr>
      </w:pPr>
      <w:r w:rsidRPr="002F19DE">
        <w:rPr>
          <w:rFonts w:hint="eastAsia"/>
          <w:sz w:val="24"/>
          <w:szCs w:val="24"/>
        </w:rPr>
        <w:t>◎趙海涵</w:t>
      </w:r>
      <w:r w:rsidRPr="002F19DE">
        <w:rPr>
          <w:sz w:val="24"/>
          <w:szCs w:val="24"/>
        </w:rPr>
        <w:t>(2007)，美國移民法案的現狀及其展望，瀋陽建築大學學報，第1期，頁53-55。</w:t>
      </w:r>
    </w:p>
    <w:p w:rsidR="002F19DE" w:rsidRPr="002F19DE" w:rsidRDefault="002F19DE" w:rsidP="002F19DE">
      <w:pPr>
        <w:ind w:leftChars="0" w:left="0"/>
        <w:rPr>
          <w:sz w:val="24"/>
          <w:szCs w:val="24"/>
        </w:rPr>
      </w:pPr>
      <w:r w:rsidRPr="002F19DE">
        <w:rPr>
          <w:rFonts w:hint="eastAsia"/>
          <w:sz w:val="24"/>
          <w:szCs w:val="24"/>
        </w:rPr>
        <w:t>◎劉世林</w:t>
      </w:r>
      <w:r w:rsidRPr="002F19DE">
        <w:rPr>
          <w:sz w:val="24"/>
          <w:szCs w:val="24"/>
        </w:rPr>
        <w:t>(2006)，911後我國國家安全的新思維--警察組織在國安體系中的角色，警學叢刊，第36卷第5期。。</w:t>
      </w:r>
    </w:p>
    <w:p w:rsidR="002F19DE" w:rsidRPr="002F19DE" w:rsidRDefault="002F19DE" w:rsidP="002F19DE">
      <w:pPr>
        <w:ind w:leftChars="0" w:left="0"/>
        <w:rPr>
          <w:sz w:val="24"/>
          <w:szCs w:val="24"/>
        </w:rPr>
      </w:pPr>
      <w:r w:rsidRPr="002F19DE">
        <w:rPr>
          <w:rFonts w:hint="eastAsia"/>
          <w:sz w:val="24"/>
          <w:szCs w:val="24"/>
        </w:rPr>
        <w:t>◎劉兆榮、林麗香、林宗達、柳金財、梁文興、陳朝政、葉怡君、蔡志昇（</w:t>
      </w:r>
      <w:r w:rsidRPr="002F19DE">
        <w:rPr>
          <w:sz w:val="24"/>
          <w:szCs w:val="24"/>
        </w:rPr>
        <w:t>2011），中華民國憲法綜論，新北市：晶典文化出版社。</w:t>
      </w:r>
    </w:p>
    <w:p w:rsidR="002F19DE" w:rsidRPr="002F19DE" w:rsidRDefault="002F19DE" w:rsidP="002F19DE">
      <w:pPr>
        <w:ind w:leftChars="0" w:left="0"/>
        <w:rPr>
          <w:sz w:val="24"/>
          <w:szCs w:val="24"/>
        </w:rPr>
      </w:pPr>
      <w:r w:rsidRPr="002F19DE">
        <w:rPr>
          <w:rFonts w:hint="eastAsia"/>
          <w:sz w:val="24"/>
          <w:szCs w:val="24"/>
        </w:rPr>
        <w:t>◎劉志山主編</w:t>
      </w:r>
      <w:r w:rsidRPr="002F19DE">
        <w:rPr>
          <w:sz w:val="24"/>
          <w:szCs w:val="24"/>
        </w:rPr>
        <w:t>(2010)，移民文化及其倫理價值，北京：商務印書館。</w:t>
      </w:r>
    </w:p>
    <w:p w:rsidR="002F19DE" w:rsidRPr="002F19DE" w:rsidRDefault="002F19DE" w:rsidP="002F19DE">
      <w:pPr>
        <w:ind w:leftChars="0" w:left="0"/>
        <w:rPr>
          <w:sz w:val="24"/>
          <w:szCs w:val="24"/>
        </w:rPr>
      </w:pPr>
      <w:r w:rsidRPr="002F19DE">
        <w:rPr>
          <w:rFonts w:hint="eastAsia"/>
          <w:sz w:val="24"/>
          <w:szCs w:val="24"/>
        </w:rPr>
        <w:t>◎劉家綾</w:t>
      </w:r>
      <w:r w:rsidRPr="002F19DE">
        <w:rPr>
          <w:sz w:val="24"/>
          <w:szCs w:val="24"/>
        </w:rPr>
        <w:t>(2005)，我國外籍勞工管理法制合憲性的檢討，國立臺北大學法律所碩士論文。</w:t>
      </w:r>
    </w:p>
    <w:p w:rsidR="002F19DE" w:rsidRPr="002F19DE" w:rsidRDefault="002F19DE" w:rsidP="002F19DE">
      <w:pPr>
        <w:ind w:leftChars="0" w:left="0"/>
        <w:rPr>
          <w:sz w:val="24"/>
          <w:szCs w:val="24"/>
        </w:rPr>
      </w:pPr>
      <w:r w:rsidRPr="002F19DE">
        <w:rPr>
          <w:rFonts w:hint="eastAsia"/>
          <w:sz w:val="24"/>
          <w:szCs w:val="24"/>
        </w:rPr>
        <w:t>◎劉家綾</w:t>
      </w:r>
      <w:r w:rsidRPr="002F19DE">
        <w:rPr>
          <w:sz w:val="24"/>
          <w:szCs w:val="24"/>
        </w:rPr>
        <w:t>(2007)，外籍勞工在我國憲法上應享有的人權，就業安全，第6卷第1期，頁105-115。</w:t>
      </w:r>
    </w:p>
    <w:p w:rsidR="002F19DE" w:rsidRPr="002F19DE" w:rsidRDefault="002F19DE" w:rsidP="002F19DE">
      <w:pPr>
        <w:ind w:leftChars="0" w:left="0"/>
        <w:rPr>
          <w:sz w:val="24"/>
          <w:szCs w:val="24"/>
        </w:rPr>
      </w:pPr>
      <w:r w:rsidRPr="002F19DE">
        <w:rPr>
          <w:rFonts w:hint="eastAsia"/>
          <w:sz w:val="24"/>
          <w:szCs w:val="24"/>
        </w:rPr>
        <w:t>◎劉珠利（</w:t>
      </w:r>
      <w:r w:rsidRPr="002F19DE">
        <w:rPr>
          <w:sz w:val="24"/>
          <w:szCs w:val="24"/>
        </w:rPr>
        <w:t>2004），婦女主義理論的觀點對大陸及外籍配偶現況之啟示，社區發展季刊，第105 期，頁48。</w:t>
      </w:r>
    </w:p>
    <w:p w:rsidR="002F19DE" w:rsidRPr="002F19DE" w:rsidRDefault="002F19DE" w:rsidP="002F19DE">
      <w:pPr>
        <w:ind w:leftChars="0" w:left="0"/>
        <w:rPr>
          <w:sz w:val="24"/>
          <w:szCs w:val="24"/>
        </w:rPr>
      </w:pPr>
      <w:r w:rsidRPr="002F19DE">
        <w:rPr>
          <w:rFonts w:hint="eastAsia"/>
          <w:sz w:val="24"/>
          <w:szCs w:val="24"/>
        </w:rPr>
        <w:t>◎劉進幅</w:t>
      </w:r>
      <w:r w:rsidRPr="002F19DE">
        <w:rPr>
          <w:sz w:val="24"/>
          <w:szCs w:val="24"/>
        </w:rPr>
        <w:t>(2000)，簽證，收錄於蔡庭榕編，警察百科全書（九）外事與國境警察，臺北：正中書局。</w:t>
      </w:r>
    </w:p>
    <w:p w:rsidR="002F19DE" w:rsidRPr="002F19DE" w:rsidRDefault="002F19DE" w:rsidP="002F19DE">
      <w:pPr>
        <w:ind w:leftChars="0" w:left="0"/>
        <w:rPr>
          <w:sz w:val="24"/>
          <w:szCs w:val="24"/>
        </w:rPr>
      </w:pPr>
      <w:r w:rsidRPr="002F19DE">
        <w:rPr>
          <w:rFonts w:hint="eastAsia"/>
          <w:sz w:val="24"/>
          <w:szCs w:val="24"/>
        </w:rPr>
        <w:t>◎劉進福</w:t>
      </w:r>
      <w:r w:rsidRPr="002F19DE">
        <w:rPr>
          <w:sz w:val="24"/>
          <w:szCs w:val="24"/>
        </w:rPr>
        <w:t xml:space="preserve"> (2007)，人口流動與基本人權－從相關國際條約論起，中央警察大學第一屆國安全學術研討會論文集。</w:t>
      </w:r>
    </w:p>
    <w:p w:rsidR="002F19DE" w:rsidRPr="002F19DE" w:rsidRDefault="002F19DE" w:rsidP="002F19DE">
      <w:pPr>
        <w:ind w:leftChars="0" w:left="0"/>
        <w:rPr>
          <w:sz w:val="24"/>
          <w:szCs w:val="24"/>
        </w:rPr>
      </w:pPr>
      <w:r w:rsidRPr="002F19DE">
        <w:rPr>
          <w:rFonts w:hint="eastAsia"/>
          <w:sz w:val="24"/>
          <w:szCs w:val="24"/>
        </w:rPr>
        <w:t>◎劉進福</w:t>
      </w:r>
      <w:r w:rsidRPr="002F19DE">
        <w:rPr>
          <w:sz w:val="24"/>
          <w:szCs w:val="24"/>
        </w:rPr>
        <w:t xml:space="preserve">(1991)，中日兩國外國人居留管理之研究及其比較，中日關係研究會。 </w:t>
      </w:r>
    </w:p>
    <w:p w:rsidR="002F19DE" w:rsidRPr="002F19DE" w:rsidRDefault="002F19DE" w:rsidP="002F19DE">
      <w:pPr>
        <w:ind w:leftChars="0" w:left="0"/>
        <w:rPr>
          <w:sz w:val="24"/>
          <w:szCs w:val="24"/>
        </w:rPr>
      </w:pPr>
      <w:r w:rsidRPr="002F19DE">
        <w:rPr>
          <w:rFonts w:hint="eastAsia"/>
          <w:sz w:val="24"/>
          <w:szCs w:val="24"/>
        </w:rPr>
        <w:t>◎劉進福</w:t>
      </w:r>
      <w:r w:rsidRPr="002F19DE">
        <w:rPr>
          <w:sz w:val="24"/>
          <w:szCs w:val="24"/>
        </w:rPr>
        <w:t>(1992)，日本外人入出境管理之探討，中央警察大學國境警察學系學術研討討會論文。</w:t>
      </w:r>
    </w:p>
    <w:p w:rsidR="002F19DE" w:rsidRPr="002F19DE" w:rsidRDefault="002F19DE" w:rsidP="002F19DE">
      <w:pPr>
        <w:ind w:leftChars="0" w:left="0"/>
        <w:rPr>
          <w:sz w:val="24"/>
          <w:szCs w:val="24"/>
        </w:rPr>
      </w:pPr>
      <w:r w:rsidRPr="002F19DE">
        <w:rPr>
          <w:rFonts w:hint="eastAsia"/>
          <w:sz w:val="24"/>
          <w:szCs w:val="24"/>
        </w:rPr>
        <w:t>◎劉進福</w:t>
      </w:r>
      <w:r w:rsidRPr="002F19DE">
        <w:rPr>
          <w:sz w:val="24"/>
          <w:szCs w:val="24"/>
        </w:rPr>
        <w:t>(1993)，論我國外事警察之外國人管理──與日本比較研究，初版一刷，桃園：中央警察大學出版社。</w:t>
      </w:r>
    </w:p>
    <w:p w:rsidR="002F19DE" w:rsidRPr="002F19DE" w:rsidRDefault="002F19DE" w:rsidP="002F19DE">
      <w:pPr>
        <w:ind w:leftChars="0" w:left="0"/>
        <w:rPr>
          <w:sz w:val="24"/>
          <w:szCs w:val="24"/>
        </w:rPr>
      </w:pPr>
      <w:r w:rsidRPr="002F19DE">
        <w:rPr>
          <w:rFonts w:hint="eastAsia"/>
          <w:sz w:val="24"/>
          <w:szCs w:val="24"/>
        </w:rPr>
        <w:t>◎劉進福</w:t>
      </w:r>
      <w:r w:rsidRPr="002F19DE">
        <w:rPr>
          <w:sz w:val="24"/>
          <w:szCs w:val="24"/>
        </w:rPr>
        <w:t>(1994)，日本外籍勞工管理中之研修制度，中央警察大學外事警察外籍勞工管理學術研討會論文集，第19～42頁。</w:t>
      </w:r>
    </w:p>
    <w:p w:rsidR="002F19DE" w:rsidRPr="002F19DE" w:rsidRDefault="002F19DE" w:rsidP="002F19DE">
      <w:pPr>
        <w:ind w:leftChars="0" w:left="0"/>
        <w:rPr>
          <w:sz w:val="24"/>
          <w:szCs w:val="24"/>
        </w:rPr>
      </w:pPr>
      <w:r w:rsidRPr="002F19DE">
        <w:rPr>
          <w:rFonts w:hint="eastAsia"/>
          <w:sz w:val="24"/>
          <w:szCs w:val="24"/>
        </w:rPr>
        <w:t>◎劉進福</w:t>
      </w:r>
      <w:r w:rsidRPr="002F19DE">
        <w:rPr>
          <w:sz w:val="24"/>
          <w:szCs w:val="24"/>
        </w:rPr>
        <w:t>(1997)，外事警察學，桃園：中央警察大學出版社。</w:t>
      </w:r>
    </w:p>
    <w:p w:rsidR="002F19DE" w:rsidRPr="002F19DE" w:rsidRDefault="002F19DE" w:rsidP="002F19DE">
      <w:pPr>
        <w:ind w:leftChars="0" w:left="0"/>
        <w:rPr>
          <w:sz w:val="24"/>
          <w:szCs w:val="24"/>
        </w:rPr>
      </w:pPr>
      <w:r w:rsidRPr="002F19DE">
        <w:rPr>
          <w:rFonts w:hint="eastAsia"/>
          <w:sz w:val="24"/>
          <w:szCs w:val="24"/>
        </w:rPr>
        <w:t>◎劉德勲</w:t>
      </w:r>
      <w:r w:rsidRPr="002F19DE">
        <w:rPr>
          <w:sz w:val="24"/>
          <w:szCs w:val="24"/>
        </w:rPr>
        <w:t>(2008)，兩岸交流二十週年回顧與前瞻-人員往來，兩岸交流二十年-變遷與挑戰，台北：名田出版社。</w:t>
      </w:r>
    </w:p>
    <w:p w:rsidR="002F19DE" w:rsidRPr="002F19DE" w:rsidRDefault="002F19DE" w:rsidP="002F19DE">
      <w:pPr>
        <w:ind w:leftChars="0" w:left="0"/>
        <w:rPr>
          <w:sz w:val="24"/>
          <w:szCs w:val="24"/>
        </w:rPr>
      </w:pPr>
      <w:r w:rsidRPr="002F19DE">
        <w:rPr>
          <w:rFonts w:hint="eastAsia"/>
          <w:sz w:val="24"/>
          <w:szCs w:val="24"/>
        </w:rPr>
        <w:t>◎劉擇昌、黃俊能</w:t>
      </w:r>
      <w:r w:rsidRPr="002F19DE">
        <w:rPr>
          <w:sz w:val="24"/>
          <w:szCs w:val="24"/>
        </w:rPr>
        <w:t>(2011)，運用地理資訊系統與犯罪製圖提升警政執法效能之探究，執法新知</w:t>
      </w:r>
      <w:r w:rsidRPr="002F19DE">
        <w:rPr>
          <w:rFonts w:hint="eastAsia"/>
          <w:sz w:val="24"/>
          <w:szCs w:val="24"/>
        </w:rPr>
        <w:t>論衡</w:t>
      </w:r>
      <w:r w:rsidRPr="002F19DE">
        <w:rPr>
          <w:sz w:val="24"/>
          <w:szCs w:val="24"/>
        </w:rPr>
        <w:t>(Law Enforcement Review)，第7卷第2期。</w:t>
      </w:r>
    </w:p>
    <w:p w:rsidR="002F19DE" w:rsidRPr="002F19DE" w:rsidRDefault="002F19DE" w:rsidP="002F19DE">
      <w:pPr>
        <w:ind w:leftChars="0" w:left="0"/>
        <w:rPr>
          <w:sz w:val="24"/>
          <w:szCs w:val="24"/>
        </w:rPr>
      </w:pPr>
      <w:r w:rsidRPr="002F19DE">
        <w:rPr>
          <w:rFonts w:hint="eastAsia"/>
          <w:sz w:val="24"/>
          <w:szCs w:val="24"/>
        </w:rPr>
        <w:t>◎劉鐵錚，陳榮傳</w:t>
      </w:r>
      <w:r w:rsidRPr="002F19DE">
        <w:rPr>
          <w:sz w:val="24"/>
          <w:szCs w:val="24"/>
        </w:rPr>
        <w:t>(1998)，國際私法論，臺北；三民書局。</w:t>
      </w:r>
    </w:p>
    <w:p w:rsidR="002F19DE" w:rsidRPr="002F19DE" w:rsidRDefault="002F19DE" w:rsidP="002F19DE">
      <w:pPr>
        <w:ind w:leftChars="0" w:left="0"/>
        <w:rPr>
          <w:sz w:val="24"/>
          <w:szCs w:val="24"/>
        </w:rPr>
      </w:pPr>
      <w:r w:rsidRPr="002F19DE">
        <w:rPr>
          <w:rFonts w:hint="eastAsia"/>
          <w:sz w:val="24"/>
          <w:szCs w:val="24"/>
        </w:rPr>
        <w:t>◎歐本漢</w:t>
      </w:r>
      <w:r w:rsidRPr="002F19DE">
        <w:rPr>
          <w:sz w:val="24"/>
          <w:szCs w:val="24"/>
        </w:rPr>
        <w:t>(2002)，國際法Q&amp;A，初版，臺北巿：風雲論壇出版公司。</w:t>
      </w:r>
    </w:p>
    <w:p w:rsidR="002F19DE" w:rsidRPr="002F19DE" w:rsidRDefault="002F19DE" w:rsidP="002F19DE">
      <w:pPr>
        <w:ind w:leftChars="0" w:left="0"/>
        <w:rPr>
          <w:sz w:val="24"/>
          <w:szCs w:val="24"/>
        </w:rPr>
      </w:pPr>
      <w:r w:rsidRPr="002F19DE">
        <w:rPr>
          <w:rFonts w:hint="eastAsia"/>
          <w:sz w:val="24"/>
          <w:szCs w:val="24"/>
        </w:rPr>
        <w:t>◎潘姿羽</w:t>
      </w:r>
      <w:r w:rsidRPr="002F19DE">
        <w:rPr>
          <w:sz w:val="24"/>
          <w:szCs w:val="24"/>
        </w:rPr>
        <w:t>(2017)，經濟日報，，IMD：台灣有人才，卻無力留才，2017年11月22日，</w:t>
      </w:r>
      <w:hyperlink r:id="rId816" w:history="1">
        <w:r w:rsidRPr="00CE2331">
          <w:rPr>
            <w:rStyle w:val="a7"/>
            <w:rFonts w:cs="Times New Roman"/>
            <w:sz w:val="24"/>
            <w:szCs w:val="24"/>
            <w:lang w:eastAsia="zh-TW" w:bidi="ar-SA"/>
          </w:rPr>
          <w:t>https://money.udn.com/money/story/5648/2832422</w:t>
        </w:r>
      </w:hyperlink>
    </w:p>
    <w:p w:rsidR="002F19DE" w:rsidRPr="002F19DE" w:rsidRDefault="002F19DE" w:rsidP="002F19DE">
      <w:pPr>
        <w:ind w:leftChars="0" w:left="0"/>
        <w:rPr>
          <w:sz w:val="24"/>
          <w:szCs w:val="24"/>
        </w:rPr>
      </w:pPr>
      <w:r w:rsidRPr="002F19DE">
        <w:rPr>
          <w:rFonts w:hint="eastAsia"/>
          <w:sz w:val="24"/>
          <w:szCs w:val="24"/>
        </w:rPr>
        <w:t>◎潘淑滿（</w:t>
      </w:r>
      <w:r w:rsidRPr="002F19DE">
        <w:rPr>
          <w:sz w:val="24"/>
          <w:szCs w:val="24"/>
        </w:rPr>
        <w:t>2004）。從婚姻移民現象剖析公民權的實踐與限制。社區發展季刊105：30-43。</w:t>
      </w:r>
    </w:p>
    <w:p w:rsidR="002F19DE" w:rsidRPr="002F19DE" w:rsidRDefault="002F19DE" w:rsidP="002F19DE">
      <w:pPr>
        <w:ind w:leftChars="0" w:left="0"/>
        <w:rPr>
          <w:sz w:val="24"/>
          <w:szCs w:val="24"/>
        </w:rPr>
      </w:pPr>
      <w:r w:rsidRPr="002F19DE">
        <w:rPr>
          <w:rFonts w:hint="eastAsia"/>
          <w:sz w:val="24"/>
          <w:szCs w:val="24"/>
        </w:rPr>
        <w:t>◎潘淑滿（</w:t>
      </w:r>
      <w:r w:rsidRPr="002F19DE">
        <w:rPr>
          <w:sz w:val="24"/>
          <w:szCs w:val="24"/>
        </w:rPr>
        <w:t>2008）。婚姻移民、公民身分與社會福利權。社區發展季刊122：136-158。</w:t>
      </w:r>
    </w:p>
    <w:p w:rsidR="002F19DE" w:rsidRPr="002F19DE" w:rsidRDefault="002F19DE" w:rsidP="002F19DE">
      <w:pPr>
        <w:ind w:leftChars="0" w:left="0"/>
        <w:rPr>
          <w:sz w:val="24"/>
          <w:szCs w:val="24"/>
        </w:rPr>
      </w:pPr>
      <w:r w:rsidRPr="002F19DE">
        <w:rPr>
          <w:rFonts w:hint="eastAsia"/>
          <w:sz w:val="24"/>
          <w:szCs w:val="24"/>
        </w:rPr>
        <w:t>◎潮龍起</w:t>
      </w:r>
      <w:r w:rsidRPr="002F19DE">
        <w:rPr>
          <w:sz w:val="24"/>
          <w:szCs w:val="24"/>
        </w:rPr>
        <w:t>(2007)，移民史研究中的跨國主義理論，史學理論研究，第3期。</w:t>
      </w:r>
    </w:p>
    <w:p w:rsidR="002F19DE" w:rsidRPr="002F19DE" w:rsidRDefault="002F19DE" w:rsidP="002F19DE">
      <w:pPr>
        <w:ind w:leftChars="0" w:left="0"/>
        <w:rPr>
          <w:sz w:val="24"/>
          <w:szCs w:val="24"/>
        </w:rPr>
      </w:pPr>
      <w:r w:rsidRPr="002F19DE">
        <w:rPr>
          <w:rFonts w:hint="eastAsia"/>
          <w:sz w:val="24"/>
          <w:szCs w:val="24"/>
        </w:rPr>
        <w:t>◎蔡文豪</w:t>
      </w:r>
      <w:r w:rsidRPr="002F19DE">
        <w:rPr>
          <w:sz w:val="24"/>
          <w:szCs w:val="24"/>
        </w:rPr>
        <w:t>(2011)，移民署查獲豆腐血汗工廠，移民月刊，第21期。</w:t>
      </w:r>
    </w:p>
    <w:p w:rsidR="002F19DE" w:rsidRPr="002F19DE" w:rsidRDefault="002F19DE" w:rsidP="002F19DE">
      <w:pPr>
        <w:ind w:leftChars="0" w:left="0"/>
        <w:rPr>
          <w:sz w:val="24"/>
          <w:szCs w:val="24"/>
        </w:rPr>
      </w:pPr>
      <w:r w:rsidRPr="002F19DE">
        <w:rPr>
          <w:rFonts w:hint="eastAsia"/>
          <w:sz w:val="24"/>
          <w:szCs w:val="24"/>
        </w:rPr>
        <w:t>◎蔡令恬</w:t>
      </w:r>
      <w:r w:rsidRPr="002F19DE">
        <w:rPr>
          <w:sz w:val="24"/>
          <w:szCs w:val="24"/>
        </w:rPr>
        <w:t>(2010)，我國外籍家事</w:t>
      </w:r>
      <w:r w:rsidRPr="002F19DE">
        <w:rPr>
          <w:rFonts w:hint="eastAsia"/>
          <w:sz w:val="24"/>
          <w:szCs w:val="24"/>
        </w:rPr>
        <w:t>勞動者勞動權益保障之研究，東吳大學法學院法律學系碩士論文。</w:t>
      </w:r>
    </w:p>
    <w:p w:rsidR="002F19DE" w:rsidRPr="002F19DE" w:rsidRDefault="002F19DE" w:rsidP="002F19DE">
      <w:pPr>
        <w:ind w:leftChars="0" w:left="0"/>
        <w:rPr>
          <w:sz w:val="24"/>
          <w:szCs w:val="24"/>
        </w:rPr>
      </w:pPr>
      <w:r w:rsidRPr="002F19DE">
        <w:rPr>
          <w:rFonts w:hint="eastAsia"/>
          <w:sz w:val="24"/>
          <w:szCs w:val="24"/>
        </w:rPr>
        <w:t>◎蔡田木</w:t>
      </w:r>
      <w:r w:rsidRPr="002F19DE">
        <w:rPr>
          <w:sz w:val="24"/>
          <w:szCs w:val="24"/>
        </w:rPr>
        <w:t>(2008），外籍人士在台犯罪狀況及其分析，中央警察大學犯罪防治學報第九期，頁165-192。</w:t>
      </w:r>
    </w:p>
    <w:p w:rsidR="002F19DE" w:rsidRPr="002F19DE" w:rsidRDefault="002F19DE" w:rsidP="002F19DE">
      <w:pPr>
        <w:ind w:leftChars="0" w:left="0"/>
        <w:rPr>
          <w:sz w:val="24"/>
          <w:szCs w:val="24"/>
        </w:rPr>
      </w:pPr>
      <w:r w:rsidRPr="002F19DE">
        <w:rPr>
          <w:rFonts w:hint="eastAsia"/>
          <w:sz w:val="24"/>
          <w:szCs w:val="24"/>
        </w:rPr>
        <w:t>◎蔡百銓</w:t>
      </w:r>
      <w:r w:rsidRPr="002F19DE">
        <w:rPr>
          <w:sz w:val="24"/>
          <w:szCs w:val="24"/>
        </w:rPr>
        <w:t>(2007)，邁向人權國家，初版，臺北巿：前衛。</w:t>
      </w:r>
    </w:p>
    <w:p w:rsidR="002F19DE" w:rsidRPr="002F19DE" w:rsidRDefault="002F19DE" w:rsidP="002F19DE">
      <w:pPr>
        <w:ind w:leftChars="0" w:left="0"/>
        <w:rPr>
          <w:sz w:val="24"/>
          <w:szCs w:val="24"/>
        </w:rPr>
      </w:pPr>
      <w:r w:rsidRPr="002F19DE">
        <w:rPr>
          <w:rFonts w:hint="eastAsia"/>
          <w:sz w:val="24"/>
          <w:szCs w:val="24"/>
        </w:rPr>
        <w:t>◎蔡尚宏</w:t>
      </w:r>
      <w:r w:rsidRPr="002F19DE">
        <w:rPr>
          <w:sz w:val="24"/>
          <w:szCs w:val="24"/>
        </w:rPr>
        <w:t>(2006)，我國外籍勞工勞動人權之研究，國立中正大學法律所碩士論文。</w:t>
      </w:r>
    </w:p>
    <w:p w:rsidR="002F19DE" w:rsidRPr="002F19DE" w:rsidRDefault="002F19DE" w:rsidP="002F19DE">
      <w:pPr>
        <w:ind w:leftChars="0" w:left="0"/>
        <w:rPr>
          <w:sz w:val="24"/>
          <w:szCs w:val="24"/>
        </w:rPr>
      </w:pPr>
      <w:r w:rsidRPr="002F19DE">
        <w:rPr>
          <w:rFonts w:hint="eastAsia"/>
          <w:sz w:val="24"/>
          <w:szCs w:val="24"/>
        </w:rPr>
        <w:t>◎蔡青龍、謝立功、曾嬿芬等（</w:t>
      </w:r>
      <w:r w:rsidRPr="002F19DE">
        <w:rPr>
          <w:sz w:val="24"/>
          <w:szCs w:val="24"/>
        </w:rPr>
        <w:t>2004），移民政策白皮書，於2004年12月14日公布。</w:t>
      </w:r>
    </w:p>
    <w:p w:rsidR="002F19DE" w:rsidRPr="002F19DE" w:rsidRDefault="002F19DE" w:rsidP="002F19DE">
      <w:pPr>
        <w:ind w:leftChars="0" w:left="0"/>
        <w:rPr>
          <w:sz w:val="24"/>
          <w:szCs w:val="24"/>
        </w:rPr>
      </w:pPr>
      <w:r w:rsidRPr="002F19DE">
        <w:rPr>
          <w:rFonts w:hint="eastAsia"/>
          <w:sz w:val="24"/>
          <w:szCs w:val="24"/>
        </w:rPr>
        <w:t>◎蔡茂寅</w:t>
      </w:r>
      <w:r w:rsidRPr="002F19DE">
        <w:rPr>
          <w:sz w:val="24"/>
          <w:szCs w:val="24"/>
        </w:rPr>
        <w:t>(1999)。平等權，月旦法學雜誌，第46期，頁111-117。</w:t>
      </w:r>
    </w:p>
    <w:p w:rsidR="002F19DE" w:rsidRPr="002F19DE" w:rsidRDefault="002F19DE" w:rsidP="002F19DE">
      <w:pPr>
        <w:ind w:leftChars="0" w:left="0"/>
        <w:rPr>
          <w:sz w:val="24"/>
          <w:szCs w:val="24"/>
        </w:rPr>
      </w:pPr>
      <w:r w:rsidRPr="002F19DE">
        <w:rPr>
          <w:rFonts w:hint="eastAsia"/>
          <w:sz w:val="24"/>
          <w:szCs w:val="24"/>
        </w:rPr>
        <w:t>◎蔡庭榕</w:t>
      </w:r>
      <w:r w:rsidRPr="002F19DE">
        <w:rPr>
          <w:sz w:val="24"/>
          <w:szCs w:val="24"/>
        </w:rPr>
        <w:t>(1993)，入出境安全檢查之研究，中央警察大學出版社。</w:t>
      </w:r>
    </w:p>
    <w:p w:rsidR="002F19DE" w:rsidRPr="002F19DE" w:rsidRDefault="002F19DE" w:rsidP="002F19DE">
      <w:pPr>
        <w:ind w:leftChars="0" w:left="0"/>
        <w:rPr>
          <w:sz w:val="24"/>
          <w:szCs w:val="24"/>
        </w:rPr>
      </w:pPr>
      <w:r w:rsidRPr="002F19DE">
        <w:rPr>
          <w:rFonts w:hint="eastAsia"/>
          <w:sz w:val="24"/>
          <w:szCs w:val="24"/>
        </w:rPr>
        <w:t>◎蔡庭榕</w:t>
      </w:r>
      <w:r w:rsidRPr="002F19DE">
        <w:rPr>
          <w:sz w:val="24"/>
          <w:szCs w:val="24"/>
        </w:rPr>
        <w:t>(1998)，參加國際機場港口警察首長協會第二十九年會會後報告，內政部出國考察報告。</w:t>
      </w:r>
    </w:p>
    <w:p w:rsidR="002F19DE" w:rsidRPr="002F19DE" w:rsidRDefault="002F19DE" w:rsidP="002F19DE">
      <w:pPr>
        <w:ind w:leftChars="0" w:left="0"/>
        <w:rPr>
          <w:sz w:val="24"/>
          <w:szCs w:val="24"/>
        </w:rPr>
      </w:pPr>
      <w:r w:rsidRPr="002F19DE">
        <w:rPr>
          <w:rFonts w:hint="eastAsia"/>
          <w:sz w:val="24"/>
          <w:szCs w:val="24"/>
        </w:rPr>
        <w:t>◎蔡庭榕</w:t>
      </w:r>
      <w:r w:rsidRPr="002F19DE">
        <w:rPr>
          <w:sz w:val="24"/>
          <w:szCs w:val="24"/>
        </w:rPr>
        <w:t>(1998)，國境警察在亞太營運中心應有之角色與作為，警大月刊，中央警察大學印行。</w:t>
      </w:r>
    </w:p>
    <w:p w:rsidR="002F19DE" w:rsidRPr="002F19DE" w:rsidRDefault="002F19DE" w:rsidP="002F19DE">
      <w:pPr>
        <w:ind w:leftChars="0" w:left="0"/>
        <w:rPr>
          <w:sz w:val="24"/>
          <w:szCs w:val="24"/>
        </w:rPr>
      </w:pPr>
      <w:r w:rsidRPr="002F19DE">
        <w:rPr>
          <w:rFonts w:hint="eastAsia"/>
          <w:sz w:val="24"/>
          <w:szCs w:val="24"/>
        </w:rPr>
        <w:t>◎蔡庭榕</w:t>
      </w:r>
      <w:r w:rsidRPr="002F19DE">
        <w:rPr>
          <w:sz w:val="24"/>
          <w:szCs w:val="24"/>
        </w:rPr>
        <w:t>(1999)，加拿大對非法外國人之收容與遣返之研究，警大國境系研討會論文集，頁133-151。</w:t>
      </w:r>
    </w:p>
    <w:p w:rsidR="002F19DE" w:rsidRPr="002F19DE" w:rsidRDefault="002F19DE" w:rsidP="002F19DE">
      <w:pPr>
        <w:ind w:leftChars="0" w:left="0"/>
        <w:rPr>
          <w:sz w:val="24"/>
          <w:szCs w:val="24"/>
        </w:rPr>
      </w:pPr>
      <w:r w:rsidRPr="002F19DE">
        <w:rPr>
          <w:rFonts w:hint="eastAsia"/>
          <w:sz w:val="24"/>
          <w:szCs w:val="24"/>
        </w:rPr>
        <w:t>◎蔡庭榕</w:t>
      </w:r>
      <w:r w:rsidRPr="002F19DE">
        <w:rPr>
          <w:sz w:val="24"/>
          <w:szCs w:val="24"/>
        </w:rPr>
        <w:t>(1999)，西方國家移民控制理論與作法，警學叢刊29卷4期。</w:t>
      </w:r>
    </w:p>
    <w:p w:rsidR="002F19DE" w:rsidRPr="002F19DE" w:rsidRDefault="002F19DE" w:rsidP="002F19DE">
      <w:pPr>
        <w:ind w:leftChars="0" w:left="0"/>
        <w:rPr>
          <w:sz w:val="24"/>
          <w:szCs w:val="24"/>
        </w:rPr>
      </w:pPr>
      <w:r w:rsidRPr="002F19DE">
        <w:rPr>
          <w:rFonts w:hint="eastAsia"/>
          <w:sz w:val="24"/>
          <w:szCs w:val="24"/>
        </w:rPr>
        <w:t>◎蔡庭榕</w:t>
      </w:r>
      <w:r w:rsidRPr="002F19DE">
        <w:rPr>
          <w:sz w:val="24"/>
          <w:szCs w:val="24"/>
        </w:rPr>
        <w:t>(2000)，警察百科全書（9）外事與國境警察，桃園：中央警察大學出版社。</w:t>
      </w:r>
    </w:p>
    <w:p w:rsidR="002F19DE" w:rsidRPr="002F19DE" w:rsidRDefault="002F19DE" w:rsidP="002F19DE">
      <w:pPr>
        <w:ind w:leftChars="0" w:left="0"/>
        <w:rPr>
          <w:sz w:val="24"/>
          <w:szCs w:val="24"/>
        </w:rPr>
      </w:pPr>
      <w:r w:rsidRPr="002F19DE">
        <w:rPr>
          <w:rFonts w:hint="eastAsia"/>
          <w:sz w:val="24"/>
          <w:szCs w:val="24"/>
        </w:rPr>
        <w:t>◎蔡庭榕、刁仁國</w:t>
      </w:r>
      <w:r w:rsidRPr="002F19DE">
        <w:rPr>
          <w:sz w:val="24"/>
          <w:szCs w:val="24"/>
        </w:rPr>
        <w:t>(1998)，論外國人人權 ─ 以一般外國人之入出境管理為中心，中國憲法協會，頁1-29。</w:t>
      </w:r>
    </w:p>
    <w:p w:rsidR="002F19DE" w:rsidRPr="002F19DE" w:rsidRDefault="002F19DE" w:rsidP="002F19DE">
      <w:pPr>
        <w:ind w:leftChars="0" w:left="0"/>
        <w:rPr>
          <w:sz w:val="24"/>
          <w:szCs w:val="24"/>
        </w:rPr>
      </w:pPr>
      <w:r w:rsidRPr="002F19DE">
        <w:rPr>
          <w:rFonts w:hint="eastAsia"/>
          <w:sz w:val="24"/>
          <w:szCs w:val="24"/>
        </w:rPr>
        <w:t>◎蔡庭榕、刁仁國</w:t>
      </w:r>
      <w:r w:rsidRPr="002F19DE">
        <w:rPr>
          <w:sz w:val="24"/>
          <w:szCs w:val="24"/>
        </w:rPr>
        <w:t>(1999)，論外國人人權 ---以一般外國人之入出境管理為中心，憲政時代，第25卷1期。</w:t>
      </w:r>
    </w:p>
    <w:p w:rsidR="002F19DE" w:rsidRPr="002F19DE" w:rsidRDefault="002F19DE" w:rsidP="002F19DE">
      <w:pPr>
        <w:ind w:leftChars="0" w:left="0"/>
        <w:rPr>
          <w:sz w:val="24"/>
          <w:szCs w:val="24"/>
        </w:rPr>
      </w:pPr>
      <w:r w:rsidRPr="002F19DE">
        <w:rPr>
          <w:rFonts w:hint="eastAsia"/>
          <w:sz w:val="24"/>
          <w:szCs w:val="24"/>
        </w:rPr>
        <w:t>◎蔡庭榕、刁仁國、簡建章、許義寶、蘇麗嬌、柯雨瑞</w:t>
      </w:r>
      <w:r w:rsidRPr="002F19DE">
        <w:rPr>
          <w:sz w:val="24"/>
          <w:szCs w:val="24"/>
        </w:rPr>
        <w:t>(2000)，外國人入出境管理法制之研究，行政院國家科學委員會補助專題研究計畫成果報告。</w:t>
      </w:r>
    </w:p>
    <w:p w:rsidR="002F19DE" w:rsidRPr="002F19DE" w:rsidRDefault="002F19DE" w:rsidP="002F19DE">
      <w:pPr>
        <w:ind w:leftChars="0" w:left="0"/>
        <w:rPr>
          <w:sz w:val="24"/>
          <w:szCs w:val="24"/>
        </w:rPr>
      </w:pPr>
      <w:r w:rsidRPr="002F19DE">
        <w:rPr>
          <w:rFonts w:hint="eastAsia"/>
          <w:sz w:val="24"/>
          <w:szCs w:val="24"/>
        </w:rPr>
        <w:t>◎蔡庭榕、李立宏</w:t>
      </w:r>
      <w:r w:rsidRPr="002F19DE">
        <w:rPr>
          <w:sz w:val="24"/>
          <w:szCs w:val="24"/>
        </w:rPr>
        <w:t>(2005)。我國外國人永久居留制度之研究--與美、日比較，中央警察大學國境警察學報，第4期，頁215-263。</w:t>
      </w:r>
    </w:p>
    <w:p w:rsidR="002F19DE" w:rsidRPr="002F19DE" w:rsidRDefault="002F19DE" w:rsidP="002F19DE">
      <w:pPr>
        <w:ind w:leftChars="0" w:left="0"/>
        <w:rPr>
          <w:sz w:val="24"/>
          <w:szCs w:val="24"/>
        </w:rPr>
      </w:pPr>
      <w:r w:rsidRPr="002F19DE">
        <w:rPr>
          <w:rFonts w:hint="eastAsia"/>
          <w:sz w:val="24"/>
          <w:szCs w:val="24"/>
        </w:rPr>
        <w:t>◎蔡庭榕、簡建章、許義寶</w:t>
      </w:r>
      <w:r w:rsidRPr="002F19DE">
        <w:rPr>
          <w:sz w:val="24"/>
          <w:szCs w:val="24"/>
        </w:rPr>
        <w:t>(2007)，論跨國婚姻仲介之問題與規範，國境警察學報8期，頁163-234。</w:t>
      </w:r>
    </w:p>
    <w:p w:rsidR="002F19DE" w:rsidRPr="002F19DE" w:rsidRDefault="002F19DE" w:rsidP="002F19DE">
      <w:pPr>
        <w:ind w:leftChars="0" w:left="0"/>
        <w:rPr>
          <w:sz w:val="24"/>
          <w:szCs w:val="24"/>
        </w:rPr>
      </w:pPr>
      <w:r w:rsidRPr="002F19DE">
        <w:rPr>
          <w:rFonts w:hint="eastAsia"/>
          <w:sz w:val="24"/>
          <w:szCs w:val="24"/>
        </w:rPr>
        <w:t>◎蔡震榮</w:t>
      </w:r>
      <w:r w:rsidRPr="002F19DE">
        <w:rPr>
          <w:sz w:val="24"/>
          <w:szCs w:val="24"/>
        </w:rPr>
        <w:t>(2004)，警察職權行使法概論，桃園：中央警察大學出版社。</w:t>
      </w:r>
    </w:p>
    <w:p w:rsidR="002F19DE" w:rsidRPr="002F19DE" w:rsidRDefault="002F19DE" w:rsidP="002F19DE">
      <w:pPr>
        <w:ind w:leftChars="0" w:left="0"/>
        <w:rPr>
          <w:sz w:val="24"/>
          <w:szCs w:val="24"/>
        </w:rPr>
      </w:pPr>
      <w:r w:rsidRPr="002F19DE">
        <w:rPr>
          <w:rFonts w:hint="eastAsia"/>
          <w:sz w:val="24"/>
          <w:szCs w:val="24"/>
        </w:rPr>
        <w:t>◎蔡震榮</w:t>
      </w:r>
      <w:r w:rsidRPr="002F19DE">
        <w:rPr>
          <w:sz w:val="24"/>
          <w:szCs w:val="24"/>
        </w:rPr>
        <w:t>(2008)，自外籍配偶家庭基本權之保障論驅逐出國處分---評台北高等行政法院95年度訴字第02581號判決，收錄於桃園：中央警察大學國境警察學系暨移民研究中心第2屆國境安全與人口移動學術研討會論文集，頁79-92。</w:t>
      </w:r>
    </w:p>
    <w:p w:rsidR="002F19DE" w:rsidRPr="002F19DE" w:rsidRDefault="002F19DE" w:rsidP="002F19DE">
      <w:pPr>
        <w:ind w:leftChars="0" w:left="0"/>
        <w:rPr>
          <w:sz w:val="24"/>
          <w:szCs w:val="24"/>
        </w:rPr>
      </w:pPr>
      <w:r w:rsidRPr="002F19DE">
        <w:rPr>
          <w:rFonts w:hint="eastAsia"/>
          <w:sz w:val="24"/>
          <w:szCs w:val="24"/>
        </w:rPr>
        <w:t>◎蔡震榮</w:t>
      </w:r>
      <w:r w:rsidRPr="002F19DE">
        <w:rPr>
          <w:sz w:val="24"/>
          <w:szCs w:val="24"/>
        </w:rPr>
        <w:t>(2008)。入出境管制與人民居住遷徙的自由，警察法學，第7期，頁73-120。</w:t>
      </w:r>
    </w:p>
    <w:p w:rsidR="002F19DE" w:rsidRPr="002F19DE" w:rsidRDefault="002F19DE" w:rsidP="002F19DE">
      <w:pPr>
        <w:ind w:leftChars="0" w:left="0"/>
        <w:rPr>
          <w:sz w:val="24"/>
          <w:szCs w:val="24"/>
        </w:rPr>
      </w:pPr>
      <w:r w:rsidRPr="002F19DE">
        <w:rPr>
          <w:rFonts w:hint="eastAsia"/>
          <w:sz w:val="24"/>
          <w:szCs w:val="24"/>
        </w:rPr>
        <w:t>◎蔡震榮</w:t>
      </w:r>
      <w:r w:rsidRPr="002F19DE">
        <w:rPr>
          <w:sz w:val="24"/>
          <w:szCs w:val="24"/>
        </w:rPr>
        <w:t>(2009)，自外籍配偶家庭基本權之保障論驅逐出國處分---評台北高等行政法院95年度訴字第2581號判決，法令月刊第60卷第8期，頁21-37。</w:t>
      </w:r>
    </w:p>
    <w:p w:rsidR="002F19DE" w:rsidRPr="002F19DE" w:rsidRDefault="002F19DE" w:rsidP="002F19DE">
      <w:pPr>
        <w:ind w:leftChars="0" w:left="0"/>
        <w:rPr>
          <w:sz w:val="24"/>
          <w:szCs w:val="24"/>
        </w:rPr>
      </w:pPr>
      <w:r w:rsidRPr="002F19DE">
        <w:rPr>
          <w:rFonts w:hint="eastAsia"/>
          <w:sz w:val="24"/>
          <w:szCs w:val="24"/>
        </w:rPr>
        <w:t>◎蔡震榮</w:t>
      </w:r>
      <w:r w:rsidRPr="002F19DE">
        <w:rPr>
          <w:sz w:val="24"/>
          <w:szCs w:val="24"/>
        </w:rPr>
        <w:t>(2009)。論驅逐出國處分--評臺北高等行政法院95年度訴字第2581號判決，法令月刊，第60卷第8期，頁21-37。</w:t>
      </w:r>
    </w:p>
    <w:p w:rsidR="002F19DE" w:rsidRPr="002F19DE" w:rsidRDefault="002F19DE" w:rsidP="002F19DE">
      <w:pPr>
        <w:ind w:leftChars="0" w:left="0"/>
        <w:rPr>
          <w:sz w:val="24"/>
          <w:szCs w:val="24"/>
        </w:rPr>
      </w:pPr>
      <w:r w:rsidRPr="002F19DE">
        <w:rPr>
          <w:rFonts w:hint="eastAsia"/>
          <w:sz w:val="24"/>
          <w:szCs w:val="24"/>
        </w:rPr>
        <w:t>◎蔡震榮</w:t>
      </w:r>
      <w:r w:rsidRPr="002F19DE">
        <w:rPr>
          <w:sz w:val="24"/>
          <w:szCs w:val="24"/>
        </w:rPr>
        <w:t>(2012)，國境管制與人權保障，月旦法學雜誌第204期，頁5-33。</w:t>
      </w:r>
    </w:p>
    <w:p w:rsidR="002F19DE" w:rsidRPr="002F19DE" w:rsidRDefault="002F19DE" w:rsidP="002F19DE">
      <w:pPr>
        <w:ind w:leftChars="0" w:left="0"/>
        <w:rPr>
          <w:sz w:val="24"/>
          <w:szCs w:val="24"/>
        </w:rPr>
      </w:pPr>
      <w:r w:rsidRPr="002F19DE">
        <w:rPr>
          <w:rFonts w:hint="eastAsia"/>
          <w:sz w:val="24"/>
          <w:szCs w:val="24"/>
        </w:rPr>
        <w:t>◎蔡震榮</w:t>
      </w:r>
      <w:r w:rsidRPr="002F19DE">
        <w:rPr>
          <w:sz w:val="24"/>
          <w:szCs w:val="24"/>
        </w:rPr>
        <w:t>(2012)，國境管制與人權保障，收錄於臺北市：國立政治大學公企中心，社團法人台灣行政法學會，2012年國境管制/行政法上之舉發學術研討會論文集，頁21-48。</w:t>
      </w:r>
    </w:p>
    <w:p w:rsidR="002F19DE" w:rsidRPr="002F19DE" w:rsidRDefault="002F19DE" w:rsidP="002F19DE">
      <w:pPr>
        <w:ind w:leftChars="0" w:left="0"/>
        <w:rPr>
          <w:sz w:val="24"/>
          <w:szCs w:val="24"/>
        </w:rPr>
      </w:pPr>
      <w:r w:rsidRPr="002F19DE">
        <w:rPr>
          <w:rFonts w:hint="eastAsia"/>
          <w:sz w:val="24"/>
          <w:szCs w:val="24"/>
        </w:rPr>
        <w:t>◎蔡震榮</w:t>
      </w:r>
      <w:r w:rsidRPr="002F19DE">
        <w:rPr>
          <w:sz w:val="24"/>
          <w:szCs w:val="24"/>
        </w:rPr>
        <w:t>(2012)。國境管制與人權保障，月旦法學，第204期，頁5-33。</w:t>
      </w:r>
    </w:p>
    <w:p w:rsidR="002F19DE" w:rsidRPr="002F19DE" w:rsidRDefault="002F19DE" w:rsidP="002F19DE">
      <w:pPr>
        <w:ind w:leftChars="0" w:left="0"/>
        <w:rPr>
          <w:sz w:val="24"/>
          <w:szCs w:val="24"/>
        </w:rPr>
      </w:pPr>
      <w:r w:rsidRPr="002F19DE">
        <w:rPr>
          <w:rFonts w:hint="eastAsia"/>
          <w:sz w:val="24"/>
          <w:szCs w:val="24"/>
        </w:rPr>
        <w:t>◎鄭又平</w:t>
      </w:r>
      <w:r w:rsidRPr="002F19DE">
        <w:rPr>
          <w:sz w:val="24"/>
          <w:szCs w:val="24"/>
        </w:rPr>
        <w:t>(2006)，全球化與國際移民：國家安全角度的分析，發表於政府再造與憲政改革系列研討會-全球化之下的人權保障</w:t>
      </w:r>
      <w:r w:rsidRPr="002F19DE">
        <w:rPr>
          <w:rFonts w:hint="eastAsia"/>
          <w:sz w:val="24"/>
          <w:szCs w:val="24"/>
        </w:rPr>
        <w:t>｣，台北</w:t>
      </w:r>
      <w:r w:rsidRPr="002F19DE">
        <w:rPr>
          <w:sz w:val="24"/>
          <w:szCs w:val="24"/>
        </w:rPr>
        <w:t>:國立台北大學公共行政暨政策學系。</w:t>
      </w:r>
    </w:p>
    <w:p w:rsidR="002F19DE" w:rsidRPr="002F19DE" w:rsidRDefault="002F19DE" w:rsidP="002F19DE">
      <w:pPr>
        <w:ind w:leftChars="0" w:left="0"/>
        <w:rPr>
          <w:sz w:val="24"/>
          <w:szCs w:val="24"/>
        </w:rPr>
      </w:pPr>
      <w:r w:rsidRPr="002F19DE">
        <w:rPr>
          <w:rFonts w:hint="eastAsia"/>
          <w:sz w:val="24"/>
          <w:szCs w:val="24"/>
        </w:rPr>
        <w:t>◎鄭文竹</w:t>
      </w:r>
      <w:r w:rsidRPr="002F19DE">
        <w:rPr>
          <w:sz w:val="24"/>
          <w:szCs w:val="24"/>
        </w:rPr>
        <w:t>(2012)，警察職權行使之研究，桃園市：中央警察大學。</w:t>
      </w:r>
    </w:p>
    <w:p w:rsidR="002F19DE" w:rsidRPr="002F19DE" w:rsidRDefault="002F19DE" w:rsidP="002F19DE">
      <w:pPr>
        <w:ind w:leftChars="0" w:left="0"/>
        <w:rPr>
          <w:sz w:val="24"/>
          <w:szCs w:val="24"/>
        </w:rPr>
      </w:pPr>
      <w:r w:rsidRPr="002F19DE">
        <w:rPr>
          <w:rFonts w:hint="eastAsia"/>
          <w:sz w:val="24"/>
          <w:szCs w:val="24"/>
        </w:rPr>
        <w:t>◎鄭安玲、宋鎮照</w:t>
      </w:r>
      <w:r w:rsidRPr="002F19DE">
        <w:rPr>
          <w:sz w:val="24"/>
          <w:szCs w:val="24"/>
        </w:rPr>
        <w:t>(2011)，勞動移民政策之政經分析：臺新兩國之比較研究，稻江學報，第5卷第2期。</w:t>
      </w:r>
    </w:p>
    <w:p w:rsidR="002F19DE" w:rsidRPr="002F19DE" w:rsidRDefault="002F19DE" w:rsidP="002F19DE">
      <w:pPr>
        <w:ind w:leftChars="0" w:left="0"/>
        <w:rPr>
          <w:sz w:val="24"/>
          <w:szCs w:val="24"/>
        </w:rPr>
      </w:pPr>
      <w:r w:rsidRPr="002F19DE">
        <w:rPr>
          <w:rFonts w:hint="eastAsia"/>
          <w:sz w:val="24"/>
          <w:szCs w:val="24"/>
        </w:rPr>
        <w:t>◎鄭津津</w:t>
      </w:r>
      <w:r w:rsidRPr="002F19DE">
        <w:rPr>
          <w:sz w:val="24"/>
          <w:szCs w:val="24"/>
        </w:rPr>
        <w:t>(2003)。美國就業歧視法制之研究--兼論我國相關法制應有之發展，國立臺灣大學法學論叢，第32卷第4期，頁132-205。</w:t>
      </w:r>
    </w:p>
    <w:p w:rsidR="002F19DE" w:rsidRPr="002F19DE" w:rsidRDefault="002F19DE" w:rsidP="002F19DE">
      <w:pPr>
        <w:ind w:leftChars="0" w:left="0"/>
        <w:rPr>
          <w:sz w:val="24"/>
          <w:szCs w:val="24"/>
        </w:rPr>
      </w:pPr>
      <w:r w:rsidRPr="002F19DE">
        <w:rPr>
          <w:rFonts w:hint="eastAsia"/>
          <w:sz w:val="24"/>
          <w:szCs w:val="24"/>
        </w:rPr>
        <w:t>◎鄭津津</w:t>
      </w:r>
      <w:r w:rsidRPr="002F19DE">
        <w:rPr>
          <w:sz w:val="24"/>
          <w:szCs w:val="24"/>
        </w:rPr>
        <w:t>(2008)，我國外籍勞工人權保障問題之研究，月旦法學，第161期，頁67-82</w:t>
      </w:r>
      <w:r w:rsidR="00CE2331">
        <w:rPr>
          <w:sz w:val="24"/>
          <w:szCs w:val="24"/>
        </w:rPr>
        <w:t>。</w:t>
      </w:r>
      <w:r w:rsidRPr="002F19DE">
        <w:rPr>
          <w:sz w:val="24"/>
          <w:szCs w:val="24"/>
        </w:rPr>
        <w:t xml:space="preserve"> </w:t>
      </w:r>
    </w:p>
    <w:p w:rsidR="002F19DE" w:rsidRPr="002F19DE" w:rsidRDefault="002F19DE" w:rsidP="002F19DE">
      <w:pPr>
        <w:ind w:leftChars="0" w:left="0"/>
        <w:rPr>
          <w:sz w:val="24"/>
          <w:szCs w:val="24"/>
        </w:rPr>
      </w:pPr>
      <w:r w:rsidRPr="002F19DE">
        <w:rPr>
          <w:rFonts w:hint="eastAsia"/>
          <w:sz w:val="24"/>
          <w:szCs w:val="24"/>
        </w:rPr>
        <w:t>◎鄭津津</w:t>
      </w:r>
      <w:r w:rsidRPr="002F19DE">
        <w:rPr>
          <w:sz w:val="24"/>
          <w:szCs w:val="24"/>
        </w:rPr>
        <w:t>(2011)，外籍勞工之政策及人權保障之檢視，監察院第四屆人權保障工作研討會論文集。</w:t>
      </w:r>
    </w:p>
    <w:p w:rsidR="002F19DE" w:rsidRPr="002F19DE" w:rsidRDefault="002F19DE" w:rsidP="002F19DE">
      <w:pPr>
        <w:ind w:leftChars="0" w:left="0"/>
        <w:rPr>
          <w:sz w:val="24"/>
          <w:szCs w:val="24"/>
        </w:rPr>
      </w:pPr>
      <w:r w:rsidRPr="002F19DE">
        <w:rPr>
          <w:rFonts w:hint="eastAsia"/>
          <w:sz w:val="24"/>
          <w:szCs w:val="24"/>
        </w:rPr>
        <w:t>◎餘國寧</w:t>
      </w:r>
      <w:r w:rsidRPr="002F19DE">
        <w:rPr>
          <w:sz w:val="24"/>
          <w:szCs w:val="24"/>
        </w:rPr>
        <w:t xml:space="preserve">(2007)，從國際法觀點析論我國外籍勞工之法制，國立臺灣海洋大學海洋法律研究所碩士論文，頁24-90。 </w:t>
      </w:r>
    </w:p>
    <w:p w:rsidR="002F19DE" w:rsidRPr="002F19DE" w:rsidRDefault="002F19DE" w:rsidP="002F19DE">
      <w:pPr>
        <w:ind w:leftChars="0" w:left="0"/>
        <w:rPr>
          <w:sz w:val="24"/>
          <w:szCs w:val="24"/>
        </w:rPr>
      </w:pPr>
      <w:r w:rsidRPr="002F19DE">
        <w:rPr>
          <w:rFonts w:hint="eastAsia"/>
          <w:sz w:val="24"/>
          <w:szCs w:val="24"/>
        </w:rPr>
        <w:t>◎黎熙元、陳惠雲、陳國賁</w:t>
      </w:r>
      <w:r w:rsidRPr="002F19DE">
        <w:rPr>
          <w:sz w:val="24"/>
          <w:szCs w:val="24"/>
        </w:rPr>
        <w:t>(2012)，流動與跨地域認同：香港內地專才移民的生活經驗，香港社會科學學報第43期，頁83-123。</w:t>
      </w:r>
    </w:p>
    <w:p w:rsidR="002F19DE" w:rsidRPr="002F19DE" w:rsidRDefault="002F19DE" w:rsidP="002F19DE">
      <w:pPr>
        <w:ind w:leftChars="0" w:left="0"/>
        <w:rPr>
          <w:sz w:val="24"/>
          <w:szCs w:val="24"/>
        </w:rPr>
      </w:pPr>
      <w:r w:rsidRPr="002F19DE">
        <w:rPr>
          <w:rFonts w:hint="eastAsia"/>
          <w:sz w:val="24"/>
          <w:szCs w:val="24"/>
        </w:rPr>
        <w:t>◎盧映潔</w:t>
      </w:r>
      <w:r w:rsidRPr="002F19DE">
        <w:rPr>
          <w:sz w:val="24"/>
          <w:szCs w:val="24"/>
        </w:rPr>
        <w:t>(2008)，刑法分則新論，新學林出版，2008年。</w:t>
      </w:r>
    </w:p>
    <w:p w:rsidR="002F19DE" w:rsidRPr="002F19DE" w:rsidRDefault="002F19DE" w:rsidP="002F19DE">
      <w:pPr>
        <w:ind w:leftChars="0" w:left="0"/>
        <w:rPr>
          <w:sz w:val="24"/>
          <w:szCs w:val="24"/>
        </w:rPr>
      </w:pPr>
      <w:r w:rsidRPr="002F19DE">
        <w:rPr>
          <w:rFonts w:hint="eastAsia"/>
          <w:sz w:val="24"/>
          <w:szCs w:val="24"/>
        </w:rPr>
        <w:t>◎盧倩儀</w:t>
      </w:r>
      <w:r w:rsidRPr="002F19DE">
        <w:rPr>
          <w:sz w:val="24"/>
          <w:szCs w:val="24"/>
        </w:rPr>
        <w:t>(1999)，從歐盟移民政策決策過程談自由派政府間主義，問題與研究，第38卷，第3期。</w:t>
      </w:r>
    </w:p>
    <w:p w:rsidR="002F19DE" w:rsidRPr="002F19DE" w:rsidRDefault="002F19DE" w:rsidP="002F19DE">
      <w:pPr>
        <w:ind w:leftChars="0" w:left="0"/>
        <w:rPr>
          <w:sz w:val="24"/>
          <w:szCs w:val="24"/>
        </w:rPr>
      </w:pPr>
      <w:r w:rsidRPr="002F19DE">
        <w:rPr>
          <w:rFonts w:hint="eastAsia"/>
          <w:sz w:val="24"/>
          <w:szCs w:val="24"/>
        </w:rPr>
        <w:t>◎盧倩儀（</w:t>
      </w:r>
      <w:r w:rsidRPr="002F19DE">
        <w:rPr>
          <w:sz w:val="24"/>
          <w:szCs w:val="24"/>
        </w:rPr>
        <w:t>2006），政法學與移民理論，臺灣政治學刊第十卷第二期。</w:t>
      </w:r>
    </w:p>
    <w:p w:rsidR="002F19DE" w:rsidRPr="002F19DE" w:rsidRDefault="002F19DE" w:rsidP="002F19DE">
      <w:pPr>
        <w:ind w:leftChars="0" w:left="0"/>
        <w:rPr>
          <w:sz w:val="24"/>
          <w:szCs w:val="24"/>
        </w:rPr>
      </w:pPr>
      <w:r w:rsidRPr="002F19DE">
        <w:rPr>
          <w:rFonts w:hint="eastAsia"/>
          <w:sz w:val="24"/>
          <w:szCs w:val="24"/>
        </w:rPr>
        <w:t>◎盧倩儀（</w:t>
      </w:r>
      <w:r w:rsidRPr="002F19DE">
        <w:rPr>
          <w:sz w:val="24"/>
          <w:szCs w:val="24"/>
        </w:rPr>
        <w:t>2006）。全球化與歐盟非歐盟公民概念之探討。政治科學論叢28：1-37。</w:t>
      </w:r>
    </w:p>
    <w:p w:rsidR="002F19DE" w:rsidRPr="002F19DE" w:rsidRDefault="002F19DE" w:rsidP="002F19DE">
      <w:pPr>
        <w:ind w:leftChars="0" w:left="0"/>
        <w:rPr>
          <w:sz w:val="24"/>
          <w:szCs w:val="24"/>
        </w:rPr>
      </w:pPr>
      <w:r w:rsidRPr="002F19DE">
        <w:rPr>
          <w:rFonts w:hint="eastAsia"/>
          <w:sz w:val="24"/>
          <w:szCs w:val="24"/>
        </w:rPr>
        <w:t>◎盧倩儀</w:t>
      </w:r>
      <w:r w:rsidRPr="002F19DE">
        <w:rPr>
          <w:sz w:val="24"/>
          <w:szCs w:val="24"/>
        </w:rPr>
        <w:t>(2007)，發展中的人類安全概念及其在歐盟非法移民問題上之適用，問題與研究，第46卷，第4期。</w:t>
      </w:r>
    </w:p>
    <w:p w:rsidR="002F19DE" w:rsidRPr="002F19DE" w:rsidRDefault="002F19DE" w:rsidP="002F19DE">
      <w:pPr>
        <w:ind w:leftChars="0" w:left="0"/>
        <w:rPr>
          <w:sz w:val="24"/>
          <w:szCs w:val="24"/>
        </w:rPr>
      </w:pPr>
      <w:r w:rsidRPr="002F19DE">
        <w:rPr>
          <w:rFonts w:hint="eastAsia"/>
          <w:sz w:val="24"/>
          <w:szCs w:val="24"/>
        </w:rPr>
        <w:t>◎蕭文龍</w:t>
      </w:r>
      <w:r w:rsidRPr="002F19DE">
        <w:rPr>
          <w:sz w:val="24"/>
          <w:szCs w:val="24"/>
        </w:rPr>
        <w:t>(2009)，多變量分析最佳入門實用書(第二版)：SPSS+LISREL，台北市：碁峰公司。</w:t>
      </w:r>
    </w:p>
    <w:p w:rsidR="002F19DE" w:rsidRPr="002F19DE" w:rsidRDefault="002F19DE" w:rsidP="002F19DE">
      <w:pPr>
        <w:ind w:leftChars="0" w:left="0"/>
        <w:rPr>
          <w:sz w:val="24"/>
          <w:szCs w:val="24"/>
        </w:rPr>
      </w:pPr>
      <w:r w:rsidRPr="002F19DE">
        <w:rPr>
          <w:rFonts w:hint="eastAsia"/>
          <w:sz w:val="24"/>
          <w:szCs w:val="24"/>
        </w:rPr>
        <w:t>◎蕭博銘</w:t>
      </w:r>
      <w:r w:rsidRPr="002F19DE">
        <w:rPr>
          <w:sz w:val="24"/>
          <w:szCs w:val="24"/>
        </w:rPr>
        <w:t>(2005)，全球趨勢下對勞動人權影響的政治經濟分析---以我國外籍勞工勞動人權為例，國立中山大學政治學研究所碩士論文</w:t>
      </w:r>
      <w:r w:rsidR="00CE2331">
        <w:rPr>
          <w:sz w:val="24"/>
          <w:szCs w:val="24"/>
        </w:rPr>
        <w:t>。</w:t>
      </w:r>
    </w:p>
    <w:p w:rsidR="002F19DE" w:rsidRPr="002F19DE" w:rsidRDefault="002F19DE" w:rsidP="002F19DE">
      <w:pPr>
        <w:ind w:leftChars="0" w:left="0"/>
        <w:rPr>
          <w:sz w:val="24"/>
          <w:szCs w:val="24"/>
        </w:rPr>
      </w:pPr>
      <w:r w:rsidRPr="002F19DE">
        <w:rPr>
          <w:rFonts w:hint="eastAsia"/>
          <w:sz w:val="24"/>
          <w:szCs w:val="24"/>
        </w:rPr>
        <w:t>◎蕭銘慶</w:t>
      </w:r>
      <w:r w:rsidRPr="002F19DE">
        <w:rPr>
          <w:sz w:val="24"/>
          <w:szCs w:val="24"/>
        </w:rPr>
        <w:t>(2012)，美國設置國家情報總監對情報組織管理與工作執行的啟示，警學叢刊，第42卷第6期，頁135-158。</w:t>
      </w:r>
    </w:p>
    <w:p w:rsidR="002F19DE" w:rsidRPr="002F19DE" w:rsidRDefault="002F19DE" w:rsidP="002F19DE">
      <w:pPr>
        <w:ind w:leftChars="0" w:left="0"/>
        <w:rPr>
          <w:sz w:val="24"/>
          <w:szCs w:val="24"/>
        </w:rPr>
      </w:pPr>
      <w:r w:rsidRPr="002F19DE">
        <w:rPr>
          <w:rFonts w:hint="eastAsia"/>
          <w:sz w:val="24"/>
          <w:szCs w:val="24"/>
        </w:rPr>
        <w:t>◎賴械壹、彭鏡琴、吳慧娟</w:t>
      </w:r>
      <w:r w:rsidRPr="002F19DE">
        <w:rPr>
          <w:sz w:val="24"/>
          <w:szCs w:val="24"/>
        </w:rPr>
        <w:t>(2005)，淺析外國人之基本權及其限制，中央警察大學國境警察學報第4期，頁157-189。</w:t>
      </w:r>
    </w:p>
    <w:p w:rsidR="002F19DE" w:rsidRPr="002F19DE" w:rsidRDefault="002F19DE" w:rsidP="002F19DE">
      <w:pPr>
        <w:ind w:leftChars="0" w:left="0"/>
        <w:rPr>
          <w:sz w:val="24"/>
          <w:szCs w:val="24"/>
        </w:rPr>
      </w:pPr>
      <w:r w:rsidRPr="002F19DE">
        <w:rPr>
          <w:rFonts w:hint="eastAsia"/>
          <w:sz w:val="24"/>
          <w:szCs w:val="24"/>
        </w:rPr>
        <w:t>◎賴菀萱</w:t>
      </w:r>
      <w:r w:rsidRPr="002F19DE">
        <w:rPr>
          <w:sz w:val="24"/>
          <w:szCs w:val="24"/>
        </w:rPr>
        <w:t>(2017)，協助性侵害加害者復歸社會之研究 － 以刑後強制治療及相關處遇措施為中心，中國文化大學法律學系碩士論文。</w:t>
      </w:r>
    </w:p>
    <w:p w:rsidR="002F19DE" w:rsidRPr="002F19DE" w:rsidRDefault="002F19DE" w:rsidP="002F19DE">
      <w:pPr>
        <w:ind w:leftChars="0" w:left="0"/>
        <w:rPr>
          <w:sz w:val="24"/>
          <w:szCs w:val="24"/>
        </w:rPr>
      </w:pPr>
      <w:r w:rsidRPr="002F19DE">
        <w:rPr>
          <w:rFonts w:hint="eastAsia"/>
          <w:sz w:val="24"/>
          <w:szCs w:val="24"/>
        </w:rPr>
        <w:t>◎賴農惟（</w:t>
      </w:r>
      <w:r w:rsidRPr="002F19DE">
        <w:rPr>
          <w:sz w:val="24"/>
          <w:szCs w:val="24"/>
        </w:rPr>
        <w:t>2012），憲法與立國精神，第(2)版第1刷，台北：千華書店。</w:t>
      </w:r>
    </w:p>
    <w:p w:rsidR="002F19DE" w:rsidRPr="002F19DE" w:rsidRDefault="002F19DE" w:rsidP="002F19DE">
      <w:pPr>
        <w:ind w:leftChars="0" w:left="0"/>
        <w:rPr>
          <w:sz w:val="24"/>
          <w:szCs w:val="24"/>
        </w:rPr>
      </w:pPr>
      <w:r w:rsidRPr="002F19DE">
        <w:rPr>
          <w:rFonts w:hint="eastAsia"/>
          <w:sz w:val="24"/>
          <w:szCs w:val="24"/>
        </w:rPr>
        <w:t>◎錢匯旻</w:t>
      </w:r>
      <w:r w:rsidRPr="002F19DE">
        <w:rPr>
          <w:sz w:val="24"/>
          <w:szCs w:val="24"/>
        </w:rPr>
        <w:t>(2016)，應用關聯規則探討性侵害發生因素相關性之研究，萬能科技大學資訊管理研究所在職專班碩士論文。</w:t>
      </w:r>
    </w:p>
    <w:p w:rsidR="002F19DE" w:rsidRPr="002F19DE" w:rsidRDefault="002F19DE" w:rsidP="002F19DE">
      <w:pPr>
        <w:ind w:leftChars="0" w:left="0"/>
        <w:rPr>
          <w:sz w:val="24"/>
          <w:szCs w:val="24"/>
        </w:rPr>
      </w:pPr>
      <w:r w:rsidRPr="002F19DE">
        <w:rPr>
          <w:rFonts w:hint="eastAsia"/>
          <w:sz w:val="24"/>
          <w:szCs w:val="24"/>
        </w:rPr>
        <w:t>◎聯合新聞（</w:t>
      </w:r>
      <w:r w:rsidRPr="002F19DE">
        <w:rPr>
          <w:sz w:val="24"/>
          <w:szCs w:val="24"/>
        </w:rPr>
        <w:t>2011），駐臺外交官同志伴侶，我發家屬簽證，</w:t>
      </w:r>
      <w:hyperlink r:id="rId817" w:history="1">
        <w:r w:rsidRPr="00CE2331">
          <w:rPr>
            <w:rStyle w:val="a7"/>
            <w:rFonts w:cs="Times New Roman"/>
            <w:sz w:val="24"/>
            <w:szCs w:val="24"/>
            <w:lang w:eastAsia="zh-TW" w:bidi="ar-SA"/>
          </w:rPr>
          <w:t>https://www.sunnyswa.org.tw/ 7829/%E3%80%8C%E9%A7%90%E5%8F%B0%E5%A4%96%E4%BA%A4%E5%AE%98%E5%90%8C%E5%BF%97%E4%BC%B4%E4%BE%B6%EF%BC%8C%E6%88%91%E7%99%BC%E5%AE%B6%E5%B1%AC%E7%B0%BD%E8%AD%89%E3%80%8D</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◎薛雅惠</w:t>
      </w:r>
      <w:r w:rsidRPr="002F19DE">
        <w:rPr>
          <w:sz w:val="24"/>
          <w:szCs w:val="24"/>
        </w:rPr>
        <w:t>(2012），東南亞新移民之原鄉文化，在林彩岫主編，多元文化教育: 新移民的原生文化與在地適應，臺北：五南圖書出版公司，頁67-68。</w:t>
      </w:r>
    </w:p>
    <w:p w:rsidR="002F19DE" w:rsidRPr="002F19DE" w:rsidRDefault="002F19DE" w:rsidP="00CE2331">
      <w:pPr>
        <w:ind w:leftChars="0" w:left="0"/>
        <w:jc w:val="left"/>
        <w:rPr>
          <w:sz w:val="24"/>
          <w:szCs w:val="24"/>
        </w:rPr>
      </w:pPr>
      <w:r w:rsidRPr="002F19DE">
        <w:rPr>
          <w:rFonts w:hint="eastAsia"/>
          <w:sz w:val="24"/>
          <w:szCs w:val="24"/>
        </w:rPr>
        <w:t>◎謝立功（</w:t>
      </w:r>
      <w:r w:rsidRPr="002F19DE">
        <w:rPr>
          <w:sz w:val="24"/>
          <w:szCs w:val="24"/>
        </w:rPr>
        <w:t xml:space="preserve">2010）。高階公務人員出國短期進修研習報告，Retrieve </w:t>
      </w:r>
      <w:hyperlink r:id="rId818" w:history="1">
        <w:r w:rsidRPr="00CE2331">
          <w:rPr>
            <w:rStyle w:val="a7"/>
            <w:rFonts w:cs="Times New Roman"/>
            <w:sz w:val="24"/>
            <w:szCs w:val="24"/>
            <w:lang w:eastAsia="zh-TW" w:bidi="ar-SA"/>
          </w:rPr>
          <w:t>from :http://www.dgpa.gov.tw/public/Data/681517211471.pdf</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◎謝立功、孟維德（</w:t>
      </w:r>
      <w:r w:rsidRPr="002F19DE">
        <w:rPr>
          <w:sz w:val="24"/>
          <w:szCs w:val="24"/>
        </w:rPr>
        <w:t>2003），兩岸入出境管理法治之比較－兼論防杜偷渡之道，桃園：中央警察大學。</w:t>
      </w:r>
    </w:p>
    <w:p w:rsidR="002F19DE" w:rsidRPr="002F19DE" w:rsidRDefault="002F19DE" w:rsidP="002F19DE">
      <w:pPr>
        <w:ind w:leftChars="0" w:left="0"/>
        <w:rPr>
          <w:sz w:val="24"/>
          <w:szCs w:val="24"/>
        </w:rPr>
      </w:pPr>
      <w:r w:rsidRPr="002F19DE">
        <w:rPr>
          <w:rFonts w:hint="eastAsia"/>
          <w:sz w:val="24"/>
          <w:szCs w:val="24"/>
        </w:rPr>
        <w:t>◎謝立功、邱丞爗（</w:t>
      </w:r>
      <w:r w:rsidRPr="002F19DE">
        <w:rPr>
          <w:sz w:val="24"/>
          <w:szCs w:val="24"/>
        </w:rPr>
        <w:t>2005），我國移民政策之前瞻規劃，中央警察大學我國入出國與移民法制之變革與挑戰研討會論文集。</w:t>
      </w:r>
    </w:p>
    <w:p w:rsidR="002F19DE" w:rsidRPr="002F19DE" w:rsidRDefault="002F19DE" w:rsidP="002F19DE">
      <w:pPr>
        <w:ind w:leftChars="0" w:left="0"/>
        <w:rPr>
          <w:sz w:val="24"/>
          <w:szCs w:val="24"/>
        </w:rPr>
      </w:pPr>
      <w:r w:rsidRPr="002F19DE">
        <w:rPr>
          <w:rFonts w:hint="eastAsia"/>
          <w:sz w:val="24"/>
          <w:szCs w:val="24"/>
        </w:rPr>
        <w:t>◎謝立功、邱丞爗</w:t>
      </w:r>
      <w:r w:rsidRPr="002F19DE">
        <w:rPr>
          <w:sz w:val="24"/>
          <w:szCs w:val="24"/>
        </w:rPr>
        <w:t>(2005)，我國移民政策之檢討，國境警察學報，第4期。</w:t>
      </w:r>
    </w:p>
    <w:p w:rsidR="002F19DE" w:rsidRPr="002F19DE" w:rsidRDefault="002F19DE" w:rsidP="002F19DE">
      <w:pPr>
        <w:ind w:leftChars="0" w:left="0"/>
        <w:rPr>
          <w:sz w:val="24"/>
          <w:szCs w:val="24"/>
        </w:rPr>
      </w:pPr>
      <w:r w:rsidRPr="002F19DE">
        <w:rPr>
          <w:rFonts w:hint="eastAsia"/>
          <w:sz w:val="24"/>
          <w:szCs w:val="24"/>
        </w:rPr>
        <w:t>◎謝立功、柯雨瑞</w:t>
      </w:r>
      <w:r w:rsidRPr="002F19DE">
        <w:rPr>
          <w:sz w:val="24"/>
          <w:szCs w:val="24"/>
        </w:rPr>
        <w:t>(2006)，入出國及移民法修正方向之探討----以外國人收容、救濟為核心，發表於2006年中央警察大學國境警察學系國境執法與移民政策學術研討會。</w:t>
      </w:r>
    </w:p>
    <w:p w:rsidR="002F19DE" w:rsidRPr="002F19DE" w:rsidRDefault="002F19DE" w:rsidP="002F19DE">
      <w:pPr>
        <w:ind w:leftChars="0" w:left="0"/>
        <w:rPr>
          <w:sz w:val="24"/>
          <w:szCs w:val="24"/>
        </w:rPr>
      </w:pPr>
      <w:r w:rsidRPr="002F19DE">
        <w:rPr>
          <w:rFonts w:hint="eastAsia"/>
          <w:sz w:val="24"/>
          <w:szCs w:val="24"/>
        </w:rPr>
        <w:t>◎謝立功、柯雨瑞</w:t>
      </w:r>
      <w:r w:rsidRPr="002F19DE">
        <w:rPr>
          <w:sz w:val="24"/>
          <w:szCs w:val="24"/>
        </w:rPr>
        <w:t>(2007)，試論外國人之收容及救濟法制，警學叢刊37卷4期，頁133至156。</w:t>
      </w:r>
    </w:p>
    <w:p w:rsidR="002F19DE" w:rsidRPr="002F19DE" w:rsidRDefault="002F19DE" w:rsidP="002F19DE">
      <w:pPr>
        <w:ind w:leftChars="0" w:left="0"/>
        <w:rPr>
          <w:sz w:val="24"/>
          <w:szCs w:val="24"/>
        </w:rPr>
      </w:pPr>
      <w:r w:rsidRPr="002F19DE">
        <w:rPr>
          <w:rFonts w:hint="eastAsia"/>
          <w:sz w:val="24"/>
          <w:szCs w:val="24"/>
        </w:rPr>
        <w:t>◎謝立功、張先正、謝文忠、汪毓瑋、柯文麗（</w:t>
      </w:r>
      <w:r w:rsidRPr="002F19DE">
        <w:rPr>
          <w:sz w:val="24"/>
          <w:szCs w:val="24"/>
        </w:rPr>
        <w:t>2015）。美國移民政策的發展。新北：人類智庫數位科技出版。</w:t>
      </w:r>
    </w:p>
    <w:p w:rsidR="002F19DE" w:rsidRPr="002F19DE" w:rsidRDefault="002F19DE" w:rsidP="002F19DE">
      <w:pPr>
        <w:ind w:leftChars="0" w:left="0"/>
        <w:rPr>
          <w:sz w:val="24"/>
          <w:szCs w:val="24"/>
        </w:rPr>
      </w:pPr>
      <w:r w:rsidRPr="002F19DE">
        <w:rPr>
          <w:rFonts w:hint="eastAsia"/>
          <w:sz w:val="24"/>
          <w:szCs w:val="24"/>
        </w:rPr>
        <w:t>◎謝立功、黃翠紋</w:t>
      </w:r>
      <w:r w:rsidRPr="002F19DE">
        <w:rPr>
          <w:sz w:val="24"/>
          <w:szCs w:val="24"/>
        </w:rPr>
        <w:t>(2005)，大陸與外籍配偶移民政策與法制之探討，行政院國家科學委員會補助專題研究計畫成果報告。</w:t>
      </w:r>
    </w:p>
    <w:p w:rsidR="002F19DE" w:rsidRPr="002F19DE" w:rsidRDefault="002F19DE" w:rsidP="002F19DE">
      <w:pPr>
        <w:ind w:leftChars="0" w:left="0"/>
        <w:rPr>
          <w:sz w:val="24"/>
          <w:szCs w:val="24"/>
        </w:rPr>
      </w:pPr>
      <w:r w:rsidRPr="002F19DE">
        <w:rPr>
          <w:rFonts w:hint="eastAsia"/>
          <w:sz w:val="24"/>
          <w:szCs w:val="24"/>
        </w:rPr>
        <w:t>◎謝立功、楊金滿（</w:t>
      </w:r>
      <w:r w:rsidRPr="002F19DE">
        <w:rPr>
          <w:sz w:val="24"/>
          <w:szCs w:val="24"/>
        </w:rPr>
        <w:t>2013）。強化移民適應與營造多元文化友善環境。公共治理季刊1(4)：212-219。</w:t>
      </w:r>
    </w:p>
    <w:p w:rsidR="002F19DE" w:rsidRPr="002F19DE" w:rsidRDefault="002F19DE" w:rsidP="002F19DE">
      <w:pPr>
        <w:ind w:leftChars="0" w:left="0"/>
        <w:rPr>
          <w:sz w:val="24"/>
          <w:szCs w:val="24"/>
        </w:rPr>
      </w:pPr>
      <w:r w:rsidRPr="002F19DE">
        <w:rPr>
          <w:rFonts w:hint="eastAsia"/>
          <w:sz w:val="24"/>
          <w:szCs w:val="24"/>
        </w:rPr>
        <w:t>◎謝立功等</w:t>
      </w:r>
      <w:r w:rsidRPr="002F19DE">
        <w:rPr>
          <w:sz w:val="24"/>
          <w:szCs w:val="24"/>
        </w:rPr>
        <w:t>(2005)，我國移民政策之前瞻規劃，我國入出國與移民法制之變革與挑戰學術研討會論文集。</w:t>
      </w:r>
    </w:p>
    <w:p w:rsidR="002F19DE" w:rsidRPr="002F19DE" w:rsidRDefault="002F19DE" w:rsidP="002F19DE">
      <w:pPr>
        <w:ind w:leftChars="0" w:left="0"/>
        <w:rPr>
          <w:sz w:val="24"/>
          <w:szCs w:val="24"/>
        </w:rPr>
      </w:pPr>
      <w:r w:rsidRPr="002F19DE">
        <w:rPr>
          <w:rFonts w:hint="eastAsia"/>
          <w:sz w:val="24"/>
          <w:szCs w:val="24"/>
        </w:rPr>
        <w:t>◎謝立功等</w:t>
      </w:r>
      <w:r w:rsidRPr="002F19DE">
        <w:rPr>
          <w:sz w:val="24"/>
          <w:szCs w:val="24"/>
        </w:rPr>
        <w:t>(2006)，外籍配偶及大陸配偶面談機制之研究，內政部外籍配偶照顧輔導基金輔助研究報告。</w:t>
      </w:r>
    </w:p>
    <w:p w:rsidR="002F19DE" w:rsidRPr="002F19DE" w:rsidRDefault="002F19DE" w:rsidP="002F19DE">
      <w:pPr>
        <w:ind w:leftChars="0" w:left="0"/>
        <w:rPr>
          <w:sz w:val="24"/>
          <w:szCs w:val="24"/>
        </w:rPr>
      </w:pPr>
      <w:r w:rsidRPr="002F19DE">
        <w:rPr>
          <w:rFonts w:hint="eastAsia"/>
          <w:sz w:val="24"/>
          <w:szCs w:val="24"/>
        </w:rPr>
        <w:t>◎謝佳雯</w:t>
      </w:r>
      <w:r w:rsidRPr="002F19DE">
        <w:rPr>
          <w:sz w:val="24"/>
          <w:szCs w:val="24"/>
        </w:rPr>
        <w:t>(2017)，半導體三星全球居冠，台廠沒進10大，</w:t>
      </w:r>
      <w:hyperlink r:id="rId819" w:history="1">
        <w:r w:rsidRPr="00CE2331">
          <w:rPr>
            <w:rStyle w:val="a7"/>
            <w:rFonts w:cs="Times New Roman"/>
            <w:sz w:val="24"/>
            <w:szCs w:val="24"/>
            <w:lang w:eastAsia="zh-TW" w:bidi="ar-SA"/>
          </w:rPr>
          <w:t>https://udn.com/news/story/11316/2830062</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◎謝瑞智</w:t>
      </w:r>
      <w:r w:rsidRPr="002F19DE">
        <w:rPr>
          <w:sz w:val="24"/>
          <w:szCs w:val="24"/>
        </w:rPr>
        <w:t xml:space="preserve">(1996)，中華民國憲法精義與立國精神，文笙書局。 </w:t>
      </w:r>
    </w:p>
    <w:p w:rsidR="002F19DE" w:rsidRPr="002F19DE" w:rsidRDefault="002F19DE" w:rsidP="002F19DE">
      <w:pPr>
        <w:ind w:leftChars="0" w:left="0"/>
        <w:rPr>
          <w:sz w:val="24"/>
          <w:szCs w:val="24"/>
        </w:rPr>
      </w:pPr>
      <w:r w:rsidRPr="002F19DE">
        <w:rPr>
          <w:rFonts w:hint="eastAsia"/>
          <w:sz w:val="24"/>
          <w:szCs w:val="24"/>
        </w:rPr>
        <w:t>◎謝瑞智</w:t>
      </w:r>
      <w:r w:rsidRPr="002F19DE">
        <w:rPr>
          <w:sz w:val="24"/>
          <w:szCs w:val="24"/>
        </w:rPr>
        <w:t xml:space="preserve">(1999)，憲法新論，臺北市：文笙書局。 </w:t>
      </w:r>
    </w:p>
    <w:p w:rsidR="002F19DE" w:rsidRPr="002F19DE" w:rsidRDefault="002F19DE" w:rsidP="002F19DE">
      <w:pPr>
        <w:ind w:leftChars="0" w:left="0"/>
        <w:rPr>
          <w:sz w:val="24"/>
          <w:szCs w:val="24"/>
        </w:rPr>
      </w:pPr>
      <w:r w:rsidRPr="002F19DE">
        <w:rPr>
          <w:rFonts w:hint="eastAsia"/>
          <w:sz w:val="24"/>
          <w:szCs w:val="24"/>
        </w:rPr>
        <w:t>◎謝瑞智</w:t>
      </w:r>
      <w:r w:rsidRPr="002F19DE">
        <w:rPr>
          <w:sz w:val="24"/>
          <w:szCs w:val="24"/>
        </w:rPr>
        <w:t>(2005)，憲法概要，文笙書局。</w:t>
      </w:r>
    </w:p>
    <w:p w:rsidR="002F19DE" w:rsidRPr="002F19DE" w:rsidRDefault="002F19DE" w:rsidP="002F19DE">
      <w:pPr>
        <w:ind w:leftChars="0" w:left="0"/>
        <w:rPr>
          <w:sz w:val="24"/>
          <w:szCs w:val="24"/>
        </w:rPr>
      </w:pPr>
      <w:r w:rsidRPr="002F19DE">
        <w:rPr>
          <w:rFonts w:hint="eastAsia"/>
          <w:sz w:val="24"/>
          <w:szCs w:val="24"/>
        </w:rPr>
        <w:t>◎謝瑞智</w:t>
      </w:r>
      <w:r w:rsidRPr="002F19DE">
        <w:rPr>
          <w:sz w:val="24"/>
          <w:szCs w:val="24"/>
        </w:rPr>
        <w:t>(2009），中華民國憲法，初版，台北市：台灣商務書局。</w:t>
      </w:r>
    </w:p>
    <w:p w:rsidR="002F19DE" w:rsidRPr="002F19DE" w:rsidRDefault="002F19DE" w:rsidP="002F19DE">
      <w:pPr>
        <w:ind w:leftChars="0" w:left="0"/>
        <w:rPr>
          <w:sz w:val="24"/>
          <w:szCs w:val="24"/>
        </w:rPr>
      </w:pPr>
      <w:r w:rsidRPr="002F19DE">
        <w:rPr>
          <w:rFonts w:hint="eastAsia"/>
          <w:sz w:val="24"/>
          <w:szCs w:val="24"/>
        </w:rPr>
        <w:t>◎謝瑞智</w:t>
      </w:r>
      <w:r w:rsidRPr="002F19DE">
        <w:rPr>
          <w:sz w:val="24"/>
          <w:szCs w:val="24"/>
        </w:rPr>
        <w:t>(2009)，憲法概要，增訂13版，臺北市：文笙，頁1-309。</w:t>
      </w:r>
    </w:p>
    <w:p w:rsidR="002F19DE" w:rsidRPr="002F19DE" w:rsidRDefault="002F19DE" w:rsidP="002F19DE">
      <w:pPr>
        <w:ind w:leftChars="0" w:left="0"/>
        <w:rPr>
          <w:sz w:val="24"/>
          <w:szCs w:val="24"/>
        </w:rPr>
      </w:pPr>
      <w:r w:rsidRPr="002F19DE">
        <w:rPr>
          <w:rFonts w:hint="eastAsia"/>
          <w:sz w:val="24"/>
          <w:szCs w:val="24"/>
        </w:rPr>
        <w:t>◎謝瑞智（</w:t>
      </w:r>
      <w:r w:rsidRPr="002F19DE">
        <w:rPr>
          <w:sz w:val="24"/>
          <w:szCs w:val="24"/>
        </w:rPr>
        <w:t>2010），憲法概要，增訂14版，台北：文笙書局。</w:t>
      </w:r>
    </w:p>
    <w:p w:rsidR="002F19DE" w:rsidRPr="002F19DE" w:rsidRDefault="002F19DE" w:rsidP="002F19DE">
      <w:pPr>
        <w:ind w:leftChars="0" w:left="0"/>
        <w:rPr>
          <w:sz w:val="24"/>
          <w:szCs w:val="24"/>
        </w:rPr>
      </w:pPr>
      <w:r w:rsidRPr="002F19DE">
        <w:rPr>
          <w:rFonts w:hint="eastAsia"/>
          <w:sz w:val="24"/>
          <w:szCs w:val="24"/>
        </w:rPr>
        <w:t>◎謝瑞智</w:t>
      </w:r>
      <w:r w:rsidRPr="002F19DE">
        <w:rPr>
          <w:sz w:val="24"/>
          <w:szCs w:val="24"/>
        </w:rPr>
        <w:t xml:space="preserve">(2011)，國際法概論，初版，臺北巿：台灣商務印書館公司。 </w:t>
      </w:r>
    </w:p>
    <w:p w:rsidR="002F19DE" w:rsidRPr="002F19DE" w:rsidRDefault="002F19DE" w:rsidP="002F19DE">
      <w:pPr>
        <w:ind w:leftChars="0" w:left="0"/>
        <w:rPr>
          <w:sz w:val="24"/>
          <w:szCs w:val="24"/>
        </w:rPr>
      </w:pPr>
      <w:r w:rsidRPr="002F19DE">
        <w:rPr>
          <w:rFonts w:hint="eastAsia"/>
          <w:sz w:val="24"/>
          <w:szCs w:val="24"/>
        </w:rPr>
        <w:t>◎謝瑞智、謝世雄（</w:t>
      </w:r>
      <w:r w:rsidRPr="002F19DE">
        <w:rPr>
          <w:sz w:val="24"/>
          <w:szCs w:val="24"/>
        </w:rPr>
        <w:t>2007），中華民國憲法精義與立國精神，台北市：文笙書局。</w:t>
      </w:r>
    </w:p>
    <w:p w:rsidR="002F19DE" w:rsidRPr="002F19DE" w:rsidRDefault="002F19DE" w:rsidP="002F19DE">
      <w:pPr>
        <w:ind w:leftChars="0" w:left="0"/>
        <w:rPr>
          <w:sz w:val="24"/>
          <w:szCs w:val="24"/>
        </w:rPr>
      </w:pPr>
      <w:r w:rsidRPr="002F19DE">
        <w:rPr>
          <w:rFonts w:hint="eastAsia"/>
          <w:sz w:val="24"/>
          <w:szCs w:val="24"/>
        </w:rPr>
        <w:t>◎謝榮堂</w:t>
      </w:r>
      <w:r w:rsidRPr="002F19DE">
        <w:rPr>
          <w:sz w:val="24"/>
          <w:szCs w:val="24"/>
        </w:rPr>
        <w:t>(2014)。人民服公職權利之保障與限制──釋字第618及715號解釋之比較，月旦裁判時報，第29期，頁16-22。</w:t>
      </w:r>
    </w:p>
    <w:p w:rsidR="002F19DE" w:rsidRPr="002F19DE" w:rsidRDefault="002F19DE" w:rsidP="002F19DE">
      <w:pPr>
        <w:ind w:leftChars="0" w:left="0"/>
        <w:rPr>
          <w:sz w:val="24"/>
          <w:szCs w:val="24"/>
        </w:rPr>
      </w:pPr>
      <w:r w:rsidRPr="002F19DE">
        <w:rPr>
          <w:rFonts w:hint="eastAsia"/>
          <w:sz w:val="24"/>
          <w:szCs w:val="24"/>
        </w:rPr>
        <w:t>◎鍾起岱</w:t>
      </w:r>
      <w:r w:rsidRPr="002F19DE">
        <w:rPr>
          <w:sz w:val="24"/>
          <w:szCs w:val="24"/>
        </w:rPr>
        <w:t>(1998），從政府再造來談政府管制的改革，臺灣經濟，第264期。</w:t>
      </w:r>
    </w:p>
    <w:p w:rsidR="002F19DE" w:rsidRPr="002F19DE" w:rsidRDefault="002F19DE" w:rsidP="002F19DE">
      <w:pPr>
        <w:ind w:leftChars="0" w:left="0"/>
        <w:rPr>
          <w:sz w:val="24"/>
          <w:szCs w:val="24"/>
        </w:rPr>
      </w:pPr>
      <w:r w:rsidRPr="002F19DE">
        <w:rPr>
          <w:rFonts w:hint="eastAsia"/>
          <w:sz w:val="24"/>
          <w:szCs w:val="24"/>
        </w:rPr>
        <w:t>◎韓吉元</w:t>
      </w:r>
      <w:r w:rsidRPr="002F19DE">
        <w:rPr>
          <w:sz w:val="24"/>
          <w:szCs w:val="24"/>
        </w:rPr>
        <w:t>(2015)，我國婚姻移民法制之研究－以大陸配偶之差別待遇為中心，中國文化大學中山與中國大陸研究所博士班。</w:t>
      </w:r>
    </w:p>
    <w:p w:rsidR="002F19DE" w:rsidRPr="002F19DE" w:rsidRDefault="002F19DE" w:rsidP="00CE2331">
      <w:pPr>
        <w:ind w:leftChars="0" w:left="0"/>
        <w:jc w:val="left"/>
        <w:rPr>
          <w:sz w:val="24"/>
          <w:szCs w:val="24"/>
        </w:rPr>
      </w:pPr>
      <w:r w:rsidRPr="002F19DE">
        <w:rPr>
          <w:rFonts w:hint="eastAsia"/>
          <w:sz w:val="24"/>
          <w:szCs w:val="24"/>
        </w:rPr>
        <w:t>◎簡立欣</w:t>
      </w:r>
      <w:r w:rsidRPr="002F19DE">
        <w:rPr>
          <w:sz w:val="24"/>
          <w:szCs w:val="24"/>
        </w:rPr>
        <w:t>(2017)，陸校招台生，學測放寬至均標，</w:t>
      </w:r>
      <w:hyperlink r:id="rId820" w:history="1">
        <w:r w:rsidRPr="00CE2331">
          <w:rPr>
            <w:rStyle w:val="a7"/>
            <w:rFonts w:cs="Times New Roman"/>
            <w:sz w:val="24"/>
            <w:szCs w:val="24"/>
            <w:lang w:eastAsia="zh-TW" w:bidi="ar-SA"/>
          </w:rPr>
          <w:t>http://www.chinatimes.com/newspapers/20170705000777-260301</w:t>
        </w:r>
      </w:hyperlink>
      <w:r w:rsidRPr="002F19DE">
        <w:rPr>
          <w:sz w:val="24"/>
          <w:szCs w:val="24"/>
        </w:rPr>
        <w:t>。</w:t>
      </w:r>
    </w:p>
    <w:p w:rsidR="002F19DE" w:rsidRPr="002F19DE" w:rsidRDefault="002F19DE" w:rsidP="002F19DE">
      <w:pPr>
        <w:ind w:leftChars="0" w:left="0"/>
        <w:rPr>
          <w:sz w:val="24"/>
          <w:szCs w:val="24"/>
        </w:rPr>
      </w:pPr>
      <w:r w:rsidRPr="002F19DE">
        <w:rPr>
          <w:rFonts w:hint="eastAsia"/>
          <w:sz w:val="24"/>
          <w:szCs w:val="24"/>
        </w:rPr>
        <w:t>◎藍玉春</w:t>
      </w:r>
      <w:r w:rsidRPr="002F19DE">
        <w:rPr>
          <w:sz w:val="24"/>
          <w:szCs w:val="24"/>
        </w:rPr>
        <w:t>(2001)，解析歐盟阿姆斯特丹條約，政治科學論叢，第15期。</w:t>
      </w:r>
    </w:p>
    <w:p w:rsidR="002F19DE" w:rsidRPr="002F19DE" w:rsidRDefault="002F19DE" w:rsidP="002F19DE">
      <w:pPr>
        <w:ind w:leftChars="0" w:left="0"/>
        <w:rPr>
          <w:sz w:val="24"/>
          <w:szCs w:val="24"/>
        </w:rPr>
      </w:pPr>
      <w:r w:rsidRPr="002F19DE">
        <w:rPr>
          <w:rFonts w:hint="eastAsia"/>
          <w:sz w:val="24"/>
          <w:szCs w:val="24"/>
        </w:rPr>
        <w:t>◎藍玉春</w:t>
      </w:r>
      <w:r w:rsidRPr="002F19DE">
        <w:rPr>
          <w:sz w:val="24"/>
          <w:szCs w:val="24"/>
        </w:rPr>
        <w:t>(2004)，歐盟尼斯條約評析，問題與研究，第43卷，第4期。</w:t>
      </w:r>
    </w:p>
    <w:p w:rsidR="002F19DE" w:rsidRPr="002F19DE" w:rsidRDefault="002F19DE" w:rsidP="002F19DE">
      <w:pPr>
        <w:ind w:leftChars="0" w:left="0"/>
        <w:rPr>
          <w:sz w:val="24"/>
          <w:szCs w:val="24"/>
        </w:rPr>
      </w:pPr>
      <w:r w:rsidRPr="002F19DE">
        <w:rPr>
          <w:rFonts w:hint="eastAsia"/>
          <w:sz w:val="24"/>
          <w:szCs w:val="24"/>
        </w:rPr>
        <w:t>◎顏敏如</w:t>
      </w:r>
      <w:r w:rsidRPr="002F19DE">
        <w:rPr>
          <w:sz w:val="24"/>
          <w:szCs w:val="24"/>
        </w:rPr>
        <w:t>(2012)，移民署專勤隊角色定位之研究－以屏東為例，國立屏東教育大學教育行政研究所碩士論文。</w:t>
      </w:r>
    </w:p>
    <w:p w:rsidR="002F19DE" w:rsidRPr="002F19DE" w:rsidRDefault="002F19DE" w:rsidP="002F19DE">
      <w:pPr>
        <w:ind w:leftChars="0" w:left="0"/>
        <w:rPr>
          <w:sz w:val="24"/>
          <w:szCs w:val="24"/>
        </w:rPr>
      </w:pPr>
      <w:r w:rsidRPr="002F19DE">
        <w:rPr>
          <w:rFonts w:hint="eastAsia"/>
          <w:sz w:val="24"/>
          <w:szCs w:val="24"/>
        </w:rPr>
        <w:t>◎魏靜芬</w:t>
      </w:r>
      <w:r w:rsidRPr="002F19DE">
        <w:rPr>
          <w:sz w:val="24"/>
          <w:szCs w:val="24"/>
        </w:rPr>
        <w:t>(2011)，國際法，初版1刷，台北：五南，頁1-266。</w:t>
      </w:r>
    </w:p>
    <w:p w:rsidR="002F19DE" w:rsidRPr="002F19DE" w:rsidRDefault="002F19DE" w:rsidP="002F19DE">
      <w:pPr>
        <w:ind w:leftChars="0" w:left="0"/>
        <w:rPr>
          <w:sz w:val="24"/>
          <w:szCs w:val="24"/>
        </w:rPr>
      </w:pPr>
      <w:r w:rsidRPr="002F19DE">
        <w:rPr>
          <w:rFonts w:hint="eastAsia"/>
          <w:sz w:val="24"/>
          <w:szCs w:val="24"/>
        </w:rPr>
        <w:t>◎關宇</w:t>
      </w:r>
      <w:r w:rsidRPr="002F19DE">
        <w:rPr>
          <w:sz w:val="24"/>
          <w:szCs w:val="24"/>
        </w:rPr>
        <w:t>(2011)，移民人權(含Q&amp;A與案例探討)，臺北：學儒數位科技有限公司。</w:t>
      </w:r>
    </w:p>
    <w:p w:rsidR="002F19DE" w:rsidRPr="002F19DE" w:rsidRDefault="002F19DE" w:rsidP="002F19DE">
      <w:pPr>
        <w:ind w:leftChars="0" w:left="0"/>
        <w:rPr>
          <w:sz w:val="24"/>
          <w:szCs w:val="24"/>
        </w:rPr>
      </w:pPr>
      <w:r w:rsidRPr="002F19DE">
        <w:rPr>
          <w:rFonts w:hint="eastAsia"/>
          <w:sz w:val="24"/>
          <w:szCs w:val="24"/>
        </w:rPr>
        <w:t>◎蘆部信喜</w:t>
      </w:r>
      <w:r w:rsidRPr="002F19DE">
        <w:rPr>
          <w:sz w:val="24"/>
          <w:szCs w:val="24"/>
        </w:rPr>
        <w:t>(1997)，李鴻禧譯，憲法，臺北：月旦出版公司。</w:t>
      </w:r>
    </w:p>
    <w:p w:rsidR="002F19DE" w:rsidRPr="002F19DE" w:rsidRDefault="002F19DE" w:rsidP="002F19DE">
      <w:pPr>
        <w:ind w:leftChars="0" w:left="0"/>
        <w:rPr>
          <w:sz w:val="24"/>
          <w:szCs w:val="24"/>
        </w:rPr>
      </w:pPr>
      <w:r w:rsidRPr="002F19DE">
        <w:rPr>
          <w:rFonts w:hint="eastAsia"/>
          <w:sz w:val="24"/>
          <w:szCs w:val="24"/>
        </w:rPr>
        <w:t>◎蘇志強、吳斯茜（</w:t>
      </w:r>
      <w:r w:rsidRPr="002F19DE">
        <w:rPr>
          <w:sz w:val="24"/>
          <w:szCs w:val="24"/>
        </w:rPr>
        <w:t xml:space="preserve">2011）。警察人員考試雙軌分流新制之探討—從警察教育觀點論之。國家菁英季刊，7(3)，63-86。 </w:t>
      </w:r>
    </w:p>
    <w:p w:rsidR="002F19DE" w:rsidRPr="002F19DE" w:rsidRDefault="002F19DE" w:rsidP="002F19DE">
      <w:pPr>
        <w:ind w:leftChars="0" w:left="0"/>
        <w:rPr>
          <w:sz w:val="24"/>
          <w:szCs w:val="24"/>
        </w:rPr>
      </w:pPr>
      <w:r w:rsidRPr="002F19DE">
        <w:rPr>
          <w:rFonts w:hint="eastAsia"/>
          <w:sz w:val="24"/>
          <w:szCs w:val="24"/>
        </w:rPr>
        <w:t>◎蘇志強、吳斯茜（</w:t>
      </w:r>
      <w:r w:rsidRPr="002F19DE">
        <w:rPr>
          <w:sz w:val="24"/>
          <w:szCs w:val="24"/>
        </w:rPr>
        <w:t xml:space="preserve">2012）。兩岸四地警察招錄制度之研究。警學叢刊，43(1)，1-16。 </w:t>
      </w:r>
    </w:p>
    <w:p w:rsidR="002F19DE" w:rsidRPr="002F19DE" w:rsidRDefault="002F19DE" w:rsidP="002F19DE">
      <w:pPr>
        <w:ind w:leftChars="0" w:left="0"/>
        <w:rPr>
          <w:sz w:val="24"/>
          <w:szCs w:val="24"/>
        </w:rPr>
      </w:pPr>
      <w:r w:rsidRPr="002F19DE">
        <w:rPr>
          <w:rFonts w:hint="eastAsia"/>
          <w:sz w:val="24"/>
          <w:szCs w:val="24"/>
        </w:rPr>
        <w:t>◎蘇秀義編著</w:t>
      </w:r>
      <w:r w:rsidRPr="002F19DE">
        <w:rPr>
          <w:sz w:val="24"/>
          <w:szCs w:val="24"/>
        </w:rPr>
        <w:t>(1989)，新加坡外籍勞工管理暨就業服務考察報告，臺北：職業訓練局，行政院勞委會職業訓練局叢書，頁10至51。</w:t>
      </w:r>
    </w:p>
    <w:p w:rsidR="002F19DE" w:rsidRPr="002F19DE" w:rsidRDefault="002F19DE" w:rsidP="002F19DE">
      <w:pPr>
        <w:ind w:leftChars="0" w:left="0"/>
        <w:rPr>
          <w:sz w:val="24"/>
          <w:szCs w:val="24"/>
        </w:rPr>
      </w:pPr>
      <w:r w:rsidRPr="002F19DE">
        <w:rPr>
          <w:rFonts w:hint="eastAsia"/>
          <w:sz w:val="24"/>
          <w:szCs w:val="24"/>
        </w:rPr>
        <w:t>◎蘇景輝</w:t>
      </w:r>
      <w:r w:rsidRPr="002F19DE">
        <w:rPr>
          <w:sz w:val="24"/>
          <w:szCs w:val="24"/>
        </w:rPr>
        <w:t>(2010)，弱勢者人權與社會工作，初版，台北巿：巨流。</w:t>
      </w:r>
    </w:p>
    <w:p w:rsidR="002F19DE" w:rsidRPr="002F19DE" w:rsidRDefault="002F19DE" w:rsidP="002F19DE">
      <w:pPr>
        <w:ind w:leftChars="0" w:left="0"/>
        <w:rPr>
          <w:sz w:val="24"/>
          <w:szCs w:val="24"/>
        </w:rPr>
      </w:pPr>
      <w:r w:rsidRPr="002F19DE">
        <w:rPr>
          <w:rFonts w:hint="eastAsia"/>
          <w:sz w:val="24"/>
          <w:szCs w:val="24"/>
        </w:rPr>
        <w:t>◎蘇瑞福</w:t>
      </w:r>
      <w:r w:rsidRPr="002F19DE">
        <w:rPr>
          <w:sz w:val="24"/>
          <w:szCs w:val="24"/>
        </w:rPr>
        <w:t>(2009)。新加坡的移民，南洋資料譯叢，第173期，頁17-33。</w:t>
      </w:r>
    </w:p>
    <w:p w:rsidR="002F19DE" w:rsidRPr="002F19DE" w:rsidRDefault="002F19DE" w:rsidP="002F19DE">
      <w:pPr>
        <w:ind w:leftChars="0" w:left="0"/>
        <w:rPr>
          <w:sz w:val="24"/>
          <w:szCs w:val="24"/>
        </w:rPr>
      </w:pPr>
      <w:r w:rsidRPr="002F19DE">
        <w:rPr>
          <w:rFonts w:hint="eastAsia"/>
          <w:sz w:val="24"/>
          <w:szCs w:val="24"/>
        </w:rPr>
        <w:t>◎蘇群恩</w:t>
      </w:r>
      <w:r w:rsidRPr="002F19DE">
        <w:rPr>
          <w:sz w:val="24"/>
          <w:szCs w:val="24"/>
        </w:rPr>
        <w:t>(2013)，移民署成立及其移民管制研究探討---以歷史角度探討我國境管沿革，中國文化大學文學院史學系碩士論文。</w:t>
      </w:r>
    </w:p>
    <w:p w:rsidR="002F19DE" w:rsidRPr="002F19DE" w:rsidRDefault="002F19DE" w:rsidP="002F19DE">
      <w:pPr>
        <w:ind w:leftChars="0" w:left="0"/>
        <w:rPr>
          <w:sz w:val="24"/>
          <w:szCs w:val="24"/>
        </w:rPr>
      </w:pPr>
      <w:r w:rsidRPr="002F19DE">
        <w:rPr>
          <w:rFonts w:hint="eastAsia"/>
          <w:sz w:val="24"/>
          <w:szCs w:val="24"/>
        </w:rPr>
        <w:t>◎蘇嘉宏</w:t>
      </w:r>
      <w:r w:rsidRPr="002F19DE">
        <w:rPr>
          <w:sz w:val="24"/>
          <w:szCs w:val="24"/>
        </w:rPr>
        <w:t>(2007)，增修中華民國憲法要義，5版，臺北市：台灣東華。</w:t>
      </w:r>
    </w:p>
    <w:p w:rsidR="002F19DE" w:rsidRPr="002F19DE" w:rsidRDefault="002F19DE" w:rsidP="002F19DE">
      <w:pPr>
        <w:ind w:leftChars="0" w:left="0"/>
        <w:rPr>
          <w:sz w:val="24"/>
          <w:szCs w:val="24"/>
        </w:rPr>
      </w:pPr>
      <w:r w:rsidRPr="002F19DE">
        <w:rPr>
          <w:rFonts w:hint="eastAsia"/>
          <w:sz w:val="24"/>
          <w:szCs w:val="24"/>
        </w:rPr>
        <w:t>◎蘇麗嬌</w:t>
      </w:r>
      <w:r w:rsidRPr="002F19DE">
        <w:rPr>
          <w:sz w:val="24"/>
          <w:szCs w:val="24"/>
        </w:rPr>
        <w:t>(2000)，在台外國人工作及其相關權利之研究，中央警察大學行政警察研究所碩士論文。</w:t>
      </w:r>
    </w:p>
    <w:p w:rsidR="002F19DE" w:rsidRPr="002F19DE" w:rsidRDefault="002F19DE" w:rsidP="002F19DE">
      <w:pPr>
        <w:ind w:leftChars="0" w:left="0"/>
        <w:rPr>
          <w:sz w:val="24"/>
          <w:szCs w:val="24"/>
        </w:rPr>
      </w:pPr>
      <w:r w:rsidRPr="002F19DE">
        <w:rPr>
          <w:rFonts w:hint="eastAsia"/>
          <w:sz w:val="24"/>
          <w:szCs w:val="24"/>
        </w:rPr>
        <w:t>◎龔文廣</w:t>
      </w:r>
      <w:r w:rsidRPr="002F19DE">
        <w:rPr>
          <w:sz w:val="24"/>
          <w:szCs w:val="24"/>
        </w:rPr>
        <w:t>(1994)，論我國外籍勞工之聘僱與管理，中央警察大學外事警察學術研討會論文。</w:t>
      </w:r>
    </w:p>
    <w:p w:rsidR="0049577B" w:rsidRPr="002F19DE" w:rsidRDefault="002F19DE" w:rsidP="002F19DE">
      <w:pPr>
        <w:ind w:leftChars="0" w:left="0"/>
        <w:rPr>
          <w:sz w:val="24"/>
          <w:szCs w:val="24"/>
        </w:rPr>
      </w:pPr>
      <w:r w:rsidRPr="002F19DE">
        <w:rPr>
          <w:rFonts w:hint="eastAsia"/>
          <w:sz w:val="24"/>
          <w:szCs w:val="24"/>
        </w:rPr>
        <w:t>◎龔顯宗、王儀君、楊雅惠</w:t>
      </w:r>
      <w:r w:rsidRPr="002F19DE">
        <w:rPr>
          <w:sz w:val="24"/>
          <w:szCs w:val="24"/>
        </w:rPr>
        <w:t>(2010)，移居-國家與族群，高雄：國立中山大學人文社會科學研究中心。</w:t>
      </w:r>
    </w:p>
    <w:p w:rsidR="002F19DE" w:rsidRPr="00B40DC1" w:rsidRDefault="003276F8" w:rsidP="003276F8">
      <w:pPr>
        <w:pStyle w:val="-4"/>
        <w:ind w:left="935" w:hanging="652"/>
        <w:jc w:val="right"/>
      </w:pPr>
      <w:r w:rsidRPr="009216BC">
        <w:rPr>
          <w:rFonts w:eastAsia="標楷體" w:hint="eastAsia"/>
          <w:szCs w:val="20"/>
        </w:rPr>
        <w:t>。。。。。。。。。。。。。。。。。。</w:t>
      </w:r>
      <w:hyperlink w:anchor="a參考文獻" w:history="1">
        <w:r w:rsidRPr="003276F8">
          <w:rPr>
            <w:rStyle w:val="a7"/>
            <w:sz w:val="24"/>
            <w:szCs w:val="24"/>
            <w:lang w:eastAsia="zh-TW"/>
          </w:rPr>
          <w:t>回參考文獻</w:t>
        </w:r>
      </w:hyperlink>
      <w:r w:rsidRPr="003276F8">
        <w:rPr>
          <w:rFonts w:eastAsia="標楷體"/>
          <w:color w:val="808000"/>
          <w:sz w:val="24"/>
          <w:szCs w:val="24"/>
        </w:rPr>
        <w:t>〉〉</w:t>
      </w:r>
    </w:p>
    <w:p w:rsidR="0049577B" w:rsidRPr="002F19DE" w:rsidRDefault="0049577B" w:rsidP="002F19DE">
      <w:pPr>
        <w:pStyle w:val="2"/>
      </w:pPr>
      <w:bookmarkStart w:id="180" w:name="_英文參考文獻："/>
      <w:bookmarkEnd w:id="180"/>
      <w:r w:rsidRPr="002F19DE">
        <w:t>英文參考文獻：</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Akers, Ronald. (1985). Deviant Behavior: A Social Learning Approach. Belmont. Calif.: Wadsworth.</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Aldershot, David. Bonner. (2007). Executive Measures, Terrorism and National Security : Have the Rules of the Game Changed? Vermont : Ashgate.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Aleinikoff, Thomas. Alexander., Martin, David. A., Motomura, Hiroshi., &amp; Fullerton, Maryellen. (2012). Immigration and Nationality Laws of the United States: Selected Statutes Regulations and Forms. U.S.: West</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Allison, Charles. R. Comp. (2012). Alien Enemies and Property Rights Under the Trading With Enemy Act. U.S.A.: Forgotten Books.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Andreas, Peter. (2009). Border Games: Policing the U.S.-Mexico Divide (Cornell Studies in Political Economy). New York :Cornell University.</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Ankarlo, Darrell. (2010). Illegals: The Unacceptable Cost of America's Failure to Control Its Borders. Tennessee: Thomas Nelson.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Apap, Joanna. (2002). The Rights of Immigrant Workers in the European Union: An Evaluation of the EU Public Policy Process and the Legal Status of Labor Immigrants from Maghreb Countries in the New Receiving States. New York : Springer.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Asekun, Olusegun. (2005). A Handbook for Aliens to Remain Legal in the United States. Indiana: Author House.</w:t>
      </w:r>
    </w:p>
    <w:p w:rsidR="00893AB9" w:rsidRPr="002F19DE" w:rsidRDefault="00893AB9" w:rsidP="00CE2331">
      <w:pPr>
        <w:ind w:leftChars="0" w:left="0"/>
        <w:jc w:val="left"/>
        <w:rPr>
          <w:sz w:val="24"/>
          <w:szCs w:val="24"/>
        </w:rPr>
      </w:pPr>
      <w:r w:rsidRPr="002F19DE">
        <w:rPr>
          <w:rFonts w:hint="eastAsia"/>
          <w:sz w:val="24"/>
          <w:szCs w:val="24"/>
        </w:rPr>
        <w:t>◎</w:t>
      </w:r>
      <w:r w:rsidRPr="002F19DE">
        <w:rPr>
          <w:sz w:val="24"/>
          <w:szCs w:val="24"/>
        </w:rPr>
        <w:t xml:space="preserve">Australian Government, Department of Immigration and Border Protection(2016), Skilled Independent visa (subclass 189), Retrieved from </w:t>
      </w:r>
      <w:hyperlink r:id="rId821" w:history="1">
        <w:r w:rsidRPr="00CE2331">
          <w:rPr>
            <w:rStyle w:val="a7"/>
            <w:rFonts w:cs="Times New Roman"/>
            <w:sz w:val="24"/>
            <w:szCs w:val="24"/>
            <w:lang w:eastAsia="zh-TW" w:bidi="ar-SA"/>
          </w:rPr>
          <w:t>https://www.border.gov.au/Trav/Visa-1/189-</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Balderrama, Francisco. E., &amp; Rodríguez, Raymond. (2006). Decade of Betrayal : Mexican Repatriation in the 1930s. Albuquerque : University of New Mexico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Banting, K., &amp; Kymlicka, W. (2006). Multiculturalism and the Welfare State: Recognition and Redistribution in Contemporary Democracies. Oxford: Oxford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Barbieri, William. A. (1998). Ethics of Citizenship: Immigration and Group Rights in Germany. Durham: Duke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Bartram, D., Poros, M., &amp; Monforte, P. (2014). Key Concepts in Migration. London: SAGE Publications.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Bauböck, R. (2002). Farewell to multiculturalism? Sharing values and identities in societies of immigration. Journal of International Migration and Integration/Revue de l’integration et de la migration internationale, 3(1), pp.1-16.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Bausum, Ann. (2009). Denied, Detained, Deported : Stories From the Dark Side of American Immigration. Washington, DC : National Geographic.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Benhabib, Seyla. (2004). The Rights of Others: Aliens, Residents, and Citizens. New York : Cambridge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Benhabib, Seyla. (2004). The Rights of Others: Aliens, Residents, and Citizens. New York: Cambridge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Berkman, Alexander. (2012). Deportation, Its Meaning and Menace: Last Message to the People of America. USA: Forgotten Books.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Berkowitz, Peter. (2005). Terrorism, Laws of War and the Constitution. California: Hoover Institution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Bernitz, H. (2013). Access to Electoral Rights Sweden. EUDO Citizenship Observatory: Florence, Italy. Retrieved from </w:t>
      </w:r>
      <w:hyperlink r:id="rId822" w:history="1">
        <w:r w:rsidRPr="00CE2331">
          <w:rPr>
            <w:rStyle w:val="a7"/>
            <w:rFonts w:cs="Times New Roman"/>
            <w:sz w:val="24"/>
            <w:szCs w:val="24"/>
            <w:lang w:eastAsia="zh-TW" w:bidi="ar-SA"/>
          </w:rPr>
          <w:t>http://eudo-citizenship.eu</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Besselink, L. F. M. (2006). Unequal Citizenship: Integration Measures and Equality. Paper presented at the Immigration, Integration and Citizenship: The Nexus in the EU, Brussels at CEPS on 25 January 2006.</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Bjerre, L., Helbling, M., Römer, F., &amp; Zobel, M. (2015). Conceptualizing and Measuring Immigration Policies: A Comparative Perspective. International Migration Review, 49(3), pp. 555-600.</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Blake, Nicholas., &amp; Hussain, Raza. (2003). Immigration Asylum and Human Rights. Oxford:Oxford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Bloemraad, I., Korteweg, A., &amp; Yurdakul, G. (2008). Citizenship and immigration: Multiculturalism, assimilation, and challenges to the nation-state. Sociology, 34(1), p. 153.</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Bloemraad, Irene. (2006 ). Becoming a Citizen: Incorporating Immigrants and Refugees in the United States and Canada. California : University of California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Blumstein, Alfred, Jacqueline Cohen, and David P. Farringron. (1988). Criminal Career Research: Its Value for Criminology. Criminology 26:1-35.</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Blumstein, Alfred, Jacqueline Cohen, and David P. Farringron.(1988). Longitudinal and Criminal Career Research: Further Clarifications. Criminology 26: 57-74.</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Booth, Daniel. (2006). Federalism on Ice: State and Local Enforcement of Federal Immigration Law. Michigan : Thomson Gale.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Borjas, G. J(1989)., Economic Theory and International Migration, International Migration Review, Vol. 23, No. 3.</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Borjas, George. J. (Ed.).(2000). Issues in the Economics of Immigration . Chicago : University of Chicago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Bosniak, Linda. (2008). The Citizen and the Alien: Dilemmas of Contemporary Membership. New Jersey: Princeton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Bosswick, W., &amp; Heckmann, F. (2006). Integration of migrants: Contribution of local and regional authorities. Retrieved from </w:t>
      </w:r>
      <w:hyperlink r:id="rId823" w:history="1">
        <w:r w:rsidRPr="00CE2331">
          <w:rPr>
            <w:rStyle w:val="a7"/>
            <w:rFonts w:cs="Times New Roman"/>
            <w:sz w:val="24"/>
            <w:szCs w:val="24"/>
            <w:lang w:eastAsia="zh-TW" w:bidi="ar-SA"/>
          </w:rPr>
          <w:t>http://www.cities-localgovernments.org/committees/fccd/Upload/</w:t>
        </w:r>
      </w:hyperlink>
      <w:r w:rsidRPr="002F19DE">
        <w:rPr>
          <w:sz w:val="24"/>
          <w:szCs w:val="24"/>
        </w:rPr>
        <w:t xml:space="preserve"> library/integrationofmigrantscontributionoflocalandregionalauthorities_en.pdf.</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Boswell, C. (2008). European Migration Policies in Flux: Changing Patterns of Inclusion and Exclusion: John Wiley &amp; Sons.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Boswell, Richard. A. ( 2010). Immigration and Nationality Law. Durham: Carolina Academic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Boucher, A., &amp; Gest, J. (2014). Migration studies at a crossroads: A critique of immigration regime typologies. Migration Studies.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Brace, Charles Loring.(1872). The Dangerous Classes of New York, and Twenty Years' Work among Them. New York: Wynkoop.</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Braithwaite, John. (1989). Crime, Shame, and Reintegration. Cambridge: Cambridge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Bray, Ilona., &amp; Lewis, Loida. Nicolas. (2012). How to Get a Green Card. California : Nolo.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Brotherton, David. C., &amp; Kretsedemas, Philip. (Eds.). (2008). Keeping Out the Other: A Critical Introduction to Immigration Enforcement Today. New York: Columbia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Brubaker, R. (1992). Citizenship and nationhood in France and Germany (Vol. 21). Cambridge: MA: Harvard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Bullock, Jane., Haddow, George., &amp; Coppola, Damon. P. (2012). Introduction to Homeland Security : Principles of All-Hazards Risk Management . Massachusetts : Butterworth-Heinemann.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Burn, Jennifer. (2001). The Immigration Kit: a Practical Guide to Australia’s Immigration Law. Sydney: The Federation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Butcher, Kristion. F., &amp; Piehl, Anne. Morrison. (2000). The Role of Deportation in the Incarceration of Immigrations, pp351-383. In Borjas, George J. Issues in the Economics of Immigration. Chicago: The University of Chicago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Cairns, Robett B. (1986). Phenomena Lost: Issues in the Study of Development. Pp. 97-111 in The Individual Subject and Scientific Psychology, ed. J. Valsiner. New York: Plenum.</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Calhoun, Frederick. S. (1982). Supreme Court Decision on Right to an Education: The Case of Illegal Alien Children, Plyler v. Doe. U.S.A.: Educational Research Service.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Campbell Cohen(n .d).,  Canada Immigration Lawyers web site. Retrieved March 26, 2018, from </w:t>
      </w:r>
      <w:hyperlink r:id="rId824" w:history="1">
        <w:r w:rsidRPr="00CE2331">
          <w:rPr>
            <w:rStyle w:val="a7"/>
            <w:rFonts w:cs="Times New Roman"/>
            <w:sz w:val="24"/>
            <w:szCs w:val="24"/>
            <w:lang w:eastAsia="zh-TW" w:bidi="ar-SA"/>
          </w:rPr>
          <w:t>https://www.canadavisa.com</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Cann, Steven. J. (2005). Administrative Law. California: Sage Publications.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Carens, Joseph. H. (2010). Immigrants and the Right to Stay. Massachusetts : MIT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Carrera, S. (2006). Towards an EU Framework on the Integration of Immigrants. Paper presented at the Immigration, Integration and Citizenship: The Nexus in the EU, Brussels at CEPS on 25 January 2006.</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Casablanca, Maria. Isabel., &amp; Bodin, Gloria. Roa. (2010). Immigration Law for Paralegals. Durham: Carolina Academic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Caspi, Avshalom. and Darvl Bem. (1990). Personality Continuity and Change across the Life Course. Pp. 549-575 in Handbook of Personality: Theory and Research, ed. L. A. Pervin. New York: Guilford.</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Castles, S. (2007). Will Labour Migration lead to a Multicultural Society in Korea? Paper presented at the Global Human Resources Forum 2007, Seoul on 23-25 October 2007.</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Castles, S., &amp; Miller, M. J. (2009). The Age of Migration, 4th ed: International Population Movements in the Modern World: Palgrave Macmillan Limited.</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Castles, S., de Haas, H., &amp; Miller, M. J. (2014). The Age of Migration, 5th ed: International Population Movements in the Modern World. New York: Guilford Publications.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Chacon, Justin. Akers., &amp; Davis, Mike. (2006). No One Is Illegal: Fighting Racism and State Violence on the U.S.-Mexico Border</w:t>
      </w:r>
      <w:r w:rsidR="00B920DC">
        <w:rPr>
          <w:sz w:val="24"/>
          <w:szCs w:val="24"/>
        </w:rPr>
        <w:t>.</w:t>
      </w:r>
      <w:r w:rsidRPr="002F19DE">
        <w:rPr>
          <w:sz w:val="24"/>
          <w:szCs w:val="24"/>
        </w:rPr>
        <w:t xml:space="preserve">Chicago: Haymarket Books.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Chan, Wendy., &amp; Mirchandani, Kiran. (Eds.). (2002). Crimes of Colour : Racialization and the Criminal Justice System in Canada. Peterborough: Broadview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Chesney-Lind, M. &amp; L. Pasko(2013)., Girls, women, and crime（Los Angeles, CA: Sage Publications, pp.89-91.</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Chin, M., Lee, J., Lee, S., Son, S., &amp; Sung, M. (2014). Family policy in South Korea: Development, implementation, and evaluation. In M. Robila (Ed.), Handbook of family policies across the globe. New York: Springer, pp.305-318.</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Cholewinski, Ryszard. I. (1997). Migrant Workers in International Human Rights Law: Their Protection in Countries of Employment. New York : Oxford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Chomsky, Aviva. (2007). They Take Our Jobs!: And 20 Other Myths about Immigration. Boston: Beacon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Chun, K. O., &amp; Yoon, K. I. (2013). MIPEX and Korea: Assessment and Lessons. OMNES, 4(2), pp. 27-58.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Clayton, Gina. (2010). Textbook on Immigration and Asylum Law. New York : Oxford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Clayton, Richard., &amp; Tomlinson, Hugh. (2000). The Law of Human Rights. Oxford:Oxford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Coates, David., &amp; Siavelis, Peter. (2009). Getting Immigration Right: What Every American Needs to Know. Dulles: Potomac Books Inc.</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Cohen, Katherine. Benton. (2009). Borderline Americans : Racial Division and Labor War in the Arizona Borderlands. Massachusetts : Harvard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Cohen, Steve. (2005). Deportation Is Freedom!: The Orwellian World of Immigration Controls. Philadelphia: Jessica Kingsley Pub</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Cole, David. (2005). Enemy Aliens: Double Standards And Constitutional Freedoms In The War On Terrorism. New York: New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Cole, David., &amp; Dempsey, James. X. (2006). Terrorism and the Constitution: Sacrificing Civil Liberties in the Name of National Security. New York: New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Coleman, James S. (1990). Foundations of Social Theory. Cambridge, Mass.: Harvard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Coleman, Nils. (2009). European Readmission Policy : Third Country Interests and Refugee Rights. Boston : Martinus Nijhoff Publishers.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Collins, Donald. E. (1985). Native American Aliens: Disloyalty and the Renunciation of Citizenship by Japanese Americans During World War II. Connecticut: Greenwood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Collyer, M.(2006). States of insecurity: Consequences of Saharan transit migration, Working Paper No. 31, UK: Centre on Migration Policy and Society (COMPAS), University of Oxford</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Cook, Philip J. (1975). The Correctional Carrot: Better Jobs for Parolees. Policy Analysis l: 11-54.</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Cornelisse, Galina. (2010). Immigration Detention and Human Rights : Rethinking Territorial Sovereignty. Boston : Martinus Nijhoff Publishers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Council of Europe. (1997). Measurement and Indicators of Integration. Strasbourg: Council of Europe Publishing.</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Curry, Charles. Forrest. (2012). Alien Land Laws and Alien Rights. U.S.A.: BiblioLife.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Daniels, Roger. (2002). Coming to America: A History of Immigration and Ethnicity in American Life. New York: Harper Perennial.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Davis, Howard. (2009). Human Rights Law : Directions. New York : Oxford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Davis, Jeffrey. (2008). Justice Across Borders: The Struggle for Human Rights in U.S. Courts. New York : Cambridge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Dawson, Frank. Griffith. (1971). International Law National Tribunals and the Rights of Aliens. London: Eurospan.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De Haas, H., &amp; Czaika, M. (2011). The effectiveness of immigration policies: a conceptual review of empirical evidence. IMI/DEMIG working paper, University of Oxford: International Migration Institute.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De Haas, H., &amp; Czaika, M. (2013). Measuring Migration Policies: Some Conceptual and Methodological Reflections. Migration and Citizenship, 1(2), p.40.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DeConto, Jesse. James. (2011). Muddled Masses: the Immigration Detention System Treats Suspected Illegal Aliens Like Criminals but with Fewer Rights. USA: Reason Foundation.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Demissie, Fassil. (Ed.). (2010). African Diaspora and the Metropolis : Reading the African, African American and Caribbean experience. New York : Routledge</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Doomernik, Jeroen., &amp; Jandl, Michael. (2008). Modes of Migration Regulation and Control in Europe. Amsterdam: Amsterdam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Douglas, R. M. (2012). Orderly and Humane: The Expulsion of the Germans after the Second World War. USA: Yale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Dow, Mark. (2005). American Gulag: Inside U.S. Immigration Prisons. California : University of California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Drori, Israel. (2009). Foreign Workers in Israel : Global Perspectives. Albany : Suny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Düvell, F. and Vollmer, B., Improving US and EU Immigration Systems’ Capacity for Responding to Global Challenges： Learning from Experiences.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Easton, D. (1967). A systems analysis of political life: Wiley New York.</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Edwards, Alice., &amp; Ferstman, Carla. (Eds.). (2010). Human Security and Non-citizens : Law, Policy and International Affairs. New York: Cambridge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Ellermann, Antje. (2009). States Against Migrants: Deportation in Germany and the United States. New York: Cambridge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Elliott, Delbert, David Huizinga, and Suzanne Ageton. (1985). Explaining Delinquency and Drug Use. Beverly Hills, Calif.: Sage.</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Engbersen, G. (2003). Spheres of integration: towards a differentiated and reflexive ethnic minority policy. Identity and integration: migrants in Western Europe, pp. 59-76.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Entzinger, H. (1990). The lure of integration. European Journal of International Affairs, 4, pp. 54-73.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Entzinger, H., &amp; Biezeveld, R. (2003). Benchmarking in Immigration Integration. Erasmus University of Rotterdam: European Research Centre on Migration and Ethnic Relations.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Ersboll, E. (2013). Access to Electoral Rights Denmark. EUDO Citizenship Observatory: Florence, Italy. Retrieved from </w:t>
      </w:r>
      <w:hyperlink r:id="rId825" w:history="1">
        <w:r w:rsidRPr="00CE2331">
          <w:rPr>
            <w:rStyle w:val="a7"/>
            <w:rFonts w:cs="Times New Roman"/>
            <w:sz w:val="24"/>
            <w:szCs w:val="24"/>
            <w:lang w:eastAsia="zh-TW" w:bidi="ar-SA"/>
          </w:rPr>
          <w:t>http://eudo-citizenship.eu</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Faragher, John. Mack. (2006). A Great and Noble Scheme: The Tragic Story of the Expulsion of the French Acadians from Their American Homeland. New York: W. W. Norton &amp; Company.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Favell, A. (2010). Integration nations: the nation-state and research on immigrants in Western Europe. In M. Martiniello &amp; J. Rath (Eds.), Selected Studies in International Migration and Immigrant Incorporation (pp. 371). Amsterdam: Amsterdam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Fekete, Liz. (2009). A Suitable Enemy: Racism, Migration and Islamophobia in Europe, New York： Pluto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Fernandes, Deepa., &amp; Zinn, Howard. (2007). Targeted: Homeland Security and the Business of Immigration. New York: Seven Stories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Fisher, Anne. (1970). Exile of a Race; a History of the Forcible Removal and Imprisonment by the Army of the 115, 000 Citizens and Alien Japanese Who Were Living on the West. U.S.A.: F&amp;T Publishers.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Foerstel, Herbert. N. (2008). The Patriot Act : a Documentary and Reference Guide. Connecticut : Greenwood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Fox, Stephen. (2009). Homeland Insecurity: Aliens, Citizens and the Challenge to American Civil Liberties in World War II. Bloomington: iuniverse</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Gale Reference Team. (2008). In Action by Foreign National under Torture Victim Protection Act against U.S. and its Officers for Removal Plaintiff from U.S. to Syria . U.S.A.: Transnational Law Associates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Gania, Edwin. T. (2006). U.S. Immigration : Step by Step. Illinois : Sphinx Pub.</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Ganner, Rosemary, and Irving Piliavin. (1988). The Aging Offender and the Aged Offender. Pp. 287-315 in Life-Span Development and Behavior, Volume 9. ed. Paul B. Baltes, David L. Featherman, and Richard M. Lerner. Hillside, N.J.: Lawrence Erlbaum Associates.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Garcia, Michael. John. (2010). Immigration: Terrorist Grounds for Exclusion and Removal of Aliens. U.S.A : BiblioGov.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Geddes, A., Niessen, J., Balch, A., Bullen, C., &amp; Peiro, M. J. (2005). European Civic Citizenship and Social Inclusion Index 2004. Brussels: British Council Brussels.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General Accounting Office of U.S.A. (2011). Illegal Aliens: Opportunities Exist to Improve the Expedited Removal Process: Report to Congressional Committees. U.S.A : Books LLC.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General Accounting Office of United States. (2005). Immigration Enforcement: Better Data and Controls Are Needed to Assure Consistency with the Supreme Court Decision on Long-Term Alien Detention---General Accounting Office Reports &amp; Testimony. USA: General Accounting Office</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General Accounting Office of United States. (2012). Immigration Enforcement: Better Data and Controls Are Needed to Assure Consistency with the Supreme Court Decision on Long-Term Alien Detention---Report to Congressional Requesters. USA: Books LLC</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Genova, Nicholas. (2005). Working the Boundaries: Race, Space, and Illegality in Mexican Chicago. Durham: Duke University Press Books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Genova, Nicholas., &amp; Peutz, Nathalie. (Eds.). (2010). The Deportation Regime : Sovereignty, Space, and the Freedom of Movement. North  Carolina : Duke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Gest, J., Boucher, A., Challen, S., Burgoon, B., Thielemann, E., Beine, M., Hiscox, M. (2014). Measuring and Comparing Immigration, Asylum and Naturalization Policies Across Countries: Challenges and Solutions. Global Policy, 5(3), pp. 261-274.</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Ghosh, Bimal. (1998). Huddled Masses and Uncertain Shores: Insights into Irregular Migration. New York: Springer.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Gibney, Mark. (2010). Global Refugee Crisis : a Reference Handbook. California : ABC-CLIO</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Givens, T. E. (2007). Immigrant Integration in Europe: Empirical Research. Annual Review of Political Science, 10(1), pp. 67-83.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Gleeson, Shannon. (2012). Conflicting Commitments: The Politics of Enforcing Immigrant Worker Rights in San Jose and Houston. U.S.A.: ILR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Bernard. (1916). Studies in Forensic Psychiatry. Boston: Little, Brown.</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Bernard.1918. A Study of Six Hundred and Eight Admissions to Sing Sing Prison. Mental Hygiene 2: 85-151.</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Eleanor T. (1927). Community Use of Schools. Baltimore: Williams and Wilkins.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Eleanor T.(1936). Evaluative Research in Social Work. New York: Columbia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Eleanor T.(1966). Identification of Potential Delinquents at 2-3 Years of Age. International Journal of Psychiatry 12: 5-16.</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 and Eleanor Glueck, (1930). 500 Criminal Careers. New York: A. A. Knopf.</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 and Eleanor Glueck,(1934). Five Hundred Delinquent Women. New York: A. A. Knopf.</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 and Eleanor Glueck,(1934). One Thousand Juvenile Delinquents. Cambridge, Mass.: Harvard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 and Eleanor Glueck,(1937). Later Criminal Careers. New York: The Commonwealth Fund.</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 and Eleanor Glueck,(1938). Letter to Dr. Elizabeth Hincks, 2/14/38. Sheldon and Eleanor T. Glueck Papers. Cambridge, Mass.: Harvard Law School Library.</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 and Eleanor Glueck,(1939). Social Case Histories---Policy Memo. Sheldon and Eleanor T. Glueck Papers. Cambridge, Mass.: Harvard Law School Library.</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 and Eleanor Glueck,(1940). Juvenile Delinquent Grown Up. New York: The Commonwealth Fund.</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 (1925). Mental Disorder and the Criminal Law. Boston: Little, Brown.</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Sheldon.(1956). Theory and Fact in Criminology. British Journal of Delinquency 7: 92-109.</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Sheldon.(1960). Ten Years of Unraveling Juvenile Delinquency: An Examination of Criticisms. Journal of Criminal Law, Criminology, and Police Science 51 : 283-308.</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Sheldon.(1962). Law and Psychiatry: Cold War of Entente Cordiale? Baltimore: The Johns Hopkins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Glueck, Sheldon.(1964). Remarks in Honor of William Healy, M.D. Mental Hygiene 48: 318-322.</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Golash-Boza, Tanya. Maria. (2012). Due Process Denied: Detentions and Deportations in the United States (Framing 21st Century Social Issues). New York :Routledge.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Golash-Boza, Tanya. Maria. (2012). Immigration Nation: Raids, Detentions, and Deportations in Post-9/11 America. Colorado :Paradigm Pub</w:t>
      </w:r>
      <w:r w:rsidR="00B920DC">
        <w:rPr>
          <w:sz w:val="24"/>
          <w:szCs w:val="24"/>
        </w:rPr>
        <w:t>.</w:t>
      </w:r>
      <w:r w:rsidRPr="002F19DE">
        <w:rPr>
          <w:sz w:val="24"/>
          <w:szCs w:val="24"/>
        </w:rPr>
        <w:t xml:space="preserv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Goldberg, Danny., Goldberg, Victor., Greenwald, Robert., &amp; Garofalo, Janeane. (2003). It's a Free Country: Personal Freedom in America After September 11. New York: Nation Books.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Goodman, S. W. (2010). Integration requirements for integration's sake? Identifying, categorising and comparing civic integration policies. Journal of Ethnic and Migration Studies, 36(5), pp. 753-772.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Government of U.S.A. (2011). Immigration Enforcement: ICE Could Improve Controls to Help Guide Alien Removal Decision Making---Report to Congressional Requesters. U.S.A.: Books LLC</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Grose, Howard. Benjamin. (2008). Aliens or Americans? USA: BiblioBazaar.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Grussendorf, Paul., &amp; Oh, Hyang. Suk. (2012). My Trials: Inside America's Deportation Factories. USA: CreateSpace Independent Publishing Platform</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Guild, Elspeth. (2004). Legal Elements of European Identity: EU Citizenship and Migration Law. Hague: Kluwer Law International.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Gutiérrez, David. D., &amp; Hondagneu-Sotelo, Pierrette. (Eds.). (2009). Nation and Migration : Past and Future. Baltimore : The Johns Hopkins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Hafetz, Jonathan. (2011). Habeas Corpus after 9/11: Confronting America's New Global Detention System. New York: NYU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Hagan, John, and Alberto Palloni. (1988). Crimes as Social Events in the Life Course: Reconceiving a Criminological Controversy. Criminology 26: 87-100.</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Hamby, S.( 2014 )., Battered women’s protective strategies ( Oxford, UK: Oxford University Press, pp. 34-39.</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Hammar, T. (1985). European immigration policy: a comparative study: Cambridge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Hammar, Tomas. (1990). Democracy and the Nation State: Aliens, Denizens, and Citizens in a World of International Migration. U.K.: Gower.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Hardy, Colleen. E. (2009). The Detention of Unlawful Enemy Combatants During the War on Terror. USA: LFB Scholarly Publishing.</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Heckmann, F., Lederer, H., &amp; Worbs, S. (2001). Effectiveness of national integration strategies towards second generation migrant youth in a comparative European perspective--- EFFNATIS Final Report to the European Commission, University of Bamberg: european forum for migration studies.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Helbling, M. (2011). Validating citizenship indicators. Paper presented at the ECPR General conference, Reykjavik, September.</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Henry, Zig. Layton. (1990). The Political Rights of Migrant Workers in Western Europe. California: Sage.</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Hernandez, Kelly. Lytle. (2010). Migra!: A History of the U.S. Border Patrol (American Crossroads). California :University of California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Higgins, Imelda. (Ed.). (2004). Migration and Asylum Law and Policy in the European Union : FIDE 2004 National Reports. Cambridge : Cambridge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Hinds, M. (1990). Number of Killings Soars in Big Cities Across U.S. New York Times, July 18, p. 1.</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Hing, Bill. Ong. (2004). Defining America Through Immigration Policy. Philadelphia: Temple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Hirschi, Travis, and Hanan C. Selvin. (1967). Delinquency Research: An Appraisal of Analytic Methods. New York: The Free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Hirschi, Travis, and Michael Gottfredson. (1983). Age and the Explanation of Crime. American Journal of Sociology 89: 552-584.</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Hirschi, Travis. (1969). Causes of Delinquency. Berkeley: University of California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Hirschi, Travis. (1983). Crime and the Family. Pp. 53-68 in Crime and Public Policy, ed. James Q. Wilson. San Francisco: Institute for Contemporary Studies.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Hirschi, Travis. (1991). Family Structure and Crime. Pp. 43-66 in When Families Fail: The Social Costs, ed. Bryce J. Christensen. Lanham, Md.: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Hofinger, C. (1997). An index to measure legal integration. In Council of Europe (Ed.), Measurement and Indicators of Integration (pp. 29-37). Strasbourg: Council of Europe Publishing.</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Holbrook, Ames. (2007). The Deporter : One Agent's Struggle Against the U.S. Government's Refusal to Expel Criminal Aliens. New York : Sentinel</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Howard, M. M. (2009). The politics of citizenship in Europe. New York: Cambridge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Huddleston, T. (2008). From principles to policies: Creating an evidence base for a European approach to migration management. European Governance of Migration, p. 32.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Huddleston, T., Niessen, J., Citron, L., Geddes, A., &amp; Jacobs, D. (2007). Migrant Integration Policy Index. Brussels: British Council and Migration Policy Group.</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Huddleston, T., Niessen, J., Ni Chaoimh, E., &amp; White, E. (2011). Migrant Integration Policy Index III. Brussels: British Council and Migration Policy Group.</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Hull, Elizabeth. (1985). Without Justice For All: The Constitutional Rights of Aliens. Connecticut: Greenwood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Huntington, Samuel P.(2004). Who Are We? The Challenges to America’s National Identity, NY: Simon &amp; Schuster.</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IMD World Competiveness Center(2017), IMD World Talent Ranking 2017. Switzerland: IMD World Competiveness Center.</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Immigration Policy Commission. (2012). The 2nd Basic Plan for Immigration Policy (2013~2017). Korea: Korea Immigration Service, Retrieved from </w:t>
      </w:r>
      <w:hyperlink r:id="rId826" w:history="1">
        <w:r w:rsidRPr="00CE2331">
          <w:rPr>
            <w:rStyle w:val="a7"/>
            <w:rFonts w:cs="Times New Roman"/>
            <w:sz w:val="24"/>
            <w:szCs w:val="24"/>
            <w:lang w:eastAsia="zh-TW" w:bidi="ar-SA"/>
          </w:rPr>
          <w:t>http://www.immigration.go.kr/HP/ COM/bbs_03/ShowData.do</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Inter-American Commission on Human Rights. (1982), Ten Years of Activities -1971-1981 . Washington : IACHR.</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Migration(2000). World Migration Report 2000,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Migration(2001). World Migration Report 2001,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Migration(2002). World Migration Report 2002,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Migration(2003). World Migration Report 2003: Managing Migration Challenges and Responses for People on the Move,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Migration(2004). World Migration Report 2004, UN: Geneva</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Migration(2005). World Migration Report 2005: Costs and Benefits of International Migration,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Migration(2006). World Migration Report 2006,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Migration(2007). World Migration Report 2007,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Migration(2008). World Migration Report 2008, UN: Geneva</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Migration(2009). World Migration Report 2009,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International Organization for Migration(2010). World Migration Report 2010---The Future of Migration: Building Capacities for Change, UN: Geneva.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Migration(2011). World Migration Report 2011,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Migration(2012). World Migration Report 2012,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International Organization for Migration(2013). World Migration Report 2013, UN: Geneva.</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IOM. (2010). Compendium of Migrant Integration Policies and Practices. Retrieved 2016/06/03, from </w:t>
      </w:r>
      <w:hyperlink r:id="rId827" w:history="1">
        <w:r w:rsidRPr="00CE2331">
          <w:rPr>
            <w:rStyle w:val="a7"/>
            <w:rFonts w:cs="Times New Roman"/>
            <w:sz w:val="24"/>
            <w:szCs w:val="24"/>
            <w:lang w:eastAsia="zh-TW" w:bidi="ar-SA"/>
          </w:rPr>
          <w:t>http://www.iom.int/jahia/webdav/shared/shared/mainsite/activities/facilitating/mi_ compendium_ver_feb2010.pdf</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Iranzo, Susana., &amp; Peri, Giovanni. (2011). Migration and Trade in a World of Technological Differences : Theory with an Application to Eastern-Western European Integration. Indio : Robert Langhorst &amp; Company Booksellers.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Ivote (2017). Countries that Grant Some Voting Rights to Foreign Residents (65 of 193 Member States of the United Nations), Retrieved from </w:t>
      </w:r>
      <w:hyperlink r:id="rId828" w:history="1">
        <w:r w:rsidRPr="00CE2331">
          <w:rPr>
            <w:rStyle w:val="a7"/>
            <w:rFonts w:cs="Times New Roman"/>
            <w:sz w:val="24"/>
            <w:szCs w:val="24"/>
            <w:lang w:eastAsia="zh-TW" w:bidi="ar-SA"/>
          </w:rPr>
          <w:t>http://www.ivotenyc.org/?page_id=1189</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James, G. (1991). New York Killings Set Record in 1990. New York Times, April 23, p. A14.</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Janeiro, Rio. (2001). The Human Rights of Aliens under International and Comparative law. New York : Springer.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Janis, Eark. W., Kay, Richard. S., &amp; Bradley, Anthony. W. (2008). European Human Rights Law Text and Materials. Oxford: Oxford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Jasper, Margaret. C. (2008). The Law of Immigration. New York : Oceana</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Johannesson, G. T., Petursson, G. T., &amp; Bjornsson. T. (2013). Country Report: Iceland. EUDO Citizenship Observatory: Florence, Italy. Retrieved from </w:t>
      </w:r>
      <w:hyperlink r:id="rId829" w:history="1">
        <w:r w:rsidRPr="00CE2331">
          <w:rPr>
            <w:rStyle w:val="a7"/>
            <w:rFonts w:cs="Times New Roman"/>
            <w:sz w:val="24"/>
            <w:szCs w:val="24"/>
            <w:lang w:eastAsia="zh-TW" w:bidi="ar-SA"/>
          </w:rPr>
          <w:t>http://eudo-citizenship.eu</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Johnson, Kevin. R. (2004). The Huddled Masses Myth: Immigration and Civil Rights. Philadelphia: Temple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Johnson, Kevin. R. et al.(2009). Understanding Immigration Law. New Jersey : Lexis Nexis.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Joppke, C., &amp; Seidle, F. L. (Eds.). (2012). Immigrant Integration in Federal Countries (Vol. 2). Montreal: McGill-Queen's University Press-MQUP.</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Kahn, Robert. S. (1996). Other People's Blood: U.S. Immigration Prisons In The Reagan Decade. USA: Westview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Kalir, Barak. (2010). Latino Migrants in the Jewish State : Undocumented Lives in Israel. Bloomington : Indiana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Kamto, Maurice. (2006). Second Report on the Expulsion of Aliens (A/CN.4/573). Geneva : UN International Law Commission.</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Kamto, Maurice. (2007). Third Report on the Expulsion of Aliens(A/CN. 4/581). Geneva：UN International Law Commission.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Kamto, Maurice. (2009). Expulsion of Aliens---Draft Articles on Protection of the Human Rights of Persons Who Have Been or Are Being Expelled, as Restructured by the Special Rapporteur, Mr Maurice Kamto, in the Light of the Plenary Debate during the First Part of the Sixty-First Session(A/CN. 4/617). Geneva：UN International Law Commission.</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Kamto, Maurice. (2009). Fifth Report on the Expulsion of Aliens(A/CN. 4/611). Geneva：UN International Law Commission.</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Kamto, Maurice. (2010). Six Report on the Expulsion of Aliens (A/CN. 4/625). Geneva：UN International Law Commission</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Kamto, Maurice. (2011). Seventh Report on the Expulsion of Aliens (A/CN. 4/625). Geneva：UN International Law Commission.</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Kansas, Sidney. (1940). U.S. Immigration, Exclusion, Deportation, and Citizenship of the United States of America. New York:Matthew Bender Co</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Kanstroom, Daniel. (2007). Deportation Nation : Outsiders in American History. Cambridge： Harvard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Kanstroom, Daniel. (2010). Deportation Nation: Outsiders in American History. Massachusetts :Harvard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Kanstroom, Daniel. (2012). Aftermath: Deportation Law and the New American Diaspora. New York : Oxford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Karmi, Ghada., &amp; Cotran, Eugene. (Eds.).(1999). The Palestinian Exodus, 1948-1998. Reading : Ithaca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Kelly, Tobias. (2011). This Side of Silence: Human Rights, Torture, and the Recognition of Cruelty. Pennsylvania : University of Pennsylvania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Keoni Werrington(2018). New Job Seeking Visa Available In Taiwan. The Taiwan News on 13 February 2018: Web. 02 March. 2018.</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Kerlinger, Fred. (1973). Foundations of Behavioral Research, 2nd ed. New York: Holt. Rinehart and Winston.</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Kershaw, Roger., &amp; Pearsall, Mark. (2004). Immigrants and Aliens: A Guide to Sources on UK Immigration and Citizenship. Surrey: UK National Archives.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Kiecolt, K. J., and L. Nathan. (1985). Secondary Analysis of Survey Data. Beverly Hills, Calif.: Sage.</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King, Nancy. J., &amp; Hoffmann, Joseph. L. (2011). Habeas for the Twenty-First Century: Uses, Abuses, and the Future of the Great Writ. Chicago: University Of Chicago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Koop, C. Everett, and George D.Lundberg. (1992). Violence in America: A Public Health Emergency. Journal of the American Medical Association 267: 3075-3076.</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Koopmans, R., Michalowski, I., &amp; Waibel, S. (2012). Citizenship Rights for Immigrants: National Political Processes and Cross-National Convergence in Western Europe, 1980–2008. American Journal of Sociology, 117(4), pp.1202-1245.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Koopmans, R., Statham, P., Giugni, M., &amp; Passy, F. (2005). Contested Citizenship: Immigration and Cultural Diversity in Europe (Vol. 25). Minneapolis: University of Minnesota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Kotlowitz, Alex. (1991). There Are No Children Here: The Story of Two Boys Growing Up in the Other America. New York: Doubleday.</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Larkin, Larae. (1997). The Legitimacy in International Law of the Detention and Interment of Aliens and Minorities in the Interest of National Security. USA: Edwin Mellen.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Laufer, Peter. (2004). Wetback Nation : the Case for Opening the Mexican-American Border. Chicago : Ivan R. Dee</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Law, Anna. O. (2011). The Immigration Battle in American Courts. New York: Cambridge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Lee, E. S(1966)., A Theory of Migration, Demography, Vol. 3, No. 1.</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Lee, J. (2013). Migration policy development in the Republic of Korea: A brief review of the Second Basic Plan for Immigration Policy. Migration Policy Practice, 3, 22, pp. 2013-2017.</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Lee, M. K. (2014). Multicultural Education in Republic of Korea: Social Change and School Education. In H. Park &amp; K.-k. Kim (Eds.), Korean Education in Changing Economic and Demographic Contexts. Dordrecht: Springer Science &amp; Business Media, pp. 173-189.</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Legomsky, Stephen. H. (1999). The Detention of Aliens: Theories, Rules, and Discretion. Washington : Washington University School of Law.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Legomsky, Stephen. H. (2005), Immigration and Refugee Law and Policy. New York: Foundation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Letsas, George. (2008). A Theory of Interpretation of the European Convention on Human Rights. Oxford:Oxford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Levinson, A. (2005). The Regularisation of Unauthorized Migrants: Literature Survey and Country Case Studies, COMPAS, UK: University of Oxford.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Lewis, Mary. Dewhurst. (2007). The Boundaries of the Republic: Migrant Rights and the Limits of Universalism in France, 1918-1940. California: Stanford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Library of Congress of U.S.A. (2003). Clear Law Enforcement for Criminal Alien Removal Act of 2003: Clear Act---Hearing Before the Subcommittee on Immigration, Border Security, and Claims. U.S.A: Government Printing Office.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Lillich, Richard. B. (1985). The Human Rights of Aliens in Contemporary International Law. U.S.A.: William S Hein &amp; Co.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Lin, Ying-Chun. (2007). Globalization and Sex Trafficking: Changes in Trafficking for Sex Exploitation in Taiwan. Paper Presented at the Conference on Slavery: Unfinished Business. Hull: Hull University</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Lin, Ying-Chun. (2010). Sex Trafficked Women in Taiwan: An Examination of the Trafficking Process and Implications for Policy, PhD thesis. UK: Newcastle University.</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Lin, Ying-Chun., &amp; Ku, Yeun-Wen. (2009). Gender Inequality and Social Exclusion: an Example of Sex Trafficking in Taiwan. Paper Presented at the Conference on 6th EASP International Conference of Global Economic Crisis and Welfare Restructuring in East and West. Sheffield: University of Sheffield</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Lindall, Taylor. M. (2011). Border Security and the Removal of Illegal Aliens (Terrorism, Hot Spots and Conflict-Related Issues). New York: Nova Science.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Liu Kuan-ting and Ko Lin(2018). Taiwan Passes a New law To Attract More Foreign Professionals. The Focus Taiwan News Channel 31st of October 2017: Google News 02 March. 2018.</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Loyd, Jenna. M., Mitchelson, Matt., &amp; Burridge, Andrew. (2012). Beyond Walls and Cages: Prisons, Borders, and Global Crisis (Geographies of Justice and Social Transformation). Georgia: University of Georgia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Luibheid, Eithne. (2002). Entry Denied: Controlling Sexuality at The Border. Minnesota : University of Minnesota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Lytton, Hugh.(1990). Child and Parent Effects in Boys' Conduct Disorder: A Reinterpretation. Developmental Psychology 26: 683-697.</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Magnusson, David, and Lars R. Bergman. (1990). A Pattern Approach to the Study of Pathways from Childhood to Adulthood. Pp. 101-115 in Straight and Devious Pathways from Childhood to Adulthood, ed. Lee Robins and Michael Rutter. Cambridge: Cambridge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Marquardt, Marie. Friedmann., Steigenga, Timothy. J., Williams, Philip. J., &amp; Vasquez, Manuel. A. (2011). Living Illegal: The Human Face of Unauthorized Immigration. New York: New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Martin, P. L. (2004). The United States: The Continuing Immigration Debate. Controlling Immigration – A Global Perspective. Ed. Wayne A.Cornelius., et al. California: Stanford University.</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Martinez, Grant. (2011). Indefinite Detention of Immigrant Information: Federal and State Overreaching in the Interpretation of 8 C.F.R. (section</w:t>
      </w:r>
      <w:r w:rsidR="00587200">
        <w:rPr>
          <w:sz w:val="24"/>
          <w:szCs w:val="24"/>
        </w:rPr>
        <w:t>)</w:t>
      </w:r>
      <w:r w:rsidRPr="002F19DE">
        <w:rPr>
          <w:sz w:val="24"/>
          <w:szCs w:val="24"/>
        </w:rPr>
        <w:t>236.6. New Haven : Yale University.</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Mauer, Mark. (1990). Young Black Men and the Criminal Justice System: A Growing National Problem. Washington. D.C.: The Sentencing Project.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Mauer, Mark.(1959). Origins of Crime. New York: Columbia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McCord, William, and Joan McCord. (1960). Origins of Alcoholism. Stanford: Stanford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McDonald, William. F. (2009). Immigration, Crime and Justice. Bingley : JAI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Meyers, E. (2004). International Immigration Policy: A Theoretical and Comparative Analysis. NY:PALGRAVE MACMILLAN.</w:t>
      </w:r>
    </w:p>
    <w:p w:rsidR="00893AB9" w:rsidRPr="002F19DE" w:rsidRDefault="00893AB9" w:rsidP="00B920DC">
      <w:pPr>
        <w:ind w:leftChars="0" w:left="0"/>
        <w:jc w:val="left"/>
        <w:rPr>
          <w:sz w:val="24"/>
          <w:szCs w:val="24"/>
        </w:rPr>
      </w:pPr>
      <w:r w:rsidRPr="002F19DE">
        <w:rPr>
          <w:rFonts w:hint="eastAsia"/>
          <w:sz w:val="24"/>
          <w:szCs w:val="24"/>
        </w:rPr>
        <w:t>◎</w:t>
      </w:r>
      <w:r w:rsidRPr="002F19DE">
        <w:rPr>
          <w:sz w:val="24"/>
          <w:szCs w:val="24"/>
        </w:rPr>
        <w:t>Ministry of Integration and Gender Equality (2009). Swedish integration policy.</w:t>
      </w:r>
      <w:hyperlink r:id="rId830" w:history="1">
        <w:r w:rsidRPr="00CE2331">
          <w:rPr>
            <w:rStyle w:val="a7"/>
            <w:rFonts w:cs="Times New Roman"/>
            <w:sz w:val="24"/>
            <w:szCs w:val="24"/>
            <w:lang w:eastAsia="zh-TW" w:bidi="ar-SA"/>
          </w:rPr>
          <w:t>http://www.government.se/contentassets/b055a941e7a247348f1acf6ade2fd876/swedish-integration-policy-fact-sheet-in-english</w:t>
        </w:r>
      </w:hyperlink>
      <w:r w:rsidRPr="002F19DE">
        <w:rPr>
          <w:sz w:val="24"/>
          <w:szCs w:val="24"/>
        </w:rPr>
        <w:t>.</w:t>
      </w:r>
    </w:p>
    <w:p w:rsidR="00893AB9" w:rsidRPr="002F19DE" w:rsidRDefault="00893AB9" w:rsidP="00B920DC">
      <w:pPr>
        <w:ind w:leftChars="0" w:left="0"/>
        <w:jc w:val="left"/>
        <w:rPr>
          <w:sz w:val="24"/>
          <w:szCs w:val="24"/>
        </w:rPr>
      </w:pPr>
      <w:r w:rsidRPr="002F19DE">
        <w:rPr>
          <w:rFonts w:hint="eastAsia"/>
          <w:sz w:val="24"/>
          <w:szCs w:val="24"/>
        </w:rPr>
        <w:t>◎</w:t>
      </w:r>
      <w:r w:rsidRPr="002F19DE">
        <w:rPr>
          <w:sz w:val="24"/>
          <w:szCs w:val="24"/>
        </w:rPr>
        <w:t xml:space="preserve">MIPEX (2015). Migrant Integration Policy Index. Retrieved from </w:t>
      </w:r>
      <w:hyperlink r:id="rId831" w:history="1">
        <w:r w:rsidRPr="00B920DC">
          <w:rPr>
            <w:rStyle w:val="a7"/>
            <w:rFonts w:cs="Times New Roman"/>
            <w:sz w:val="24"/>
            <w:szCs w:val="24"/>
            <w:lang w:eastAsia="zh-TW" w:bidi="ar-SA"/>
          </w:rPr>
          <w:t>http://www.mipex.eu/</w:t>
        </w:r>
      </w:hyperlink>
      <w:r w:rsidRPr="002F19DE">
        <w:rPr>
          <w:sz w:val="24"/>
          <w:szCs w:val="24"/>
        </w:rPr>
        <w:t>.</w:t>
      </w:r>
    </w:p>
    <w:p w:rsidR="00893AB9" w:rsidRPr="002F19DE" w:rsidRDefault="00893AB9" w:rsidP="00B920DC">
      <w:pPr>
        <w:ind w:leftChars="0" w:left="0"/>
        <w:jc w:val="left"/>
        <w:rPr>
          <w:sz w:val="24"/>
          <w:szCs w:val="24"/>
        </w:rPr>
      </w:pPr>
      <w:r w:rsidRPr="002F19DE">
        <w:rPr>
          <w:rFonts w:hint="eastAsia"/>
          <w:sz w:val="24"/>
          <w:szCs w:val="24"/>
        </w:rPr>
        <w:t>◎</w:t>
      </w:r>
      <w:r w:rsidRPr="002F19DE">
        <w:rPr>
          <w:sz w:val="24"/>
          <w:szCs w:val="24"/>
        </w:rPr>
        <w:t>Moloney, Deirdre. M. (2012). National Insecurities: Immigrants and U.S. Deportation Policy since 1882. North  Carolina: The University of North Carolina Press</w:t>
      </w:r>
      <w:r w:rsidR="00B920DC">
        <w:rPr>
          <w:sz w:val="24"/>
          <w:szCs w:val="24"/>
        </w:rPr>
        <w:t>.</w:t>
      </w:r>
    </w:p>
    <w:p w:rsidR="00893AB9" w:rsidRPr="002F19DE" w:rsidRDefault="00893AB9" w:rsidP="00B920DC">
      <w:pPr>
        <w:ind w:leftChars="0" w:left="0"/>
        <w:jc w:val="left"/>
        <w:rPr>
          <w:sz w:val="24"/>
          <w:szCs w:val="24"/>
        </w:rPr>
      </w:pPr>
      <w:r w:rsidRPr="002F19DE">
        <w:rPr>
          <w:rFonts w:hint="eastAsia"/>
          <w:sz w:val="24"/>
          <w:szCs w:val="24"/>
        </w:rPr>
        <w:t>◎</w:t>
      </w:r>
      <w:r w:rsidRPr="002F19DE">
        <w:rPr>
          <w:sz w:val="24"/>
          <w:szCs w:val="24"/>
        </w:rPr>
        <w:t>N ational  Foundation  F O R  A merican  Policy (2017), Immigrants and Nobel Prizes: 1901-2017, N F A P  P O L I C Y  B R I E F  O C T O B E R 2017 ,</w:t>
      </w:r>
      <w:hyperlink r:id="rId832" w:history="1">
        <w:r w:rsidRPr="00CE2331">
          <w:rPr>
            <w:rStyle w:val="a7"/>
            <w:rFonts w:cs="Times New Roman"/>
            <w:sz w:val="24"/>
            <w:szCs w:val="24"/>
            <w:lang w:eastAsia="zh-TW" w:bidi="ar-SA"/>
          </w:rPr>
          <w:t>https://nfap.com/wp-content/uploads/2017/10/Immigrants-and-Nobel-Prizes-1901-to-2017.NFAP-Policy-Brief.October-20171.pdf</w:t>
        </w:r>
      </w:hyperlink>
      <w:r w:rsidRPr="002F19DE">
        <w:rPr>
          <w:sz w:val="24"/>
          <w:szCs w:val="24"/>
        </w:rPr>
        <w:t xml:space="preserv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Nagy, S. R. (2009). Migration and the potential for international cooperation in East Asia: a comparative examination of state integration policies in Japan and Korea. Asian Regional Integration Review, 1, pp. 1-19.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Nash, K.(2000). Contemporary Polilical Sociology.Massachusetts:Blackwell Publisher Inc.</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National Intelligence Council(2011). Growing Global Migration and Its Implications for the United States.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Nevins, Joseph. (2001). Operation Gatekeeper: The Rise of the 'Illegal Alien' and the Remaking of the U.S.-Mexico Boundary. New York: Routledge</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Newman, Lori. (2006). What Rights Should Illegal Immigrants Have? U.S.A.: Greenhaven.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Ngai, Mae. M. (2004). Impossible Subjects : Illegal Aliens and the Making of Modern America. Princeton : Princeton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Ngai, Mae. M. (2005). Impossible Subjects: Illegal Aliens and the Making of Modern America. New Jersey: Princeton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Niessen, J. (2006). Immigration, Citizenship and the Benchmarking of Integration in the EU. Paper presented at the Immigration, Integration and Citizenship: The Nexus in the EU, Brussels at CEPS on 25 January 2006.</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Niessen, J. (2013). The MIPEX Assessment of the Republic of Korea’s Immigrant Integration Policies. OMNES, 4(2), pp. 1-26.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Niessen, J., &amp; Huddleston, T. (2007). Setting up a system of benchmarking to measure the success of integration policies in Europe. EU: European Parliament.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Niessen, J., &amp; Huddleston, T. (Eds.). (2009). Legal Frameworks for the Integration of Third-Country Nationals: Martinus Nijhoff Publishers.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Oeppen, Ceri. (2010). Hopes, Needs, Rights &amp; Laws: How Do Governments and Citizens Manage Migration and Settlement? U.S.A.: Crabtree.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Olszewski, Laura. Michalec. (2012). Expansion of U.S. Immigration and Customs Enforcement's Criminal Alien Program in the War on Terror. California: Naval Postgraduate School.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Ovey, Clare., &amp; White, Robin. Jacobs. (2002). The European Convention on Human Rights. Oxford: Oxford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Park, John. S.W., &amp; Park, Edward. J.W. (2005). Probationary Americans : Contemporary Immigration Policies and the Shaping of Asian American Communities. New York : Routledge</w:t>
      </w:r>
      <w:r w:rsidR="00B920DC">
        <w:rPr>
          <w:sz w:val="24"/>
          <w:szCs w:val="24"/>
        </w:rPr>
        <w:t>.</w:t>
      </w:r>
      <w:r w:rsidRPr="002F19DE">
        <w:rPr>
          <w:sz w:val="24"/>
          <w:szCs w:val="24"/>
        </w:rPr>
        <w:t xml:space="preserv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Passel, Jeffrey S. &amp; Cohn, D’Vera. (2010). U.S. Unauthorized Immigration Flows Are Down Sharply Since Mid-Decade, NW: Pew Research Center, pp 1-3</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Pecoud, Antoine., &amp; Guchteneire, P. F. A. (2007). Migration Without Borders: Essays on the Free Movement of People. USA: Berghahn Books.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Penninx, R. (2005). Integration of migrants: Economic, social, cultural and political dimensions. The new demographic regime: Population challenges and policy responses, pp. 137-152.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Pratt, Anna. (2006). Securing Borders: Detention and Deportation in Canada. British Columbia :University of British Columbia</w:t>
      </w:r>
      <w:r w:rsidR="00B920DC">
        <w:rPr>
          <w:sz w:val="24"/>
          <w:szCs w:val="24"/>
        </w:rPr>
        <w:t>.</w:t>
      </w:r>
      <w:r w:rsidRPr="002F19DE">
        <w:rPr>
          <w:sz w:val="24"/>
          <w:szCs w:val="24"/>
        </w:rPr>
        <w:t xml:space="preserve">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Preston, William. (1994). Aliens and Dissenters: Federal Suppression of Radicals, 1903-1933. Illinois: University of Illinois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Publius, John. (2008). How To Report Immigration Violations. USA: CreateSpace Independent Publishing Platform.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Qureshi, Asim. (2010). Rules of the Game: Detention, Deportation, Disappearance. New York: Columbia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Recht, Charles. ( 2012). American Deportation and Exclusion Laws: A Report. USA: Forgotten Books.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Redpath, J.(2007). Biometrics and International Migration in R. Cholewinski, R. Perruchoud and E. MacDonald (Eds.), International Migration Law: Developing Paradigms and Key Challenges, The Hague :Asser Press, pp427-445.</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Reiss, Albert J., Jr. (1951). Delinquency as the Failure of Personal and Social Control. American Sociological Review 16: 196-207.</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Reiss, Albert J., Jr. (1951). Unraveling Juvenile Delinquency. II. An Appraisal of the Research Methods. American Journal of Sociology 57: 115-120.</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Reitz, J. G. (2004).Canada: Immigration and Nation-Building in the Transition to a Knowledge Economy. Controlling Immigration – A Global Perspective. Ed. Wayne A.Cornelius., et al. California: Stanford University.</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Renzetti, C（2009）., “Economic stress and domestic violence,” Harrisburg, PA: VAWnet: National Online Resource Center on Domestic Violence, pp. 77-80.</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Roberts, Barbara. (1988). Whence They Came : Deportation from Canada, 1900-1935. Ottawa : University of Ottawa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Robins, Lee N. (1966). Deviant Children Grown Up. Baltimore: Williams and Wilkins.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Robins, Lee N. (1978). Sturdy Childhood Predictors of Adult antisocial Behavior: Replications from Longitudinal Studies. Psychological Medicine 8: 611-622.</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Rogosa, David. (1988). Myths about Longitudinal Research. Pp. 171-209 in Methodological Issues in Aging Research, ed. K. W. Schaie, R. T. Campbell, W. Meredith. and S. C. Rawlings. New York: Springer.</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Roth, A. J. (1999). The Research Paper – Process, Form, and Content. Boston: Thomson Wadsworth.</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Rudiger, A., &amp; Spencer, S. (2003). Social integration of migrants and ethnic minorities: policies to combat discrimination. Paper presented at the Conference on the Economic and Social Aspects of Immigration organized by the European Commission and OECD.</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Rutter, Michael. (1988). Longitudinal Data in the Study of Causal Processes: Some Uses and Some Pitfalls. pp. 1-28 in Studies of Psychosocial Risk The Power of Longitudinal Data, ed. Michael Rutter. Cambridge: Cambridge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Salo, Sanna (2013). Access to Electoral Rights Finland. EUDO Citizenship Observatory: Florence, Italy. Retrieved from </w:t>
      </w:r>
      <w:hyperlink r:id="rId833" w:history="1">
        <w:r w:rsidRPr="00CE2331">
          <w:rPr>
            <w:rStyle w:val="a7"/>
            <w:rFonts w:cs="Times New Roman"/>
            <w:sz w:val="24"/>
            <w:szCs w:val="24"/>
            <w:lang w:eastAsia="zh-TW" w:bidi="ar-SA"/>
          </w:rPr>
          <w:t>http://eudo-citizenship.eu</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Sampson, Robert J. (1986). Effects of Socioeconomic Context on Official Reaction to Juvenile Delinquency. American Sociological Review 51: 876-885.</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Sampson, Robert J.(1987). Urban Black Violence: The Effect of Male Joblessness and Family Disruption. American Journal of Sociology 93: 348-382.</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Sampson, Robert J.(1988). Local Friendship Ties and Community Attachment in Mass Society: A Multi-Level Systemic Model. American Sociological Review 53: 766-779.</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Sampson, Robert J., and John H. Laub. (1990). Crime and Deviance over the Life Course: The Salience of Adult Social Bonds. American Sociological Review 55: 609-627.</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Sampson, Robert J., and John H. Laub. (1993). Crime in The Making : Pathway and Turning Points Through Life. Harvard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Sarat, Austin., Douglas, Lawrence., &amp; Umphrey, Martha. (2010). Law and the Stranger. California: Stanford Law Books.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Scaros, Constantinos. E. (2007). Learning about Immigration Law. New  York : Thomson Delmar Learning.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Senate of Congress of United States. (2010). To Amend the Immigration and Nationality Act to Facilitate the Apprehension, Detention, and Deportation of Criminal Aliens, and for Other Purposes. USA: BiblioGov.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Senate of Congress of United States. (2011). Establish Office of Children's Services Within Dept. of Justice to Coordinate Government Actions Involving Unaccompanied Alien Children. USA: BiblioGov.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Senate of Congress of United States. (2011). Strengthening Interior Enforcement: Deportation and Related Issues--- Joint Hearing Before the Subcommittee on Immigration, Border Security. USA: Books LLC.</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Seol, D. H. (2014). Immigration Policies in South Korea: On the Focus of Immigration Requirement and Incorporation to Korean Society. In W. Hofmeister, P. Rueppel, Y. Pascouau, &amp; A. Frontini (Eds.), Migration and Integration: Common Challenges and Responses from Europe and Asia (1 ed), Singapore: Konrad Adenauer Stiftung, pp. 73-98.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Shaw, Clifford R., and Henry Mckay. (1942). Juvenile Delinquency and Urban Areas. Chicago: University of Chicago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Sheikh, Iram. (2008). Racializing, Criminalizing, and Silencing 9/11 Deportees, pp81-107, in the Brotherton, David. C., &amp; Kretsedemas, Philip. (Eds.). Keeping Out the Other---A Critical Introduction to Immigration Enforcement Today. New York : Columbia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Sheikh, Irum. (2008). Racializing, Criminalizing, and Silencing 9/11 Deportees, pp 81-102, in Brotherton, David. C., &amp; Kretsedemas, Phiclip. (Eds.). Keeping Out the Other: A Critical Introduction to Immigration Enforcement Today. New York: Columbia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Shiekh, Irum. ( 2011). Detained without Cause: Muslims' Stories of Detention and Deportation in America after 9/11 (Palgrave Studies in Oral History). New York : Palgrave Macmillan</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Singapore Immigration &amp; Checkpoints Authority(2009). ICA annual report 2009, p65-70.</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Siskin, Alison. (2012). Immigration-Related Detention: Current Legislative Issues. USA: Congressional Research Service</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Sparke, Matthew. (2006). A Neoliberal Nexus： Citizenship, Security and the Future of the Border. Political Geograph, 25(2), pp151-180</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Spencer, S. (2011). Policy primer: integration. Migration Observatory.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Stana, Richard. M., &amp; Blume, James. M. (2000). Illegal Aliens: Opportunities Exist to Improve the Expedited Removal Process . U.S.A.: Diane Pub Co.</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Steiner, Josephine., Woods, Lorna., &amp; Twigg-Flesner, Christian. (2007). EU Law. Oxford:Oxford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Sutherland, Edwin H., and Chic Conwell. (1937). The Professional Thief. Chicago: University of Chicago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Sutherland, Edwin H., and Donald R. Cressey. (1978). Principles of Criminology. Philadelphia: J. B. Lippincott.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Swain, Carol. M. (2007). Debating Immigration. New York: Cambridge University Press.</w:t>
      </w:r>
    </w:p>
    <w:p w:rsidR="00893AB9" w:rsidRPr="002F19DE" w:rsidRDefault="00893AB9" w:rsidP="00B920DC">
      <w:pPr>
        <w:ind w:leftChars="0" w:left="0"/>
        <w:jc w:val="left"/>
        <w:rPr>
          <w:sz w:val="24"/>
          <w:szCs w:val="24"/>
        </w:rPr>
      </w:pPr>
      <w:r w:rsidRPr="002F19DE">
        <w:rPr>
          <w:rFonts w:hint="eastAsia"/>
          <w:sz w:val="24"/>
          <w:szCs w:val="24"/>
        </w:rPr>
        <w:t>◎</w:t>
      </w:r>
      <w:r w:rsidRPr="002F19DE">
        <w:rPr>
          <w:sz w:val="24"/>
          <w:szCs w:val="24"/>
        </w:rPr>
        <w:t xml:space="preserve">Taiwan courts foreign talent with Act for Recruitment and Employment of Foreign Professionals (part1), 22 January 2018. Retrieved from </w:t>
      </w:r>
      <w:hyperlink r:id="rId834" w:history="1">
        <w:r w:rsidRPr="00CE2331">
          <w:rPr>
            <w:rStyle w:val="a7"/>
            <w:rFonts w:cs="Times New Roman"/>
            <w:sz w:val="24"/>
            <w:szCs w:val="24"/>
            <w:lang w:eastAsia="zh-TW" w:bidi="ar-SA"/>
          </w:rPr>
          <w:t>https://startup.sme.gov.tw/</w:t>
        </w:r>
      </w:hyperlink>
    </w:p>
    <w:p w:rsidR="00893AB9" w:rsidRPr="002F19DE" w:rsidRDefault="00893AB9" w:rsidP="00B920DC">
      <w:pPr>
        <w:ind w:leftChars="0" w:left="0"/>
        <w:jc w:val="left"/>
        <w:rPr>
          <w:sz w:val="24"/>
          <w:szCs w:val="24"/>
        </w:rPr>
      </w:pPr>
      <w:r w:rsidRPr="002F19DE">
        <w:rPr>
          <w:rFonts w:hint="eastAsia"/>
          <w:sz w:val="24"/>
          <w:szCs w:val="24"/>
        </w:rPr>
        <w:t>◎</w:t>
      </w:r>
      <w:r w:rsidRPr="002F19DE">
        <w:rPr>
          <w:sz w:val="24"/>
          <w:szCs w:val="24"/>
        </w:rPr>
        <w:t>Tchoupitoulas, Claiborne. (2010). The Deportation Officer Handbook . USA: CreateSpace Independent Publishing Platform</w:t>
      </w:r>
      <w:r w:rsidR="00B920DC">
        <w:rPr>
          <w:sz w:val="24"/>
          <w:szCs w:val="24"/>
        </w:rPr>
        <w:t>.</w:t>
      </w:r>
    </w:p>
    <w:p w:rsidR="00893AB9" w:rsidRPr="002F19DE" w:rsidRDefault="00893AB9" w:rsidP="00B920DC">
      <w:pPr>
        <w:ind w:leftChars="0" w:left="0"/>
        <w:jc w:val="left"/>
        <w:rPr>
          <w:sz w:val="24"/>
          <w:szCs w:val="24"/>
        </w:rPr>
      </w:pPr>
      <w:r w:rsidRPr="002F19DE">
        <w:rPr>
          <w:rFonts w:hint="eastAsia"/>
          <w:sz w:val="24"/>
          <w:szCs w:val="24"/>
        </w:rPr>
        <w:t>◎</w:t>
      </w:r>
      <w:r w:rsidRPr="002F19DE">
        <w:rPr>
          <w:sz w:val="24"/>
          <w:szCs w:val="24"/>
        </w:rPr>
        <w:t>The Act for the Recruitment and Employment of Foreign Professionals Talent. 31 October.2017.</w:t>
      </w:r>
    </w:p>
    <w:p w:rsidR="00893AB9" w:rsidRPr="002F19DE" w:rsidRDefault="00893AB9" w:rsidP="00B920DC">
      <w:pPr>
        <w:ind w:leftChars="0" w:left="0"/>
        <w:jc w:val="left"/>
        <w:rPr>
          <w:sz w:val="24"/>
          <w:szCs w:val="24"/>
        </w:rPr>
      </w:pPr>
      <w:r w:rsidRPr="002F19DE">
        <w:rPr>
          <w:rFonts w:hint="eastAsia"/>
          <w:sz w:val="24"/>
          <w:szCs w:val="24"/>
        </w:rPr>
        <w:t>◎</w:t>
      </w:r>
      <w:r w:rsidRPr="002F19DE">
        <w:rPr>
          <w:sz w:val="24"/>
          <w:szCs w:val="24"/>
        </w:rPr>
        <w:t xml:space="preserve">The Constitution of Finland (1999). Retrieved from </w:t>
      </w:r>
      <w:hyperlink r:id="rId835" w:history="1">
        <w:r w:rsidRPr="00CE2331">
          <w:rPr>
            <w:rStyle w:val="a7"/>
            <w:rFonts w:cs="Times New Roman"/>
            <w:sz w:val="24"/>
            <w:szCs w:val="24"/>
            <w:lang w:eastAsia="zh-TW" w:bidi="ar-SA"/>
          </w:rPr>
          <w:t>http://www.finlex.fi/en/laki/kaannokset/ 1999/en19990731.pdf</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The Department of Homeland Security of United States. (2012). U.S. Immigration and Customs Enforcement Identification of Criminal Aliens in Federal and State Custody Eligible for Removal From the United States. U.S.A.: Books LLC.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The House of Representative of Congress of United States. (2010). To Strengthen Procedures Regarding Detention and Removal of Aliens. USA: BiblioGov.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The House of Representatives Committee on the Judiciary of Congress of U.S.A. (2011). Alien Gang Removal Act of 2005 by Subcommittee on Immigration, Border Security, and Claims . U.S.A: Ulan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The House of Representatives of Congress of U.S.A. (2010). Solving the OTM Undocumented Alien Problem: Expedited Removal for Apprehensions Along the U.S. Border. U.S.A.: BiblioGov</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The House of Representatives of Congress of U.S.A. (2010). To Amend the Immigration and Nationality Act to Permit Certain Long-Term Permanent Resident Aliens to Seek Cancellation of Removal under Such Act, and for Other Purposes. U.S.A: BiblioGov.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The House of Representatives of Congress of U.S.A. (2010). To Permit Certain Long-Term Permanent Resident Aliens to Seek Cancellation of Removal or Waiver of Inadmissibility under the Immigration and Nationality Act, and for Other Purposes. U.S.A.: BiblioGov.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The House of Representatives of Congress of U.S.A. (2011). Alien Removals Under Operation Predator: Hearing Before the Subcommittee on Immigration, Border Security. U.S.A.: Books LLC.</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The House of Representatives of Congress of U.S.A. (2011). To Amend the Immigration and Nationality Act to Adjust the Status of Aliens with Ties to the U.S. to That of an Alien Lawfully Admitted to Permanent---Affecting Removal of Aliens from the U.S. U.S.A.: BiblioGov.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The House of Representatives of Congress of U.S.A. (2011). To Amend the Immigration and Nationality Act to Bar the Admission, and Facilitate the Removal of Alien Terrorists and Their Supporters and Drug Traffickers, and Other Illegal Aliens. U.S.A.: BiblioGov</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The House of Representatives of Congress of U.S.A. (2012). Solving the OTM Undocumented Alien Problem: Expedited Removal for Apprehensions along the U.S. Border: Hearing before the Subcommittee on Economic. U.S.A.: Books LLC.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The Inspector General of Justice Office of the United States. (2003). The September 11 Detainees: A Review of the Treatment of Aliens Held on Immigration Charges in Connection With the Investigation of the September 11 . USA: William S Hein &amp; Co .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The Platform for International Cooperation on Undocumented Migrants (PICUM)(2013). PICUM Submission to the UN Committee on the Protection of the Rights of All Migrant Workers and Members of their Families---Day of General Discussion on the role of migration statistics for treaty reporting and migration policies, UN: Geneva, p1</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The Senate of Congress of U.S.A. (2010). An Act to Restore the Secretary of Homeland Security's Authority to Detain Dangerous Aliens, to Ensure the Removal of Deportable Criminal Aliens, and Combat Alien Gang Crime. U.S.A.: BiblioGov.</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The Senate of Congress of U.S.A. (2010). To Authorize the Cancellation of Removal and Adjustment of Status of Certain Alien Students Who Are Long-Term United States Residents. U.S.A.: BiblioGov.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Tiburcio, Carmen. (2001). The Human Rights of Aliens under International and Comparative law. New York : Springer.</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Tichenor, Daniel. J. (2002). Dividing Lines: The Politics of Immigration Control in America (Princeton Studies in American Politics). New Jersey : Princeton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Toynbee, Arnold. Joseph. (2010). The Belgian Deportations. USA: Nabu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U.S. Customs and Border Protection Office of Field Operations(2010). CBP Private Air APIS Guide. Version 2.0.</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Uehling, Greta. Lynn. (2004). Beyond Memory : the Crimean Tatars' Deportation and Return. New York : Palgrave Macmillan</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United Nations Office on Drug and Crime(2010). Smuggling of Migrants :A Global Review and Annotated Bibliography of Recent Publications, pp6-12.</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United Nations(2004). Combating Human Trafficking in Asia: A Resource Guide to International and Regional Legal Instruments, Political Commitments and Recommended Practices, United Nations.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Vaillant, George E. (1983). The Natural History of Alcoholism. Cambridge, Mass.: Harvard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Vaillant, George E. 1977. Adaptation to Life. Boston: Little, Brown.</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Varsanyi, Monica. (Ed.). (2010). Taking Local Control: Immigration Policy Activism in U.S. Cities and States. Stanford : Stanford University Press</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Vrachnas, John., Boyd, Kim., Bagaric, Mirko., &amp; Dimopoulos, Penny. (2008). Migration and Refugee Law: Principles and Practice in Australia. New York: Cambridge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Waldrauch, H., &amp; Hofinger, C. (1997). An index to measure the legal obstacles to the integration of migrants. Journal of Ethnic and Migration Studies, 23(2), pp. 271-285.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Walters, William. (2010). Deportation, Expulsion, and the International Police of Aliens, pp83-94, in the Nicholas De Genova &amp; Nathalie Peutz (Eds.). The Deportation Regime---Sovereignty, Space, and Freedom of Movement. U.S.A.: Duke University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Weissbrodt, David. (2005). Immigration Law and Procedure in a Nutshell. Minnesota : Thomson/West.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Weissbrodt, David. S. (2008). The Human Rights of Non-Citizens. New York: Oxford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Weissbrodt, David., &amp; Danielson, Laura. (2005). Immigration Law and Procedure. U.S.: Thomson West.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Welch, Michael. (2002). Detained: Immigration Laws and the Expanding I.N.S. Jail Complex. Philadelphia: Temple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Welch, Michael. (2005). Quiet Constructions in the War on Terror: Subjecting Asylum Seekers to Unnecessary Detention. USA: Thomson Gale</w:t>
      </w:r>
      <w:r w:rsidR="00B920DC">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West, Donald J., and David P. Farrington. (1973). Who Becomes Delinquent? London: Heinemann.</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Wheeler, Rachel. Sabates., &amp; Feldman, Rayah. (2011). Migration and Social Protection: Claiming Social Rights Beyond Borders. New York: Palgrave Macmillan.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White, Jennifer L., Terrie E. Moffitt, Feltou Earls, Lee N. Robins, and Phil A. Silva. (1990). How Early Can We Tell? Predictors of Childhood Conduct Disorder and Adolescent Delinquency. Criminology 28: 507-533.</w:t>
      </w:r>
    </w:p>
    <w:p w:rsidR="00893AB9" w:rsidRPr="002F19DE" w:rsidRDefault="00893AB9" w:rsidP="00B920DC">
      <w:pPr>
        <w:ind w:leftChars="0" w:left="0"/>
        <w:jc w:val="left"/>
        <w:rPr>
          <w:sz w:val="24"/>
          <w:szCs w:val="24"/>
        </w:rPr>
      </w:pPr>
      <w:r w:rsidRPr="002F19DE">
        <w:rPr>
          <w:rFonts w:hint="eastAsia"/>
          <w:sz w:val="24"/>
          <w:szCs w:val="24"/>
        </w:rPr>
        <w:t>◎</w:t>
      </w:r>
      <w:r w:rsidRPr="002F19DE">
        <w:rPr>
          <w:sz w:val="24"/>
          <w:szCs w:val="24"/>
        </w:rPr>
        <w:t xml:space="preserve">Wiki (2016). Election in Norway. Retrieved from </w:t>
      </w:r>
      <w:hyperlink r:id="rId836" w:history="1">
        <w:r w:rsidRPr="00CE2331">
          <w:rPr>
            <w:rStyle w:val="a7"/>
            <w:rFonts w:cs="Times New Roman"/>
            <w:sz w:val="24"/>
            <w:szCs w:val="24"/>
            <w:lang w:eastAsia="zh-TW" w:bidi="ar-SA"/>
          </w:rPr>
          <w:t>https://en.wikipedia.org/wiki/Elections_in_ Norway</w:t>
        </w:r>
      </w:hyperlink>
      <w:r w:rsidRPr="002F19DE">
        <w:rPr>
          <w:sz w:val="24"/>
          <w:szCs w:val="24"/>
        </w:rPr>
        <w:t>.</w:t>
      </w:r>
    </w:p>
    <w:p w:rsidR="00893AB9" w:rsidRPr="002F19DE" w:rsidRDefault="00893AB9" w:rsidP="00B920DC">
      <w:pPr>
        <w:ind w:leftChars="0" w:left="0"/>
        <w:jc w:val="left"/>
        <w:rPr>
          <w:sz w:val="24"/>
          <w:szCs w:val="24"/>
        </w:rPr>
      </w:pPr>
      <w:r w:rsidRPr="002F19DE">
        <w:rPr>
          <w:rFonts w:hint="eastAsia"/>
          <w:sz w:val="24"/>
          <w:szCs w:val="24"/>
        </w:rPr>
        <w:t>◎</w:t>
      </w:r>
      <w:r w:rsidRPr="002F19DE">
        <w:rPr>
          <w:sz w:val="24"/>
          <w:szCs w:val="24"/>
        </w:rPr>
        <w:t xml:space="preserve">Wiki (2016). Election in Sweden. Retrieved from </w:t>
      </w:r>
      <w:hyperlink r:id="rId837" w:history="1">
        <w:r w:rsidRPr="00CE2331">
          <w:rPr>
            <w:rStyle w:val="a7"/>
            <w:rFonts w:cs="Times New Roman"/>
            <w:sz w:val="24"/>
            <w:szCs w:val="24"/>
            <w:lang w:eastAsia="zh-TW" w:bidi="ar-SA"/>
          </w:rPr>
          <w:t>htt</w:t>
        </w:r>
        <w:r w:rsidR="00CE2331" w:rsidRPr="00CE2331">
          <w:rPr>
            <w:rStyle w:val="a7"/>
            <w:rFonts w:cs="Times New Roman"/>
            <w:sz w:val="24"/>
            <w:szCs w:val="24"/>
            <w:lang w:eastAsia="zh-TW" w:bidi="ar-SA"/>
          </w:rPr>
          <w:t>p</w:t>
        </w:r>
        <w:r w:rsidRPr="00CE2331">
          <w:rPr>
            <w:rStyle w:val="a7"/>
            <w:rFonts w:cs="Times New Roman"/>
            <w:sz w:val="24"/>
            <w:szCs w:val="24"/>
            <w:lang w:eastAsia="zh-TW" w:bidi="ar-SA"/>
          </w:rPr>
          <w:t>://en.m.wikipedia.org/wiki/Elections_ in_Sweden</w:t>
        </w:r>
      </w:hyperlink>
      <w:r w:rsidRPr="002F19DE">
        <w:rPr>
          <w:sz w:val="24"/>
          <w:szCs w:val="24"/>
        </w:rPr>
        <w:t>.</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Wilborn, Derrick. R. (2006). USCS Court Rules: Court of International Trade, United States Tax Court, Military Courts, Rail Reorganization Court, Veterans Claims Court, Alien Terrorist Removal Court, Foreign Intelligence Surveillance Court. New Jersey: LexisNexis.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Wilkins, Leslie T. (1969). Data and Delinquency. Yale Law Journal 78: 731-737.</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Wilsher, Daniel. (2011). Immigration Detention: Law, History, Politics . New York: Cambridge University Press. </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Wilson, William Julius. (1987). The Truly Disadvantaged: The lnner City, the Underclass, and Public Policy. Chicago: University of Chicago Press.</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World Economic Forum: Global Information Technology Reports; (2015), Retrieved from Reports.weforum.org/global-information.</w:t>
      </w:r>
    </w:p>
    <w:p w:rsidR="00893AB9" w:rsidRPr="002F19DE" w:rsidRDefault="00893AB9" w:rsidP="002F19DE">
      <w:pPr>
        <w:ind w:leftChars="0" w:left="0"/>
        <w:rPr>
          <w:sz w:val="24"/>
          <w:szCs w:val="24"/>
        </w:rPr>
      </w:pPr>
      <w:r w:rsidRPr="002F19DE">
        <w:rPr>
          <w:rFonts w:hint="eastAsia"/>
          <w:sz w:val="24"/>
          <w:szCs w:val="24"/>
        </w:rPr>
        <w:t>◎</w:t>
      </w:r>
      <w:r w:rsidRPr="002F19DE">
        <w:rPr>
          <w:sz w:val="24"/>
          <w:szCs w:val="24"/>
        </w:rPr>
        <w:t xml:space="preserve">Worthington, Andy. ( 2007). The Guantanamo Files: The Stories of the 774 Detainees in America's Illegal Prison . Ann Arbor: Pluto Press. </w:t>
      </w:r>
    </w:p>
    <w:p w:rsidR="0049577B" w:rsidRPr="002F19DE" w:rsidRDefault="00893AB9" w:rsidP="002F19DE">
      <w:pPr>
        <w:ind w:leftChars="0" w:left="0"/>
        <w:rPr>
          <w:sz w:val="24"/>
          <w:szCs w:val="24"/>
        </w:rPr>
      </w:pPr>
      <w:r w:rsidRPr="002F19DE">
        <w:rPr>
          <w:rFonts w:hint="eastAsia"/>
          <w:sz w:val="24"/>
          <w:szCs w:val="24"/>
        </w:rPr>
        <w:t>◎</w:t>
      </w:r>
      <w:r w:rsidRPr="002F19DE">
        <w:rPr>
          <w:sz w:val="24"/>
          <w:szCs w:val="24"/>
        </w:rPr>
        <w:t>Yates, Megan. A. (2011). Immigrants and Illegal Aliens: Removal, Deterrence and Detention Issues (American Political, Economic, and Security Issues). New York: Nova Science Pub Inc</w:t>
      </w:r>
      <w:r w:rsidR="00B920DC">
        <w:rPr>
          <w:sz w:val="24"/>
          <w:szCs w:val="24"/>
        </w:rPr>
        <w:t>.</w:t>
      </w:r>
    </w:p>
    <w:p w:rsidR="0049577B" w:rsidRPr="00B40DC1" w:rsidRDefault="0049577B" w:rsidP="000D26BB">
      <w:pPr>
        <w:pStyle w:val="af5"/>
      </w:pPr>
    </w:p>
    <w:p w:rsidR="0049577B" w:rsidRPr="00B40DC1" w:rsidRDefault="00CE2331" w:rsidP="00CE2331">
      <w:pPr>
        <w:jc w:val="right"/>
      </w:pPr>
      <w:r w:rsidRPr="00D45AD2">
        <w:rPr>
          <w:rFonts w:hint="eastAsia"/>
          <w:sz w:val="22"/>
        </w:rPr>
        <w:t>。。。。。。。。。。。。。。。。。。。。。。。。。</w:t>
      </w:r>
      <w:hyperlink w:anchor="top" w:history="1">
        <w:r w:rsidRPr="00D45AD2">
          <w:rPr>
            <w:rStyle w:val="a7"/>
            <w:sz w:val="22"/>
          </w:rPr>
          <w:t>回首頁</w:t>
        </w:r>
      </w:hyperlink>
      <w:r w:rsidRPr="00D45AD2">
        <w:rPr>
          <w:color w:val="808000"/>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9577B" w:rsidRPr="00B40DC1" w:rsidTr="00CE2331">
        <w:tc>
          <w:tcPr>
            <w:tcW w:w="9634" w:type="dxa"/>
            <w:shd w:val="clear" w:color="auto" w:fill="auto"/>
          </w:tcPr>
          <w:p w:rsidR="00CE2331" w:rsidRDefault="00CE2331" w:rsidP="00CE2331">
            <w:pPr>
              <w:spacing w:line="240" w:lineRule="auto"/>
              <w:ind w:leftChars="0" w:left="0" w:rightChars="0" w:right="0"/>
            </w:pPr>
            <w:r>
              <w:rPr>
                <w:rFonts w:hint="eastAsia"/>
              </w:rPr>
              <w:t>書名：臺灣邁向世界強國與富國之捷徑：從建構優質之移民政策與法制出發</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編著者：柯雨瑞孟維德蔡政杰李佳樺</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主編：柯雨瑞孟維德蔡政杰李佳樺</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發行人：柯雨瑞孟維德蔡政杰李佳樺</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出版者：柯雨瑞</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地址：</w:t>
            </w:r>
            <w:r>
              <w:t>33304桃園市龜山區大崗里6鄰樹人路56號中央警察大學國境警察學系</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電話：（</w:t>
            </w:r>
            <w:r>
              <w:t>03）3282321轉4543</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傳真：（</w:t>
            </w:r>
            <w:r>
              <w:t>03）3282321轉4303</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電子郵件：</w:t>
            </w:r>
            <w:r>
              <w:t>ko@mail.cpu.edu.tw</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網址：無</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出版年月：</w:t>
            </w:r>
            <w:r>
              <w:t>2018</w:t>
            </w:r>
            <w:r>
              <w:rPr>
                <w:rFonts w:hint="eastAsia"/>
              </w:rPr>
              <w:t>年</w:t>
            </w:r>
            <w:r>
              <w:t>06月初版</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定價：</w:t>
            </w:r>
            <w:r>
              <w:t>500元</w:t>
            </w:r>
            <w:r w:rsidRPr="00CE2331">
              <w:rPr>
                <w:rFonts w:hint="eastAsia"/>
                <w:color w:val="FFFFFF" w:themeColor="background1"/>
              </w:rPr>
              <w:t>*</w:t>
            </w:r>
          </w:p>
          <w:p w:rsidR="00CE2331" w:rsidRDefault="00CE2331" w:rsidP="00CE2331">
            <w:pPr>
              <w:spacing w:line="240" w:lineRule="auto"/>
              <w:ind w:leftChars="0" w:left="0" w:rightChars="0" w:right="0"/>
            </w:pPr>
            <w:r>
              <w:t>ISBN（PDF）：978-957-435-7376</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展售處：</w:t>
            </w:r>
            <w:r>
              <w:t>33304桃園市龜山區大崗里6鄰樹人路56號中央警察大學國境警察學系研究大樓413研究室（作者自售）</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電子書設計製作：柯雨瑞</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設計製作：柯雨瑞</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地址：</w:t>
            </w:r>
            <w:r>
              <w:t>33304桃園市龜山區大崗里6鄰樹人路56號中央警察大學國境警察學系研究大樓413研究室</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電話：（</w:t>
            </w:r>
            <w:r>
              <w:t>03）3282321轉4543</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電子郵件：</w:t>
            </w:r>
            <w:r>
              <w:t>ko@mail.cpu.edu.tw</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網址：柯雨瑞教授網站</w:t>
            </w:r>
            <w:r>
              <w:t>:</w:t>
            </w:r>
            <w:hyperlink r:id="rId838" w:history="1">
              <w:r w:rsidRPr="00CE2331">
                <w:rPr>
                  <w:rStyle w:val="a7"/>
                  <w:rFonts w:cs="Times New Roman"/>
                  <w:lang w:eastAsia="zh-TW" w:bidi="ar-SA"/>
                </w:rPr>
                <w:t>https://www.koko.url.tw/</w:t>
              </w:r>
            </w:hyperlink>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銷售平臺：</w:t>
            </w:r>
            <w:r>
              <w:t>33304桃園市龜山區大崗里6鄰樹人路56號中央警察大學國境警察學系研究大樓413研究室（作者自售）</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電子書播放資訊：</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作業系統：</w:t>
            </w:r>
            <w:r>
              <w:t>Window系統</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檔案格式：</w:t>
            </w:r>
            <w:r>
              <w:t>PDF</w:t>
            </w:r>
            <w:r w:rsidRPr="00CE2331">
              <w:rPr>
                <w:rFonts w:hint="eastAsia"/>
                <w:color w:val="FFFFFF" w:themeColor="background1"/>
              </w:rPr>
              <w:t>*</w:t>
            </w:r>
          </w:p>
          <w:p w:rsidR="00CE2331" w:rsidRDefault="00CE2331" w:rsidP="00CE2331">
            <w:pPr>
              <w:spacing w:line="240" w:lineRule="auto"/>
              <w:ind w:leftChars="0" w:left="0" w:rightChars="0" w:right="0"/>
            </w:pPr>
            <w:r>
              <w:rPr>
                <w:rFonts w:hint="eastAsia"/>
              </w:rPr>
              <w:t>檔案內容：</w:t>
            </w:r>
            <w:r>
              <w:t>PDF</w:t>
            </w:r>
            <w:r w:rsidRPr="00CE2331">
              <w:rPr>
                <w:rFonts w:hint="eastAsia"/>
                <w:color w:val="FFFFFF" w:themeColor="background1"/>
              </w:rPr>
              <w:t>*</w:t>
            </w:r>
          </w:p>
          <w:p w:rsidR="0049577B" w:rsidRPr="00B40DC1" w:rsidRDefault="00CE2331" w:rsidP="00CE2331">
            <w:pPr>
              <w:spacing w:line="240" w:lineRule="auto"/>
              <w:ind w:leftChars="0" w:left="0" w:rightChars="0" w:right="0"/>
            </w:pPr>
            <w:r>
              <w:rPr>
                <w:rFonts w:hint="eastAsia"/>
              </w:rPr>
              <w:t>播放軟體：</w:t>
            </w:r>
            <w:r>
              <w:t>Adobe Reader</w:t>
            </w:r>
            <w:r w:rsidRPr="00CE2331">
              <w:rPr>
                <w:rFonts w:hint="eastAsia"/>
                <w:color w:val="FFFFFF" w:themeColor="background1"/>
              </w:rPr>
              <w:t>*</w:t>
            </w:r>
          </w:p>
        </w:tc>
      </w:tr>
    </w:tbl>
    <w:p w:rsidR="0049577B" w:rsidRPr="00B40DC1" w:rsidRDefault="0049577B" w:rsidP="000D26BB"/>
    <w:p w:rsidR="0019115F" w:rsidRDefault="0019115F" w:rsidP="000D26BB"/>
    <w:p w:rsidR="00EB4523" w:rsidRDefault="00EB4523" w:rsidP="000D26BB"/>
    <w:p w:rsidR="00EB4523" w:rsidRPr="00D45AD2" w:rsidRDefault="00EB4523" w:rsidP="00EB4523">
      <w:pPr>
        <w:jc w:val="right"/>
        <w:rPr>
          <w:sz w:val="22"/>
        </w:rPr>
      </w:pPr>
      <w:r w:rsidRPr="00D45AD2">
        <w:rPr>
          <w:rFonts w:hint="eastAsia"/>
          <w:sz w:val="22"/>
        </w:rPr>
        <w:t>。。。。。。。。。。。。。。。。。。。。。。。。。</w:t>
      </w:r>
      <w:hyperlink w:anchor="top" w:history="1">
        <w:r w:rsidRPr="00D45AD2">
          <w:rPr>
            <w:rStyle w:val="a7"/>
            <w:sz w:val="22"/>
          </w:rPr>
          <w:t>回首頁</w:t>
        </w:r>
      </w:hyperlink>
      <w:r w:rsidRPr="00D45AD2">
        <w:rPr>
          <w:color w:val="808000"/>
          <w:sz w:val="22"/>
        </w:rPr>
        <w:t>〉〉</w:t>
      </w:r>
    </w:p>
    <w:p w:rsidR="00EB4523" w:rsidRPr="00B40DC1" w:rsidRDefault="00EB4523" w:rsidP="000D26BB"/>
    <w:sectPr w:rsidR="00EB4523" w:rsidRPr="00B40DC1" w:rsidSect="002F19DE">
      <w:footerReference w:type="even" r:id="rId839"/>
      <w:footerReference w:type="default" r:id="rId840"/>
      <w:pgSz w:w="11906" w:h="16838"/>
      <w:pgMar w:top="851" w:right="991" w:bottom="851"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0832" w:rsidRDefault="00340832" w:rsidP="000D26BB">
      <w:r>
        <w:separator/>
      </w:r>
    </w:p>
  </w:endnote>
  <w:endnote w:type="continuationSeparator" w:id="0">
    <w:p w:rsidR="00340832" w:rsidRDefault="00340832" w:rsidP="000D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ongti TC">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imes NR MT">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DFMingUBold-B5">
    <w:altName w:val="新細明體"/>
    <w:panose1 w:val="00000000000000000000"/>
    <w:charset w:val="88"/>
    <w:family w:val="roman"/>
    <w:notTrueType/>
    <w:pitch w:val="default"/>
    <w:sig w:usb0="00000001" w:usb1="08080000" w:usb2="00000010" w:usb3="00000000" w:csb0="00100000" w:csb1="00000000"/>
  </w:font>
  <w:font w:name="Vrinda">
    <w:panose1 w:val="020B0609010101010101"/>
    <w:charset w:val="00"/>
    <w:family w:val="swiss"/>
    <w:pitch w:val="variable"/>
    <w:sig w:usb0="00010003" w:usb1="00000000" w:usb2="00000000" w:usb3="00000000" w:csb0="00000001" w:csb1="00000000"/>
  </w:font>
  <w:font w:name="sөũ">
    <w:altName w:val="Times New Roman"/>
    <w:panose1 w:val="00000000000000000000"/>
    <w:charset w:val="00"/>
    <w:family w:val="roman"/>
    <w:notTrueType/>
    <w:pitch w:val="default"/>
  </w:font>
  <w:font w:name="華康仿宋體">
    <w:altName w:val="Arial Unicode MS"/>
    <w:charset w:val="88"/>
    <w:family w:val="modern"/>
    <w:pitch w:val="fixed"/>
    <w:sig w:usb0="00000001" w:usb1="08080000" w:usb2="00000010" w:usb3="00000000" w:csb0="00100000" w:csb1="00000000"/>
  </w:font>
  <w:font w:name="Courier New">
    <w:panose1 w:val="02070309020205020404"/>
    <w:charset w:val="00"/>
    <w:family w:val="modern"/>
    <w:pitch w:val="fixed"/>
    <w:sig w:usb0="20002A87" w:usb1="00000000" w:usb2="00000000" w:usb3="00000000" w:csb0="000001FF" w:csb1="00000000"/>
  </w:font>
  <w:font w:name="華康細明體">
    <w:altName w:val="Arial Unicode MS"/>
    <w:charset w:val="88"/>
    <w:family w:val="modern"/>
    <w:pitch w:val="fixed"/>
    <w:sig w:usb0="80000001" w:usb1="28091800" w:usb2="00000016" w:usb3="00000000" w:csb0="00100000" w:csb1="00000000"/>
  </w:font>
  <w:font w:name="華康楷書體W5">
    <w:altName w:val="Arial Unicode MS"/>
    <w:charset w:val="88"/>
    <w:family w:val="modern"/>
    <w:pitch w:val="fixed"/>
    <w:sig w:usb0="80000001" w:usb1="28091800" w:usb2="00000016" w:usb3="00000000" w:csb0="00100000" w:csb1="00000000"/>
  </w:font>
  <w:font w:name="華康隸書體W5">
    <w:altName w:val="Arial Unicode MS"/>
    <w:charset w:val="88"/>
    <w:family w:val="script"/>
    <w:pitch w:val="fixed"/>
    <w:sig w:usb0="80000001" w:usb1="28091800" w:usb2="00000016" w:usb3="00000000" w:csb0="00100000" w:csb1="00000000"/>
  </w:font>
  <w:font w:name="Meiryo">
    <w:charset w:val="80"/>
    <w:family w:val="swiss"/>
    <w:pitch w:val="variable"/>
    <w:sig w:usb0="E00002FF" w:usb1="6AC7FFFF" w:usb2="08000012" w:usb3="00000000" w:csb0="0002009F" w:csb1="00000000"/>
  </w:font>
  <w:font w:name="Times New Rom B">
    <w:altName w:val="Times New Roman"/>
    <w:charset w:val="00"/>
    <w:family w:val="auto"/>
    <w:pitch w:val="variable"/>
    <w:sig w:usb0="00000001" w:usb1="00000000" w:usb2="00000000" w:usb3="00000000" w:csb0="0000001B" w:csb1="00000000"/>
  </w:font>
  <w:font w:name="華康特粗明體">
    <w:altName w:val="Arial Unicode MS"/>
    <w:charset w:val="88"/>
    <w:family w:val="modern"/>
    <w:pitch w:val="fixed"/>
    <w:sig w:usb0="00000000" w:usb1="08080000" w:usb2="00000010" w:usb3="00000000" w:csb0="00100000" w:csb1="00000000"/>
  </w:font>
  <w:font w:name="華康中圓體">
    <w:altName w:val="Arial Unicode MS"/>
    <w:charset w:val="88"/>
    <w:family w:val="modern"/>
    <w:pitch w:val="fixed"/>
    <w:sig w:usb0="00000000" w:usb1="28091800" w:usb2="00000016" w:usb3="00000000" w:csb0="00100000" w:csb1="00000000"/>
  </w:font>
  <w:font w:name="華康粗明體">
    <w:altName w:val="Arial Unicode MS"/>
    <w:charset w:val="88"/>
    <w:family w:val="modern"/>
    <w:pitch w:val="fixed"/>
    <w:sig w:usb0="00000001" w:usb1="28091800" w:usb2="00000016" w:usb3="00000000" w:csb0="00100000" w:csb1="00000000"/>
  </w:font>
  <w:font w:name="華康中黑體">
    <w:altName w:val="Arial Unicode MS"/>
    <w:panose1 w:val="00000000000000000000"/>
    <w:charset w:val="88"/>
    <w:family w:val="modern"/>
    <w:notTrueType/>
    <w:pitch w:val="fixed"/>
    <w:sig w:usb0="00000001" w:usb1="08080000" w:usb2="00000010" w:usb3="00000000" w:csb0="00100000" w:csb1="00000000"/>
  </w:font>
  <w:font w:name="華康新特明體">
    <w:altName w:val="Arial Unicode MS"/>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華康中明體">
    <w:charset w:val="88"/>
    <w:family w:val="modern"/>
    <w:pitch w:val="fixed"/>
    <w:sig w:usb0="80000001" w:usb1="28091800" w:usb2="00000016" w:usb3="00000000" w:csb0="00100000" w:csb1="00000000"/>
  </w:font>
  <w:font w:name="Angsana New">
    <w:panose1 w:val="02020603050405020304"/>
    <w:charset w:val="DE"/>
    <w:family w:val="roman"/>
    <w:pitch w:val="variable"/>
    <w:sig w:usb0="81000003" w:usb1="00000000" w:usb2="00000000" w:usb3="00000000" w:csb0="00010001" w:csb1="00000000"/>
  </w:font>
  <w:font w:name="Adobe Caslon Pro">
    <w:panose1 w:val="00000000000000000000"/>
    <w:charset w:val="00"/>
    <w:family w:val="roman"/>
    <w:notTrueType/>
    <w:pitch w:val="variable"/>
    <w:sig w:usb0="00000007" w:usb1="00000001" w:usb2="00000000" w:usb3="00000000" w:csb0="00000093" w:csb1="00000000"/>
  </w:font>
  <w:font w:name="Bell Centennial Std SubCaption">
    <w:altName w:val="細明體"/>
    <w:panose1 w:val="00000000000000000000"/>
    <w:charset w:val="88"/>
    <w:family w:val="swiss"/>
    <w:notTrueType/>
    <w:pitch w:val="default"/>
    <w:sig w:usb0="00000001" w:usb1="08080000" w:usb2="00000010" w:usb3="00000000" w:csb0="00100000" w:csb1="00000000"/>
  </w:font>
  <w:font w:name="Myriad Pro">
    <w:panose1 w:val="00000000000000000000"/>
    <w:charset w:val="00"/>
    <w:family w:val="swiss"/>
    <w:notTrueType/>
    <w:pitch w:val="variable"/>
    <w:sig w:usb0="20000287" w:usb1="00000001" w:usb2="00000000" w:usb3="00000000" w:csb0="0000019F" w:csb1="00000000"/>
  </w:font>
  <w:font w:name="simsong">
    <w:altName w:val="Times New Roman"/>
    <w:panose1 w:val="00000000000000000000"/>
    <w:charset w:val="00"/>
    <w:family w:val="roman"/>
    <w:notTrueType/>
    <w:pitch w:val="default"/>
  </w:font>
  <w:font w:name="Futura Book">
    <w:altName w:val="Arial Unicode MS"/>
    <w:panose1 w:val="00000000000000000000"/>
    <w:charset w:val="88"/>
    <w:family w:val="swiss"/>
    <w:notTrueType/>
    <w:pitch w:val="default"/>
    <w:sig w:usb0="00000001" w:usb1="08080000" w:usb2="00000010" w:usb3="00000000" w:csb0="00100000" w:csb1="00000000"/>
  </w:font>
  <w:font w:name="華康細明體(P)">
    <w:altName w:val="Arial Unicode MS"/>
    <w:panose1 w:val="020B0609010101010101"/>
    <w:charset w:val="88"/>
    <w:family w:val="roman"/>
    <w:pitch w:val="variable"/>
    <w:sig w:usb0="00000000" w:usb1="28091800" w:usb2="00000016" w:usb3="00000000" w:csb0="00100000" w:csb1="00000000"/>
  </w:font>
  <w:font w:name="Century">
    <w:panose1 w:val="02040604050505020304"/>
    <w:charset w:val="00"/>
    <w:family w:val="roman"/>
    <w:pitch w:val="variable"/>
    <w:sig w:usb0="00000287" w:usb1="00000000" w:usb2="00000000" w:usb3="00000000" w:csb0="0000009F" w:csb1="00000000"/>
  </w:font>
  <w:font w:name="Noto Sans CJK JP Regular">
    <w:altName w:val="Arial"/>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FEF" w:rsidRDefault="00657FEF" w:rsidP="000D26BB">
    <w:pPr>
      <w:pStyle w:val="ab"/>
      <w:rPr>
        <w:rStyle w:val="ad"/>
      </w:rPr>
    </w:pPr>
    <w:r>
      <w:rPr>
        <w:rStyle w:val="ad"/>
      </w:rPr>
      <w:fldChar w:fldCharType="begin"/>
    </w:r>
    <w:r>
      <w:rPr>
        <w:rStyle w:val="ad"/>
      </w:rPr>
      <w:instrText xml:space="preserve">PAGE  </w:instrText>
    </w:r>
    <w:r>
      <w:rPr>
        <w:rStyle w:val="ad"/>
      </w:rPr>
      <w:fldChar w:fldCharType="end"/>
    </w:r>
  </w:p>
  <w:p w:rsidR="00657FEF" w:rsidRDefault="00657FEF" w:rsidP="000D26BB">
    <w:pPr>
      <w:pStyle w:val="ab"/>
    </w:pPr>
  </w:p>
  <w:p w:rsidR="00657FEF" w:rsidRDefault="00657FEF" w:rsidP="000D26B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FEF" w:rsidRPr="00FF6603" w:rsidRDefault="00657FEF" w:rsidP="00FF6603">
    <w:pPr>
      <w:pStyle w:val="ab"/>
      <w:framePr w:wrap="around" w:vAnchor="text" w:hAnchor="margin" w:xAlign="right" w:y="1"/>
      <w:rPr>
        <w:rStyle w:val="ad"/>
        <w:sz w:val="20"/>
      </w:rPr>
    </w:pPr>
    <w:r w:rsidRPr="00FF6603">
      <w:rPr>
        <w:rStyle w:val="ad"/>
        <w:sz w:val="20"/>
      </w:rPr>
      <w:fldChar w:fldCharType="begin"/>
    </w:r>
    <w:r w:rsidRPr="00FF6603">
      <w:rPr>
        <w:rStyle w:val="ad"/>
        <w:sz w:val="20"/>
      </w:rPr>
      <w:instrText xml:space="preserve">PAGE  </w:instrText>
    </w:r>
    <w:r w:rsidRPr="00FF6603">
      <w:rPr>
        <w:rStyle w:val="ad"/>
        <w:sz w:val="20"/>
      </w:rPr>
      <w:fldChar w:fldCharType="separate"/>
    </w:r>
    <w:r w:rsidRPr="00FF6603">
      <w:rPr>
        <w:rStyle w:val="ad"/>
        <w:sz w:val="20"/>
      </w:rPr>
      <w:t>1</w:t>
    </w:r>
    <w:r w:rsidRPr="00FF6603">
      <w:rPr>
        <w:rStyle w:val="ad"/>
        <w:sz w:val="20"/>
      </w:rPr>
      <w:fldChar w:fldCharType="end"/>
    </w:r>
  </w:p>
  <w:p w:rsidR="00657FEF" w:rsidRPr="00F07A6D" w:rsidRDefault="00657FEF" w:rsidP="00FF6603">
    <w:pPr>
      <w:pStyle w:val="23"/>
    </w:pPr>
    <w:r w:rsidRPr="00F07A6D">
      <w:rPr>
        <w:rFonts w:hint="eastAsia"/>
      </w:rPr>
      <w:t>〈〈</w:t>
    </w:r>
    <w:r w:rsidR="008760FC" w:rsidRPr="00F07A6D">
      <w:rPr>
        <w:rFonts w:hint="eastAsia"/>
      </w:rPr>
      <w:t>臺灣邁向世界強國與富國之捷徑：從建構優質之移民政策與法制出發</w:t>
    </w:r>
    <w:r w:rsidRPr="00F07A6D">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0832" w:rsidRDefault="00340832" w:rsidP="000D26BB">
      <w:r>
        <w:separator/>
      </w:r>
    </w:p>
  </w:footnote>
  <w:footnote w:type="continuationSeparator" w:id="0">
    <w:p w:rsidR="00340832" w:rsidRDefault="00340832" w:rsidP="000D26BB">
      <w:r>
        <w:continuationSeparator/>
      </w:r>
    </w:p>
  </w:footnote>
  <w:footnote w:id="1">
    <w:p w:rsidR="00657FEF" w:rsidRPr="007D602F" w:rsidRDefault="00657FEF" w:rsidP="00992AB6">
      <w:pPr>
        <w:pStyle w:val="5"/>
      </w:pPr>
      <w:r w:rsidRPr="00C2709C">
        <w:rPr>
          <w:rStyle w:val="af7"/>
          <w:rFonts w:cs="Arial Unicode MS"/>
          <w:szCs w:val="20"/>
        </w:rPr>
        <w:footnoteRef/>
      </w:r>
      <w:r w:rsidRPr="007D602F">
        <w:t xml:space="preserve"> N ational  Foundation  F O R  A merican  Policy (2017), Immigrants and Nobel Prizes: 1901-2017, N F A P  P O L I C Y  B R I E F  O C T O B E R 2017 </w:t>
      </w:r>
      <w:r w:rsidRPr="0059552B">
        <w:rPr>
          <w:rStyle w:val="a7"/>
          <w:rFonts w:ascii="Arial Unicode MS" w:eastAsia="新細明體" w:hAnsi="Arial Unicode MS" w:cs="Calibri"/>
          <w:color w:val="5F5F5F"/>
          <w:kern w:val="2"/>
          <w:sz w:val="18"/>
        </w:rPr>
        <w:t>,</w:t>
      </w:r>
      <w:hyperlink r:id="rId1" w:history="1">
        <w:r w:rsidRPr="0059552B">
          <w:rPr>
            <w:rStyle w:val="a7"/>
            <w:rFonts w:ascii="Arial Unicode MS" w:eastAsia="新細明體" w:hAnsi="Arial Unicode MS" w:cs="Calibri"/>
            <w:color w:val="5F5F5F"/>
            <w:kern w:val="2"/>
            <w:sz w:val="18"/>
          </w:rPr>
          <w:t>https://nfap.com/wp-content/uploads/2017/10/Immigrants-and-Nobel-Prizes-1901-to-2017.NFAP-Policy-Brief.October-20171.pdf</w:t>
        </w:r>
      </w:hyperlink>
      <w:r w:rsidRPr="007D602F">
        <w:t xml:space="preserve">. </w:t>
      </w:r>
    </w:p>
  </w:footnote>
  <w:footnote w:id="2">
    <w:p w:rsidR="00657FEF" w:rsidRPr="007D602F" w:rsidRDefault="00657FEF" w:rsidP="00992AB6">
      <w:pPr>
        <w:pStyle w:val="5"/>
      </w:pPr>
      <w:r w:rsidRPr="00C2709C">
        <w:rPr>
          <w:rStyle w:val="af7"/>
          <w:rFonts w:cs="Arial Unicode MS"/>
          <w:szCs w:val="20"/>
        </w:rPr>
        <w:footnoteRef/>
      </w:r>
      <w:r w:rsidRPr="007D602F">
        <w:t xml:space="preserve"> N ational  Foundation  F O R  A merican  Policy (2017), Immigrants and Nobel Prizes: 1901-2017, N F A P  P O L I C Y  B R I E F  O C T O B E R 2017 ,</w:t>
      </w:r>
      <w:hyperlink r:id="rId2" w:history="1">
        <w:r w:rsidRPr="0059552B">
          <w:rPr>
            <w:rStyle w:val="a7"/>
            <w:rFonts w:ascii="Arial Unicode MS" w:eastAsia="新細明體" w:hAnsi="Arial Unicode MS" w:cs="Calibri"/>
            <w:color w:val="5F5F5F"/>
            <w:kern w:val="2"/>
            <w:sz w:val="18"/>
          </w:rPr>
          <w:t>https://nfap.com/wp-content/uploads/2017/10/Immigrants-and-Nobel-Prizes-1901-to-2017.NFAP-Policy-Brief.October-20171.pdf</w:t>
        </w:r>
      </w:hyperlink>
      <w:r w:rsidRPr="007D602F">
        <w:t xml:space="preserve">. </w:t>
      </w:r>
    </w:p>
  </w:footnote>
  <w:footnote w:id="3">
    <w:p w:rsidR="00657FEF" w:rsidRPr="007D602F" w:rsidRDefault="00657FEF" w:rsidP="00992AB6">
      <w:pPr>
        <w:pStyle w:val="5"/>
        <w:rPr>
          <w:lang w:eastAsia="zh-TW"/>
        </w:rPr>
      </w:pPr>
      <w:r w:rsidRPr="00196078">
        <w:rPr>
          <w:rStyle w:val="af7"/>
          <w:rFonts w:cs="Arial Unicode MS"/>
          <w:szCs w:val="20"/>
        </w:rPr>
        <w:footnoteRef/>
      </w:r>
      <w:r w:rsidRPr="007D602F">
        <w:rPr>
          <w:lang w:eastAsia="zh-TW"/>
        </w:rPr>
        <w:t xml:space="preserve"> </w:t>
      </w:r>
      <w:r w:rsidRPr="007D602F">
        <w:rPr>
          <w:lang w:eastAsia="zh-TW"/>
        </w:rPr>
        <w:t>黃麒英</w:t>
      </w:r>
      <w:r w:rsidRPr="007D602F">
        <w:rPr>
          <w:lang w:eastAsia="zh-TW"/>
        </w:rPr>
        <w:t>(2017)</w:t>
      </w:r>
      <w:r w:rsidRPr="007D602F">
        <w:rPr>
          <w:lang w:eastAsia="zh-TW"/>
        </w:rPr>
        <w:t>，新南向、勞動力、人才與移民政策大戰略，風傳媒，參照</w:t>
      </w:r>
      <w:r w:rsidRPr="007D602F">
        <w:rPr>
          <w:lang w:eastAsia="zh-TW"/>
        </w:rPr>
        <w:t>:</w:t>
      </w:r>
      <w:r w:rsidRPr="0059552B">
        <w:rPr>
          <w:lang w:eastAsia="zh-TW"/>
        </w:rPr>
        <w:t xml:space="preserve"> </w:t>
      </w:r>
      <w:hyperlink r:id="rId3" w:history="1">
        <w:r w:rsidRPr="00CA456F">
          <w:rPr>
            <w:rStyle w:val="a7"/>
            <w:rFonts w:ascii="Arial Unicode MS" w:eastAsia="新細明體" w:hAnsi="Arial Unicode MS" w:cs="Calibri"/>
            <w:color w:val="5F5F5F"/>
            <w:kern w:val="2"/>
            <w:sz w:val="18"/>
            <w:lang w:eastAsia="zh-TW"/>
          </w:rPr>
          <w:t>http://www.storm.mg/article/360138</w:t>
        </w:r>
      </w:hyperlink>
      <w:r w:rsidRPr="0059552B">
        <w:rPr>
          <w:lang w:eastAsia="zh-TW"/>
        </w:rPr>
        <w:t>，</w:t>
      </w:r>
      <w:r w:rsidRPr="007D602F">
        <w:rPr>
          <w:lang w:eastAsia="zh-TW"/>
        </w:rPr>
        <w:t>最後閱覽日</w:t>
      </w:r>
      <w:r w:rsidRPr="007D602F">
        <w:rPr>
          <w:lang w:eastAsia="zh-TW"/>
        </w:rPr>
        <w:t>:2017</w:t>
      </w:r>
      <w:r w:rsidRPr="007D602F">
        <w:rPr>
          <w:lang w:eastAsia="zh-TW"/>
        </w:rPr>
        <w:t>年</w:t>
      </w:r>
      <w:r w:rsidRPr="007D602F">
        <w:rPr>
          <w:lang w:eastAsia="zh-TW"/>
        </w:rPr>
        <w:t>2</w:t>
      </w:r>
      <w:r w:rsidRPr="007D602F">
        <w:rPr>
          <w:lang w:eastAsia="zh-TW"/>
        </w:rPr>
        <w:t>月</w:t>
      </w:r>
      <w:r w:rsidRPr="007D602F">
        <w:rPr>
          <w:lang w:eastAsia="zh-TW"/>
        </w:rPr>
        <w:t>9</w:t>
      </w:r>
      <w:r w:rsidRPr="007D602F">
        <w:rPr>
          <w:lang w:eastAsia="zh-TW"/>
        </w:rPr>
        <w:t>日。</w:t>
      </w:r>
    </w:p>
  </w:footnote>
  <w:footnote w:id="4">
    <w:p w:rsidR="00657FEF" w:rsidRPr="0059552B" w:rsidRDefault="00657FEF" w:rsidP="001256A0">
      <w:pPr>
        <w:pStyle w:val="5"/>
        <w:jc w:val="left"/>
        <w:rPr>
          <w:lang w:eastAsia="zh-TW"/>
        </w:rPr>
      </w:pPr>
      <w:r w:rsidRPr="00196078">
        <w:rPr>
          <w:rStyle w:val="af7"/>
          <w:rFonts w:cs="Arial Unicode MS"/>
          <w:szCs w:val="20"/>
        </w:rPr>
        <w:footnoteRef/>
      </w:r>
      <w:r w:rsidRPr="007D602F">
        <w:rPr>
          <w:lang w:eastAsia="zh-TW"/>
        </w:rPr>
        <w:t>經濟日報，潘姿羽，「</w:t>
      </w:r>
      <w:r w:rsidRPr="007D602F">
        <w:rPr>
          <w:lang w:eastAsia="zh-TW"/>
        </w:rPr>
        <w:t>IMD</w:t>
      </w:r>
      <w:r w:rsidRPr="007D602F">
        <w:rPr>
          <w:lang w:eastAsia="zh-TW"/>
        </w:rPr>
        <w:t>：台灣有人才，卻無力留才」，</w:t>
      </w:r>
      <w:r w:rsidRPr="007D602F">
        <w:rPr>
          <w:lang w:eastAsia="zh-TW"/>
        </w:rPr>
        <w:t>2017</w:t>
      </w:r>
      <w:r w:rsidRPr="007D602F">
        <w:rPr>
          <w:lang w:eastAsia="zh-TW"/>
        </w:rPr>
        <w:t>年</w:t>
      </w:r>
      <w:r w:rsidRPr="007D602F">
        <w:rPr>
          <w:lang w:eastAsia="zh-TW"/>
        </w:rPr>
        <w:t>11</w:t>
      </w:r>
      <w:r w:rsidRPr="007D602F">
        <w:rPr>
          <w:lang w:eastAsia="zh-TW"/>
        </w:rPr>
        <w:t>月</w:t>
      </w:r>
      <w:r w:rsidRPr="007D602F">
        <w:rPr>
          <w:lang w:eastAsia="zh-TW"/>
        </w:rPr>
        <w:t>22</w:t>
      </w:r>
      <w:r w:rsidRPr="007D602F">
        <w:rPr>
          <w:lang w:eastAsia="zh-TW"/>
        </w:rPr>
        <w:t>日，</w:t>
      </w:r>
      <w:hyperlink r:id="rId4" w:history="1">
        <w:r w:rsidRPr="0059552B">
          <w:rPr>
            <w:rStyle w:val="a7"/>
            <w:rFonts w:ascii="Arial Unicode MS" w:eastAsia="新細明體" w:hAnsi="Arial Unicode MS" w:cs="Calibri"/>
            <w:color w:val="5F5F5F"/>
            <w:kern w:val="2"/>
            <w:sz w:val="18"/>
            <w:lang w:eastAsia="zh-TW"/>
          </w:rPr>
          <w:t>https://money.udn.com/money/story/5648/2832422</w:t>
        </w:r>
      </w:hyperlink>
    </w:p>
  </w:footnote>
  <w:footnote w:id="5">
    <w:p w:rsidR="00657FEF" w:rsidRPr="0059552B" w:rsidRDefault="00657FEF" w:rsidP="00992AB6">
      <w:pPr>
        <w:pStyle w:val="5"/>
        <w:jc w:val="left"/>
        <w:rPr>
          <w:lang w:eastAsia="zh-TW"/>
        </w:rPr>
      </w:pPr>
      <w:r w:rsidRPr="00196078">
        <w:rPr>
          <w:rStyle w:val="af7"/>
          <w:rFonts w:cs="Arial Unicode MS"/>
          <w:szCs w:val="20"/>
        </w:rPr>
        <w:footnoteRef/>
      </w:r>
      <w:r w:rsidRPr="007D602F">
        <w:rPr>
          <w:lang w:eastAsia="zh-TW"/>
        </w:rPr>
        <w:t>聯合報，李仲維，「大陸公布</w:t>
      </w:r>
      <w:r w:rsidRPr="007D602F">
        <w:rPr>
          <w:lang w:eastAsia="zh-TW"/>
        </w:rPr>
        <w:t>31</w:t>
      </w:r>
      <w:r w:rsidRPr="007D602F">
        <w:rPr>
          <w:lang w:eastAsia="zh-TW"/>
        </w:rPr>
        <w:t>條惠台措施</w:t>
      </w:r>
      <w:r w:rsidRPr="007D602F">
        <w:rPr>
          <w:lang w:eastAsia="zh-TW"/>
        </w:rPr>
        <w:t xml:space="preserve"> </w:t>
      </w:r>
      <w:r w:rsidRPr="007D602F">
        <w:rPr>
          <w:lang w:eastAsia="zh-TW"/>
        </w:rPr>
        <w:t>台商、產學、影劇全包了」，</w:t>
      </w:r>
      <w:r w:rsidRPr="007D602F">
        <w:rPr>
          <w:lang w:eastAsia="zh-TW"/>
        </w:rPr>
        <w:t>2018</w:t>
      </w:r>
      <w:r w:rsidRPr="007D602F">
        <w:rPr>
          <w:lang w:eastAsia="zh-TW"/>
        </w:rPr>
        <w:t>年</w:t>
      </w:r>
      <w:r w:rsidRPr="007D602F">
        <w:rPr>
          <w:lang w:eastAsia="zh-TW"/>
        </w:rPr>
        <w:t>2</w:t>
      </w:r>
      <w:r w:rsidRPr="007D602F">
        <w:rPr>
          <w:lang w:eastAsia="zh-TW"/>
        </w:rPr>
        <w:t>月</w:t>
      </w:r>
      <w:r w:rsidRPr="007D602F">
        <w:rPr>
          <w:lang w:eastAsia="zh-TW"/>
        </w:rPr>
        <w:t>28</w:t>
      </w:r>
      <w:r w:rsidRPr="007D602F">
        <w:rPr>
          <w:lang w:eastAsia="zh-TW"/>
        </w:rPr>
        <w:t>日，</w:t>
      </w:r>
      <w:hyperlink r:id="rId5" w:history="1">
        <w:r w:rsidRPr="008B0E12">
          <w:rPr>
            <w:rStyle w:val="a7"/>
            <w:rFonts w:ascii="Arial Unicode MS" w:eastAsia="新細明體" w:hAnsi="Arial Unicode MS" w:cs="Calibri"/>
            <w:color w:val="5F5F5F"/>
            <w:kern w:val="2"/>
            <w:sz w:val="18"/>
            <w:lang w:eastAsia="zh-TW"/>
          </w:rPr>
          <w:t>https://udn.com/news/story/11311/3005404</w:t>
        </w:r>
      </w:hyperlink>
    </w:p>
  </w:footnote>
  <w:footnote w:id="6">
    <w:p w:rsidR="00657FEF" w:rsidRPr="0059552B" w:rsidRDefault="00657FEF" w:rsidP="00992AB6">
      <w:pPr>
        <w:pStyle w:val="5"/>
        <w:jc w:val="left"/>
        <w:rPr>
          <w:lang w:eastAsia="zh-TW"/>
        </w:rPr>
      </w:pPr>
      <w:r w:rsidRPr="0059552B">
        <w:rPr>
          <w:color w:val="FF6600"/>
        </w:rPr>
        <w:footnoteRef/>
      </w:r>
      <w:r w:rsidRPr="007D602F">
        <w:rPr>
          <w:lang w:eastAsia="zh-TW"/>
        </w:rPr>
        <w:t>國家發展委員會，「外國專業人才延攬及僱用法」，</w:t>
      </w:r>
      <w:hyperlink r:id="rId6" w:history="1">
        <w:r w:rsidRPr="0059552B">
          <w:rPr>
            <w:rStyle w:val="a7"/>
            <w:rFonts w:ascii="Arial Unicode MS" w:eastAsia="新細明體" w:hAnsi="Arial Unicode MS" w:cs="Calibri"/>
            <w:color w:val="5F5F5F"/>
            <w:kern w:val="2"/>
            <w:sz w:val="18"/>
            <w:lang w:eastAsia="zh-TW"/>
          </w:rPr>
          <w:t>https://www.ndc.gov.tw/Content_List.aspx?n=E61E31EE6FB10140&amp;upn=0A078649EEC83462</w:t>
        </w:r>
      </w:hyperlink>
    </w:p>
  </w:footnote>
  <w:footnote w:id="7">
    <w:p w:rsidR="00657FEF" w:rsidRPr="0059552B" w:rsidRDefault="00657FEF" w:rsidP="00992AB6">
      <w:pPr>
        <w:pStyle w:val="5"/>
        <w:jc w:val="left"/>
      </w:pPr>
      <w:r w:rsidRPr="0059552B">
        <w:rPr>
          <w:rFonts w:ascii="Arial Unicode MS" w:eastAsia="新細明體" w:hAnsi="Arial Unicode MS"/>
          <w:color w:val="FF6600"/>
          <w:kern w:val="2"/>
        </w:rPr>
        <w:footnoteRef/>
      </w:r>
      <w:r w:rsidRPr="00960C6D">
        <w:rPr>
          <w:color w:val="FF6600"/>
        </w:rPr>
        <w:t xml:space="preserve"> </w:t>
      </w:r>
      <w:r w:rsidRPr="007D602F">
        <w:t>“</w:t>
      </w:r>
      <w:hyperlink r:id="rId7" w:anchor="_blank" w:tooltip="104年國人赴海外工作人數統計結果新聞稿.pdf( PDF 檔,另開新視窗)&#10;   " w:history="1">
        <w:r w:rsidRPr="007D602F">
          <w:t>104</w:t>
        </w:r>
        <w:r w:rsidRPr="007D602F">
          <w:t>年國人赴海外工作人數統計結果新聞稿</w:t>
        </w:r>
      </w:hyperlink>
      <w:r w:rsidRPr="007D602F">
        <w:t xml:space="preserve">”, Access on </w:t>
      </w:r>
      <w:r w:rsidRPr="0059552B">
        <w:t>〈</w:t>
      </w:r>
      <w:hyperlink r:id="rId8" w:history="1">
        <w:r w:rsidRPr="0059552B">
          <w:rPr>
            <w:rStyle w:val="a7"/>
            <w:rFonts w:ascii="Arial Unicode MS" w:eastAsia="新細明體" w:hAnsi="Arial Unicode MS" w:cs="Calibri"/>
            <w:color w:val="5F5F5F"/>
            <w:kern w:val="2"/>
            <w:sz w:val="18"/>
          </w:rPr>
          <w:t>https://www.dgbas.gov.tw/ct.asp?xItem=41034&amp;ctNode=5624</w:t>
        </w:r>
      </w:hyperlink>
      <w:r w:rsidRPr="0059552B">
        <w:t>〉</w:t>
      </w:r>
    </w:p>
  </w:footnote>
  <w:footnote w:id="8">
    <w:p w:rsidR="00657FEF" w:rsidRPr="007D602F" w:rsidRDefault="00657FEF" w:rsidP="00992AB6">
      <w:pPr>
        <w:pStyle w:val="5"/>
        <w:jc w:val="left"/>
      </w:pPr>
      <w:r w:rsidRPr="00960C6D">
        <w:rPr>
          <w:rStyle w:val="af7"/>
          <w:rFonts w:cs="Arial Unicode MS"/>
          <w:szCs w:val="20"/>
        </w:rPr>
        <w:footnoteRef/>
      </w:r>
      <w:r w:rsidRPr="007D602F">
        <w:t xml:space="preserve"> “7</w:t>
      </w:r>
      <w:r w:rsidRPr="007D602F">
        <w:t>大緊箍咒</w:t>
      </w:r>
      <w:r w:rsidRPr="007D602F">
        <w:t xml:space="preserve"> </w:t>
      </w:r>
      <w:r w:rsidRPr="007D602F">
        <w:t>國際人才來台就業難</w:t>
      </w:r>
      <w:r w:rsidRPr="007D602F">
        <w:t>”,</w:t>
      </w:r>
      <w:r w:rsidRPr="007D602F">
        <w:rPr>
          <w:rStyle w:val="a7"/>
          <w:color w:val="5F5F5F"/>
          <w:u w:val="none"/>
          <w:shd w:val="clear" w:color="auto" w:fill="FFFFFF"/>
        </w:rPr>
        <w:t xml:space="preserve"> </w:t>
      </w:r>
      <w:r w:rsidRPr="007D602F">
        <w:t xml:space="preserve">Access on </w:t>
      </w:r>
      <w:r>
        <w:t>〈</w:t>
      </w:r>
      <w:hyperlink r:id="rId9" w:history="1">
        <w:r w:rsidRPr="0059552B">
          <w:rPr>
            <w:rStyle w:val="a7"/>
            <w:rFonts w:ascii="Arial Unicode MS" w:eastAsia="新細明體" w:hAnsi="Arial Unicode MS" w:cs="Calibri"/>
            <w:color w:val="5F5F5F"/>
            <w:kern w:val="2"/>
            <w:sz w:val="18"/>
          </w:rPr>
          <w:t>https://udn.com/news/story/6868/2442079</w:t>
        </w:r>
      </w:hyperlink>
      <w:r w:rsidRPr="0059552B">
        <w:t>〉</w:t>
      </w:r>
    </w:p>
  </w:footnote>
  <w:footnote w:id="9">
    <w:p w:rsidR="00657FEF" w:rsidRPr="007D602F" w:rsidRDefault="00657FEF" w:rsidP="00992AB6">
      <w:pPr>
        <w:pStyle w:val="5"/>
        <w:jc w:val="left"/>
      </w:pPr>
      <w:r w:rsidRPr="00C73C9C">
        <w:rPr>
          <w:rStyle w:val="af7"/>
          <w:rFonts w:cs="Arial Unicode MS"/>
          <w:szCs w:val="20"/>
        </w:rPr>
        <w:footnoteRef/>
      </w:r>
      <w:r w:rsidRPr="007D602F">
        <w:t xml:space="preserve"> “</w:t>
      </w:r>
      <w:r w:rsidRPr="007D602F">
        <w:t>台灣人才缺口世界第一</w:t>
      </w:r>
      <w:r w:rsidRPr="007D602F">
        <w:t xml:space="preserve">”, Access on </w:t>
      </w:r>
      <w:r w:rsidRPr="00D43F64">
        <w:rPr>
          <w:color w:val="5F5F5F"/>
        </w:rPr>
        <w:t>〈</w:t>
      </w:r>
      <w:hyperlink r:id="rId10" w:history="1">
        <w:r w:rsidRPr="002836A6">
          <w:rPr>
            <w:rStyle w:val="a7"/>
            <w:rFonts w:ascii="Arial Unicode MS" w:eastAsia="新細明體" w:hAnsi="Arial Unicode MS" w:cstheme="majorBidi"/>
            <w:color w:val="5F5F5F"/>
            <w:kern w:val="2"/>
            <w:sz w:val="18"/>
            <w:szCs w:val="20"/>
          </w:rPr>
          <w:t>https://www.cw.com.tw/article/article.action?id=5059155</w:t>
        </w:r>
      </w:hyperlink>
      <w:r w:rsidRPr="002836A6">
        <w:rPr>
          <w:rFonts w:ascii="Arial Unicode MS" w:eastAsia="新細明體" w:hAnsi="Arial Unicode MS"/>
          <w:color w:val="5F5F5F"/>
          <w:kern w:val="2"/>
          <w:sz w:val="18"/>
        </w:rPr>
        <w:t>〉</w:t>
      </w:r>
    </w:p>
  </w:footnote>
  <w:footnote w:id="10">
    <w:p w:rsidR="00657FEF" w:rsidRPr="0059552B" w:rsidRDefault="00657FEF" w:rsidP="00992AB6">
      <w:pPr>
        <w:pStyle w:val="5"/>
        <w:jc w:val="left"/>
      </w:pPr>
      <w:r w:rsidRPr="00992AB6">
        <w:rPr>
          <w:rFonts w:ascii="Arial Unicode MS" w:eastAsia="新細明體" w:hAnsi="Arial Unicode MS"/>
          <w:color w:val="FF6600"/>
          <w:kern w:val="2"/>
        </w:rPr>
        <w:footnoteRef/>
      </w:r>
      <w:r w:rsidRPr="007D602F">
        <w:t xml:space="preserve"> “</w:t>
      </w:r>
      <w:r w:rsidRPr="007D602F">
        <w:t>玉山協會理事長王伯元：重公平恐賠競爭力</w:t>
      </w:r>
      <w:r w:rsidRPr="007D602F">
        <w:t xml:space="preserve"> </w:t>
      </w:r>
      <w:r w:rsidRPr="007D602F">
        <w:t>攬才要非常手段</w:t>
      </w:r>
      <w:r w:rsidRPr="007D602F">
        <w:t xml:space="preserve">”, Access on </w:t>
      </w:r>
      <w:r w:rsidRPr="0059552B">
        <w:t>〈</w:t>
      </w:r>
      <w:hyperlink r:id="rId11" w:history="1">
        <w:r w:rsidRPr="00992AB6">
          <w:rPr>
            <w:rStyle w:val="a7"/>
            <w:rFonts w:ascii="Arial Unicode MS" w:eastAsia="新細明體" w:hAnsi="Arial Unicode MS" w:cs="Calibri"/>
            <w:color w:val="5F5F5F"/>
            <w:kern w:val="2"/>
            <w:sz w:val="18"/>
          </w:rPr>
          <w:t>http://news.ltn.com.tw/news/focus/paper/1157338</w:t>
        </w:r>
      </w:hyperlink>
      <w:r w:rsidRPr="0059552B">
        <w:t>〉</w:t>
      </w:r>
    </w:p>
  </w:footnote>
  <w:footnote w:id="11">
    <w:p w:rsidR="00657FEF" w:rsidRPr="007D602F" w:rsidRDefault="00657FEF" w:rsidP="00992AB6">
      <w:pPr>
        <w:pStyle w:val="5"/>
        <w:jc w:val="left"/>
      </w:pPr>
      <w:r w:rsidRPr="00992AB6">
        <w:rPr>
          <w:rStyle w:val="af7"/>
          <w:rFonts w:eastAsia="新細明體" w:cs="Arial Unicode MS"/>
          <w:kern w:val="2"/>
          <w:szCs w:val="20"/>
        </w:rPr>
        <w:footnoteRef/>
      </w:r>
      <w:r w:rsidRPr="007D602F">
        <w:t xml:space="preserve"> “IMD: </w:t>
      </w:r>
      <w:r w:rsidRPr="007D602F">
        <w:t>台灣有人才外流危機</w:t>
      </w:r>
      <w:r w:rsidRPr="007D602F">
        <w:t xml:space="preserve">”, Access on </w:t>
      </w:r>
      <w:r>
        <w:t>〈</w:t>
      </w:r>
      <w:hyperlink r:id="rId12" w:history="1">
        <w:r w:rsidRPr="00992AB6">
          <w:rPr>
            <w:rStyle w:val="a7"/>
            <w:rFonts w:ascii="Arial Unicode MS" w:eastAsia="新細明體" w:hAnsi="Arial Unicode MS" w:cs="Calibri"/>
            <w:color w:val="5F5F5F"/>
            <w:kern w:val="2"/>
            <w:sz w:val="18"/>
          </w:rPr>
          <w:t>http://www.chinatimes.com/newspapers/20171122000891-260202</w:t>
        </w:r>
      </w:hyperlink>
      <w:r>
        <w:t>〉</w:t>
      </w:r>
    </w:p>
  </w:footnote>
  <w:footnote w:id="12">
    <w:p w:rsidR="00657FEF" w:rsidRPr="007D602F" w:rsidRDefault="00657FEF" w:rsidP="00992AB6">
      <w:pPr>
        <w:pStyle w:val="5"/>
        <w:jc w:val="left"/>
      </w:pPr>
      <w:r w:rsidRPr="00992AB6">
        <w:rPr>
          <w:rStyle w:val="af7"/>
          <w:rFonts w:eastAsia="新細明體" w:cs="Arial Unicode MS"/>
          <w:kern w:val="2"/>
          <w:szCs w:val="20"/>
        </w:rPr>
        <w:footnoteRef/>
      </w:r>
      <w:r w:rsidRPr="00C73C9C">
        <w:rPr>
          <w:color w:val="FF6600"/>
        </w:rPr>
        <w:t xml:space="preserve"> </w:t>
      </w:r>
      <w:r w:rsidRPr="007D602F">
        <w:t>Keoni Werrington(2018). “New Job Seeking Visa Available In Taiwan.” The Taiwan News on 13 February 2018: Web. 02 March. 2018.</w:t>
      </w:r>
    </w:p>
    <w:p w:rsidR="00657FEF" w:rsidRPr="007D602F" w:rsidRDefault="00657FEF" w:rsidP="00992AB6">
      <w:pPr>
        <w:pStyle w:val="5"/>
        <w:jc w:val="left"/>
      </w:pPr>
      <w:r w:rsidRPr="007D602F">
        <w:t>Liu Kuan-ting and Ko Lin(2018). “Taiwan Passes a New law To Attract More Foreign Professionals.” The Focus Taiwan News Channel 31st of October 2017: Google News 02 March. 2018.</w:t>
      </w:r>
    </w:p>
    <w:p w:rsidR="00657FEF" w:rsidRPr="007D602F" w:rsidRDefault="00657FEF" w:rsidP="00992AB6">
      <w:pPr>
        <w:pStyle w:val="5"/>
        <w:jc w:val="left"/>
      </w:pPr>
      <w:r w:rsidRPr="007D602F">
        <w:t>The Act for the Recruitment and Employment of Foreign Professionals Talent. 31 October.2017.</w:t>
      </w:r>
    </w:p>
  </w:footnote>
  <w:footnote w:id="13">
    <w:p w:rsidR="00657FEF" w:rsidRPr="007D602F" w:rsidRDefault="00657FEF" w:rsidP="00992AB6">
      <w:pPr>
        <w:pStyle w:val="5"/>
      </w:pPr>
      <w:r w:rsidRPr="00C73C9C">
        <w:rPr>
          <w:rStyle w:val="af7"/>
          <w:rFonts w:cs="Arial Unicode MS"/>
          <w:szCs w:val="20"/>
        </w:rPr>
        <w:footnoteRef/>
      </w:r>
      <w:r w:rsidRPr="007D602F">
        <w:t xml:space="preserve">  Ibid.  </w:t>
      </w:r>
    </w:p>
  </w:footnote>
  <w:footnote w:id="14">
    <w:p w:rsidR="00657FEF" w:rsidRPr="007D602F" w:rsidRDefault="00657FEF" w:rsidP="00992AB6">
      <w:pPr>
        <w:pStyle w:val="5"/>
      </w:pPr>
      <w:r w:rsidRPr="00C73C9C">
        <w:rPr>
          <w:rStyle w:val="af7"/>
          <w:rFonts w:cs="Arial Unicode MS"/>
          <w:szCs w:val="20"/>
        </w:rPr>
        <w:footnoteRef/>
      </w:r>
      <w:r w:rsidRPr="007D602F">
        <w:t xml:space="preserve">  Ibid.  </w:t>
      </w:r>
    </w:p>
  </w:footnote>
  <w:footnote w:id="15">
    <w:p w:rsidR="00657FEF" w:rsidRPr="007D602F" w:rsidRDefault="00657FEF" w:rsidP="00992AB6">
      <w:pPr>
        <w:pStyle w:val="5"/>
      </w:pPr>
      <w:r w:rsidRPr="00C73C9C">
        <w:rPr>
          <w:rStyle w:val="af7"/>
          <w:rFonts w:cs="Arial Unicode MS"/>
          <w:szCs w:val="20"/>
        </w:rPr>
        <w:footnoteRef/>
      </w:r>
      <w:r w:rsidRPr="007D602F">
        <w:t xml:space="preserve">  Ibid.  </w:t>
      </w:r>
    </w:p>
  </w:footnote>
  <w:footnote w:id="16">
    <w:p w:rsidR="00657FEF" w:rsidRPr="007D602F" w:rsidRDefault="00657FEF" w:rsidP="00992AB6">
      <w:pPr>
        <w:pStyle w:val="5"/>
      </w:pPr>
      <w:r w:rsidRPr="00C73C9C">
        <w:rPr>
          <w:rStyle w:val="af7"/>
          <w:rFonts w:cs="Arial Unicode MS"/>
          <w:szCs w:val="20"/>
        </w:rPr>
        <w:footnoteRef/>
      </w:r>
      <w:r w:rsidRPr="007D602F">
        <w:t xml:space="preserve">  Ibid.  </w:t>
      </w:r>
    </w:p>
  </w:footnote>
  <w:footnote w:id="17">
    <w:p w:rsidR="00657FEF" w:rsidRPr="007D602F" w:rsidRDefault="00657FEF" w:rsidP="00992AB6">
      <w:pPr>
        <w:pStyle w:val="5"/>
      </w:pPr>
      <w:r w:rsidRPr="00C73C9C">
        <w:rPr>
          <w:rStyle w:val="af7"/>
          <w:rFonts w:cs="Arial Unicode MS"/>
          <w:szCs w:val="20"/>
        </w:rPr>
        <w:footnoteRef/>
      </w:r>
      <w:r w:rsidRPr="007D602F">
        <w:t xml:space="preserve">  Ibid.  </w:t>
      </w:r>
    </w:p>
  </w:footnote>
  <w:footnote w:id="18">
    <w:p w:rsidR="00657FEF" w:rsidRPr="007D602F" w:rsidRDefault="00657FEF" w:rsidP="00992AB6">
      <w:pPr>
        <w:pStyle w:val="5"/>
      </w:pPr>
      <w:r w:rsidRPr="00C73C9C">
        <w:rPr>
          <w:rStyle w:val="af7"/>
          <w:rFonts w:cs="Arial Unicode MS"/>
          <w:szCs w:val="20"/>
        </w:rPr>
        <w:footnoteRef/>
      </w:r>
      <w:r w:rsidRPr="007D602F">
        <w:t xml:space="preserve">  Ibid.  </w:t>
      </w:r>
    </w:p>
  </w:footnote>
  <w:footnote w:id="19">
    <w:p w:rsidR="00657FEF" w:rsidRPr="00394C1A" w:rsidRDefault="00657FEF" w:rsidP="00D85047">
      <w:pPr>
        <w:pStyle w:val="5"/>
        <w:jc w:val="left"/>
        <w:rPr>
          <w:noProof/>
        </w:rPr>
      </w:pPr>
      <w:r w:rsidRPr="00960C6D">
        <w:rPr>
          <w:rStyle w:val="af7"/>
          <w:rFonts w:cs="Arial Unicode MS"/>
          <w:szCs w:val="20"/>
        </w:rPr>
        <w:footnoteRef/>
      </w:r>
      <w:r w:rsidRPr="007D602F">
        <w:t xml:space="preserve"> </w:t>
      </w:r>
      <w:r w:rsidRPr="007D602F">
        <w:rPr>
          <w:noProof/>
        </w:rPr>
        <w:t xml:space="preserve">Campbell Cohen: (n .d) Canada Immigration Lawyers web site. Retrieved March 26, 2018, from </w:t>
      </w:r>
      <w:hyperlink r:id="rId13" w:history="1">
        <w:r w:rsidRPr="00394C1A">
          <w:rPr>
            <w:rStyle w:val="a7"/>
            <w:rFonts w:ascii="Arial Unicode MS" w:eastAsia="新細明體" w:hAnsi="Arial Unicode MS" w:cs="Calibri"/>
            <w:color w:val="5F5F5F"/>
            <w:kern w:val="2"/>
            <w:sz w:val="18"/>
          </w:rPr>
          <w:t>https://www.canadavisa.com</w:t>
        </w:r>
      </w:hyperlink>
      <w:r w:rsidRPr="00394C1A">
        <w:rPr>
          <w:noProof/>
        </w:rPr>
        <w:t>.</w:t>
      </w:r>
    </w:p>
    <w:p w:rsidR="00657FEF" w:rsidRPr="007D602F" w:rsidRDefault="00657FEF" w:rsidP="00D85047">
      <w:pPr>
        <w:pStyle w:val="5"/>
        <w:jc w:val="left"/>
        <w:rPr>
          <w:noProof/>
        </w:rPr>
      </w:pPr>
      <w:r w:rsidRPr="007D602F">
        <w:rPr>
          <w:noProof/>
        </w:rPr>
        <w:t>World Economic Forum: Global Information Technology Reports; (2015), Retrieved from Reports.weforum.org/global-information.</w:t>
      </w:r>
    </w:p>
    <w:p w:rsidR="00657FEF" w:rsidRPr="007D602F" w:rsidRDefault="00657FEF" w:rsidP="00D85047">
      <w:pPr>
        <w:pStyle w:val="5"/>
        <w:jc w:val="left"/>
      </w:pPr>
      <w:r w:rsidRPr="007D602F">
        <w:rPr>
          <w:noProof/>
        </w:rPr>
        <w:t xml:space="preserve">Taiwan courts foreign talent with Act for Recruitment and Employment of Foreign Professionals (part1), 22 January 2018. Retrieved from </w:t>
      </w:r>
      <w:hyperlink r:id="rId14" w:history="1">
        <w:r w:rsidRPr="00D85047">
          <w:rPr>
            <w:rStyle w:val="a7"/>
            <w:rFonts w:ascii="Arial Unicode MS" w:eastAsia="新細明體" w:hAnsi="Arial Unicode MS" w:cs="Calibri"/>
            <w:color w:val="5F5F5F"/>
            <w:kern w:val="2"/>
            <w:sz w:val="18"/>
          </w:rPr>
          <w:t>https://startup.sme.gov.tw/</w:t>
        </w:r>
      </w:hyperlink>
    </w:p>
  </w:footnote>
  <w:footnote w:id="20">
    <w:p w:rsidR="00657FEF" w:rsidRPr="00394C1A" w:rsidRDefault="00657FEF" w:rsidP="00E4765D">
      <w:pPr>
        <w:pStyle w:val="5"/>
        <w:jc w:val="left"/>
        <w:rPr>
          <w:noProof/>
        </w:rPr>
      </w:pPr>
      <w:r w:rsidRPr="00960C6D">
        <w:rPr>
          <w:rStyle w:val="af7"/>
          <w:rFonts w:cs="Arial Unicode MS"/>
          <w:szCs w:val="20"/>
        </w:rPr>
        <w:footnoteRef/>
      </w:r>
      <w:r w:rsidRPr="00960C6D">
        <w:rPr>
          <w:color w:val="FF6600"/>
        </w:rPr>
        <w:t xml:space="preserve"> </w:t>
      </w:r>
      <w:r w:rsidRPr="007D602F">
        <w:rPr>
          <w:noProof/>
        </w:rPr>
        <w:t xml:space="preserve">Campbell Cohen: (n .d) Canada Immigration Lawyers web site. Retrieved March 26, 2018, from </w:t>
      </w:r>
      <w:hyperlink r:id="rId15" w:history="1">
        <w:r w:rsidRPr="00394C1A">
          <w:rPr>
            <w:rStyle w:val="a7"/>
            <w:rFonts w:ascii="Arial Unicode MS" w:eastAsia="新細明體" w:hAnsi="Arial Unicode MS" w:cs="Calibri"/>
            <w:color w:val="5F5F5F"/>
            <w:kern w:val="2"/>
            <w:sz w:val="18"/>
          </w:rPr>
          <w:t>https://www.canadavisa.com</w:t>
        </w:r>
      </w:hyperlink>
    </w:p>
    <w:p w:rsidR="00657FEF" w:rsidRPr="007D602F" w:rsidRDefault="00657FEF" w:rsidP="00E4765D">
      <w:pPr>
        <w:pStyle w:val="5"/>
        <w:jc w:val="left"/>
        <w:rPr>
          <w:noProof/>
        </w:rPr>
      </w:pPr>
      <w:r w:rsidRPr="007D602F">
        <w:rPr>
          <w:noProof/>
        </w:rPr>
        <w:t>World Economic Forum: Global Information Technology Reports; (2015), Retrieved from Reports.weforum.org/global-information.</w:t>
      </w:r>
    </w:p>
    <w:p w:rsidR="00657FEF" w:rsidRPr="007D602F" w:rsidRDefault="00657FEF" w:rsidP="00E4765D">
      <w:pPr>
        <w:pStyle w:val="5"/>
        <w:jc w:val="left"/>
      </w:pPr>
      <w:r w:rsidRPr="007D602F">
        <w:rPr>
          <w:noProof/>
        </w:rPr>
        <w:t>Taiwan courts foreign talent with Act for Recruitment and Employment of Foreign Professionals (part1), 22 January 2018. Retrieved from</w:t>
      </w:r>
      <w:r w:rsidRPr="00394C1A">
        <w:rPr>
          <w:rStyle w:val="a7"/>
          <w:rFonts w:ascii="Arial Unicode MS" w:eastAsia="新細明體" w:hAnsi="Arial Unicode MS" w:cs="Calibri"/>
          <w:color w:val="5F5F5F"/>
          <w:kern w:val="2"/>
          <w:sz w:val="18"/>
        </w:rPr>
        <w:t xml:space="preserve"> </w:t>
      </w:r>
      <w:hyperlink r:id="rId16" w:history="1">
        <w:r w:rsidRPr="00394C1A">
          <w:rPr>
            <w:rStyle w:val="a7"/>
            <w:rFonts w:ascii="Arial Unicode MS" w:eastAsia="新細明體" w:hAnsi="Arial Unicode MS" w:cs="Calibri"/>
            <w:color w:val="5F5F5F"/>
            <w:kern w:val="2"/>
            <w:sz w:val="18"/>
          </w:rPr>
          <w:t>https://startup.sme.gov.tw/</w:t>
        </w:r>
      </w:hyperlink>
    </w:p>
  </w:footnote>
  <w:footnote w:id="21">
    <w:p w:rsidR="00657FEF" w:rsidRPr="007D602F" w:rsidRDefault="00657FEF" w:rsidP="00E4765D">
      <w:pPr>
        <w:pStyle w:val="5"/>
        <w:jc w:val="left"/>
        <w:rPr>
          <w:noProof/>
        </w:rPr>
      </w:pPr>
      <w:r w:rsidRPr="00960C6D">
        <w:rPr>
          <w:rStyle w:val="af7"/>
          <w:rFonts w:cs="Arial Unicode MS"/>
          <w:szCs w:val="20"/>
        </w:rPr>
        <w:footnoteRef/>
      </w:r>
      <w:r w:rsidRPr="007D602F">
        <w:t xml:space="preserve"> </w:t>
      </w:r>
      <w:r w:rsidRPr="007D602F">
        <w:rPr>
          <w:noProof/>
        </w:rPr>
        <w:t xml:space="preserve">Campbell Cohen: (n .d) Canada Immigration Lawyers web site. Retrieved March 26, 2018, from </w:t>
      </w:r>
      <w:hyperlink r:id="rId17" w:history="1">
        <w:r w:rsidRPr="00E4765D">
          <w:rPr>
            <w:rStyle w:val="a7"/>
            <w:rFonts w:ascii="Arial Unicode MS" w:eastAsia="新細明體" w:hAnsi="Arial Unicode MS" w:cs="Calibri"/>
            <w:color w:val="5F5F5F"/>
            <w:kern w:val="2"/>
            <w:sz w:val="18"/>
          </w:rPr>
          <w:t>https://www.canadavisa.com</w:t>
        </w:r>
      </w:hyperlink>
      <w:r w:rsidRPr="00E4765D">
        <w:rPr>
          <w:noProof/>
          <w:color w:val="5F5F5F"/>
        </w:rPr>
        <w:t>.</w:t>
      </w:r>
    </w:p>
    <w:p w:rsidR="00657FEF" w:rsidRPr="007D602F" w:rsidRDefault="00657FEF" w:rsidP="00E4765D">
      <w:pPr>
        <w:pStyle w:val="5"/>
        <w:jc w:val="left"/>
        <w:rPr>
          <w:noProof/>
        </w:rPr>
      </w:pPr>
      <w:r w:rsidRPr="007D602F">
        <w:rPr>
          <w:noProof/>
        </w:rPr>
        <w:t>World Economic Forum: Global Information Technology Reports; (2015), Retrieved from Reports.weforum.org/global-information.</w:t>
      </w:r>
    </w:p>
    <w:p w:rsidR="00657FEF" w:rsidRPr="007D602F" w:rsidRDefault="00657FEF" w:rsidP="00E4765D">
      <w:pPr>
        <w:pStyle w:val="5"/>
        <w:jc w:val="left"/>
      </w:pPr>
      <w:r w:rsidRPr="007D602F">
        <w:rPr>
          <w:noProof/>
        </w:rPr>
        <w:t>Taiwan courts foreign talent with Act for Recruitment and Employment of Foreign Professionals (part1), 22 January 2018. Retrieved from</w:t>
      </w:r>
      <w:r w:rsidRPr="00E4765D">
        <w:rPr>
          <w:noProof/>
          <w:color w:val="5F5F5F"/>
        </w:rPr>
        <w:t xml:space="preserve"> </w:t>
      </w:r>
      <w:hyperlink r:id="rId18" w:history="1">
        <w:r w:rsidRPr="00E4765D">
          <w:rPr>
            <w:rStyle w:val="a7"/>
            <w:rFonts w:ascii="Arial Unicode MS" w:eastAsia="新細明體" w:hAnsi="Arial Unicode MS" w:cs="Calibri"/>
            <w:color w:val="5F5F5F"/>
            <w:kern w:val="2"/>
            <w:sz w:val="18"/>
          </w:rPr>
          <w:t>https://startup.sme.gov.tw/</w:t>
        </w:r>
      </w:hyperlink>
    </w:p>
  </w:footnote>
  <w:footnote w:id="22">
    <w:p w:rsidR="00657FEF" w:rsidRPr="00394C1A" w:rsidRDefault="00657FEF" w:rsidP="005606DC">
      <w:pPr>
        <w:pStyle w:val="5"/>
        <w:jc w:val="left"/>
        <w:rPr>
          <w:noProof/>
        </w:rPr>
      </w:pPr>
      <w:r w:rsidRPr="00960C6D">
        <w:rPr>
          <w:rStyle w:val="af7"/>
          <w:rFonts w:cs="Arial Unicode MS"/>
          <w:szCs w:val="20"/>
        </w:rPr>
        <w:footnoteRef/>
      </w:r>
      <w:r w:rsidRPr="007D602F">
        <w:t xml:space="preserve"> </w:t>
      </w:r>
      <w:r w:rsidRPr="007D602F">
        <w:rPr>
          <w:noProof/>
        </w:rPr>
        <w:t xml:space="preserve">Campbell Cohen: (n .d) Canada Immigration Lawyers web site. Retrieved March 26, 2018, from </w:t>
      </w:r>
      <w:r w:rsidRPr="00394C1A">
        <w:rPr>
          <w:rStyle w:val="a7"/>
          <w:rFonts w:ascii="Arial Unicode MS" w:eastAsia="新細明體" w:hAnsi="Arial Unicode MS" w:cs="Calibri"/>
          <w:color w:val="5F5F5F"/>
          <w:kern w:val="2"/>
          <w:sz w:val="18"/>
        </w:rPr>
        <w:t>https://www.canadavisa.com</w:t>
      </w:r>
      <w:r w:rsidRPr="00394C1A">
        <w:rPr>
          <w:noProof/>
        </w:rPr>
        <w:t>.</w:t>
      </w:r>
    </w:p>
    <w:p w:rsidR="00657FEF" w:rsidRPr="007D602F" w:rsidRDefault="00657FEF" w:rsidP="005606DC">
      <w:pPr>
        <w:pStyle w:val="5"/>
        <w:jc w:val="left"/>
        <w:rPr>
          <w:noProof/>
        </w:rPr>
      </w:pPr>
      <w:r w:rsidRPr="007D602F">
        <w:rPr>
          <w:noProof/>
        </w:rPr>
        <w:t>World Economic Forum: Global Information Technology Reports; (2015), Retrieved from Reports.weforum.org/global-information.</w:t>
      </w:r>
    </w:p>
    <w:p w:rsidR="00657FEF" w:rsidRPr="007D602F" w:rsidRDefault="00657FEF" w:rsidP="005606DC">
      <w:pPr>
        <w:pStyle w:val="5"/>
        <w:jc w:val="left"/>
        <w:rPr>
          <w:lang w:eastAsia="zh-TW"/>
        </w:rPr>
      </w:pPr>
      <w:r w:rsidRPr="007D602F">
        <w:rPr>
          <w:noProof/>
        </w:rPr>
        <w:t xml:space="preserve">Taiwan courts foreign talent with Act for Recruitment and Employment of Foreign Professionals (part1), 22 January 2018. </w:t>
      </w:r>
      <w:r w:rsidRPr="007D602F">
        <w:rPr>
          <w:noProof/>
          <w:lang w:eastAsia="zh-TW"/>
        </w:rPr>
        <w:t xml:space="preserve">Retrieved from </w:t>
      </w:r>
      <w:r w:rsidRPr="00394C1A">
        <w:rPr>
          <w:rStyle w:val="a7"/>
          <w:rFonts w:ascii="Arial Unicode MS" w:eastAsia="新細明體" w:hAnsi="Arial Unicode MS" w:cs="Calibri"/>
          <w:color w:val="5F5F5F"/>
          <w:kern w:val="2"/>
          <w:sz w:val="18"/>
          <w:lang w:eastAsia="zh-TW"/>
        </w:rPr>
        <w:t>https://startup.sme.gov.tw/</w:t>
      </w:r>
    </w:p>
  </w:footnote>
  <w:footnote w:id="23">
    <w:p w:rsidR="00657FEF" w:rsidRPr="00394C1A" w:rsidRDefault="00657FEF" w:rsidP="005606DC">
      <w:pPr>
        <w:pStyle w:val="5"/>
        <w:jc w:val="left"/>
        <w:rPr>
          <w:lang w:eastAsia="zh-TW"/>
        </w:rPr>
      </w:pPr>
      <w:r w:rsidRPr="00394C1A">
        <w:rPr>
          <w:rStyle w:val="af7"/>
          <w:rFonts w:cs="Arial Unicode MS"/>
          <w:szCs w:val="20"/>
        </w:rPr>
        <w:footnoteRef/>
      </w:r>
      <w:r w:rsidRPr="00394C1A">
        <w:rPr>
          <w:color w:val="FF6600"/>
          <w:lang w:eastAsia="zh-TW"/>
        </w:rPr>
        <w:t xml:space="preserve"> </w:t>
      </w:r>
      <w:r w:rsidRPr="00394C1A">
        <w:rPr>
          <w:lang w:eastAsia="zh-TW"/>
        </w:rPr>
        <w:t>國家發展委員會外國專業人才延攬及僱用法資訊專頁，</w:t>
      </w:r>
      <w:hyperlink r:id="rId19" w:history="1">
        <w:r w:rsidRPr="00394C1A">
          <w:rPr>
            <w:rStyle w:val="a7"/>
            <w:rFonts w:ascii="Arial Unicode MS" w:eastAsia="新細明體" w:hAnsi="Arial Unicode MS" w:cs="Calibri"/>
            <w:color w:val="5F5F5F"/>
            <w:kern w:val="2"/>
            <w:sz w:val="18"/>
            <w:lang w:eastAsia="zh-TW"/>
          </w:rPr>
          <w:t>https://foreigntalentact.ndc.gov.tw/Content_List.aspx?n=AA24EC33DACC5CB7</w:t>
        </w:r>
      </w:hyperlink>
      <w:r w:rsidRPr="00394C1A">
        <w:rPr>
          <w:lang w:eastAsia="zh-TW"/>
        </w:rPr>
        <w:t>，瀏覽日期：</w:t>
      </w:r>
      <w:r w:rsidRPr="00394C1A">
        <w:rPr>
          <w:lang w:eastAsia="zh-TW"/>
        </w:rPr>
        <w:t>2018</w:t>
      </w:r>
      <w:r w:rsidRPr="00394C1A">
        <w:rPr>
          <w:lang w:eastAsia="zh-TW"/>
        </w:rPr>
        <w:t>年</w:t>
      </w:r>
      <w:r w:rsidRPr="00394C1A">
        <w:rPr>
          <w:lang w:eastAsia="zh-TW"/>
        </w:rPr>
        <w:t>3</w:t>
      </w:r>
      <w:r w:rsidRPr="00394C1A">
        <w:rPr>
          <w:lang w:eastAsia="zh-TW"/>
        </w:rPr>
        <w:t>月</w:t>
      </w:r>
      <w:r w:rsidRPr="00394C1A">
        <w:rPr>
          <w:lang w:eastAsia="zh-TW"/>
        </w:rPr>
        <w:t>30</w:t>
      </w:r>
      <w:r w:rsidRPr="00394C1A">
        <w:rPr>
          <w:lang w:eastAsia="zh-TW"/>
        </w:rPr>
        <w:t>日。</w:t>
      </w:r>
    </w:p>
  </w:footnote>
  <w:footnote w:id="24">
    <w:p w:rsidR="00657FEF" w:rsidRPr="007D602F" w:rsidRDefault="00657FEF" w:rsidP="005606DC">
      <w:pPr>
        <w:pStyle w:val="5"/>
        <w:jc w:val="left"/>
        <w:rPr>
          <w:lang w:eastAsia="zh-TW"/>
        </w:rPr>
      </w:pPr>
      <w:r w:rsidRPr="00960C6D">
        <w:rPr>
          <w:rStyle w:val="af7"/>
          <w:rFonts w:cs="Arial Unicode MS"/>
          <w:szCs w:val="20"/>
        </w:rPr>
        <w:footnoteRef/>
      </w:r>
      <w:r w:rsidRPr="007D602F">
        <w:rPr>
          <w:lang w:eastAsia="zh-TW"/>
        </w:rPr>
        <w:t xml:space="preserve"> 2017</w:t>
      </w:r>
      <w:r w:rsidRPr="007D602F">
        <w:rPr>
          <w:lang w:eastAsia="zh-TW"/>
        </w:rPr>
        <w:t>年</w:t>
      </w:r>
      <w:r w:rsidRPr="007D602F">
        <w:rPr>
          <w:lang w:eastAsia="zh-TW"/>
        </w:rPr>
        <w:t>IMD</w:t>
      </w:r>
      <w:r w:rsidRPr="007D602F">
        <w:rPr>
          <w:lang w:eastAsia="zh-TW"/>
        </w:rPr>
        <w:t>世界競爭力我國排名維持全球第</w:t>
      </w:r>
      <w:r w:rsidRPr="007D602F">
        <w:rPr>
          <w:lang w:eastAsia="zh-TW"/>
        </w:rPr>
        <w:t>14</w:t>
      </w:r>
      <w:r w:rsidRPr="007D602F">
        <w:rPr>
          <w:lang w:eastAsia="zh-TW"/>
        </w:rPr>
        <w:t>名，國家發展委員會新聞稿，發布日期：</w:t>
      </w:r>
      <w:r w:rsidRPr="007D602F">
        <w:rPr>
          <w:lang w:eastAsia="zh-TW"/>
        </w:rPr>
        <w:t>2017</w:t>
      </w:r>
      <w:r w:rsidRPr="007D602F">
        <w:rPr>
          <w:lang w:eastAsia="zh-TW"/>
        </w:rPr>
        <w:t>年</w:t>
      </w:r>
      <w:r w:rsidRPr="007D602F">
        <w:rPr>
          <w:lang w:eastAsia="zh-TW"/>
        </w:rPr>
        <w:t>6</w:t>
      </w:r>
      <w:r w:rsidRPr="007D602F">
        <w:rPr>
          <w:lang w:eastAsia="zh-TW"/>
        </w:rPr>
        <w:t>月</w:t>
      </w:r>
      <w:r w:rsidRPr="007D602F">
        <w:rPr>
          <w:lang w:eastAsia="zh-TW"/>
        </w:rPr>
        <w:t>1</w:t>
      </w:r>
      <w:r w:rsidRPr="007D602F">
        <w:rPr>
          <w:lang w:eastAsia="zh-TW"/>
        </w:rPr>
        <w:t>日，</w:t>
      </w:r>
      <w:hyperlink r:id="rId20" w:history="1">
        <w:r w:rsidRPr="00394C1A">
          <w:rPr>
            <w:rStyle w:val="a7"/>
            <w:rFonts w:ascii="Arial Unicode MS" w:eastAsia="新細明體" w:hAnsi="Arial Unicode MS" w:cs="Calibri"/>
            <w:color w:val="5F5F5F"/>
            <w:kern w:val="2"/>
            <w:sz w:val="18"/>
            <w:lang w:eastAsia="zh-TW"/>
          </w:rPr>
          <w:t>https://www.ndc.gov.tw/News_Content.aspx?n=114AAE178CD95D4C&amp;sms=DF717169EA26F1A3&amp;s=5E5A4ED7DF4A900F&amp;Create=1</w:t>
        </w:r>
      </w:hyperlink>
      <w:r w:rsidRPr="00394C1A">
        <w:rPr>
          <w:lang w:eastAsia="zh-TW"/>
        </w:rPr>
        <w:t>。</w:t>
      </w:r>
    </w:p>
  </w:footnote>
  <w:footnote w:id="25">
    <w:p w:rsidR="00657FEF" w:rsidRPr="007D602F" w:rsidRDefault="00657FEF" w:rsidP="005606DC">
      <w:pPr>
        <w:pStyle w:val="5"/>
        <w:jc w:val="left"/>
        <w:rPr>
          <w:lang w:eastAsia="zh-TW"/>
        </w:rPr>
      </w:pPr>
      <w:r w:rsidRPr="00D440E2">
        <w:rPr>
          <w:rStyle w:val="af7"/>
          <w:rFonts w:cs="Arial Unicode MS"/>
          <w:szCs w:val="20"/>
        </w:rPr>
        <w:footnoteRef/>
      </w:r>
      <w:r w:rsidRPr="007D602F">
        <w:rPr>
          <w:lang w:eastAsia="zh-TW"/>
        </w:rPr>
        <w:t>國家發展委員會外國專業人才延攬及僱用法資訊專頁，</w:t>
      </w:r>
      <w:hyperlink r:id="rId21" w:history="1">
        <w:r w:rsidRPr="00394C1A">
          <w:rPr>
            <w:rStyle w:val="a7"/>
            <w:rFonts w:ascii="Arial Unicode MS" w:eastAsia="新細明體" w:hAnsi="Arial Unicode MS" w:cs="Calibri"/>
            <w:color w:val="5F5F5F"/>
            <w:kern w:val="2"/>
            <w:sz w:val="18"/>
            <w:lang w:eastAsia="zh-TW"/>
          </w:rPr>
          <w:t>https://www.ndc.gov.tw/Content_List.aspx?n=E61E31EE6FB10140&amp;upn=0A078649EEC83462</w:t>
        </w:r>
      </w:hyperlink>
      <w:r w:rsidRPr="00394C1A">
        <w:rPr>
          <w:rStyle w:val="a7"/>
          <w:rFonts w:ascii="Arial Unicode MS" w:eastAsia="新細明體" w:hAnsi="Arial Unicode MS" w:cs="Calibri"/>
          <w:color w:val="5F5F5F"/>
          <w:kern w:val="2"/>
          <w:sz w:val="18"/>
          <w:lang w:eastAsia="zh-TW"/>
        </w:rPr>
        <w:t>，</w:t>
      </w:r>
      <w:r w:rsidRPr="007D602F">
        <w:rPr>
          <w:lang w:eastAsia="zh-TW"/>
        </w:rPr>
        <w:t>瀏覽日期：</w:t>
      </w:r>
      <w:r w:rsidRPr="007D602F">
        <w:rPr>
          <w:lang w:eastAsia="zh-TW"/>
        </w:rPr>
        <w:t>2018</w:t>
      </w:r>
      <w:r w:rsidRPr="007D602F">
        <w:rPr>
          <w:lang w:eastAsia="zh-TW"/>
        </w:rPr>
        <w:t>年</w:t>
      </w:r>
      <w:r w:rsidRPr="007D602F">
        <w:rPr>
          <w:lang w:eastAsia="zh-TW"/>
        </w:rPr>
        <w:t>3</w:t>
      </w:r>
      <w:r w:rsidRPr="007D602F">
        <w:rPr>
          <w:lang w:eastAsia="zh-TW"/>
        </w:rPr>
        <w:t>月</w:t>
      </w:r>
      <w:r w:rsidRPr="007D602F">
        <w:rPr>
          <w:lang w:eastAsia="zh-TW"/>
        </w:rPr>
        <w:t>30</w:t>
      </w:r>
      <w:r w:rsidRPr="007D602F">
        <w:rPr>
          <w:lang w:eastAsia="zh-TW"/>
        </w:rPr>
        <w:t>日。</w:t>
      </w:r>
    </w:p>
  </w:footnote>
  <w:footnote w:id="26">
    <w:p w:rsidR="00657FEF" w:rsidRPr="007D602F" w:rsidRDefault="00657FEF" w:rsidP="005606DC">
      <w:pPr>
        <w:pStyle w:val="5"/>
        <w:jc w:val="left"/>
        <w:rPr>
          <w:lang w:eastAsia="zh-TW"/>
        </w:rPr>
      </w:pPr>
      <w:r w:rsidRPr="00D440E2">
        <w:rPr>
          <w:rStyle w:val="af7"/>
          <w:rFonts w:cs="Arial Unicode MS"/>
          <w:szCs w:val="20"/>
        </w:rPr>
        <w:footnoteRef/>
      </w:r>
      <w:r w:rsidRPr="007D602F">
        <w:rPr>
          <w:lang w:eastAsia="zh-TW"/>
        </w:rPr>
        <w:t xml:space="preserve"> </w:t>
      </w:r>
      <w:r w:rsidRPr="007D602F">
        <w:rPr>
          <w:lang w:eastAsia="zh-TW"/>
        </w:rPr>
        <w:t>柯雨瑞、蔡政杰</w:t>
      </w:r>
      <w:r w:rsidRPr="007D602F">
        <w:rPr>
          <w:lang w:eastAsia="zh-TW"/>
        </w:rPr>
        <w:t>(2016)</w:t>
      </w:r>
      <w:r w:rsidRPr="007D602F">
        <w:rPr>
          <w:lang w:eastAsia="zh-TW"/>
        </w:rPr>
        <w:t>，國土安全與移民政策，獨立作家，頁</w:t>
      </w:r>
      <w:r w:rsidRPr="007D602F">
        <w:rPr>
          <w:lang w:eastAsia="zh-TW"/>
        </w:rPr>
        <w:t>223-224</w:t>
      </w:r>
      <w:r w:rsidRPr="007D602F">
        <w:rPr>
          <w:lang w:eastAsia="zh-TW"/>
        </w:rPr>
        <w:t>。</w:t>
      </w:r>
    </w:p>
  </w:footnote>
  <w:footnote w:id="27">
    <w:p w:rsidR="00657FEF" w:rsidRPr="007D602F" w:rsidRDefault="00657FEF" w:rsidP="005606DC">
      <w:pPr>
        <w:pStyle w:val="5"/>
        <w:jc w:val="left"/>
        <w:rPr>
          <w:lang w:eastAsia="zh-TW"/>
        </w:rPr>
      </w:pPr>
      <w:r w:rsidRPr="00D440E2">
        <w:rPr>
          <w:rStyle w:val="af7"/>
          <w:rFonts w:cs="Arial Unicode MS"/>
          <w:szCs w:val="20"/>
        </w:rPr>
        <w:footnoteRef/>
      </w:r>
      <w:r w:rsidRPr="007D602F">
        <w:rPr>
          <w:lang w:eastAsia="zh-TW"/>
        </w:rPr>
        <w:t xml:space="preserve"> </w:t>
      </w:r>
      <w:r w:rsidRPr="007D602F">
        <w:rPr>
          <w:lang w:eastAsia="zh-TW"/>
        </w:rPr>
        <w:t>王智盛</w:t>
      </w:r>
      <w:r w:rsidRPr="007D602F">
        <w:rPr>
          <w:lang w:eastAsia="zh-TW"/>
        </w:rPr>
        <w:t>(2016)</w:t>
      </w:r>
      <w:r w:rsidRPr="007D602F">
        <w:rPr>
          <w:lang w:eastAsia="zh-TW"/>
        </w:rPr>
        <w:t>，移民理論與移民行政，五南，頁</w:t>
      </w:r>
      <w:r w:rsidRPr="007D602F">
        <w:rPr>
          <w:lang w:eastAsia="zh-TW"/>
        </w:rPr>
        <w:t>403</w:t>
      </w:r>
      <w:r w:rsidRPr="007D602F">
        <w:rPr>
          <w:lang w:eastAsia="zh-TW"/>
        </w:rPr>
        <w:t>。</w:t>
      </w:r>
    </w:p>
  </w:footnote>
  <w:footnote w:id="28">
    <w:p w:rsidR="00657FEF" w:rsidRPr="007D602F" w:rsidRDefault="00657FEF" w:rsidP="00992AB6">
      <w:pPr>
        <w:pStyle w:val="5"/>
        <w:rPr>
          <w:lang w:eastAsia="zh-TW"/>
        </w:rPr>
      </w:pPr>
      <w:r w:rsidRPr="00D440E2">
        <w:rPr>
          <w:rStyle w:val="af7"/>
          <w:rFonts w:cs="Arial Unicode MS"/>
          <w:szCs w:val="20"/>
        </w:rPr>
        <w:footnoteRef/>
      </w:r>
      <w:r w:rsidRPr="00D440E2">
        <w:rPr>
          <w:color w:val="FF6600"/>
          <w:lang w:eastAsia="zh-TW"/>
        </w:rPr>
        <w:t xml:space="preserve"> </w:t>
      </w:r>
      <w:r w:rsidRPr="007D602F">
        <w:rPr>
          <w:lang w:eastAsia="zh-TW"/>
        </w:rPr>
        <w:t>中時電子報（</w:t>
      </w:r>
      <w:r w:rsidRPr="007D602F">
        <w:rPr>
          <w:lang w:eastAsia="zh-TW"/>
        </w:rPr>
        <w:t>2018</w:t>
      </w:r>
      <w:r w:rsidRPr="007D602F">
        <w:rPr>
          <w:lang w:eastAsia="zh-TW"/>
        </w:rPr>
        <w:t>），</w:t>
      </w:r>
      <w:hyperlink r:id="rId22" w:history="1">
        <w:r w:rsidRPr="00394C1A">
          <w:rPr>
            <w:rStyle w:val="a7"/>
            <w:rFonts w:ascii="Arial Unicode MS" w:eastAsia="新細明體" w:hAnsi="Arial Unicode MS" w:cs="Calibri"/>
            <w:color w:val="5F5F5F"/>
            <w:kern w:val="2"/>
            <w:sz w:val="18"/>
            <w:lang w:eastAsia="zh-TW"/>
          </w:rPr>
          <w:t>http://www.chinatimes.com/realtimenews/20180227001898-260405</w:t>
        </w:r>
      </w:hyperlink>
      <w:r w:rsidRPr="00394C1A">
        <w:rPr>
          <w:lang w:eastAsia="zh-TW"/>
        </w:rPr>
        <w:t>。</w:t>
      </w:r>
    </w:p>
  </w:footnote>
  <w:footnote w:id="29">
    <w:p w:rsidR="00657FEF" w:rsidRPr="007D602F" w:rsidRDefault="00657FEF" w:rsidP="00992AB6">
      <w:pPr>
        <w:pStyle w:val="5"/>
        <w:rPr>
          <w:lang w:eastAsia="zh-TW"/>
        </w:rPr>
      </w:pPr>
      <w:r w:rsidRPr="00D440E2">
        <w:rPr>
          <w:rStyle w:val="af7"/>
          <w:rFonts w:cs="Arial Unicode MS"/>
          <w:szCs w:val="20"/>
        </w:rPr>
        <w:footnoteRef/>
      </w:r>
      <w:r w:rsidRPr="007D602F">
        <w:rPr>
          <w:rStyle w:val="af7"/>
          <w:rFonts w:cs="Arial Unicode MS"/>
          <w:color w:val="5F5F5F"/>
          <w:szCs w:val="20"/>
          <w:lang w:eastAsia="zh-TW"/>
        </w:rPr>
        <w:t xml:space="preserve"> </w:t>
      </w:r>
      <w:r w:rsidRPr="007D602F">
        <w:rPr>
          <w:lang w:eastAsia="zh-TW"/>
        </w:rPr>
        <w:t>SETN</w:t>
      </w:r>
      <w:r w:rsidRPr="007D602F">
        <w:rPr>
          <w:lang w:eastAsia="zh-TW"/>
        </w:rPr>
        <w:t>三立新聞網</w:t>
      </w:r>
      <w:r w:rsidRPr="007D602F">
        <w:rPr>
          <w:lang w:eastAsia="zh-TW"/>
        </w:rPr>
        <w:t>(2018)</w:t>
      </w:r>
      <w:r w:rsidRPr="007D602F">
        <w:rPr>
          <w:lang w:eastAsia="zh-TW"/>
        </w:rPr>
        <w:t>，</w:t>
      </w:r>
      <w:hyperlink r:id="rId23" w:history="1">
        <w:r w:rsidRPr="00394C1A">
          <w:rPr>
            <w:rStyle w:val="a7"/>
            <w:rFonts w:ascii="Arial Unicode MS" w:eastAsia="新細明體" w:hAnsi="Arial Unicode MS" w:cs="Calibri"/>
            <w:color w:val="5F5F5F"/>
            <w:kern w:val="2"/>
            <w:sz w:val="18"/>
            <w:lang w:eastAsia="zh-TW"/>
          </w:rPr>
          <w:t>http://www.setn.com/News.aspx?NewsID=353284</w:t>
        </w:r>
      </w:hyperlink>
      <w:r w:rsidRPr="00394C1A">
        <w:rPr>
          <w:lang w:eastAsia="zh-TW"/>
        </w:rPr>
        <w:t>。</w:t>
      </w:r>
    </w:p>
  </w:footnote>
  <w:footnote w:id="30">
    <w:p w:rsidR="00657FEF" w:rsidRPr="007D602F" w:rsidRDefault="00657FEF" w:rsidP="00992AB6">
      <w:pPr>
        <w:pStyle w:val="5"/>
        <w:rPr>
          <w:lang w:eastAsia="zh-TW"/>
        </w:rPr>
      </w:pPr>
      <w:r w:rsidRPr="00D440E2">
        <w:rPr>
          <w:rStyle w:val="af7"/>
          <w:rFonts w:cs="Arial Unicode MS"/>
          <w:szCs w:val="20"/>
        </w:rPr>
        <w:footnoteRef/>
      </w:r>
      <w:r w:rsidRPr="007D602F">
        <w:rPr>
          <w:lang w:eastAsia="zh-TW"/>
        </w:rPr>
        <w:t xml:space="preserve"> </w:t>
      </w:r>
      <w:r w:rsidRPr="007D602F">
        <w:rPr>
          <w:lang w:eastAsia="zh-TW"/>
        </w:rPr>
        <w:t>中時電子報</w:t>
      </w:r>
      <w:r w:rsidRPr="007D602F">
        <w:rPr>
          <w:lang w:eastAsia="zh-TW"/>
        </w:rPr>
        <w:t>(2018)</w:t>
      </w:r>
      <w:r w:rsidRPr="007D602F">
        <w:rPr>
          <w:lang w:eastAsia="zh-TW"/>
        </w:rPr>
        <w:t>，</w:t>
      </w:r>
      <w:hyperlink r:id="rId24" w:history="1">
        <w:r>
          <w:rPr>
            <w:rStyle w:val="a7"/>
            <w:rFonts w:ascii="Arial Unicode MS" w:eastAsia="新細明體" w:hAnsi="Arial Unicode MS" w:cs="Calibri"/>
            <w:color w:val="5F5F5F"/>
            <w:kern w:val="2"/>
            <w:sz w:val="18"/>
            <w:lang w:eastAsia="zh-TW"/>
          </w:rPr>
          <w:t>http://www.chinatimes.com/newspapers/20180226000518-260114</w:t>
        </w:r>
      </w:hyperlink>
    </w:p>
  </w:footnote>
  <w:footnote w:id="31">
    <w:p w:rsidR="00657FEF" w:rsidRPr="007D602F" w:rsidRDefault="00657FEF" w:rsidP="00992AB6">
      <w:pPr>
        <w:pStyle w:val="5"/>
        <w:rPr>
          <w:lang w:eastAsia="zh-TW"/>
        </w:rPr>
      </w:pPr>
      <w:r w:rsidRPr="00394C1A">
        <w:rPr>
          <w:rStyle w:val="af7"/>
          <w:rFonts w:eastAsia="新細明體" w:cs="Arial Unicode MS"/>
          <w:kern w:val="2"/>
          <w:szCs w:val="20"/>
        </w:rPr>
        <w:footnoteRef/>
      </w:r>
      <w:r w:rsidRPr="007D602F">
        <w:rPr>
          <w:rStyle w:val="af7"/>
          <w:rFonts w:cs="Arial Unicode MS"/>
          <w:color w:val="5F5F5F"/>
          <w:szCs w:val="20"/>
          <w:lang w:eastAsia="zh-TW"/>
        </w:rPr>
        <w:t xml:space="preserve"> </w:t>
      </w:r>
      <w:r w:rsidRPr="007D602F">
        <w:rPr>
          <w:lang w:eastAsia="zh-TW"/>
        </w:rPr>
        <w:t>遠見雜誌</w:t>
      </w:r>
      <w:r w:rsidRPr="007D602F">
        <w:rPr>
          <w:lang w:eastAsia="zh-TW"/>
        </w:rPr>
        <w:t>2010</w:t>
      </w:r>
      <w:r w:rsidRPr="007D602F">
        <w:rPr>
          <w:lang w:eastAsia="zh-TW"/>
        </w:rPr>
        <w:t>年</w:t>
      </w:r>
      <w:r w:rsidRPr="007D602F">
        <w:rPr>
          <w:lang w:eastAsia="zh-TW"/>
        </w:rPr>
        <w:t>3</w:t>
      </w:r>
      <w:r w:rsidRPr="007D602F">
        <w:rPr>
          <w:lang w:eastAsia="zh-TW"/>
        </w:rPr>
        <w:t>月號，六大誘因，四波挖角台灣師資。</w:t>
      </w:r>
    </w:p>
  </w:footnote>
  <w:footnote w:id="32">
    <w:p w:rsidR="00657FEF" w:rsidRPr="007D602F" w:rsidRDefault="00657FEF" w:rsidP="00992AB6">
      <w:pPr>
        <w:pStyle w:val="5"/>
        <w:rPr>
          <w:lang w:eastAsia="zh-TW"/>
        </w:rPr>
      </w:pPr>
      <w:r w:rsidRPr="00394C1A">
        <w:rPr>
          <w:rStyle w:val="af7"/>
          <w:rFonts w:eastAsia="新細明體" w:cs="Arial Unicode MS"/>
          <w:kern w:val="2"/>
          <w:szCs w:val="20"/>
        </w:rPr>
        <w:footnoteRef/>
      </w:r>
      <w:r w:rsidRPr="007D602F">
        <w:rPr>
          <w:lang w:eastAsia="zh-TW"/>
        </w:rPr>
        <w:t xml:space="preserve"> </w:t>
      </w:r>
      <w:r w:rsidRPr="007D602F">
        <w:rPr>
          <w:lang w:eastAsia="zh-TW"/>
        </w:rPr>
        <w:t>科技新報，</w:t>
      </w:r>
      <w:hyperlink r:id="rId25" w:history="1">
        <w:r w:rsidRPr="00394C1A">
          <w:rPr>
            <w:rStyle w:val="a7"/>
            <w:rFonts w:ascii="Arial Unicode MS" w:eastAsia="新細明體" w:hAnsi="Arial Unicode MS" w:cs="Calibri"/>
            <w:color w:val="5F5F5F"/>
            <w:kern w:val="2"/>
            <w:sz w:val="18"/>
            <w:lang w:eastAsia="zh-TW"/>
          </w:rPr>
          <w:t>http://technews.tw/2016/08/26/charles-kau-dram/</w:t>
        </w:r>
      </w:hyperlink>
      <w:r w:rsidRPr="00394C1A">
        <w:rPr>
          <w:rStyle w:val="a7"/>
          <w:rFonts w:ascii="Arial Unicode MS" w:eastAsia="新細明體" w:hAnsi="Arial Unicode MS" w:cs="Calibri"/>
          <w:color w:val="5F5F5F"/>
          <w:kern w:val="2"/>
          <w:sz w:val="18"/>
          <w:lang w:eastAsia="zh-TW"/>
        </w:rPr>
        <w:t>。</w:t>
      </w:r>
    </w:p>
  </w:footnote>
  <w:footnote w:id="33">
    <w:p w:rsidR="00657FEF" w:rsidRPr="007D602F" w:rsidRDefault="00657FEF" w:rsidP="00992AB6">
      <w:pPr>
        <w:pStyle w:val="5"/>
        <w:rPr>
          <w:lang w:eastAsia="zh-TW"/>
        </w:rPr>
      </w:pPr>
      <w:r w:rsidRPr="00394C1A">
        <w:rPr>
          <w:rStyle w:val="af7"/>
          <w:rFonts w:eastAsia="新細明體" w:cs="Arial Unicode MS"/>
          <w:kern w:val="2"/>
          <w:szCs w:val="20"/>
        </w:rPr>
        <w:footnoteRef/>
      </w:r>
      <w:r w:rsidRPr="007D602F">
        <w:rPr>
          <w:lang w:eastAsia="zh-TW"/>
        </w:rPr>
        <w:t>歸化國籍之高級專業人才認定標準。</w:t>
      </w:r>
    </w:p>
  </w:footnote>
  <w:footnote w:id="34">
    <w:p w:rsidR="00657FEF" w:rsidRPr="007D602F" w:rsidRDefault="00657FEF" w:rsidP="00992AB6">
      <w:pPr>
        <w:pStyle w:val="5"/>
        <w:rPr>
          <w:lang w:eastAsia="zh-TW"/>
        </w:rPr>
      </w:pPr>
      <w:r w:rsidRPr="005606DC">
        <w:rPr>
          <w:rStyle w:val="af7"/>
          <w:rFonts w:eastAsia="新細明體" w:cs="Arial Unicode MS"/>
          <w:kern w:val="2"/>
          <w:szCs w:val="20"/>
        </w:rPr>
        <w:footnoteRef/>
      </w:r>
      <w:r w:rsidRPr="005606DC">
        <w:rPr>
          <w:rFonts w:ascii="Arial Unicode MS" w:eastAsia="新細明體" w:hAnsi="Arial Unicode MS"/>
          <w:color w:val="FF6600"/>
          <w:kern w:val="2"/>
          <w:lang w:eastAsia="zh-TW"/>
        </w:rPr>
        <w:t xml:space="preserve"> </w:t>
      </w:r>
      <w:r w:rsidRPr="007D602F">
        <w:rPr>
          <w:lang w:eastAsia="zh-TW"/>
        </w:rPr>
        <w:t>感謝警大</w:t>
      </w:r>
      <w:r w:rsidRPr="007D602F">
        <w:rPr>
          <w:lang w:eastAsia="zh-TW"/>
        </w:rPr>
        <w:t>841</w:t>
      </w:r>
      <w:r w:rsidRPr="007D602F">
        <w:rPr>
          <w:lang w:eastAsia="zh-TW"/>
        </w:rPr>
        <w:t>國境系境管組陳又綾小姐惠賜高見。</w:t>
      </w:r>
    </w:p>
  </w:footnote>
  <w:footnote w:id="35">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 xml:space="preserve"> </w:t>
      </w:r>
      <w:r w:rsidRPr="007D602F">
        <w:rPr>
          <w:lang w:eastAsia="zh-TW"/>
        </w:rPr>
        <w:t>范光中、許永河，台灣人口高齡化的社經衝擊，</w:t>
      </w:r>
      <w:hyperlink r:id="rId26" w:history="1">
        <w:r w:rsidRPr="005606DC">
          <w:rPr>
            <w:rStyle w:val="a7"/>
            <w:rFonts w:ascii="Arial Unicode MS" w:eastAsia="新細明體" w:hAnsi="Arial Unicode MS" w:cs="Calibri"/>
            <w:color w:val="5F5F5F"/>
            <w:kern w:val="2"/>
            <w:sz w:val="18"/>
            <w:lang w:eastAsia="zh-TW"/>
          </w:rPr>
          <w:t>http://www.tagg.org.tw/DOWN/%E9%9B%9C%E8%AA%8C/5-3-%E5%85%A8%E6%96%87/5-3-1%E7%B6%9C%E8%AB%96-%E8%8C%83%E5%85%89%E4%B8%AD-p149-168.pdf</w:t>
        </w:r>
      </w:hyperlink>
      <w:r w:rsidRPr="007D602F">
        <w:rPr>
          <w:lang w:eastAsia="zh-TW"/>
        </w:rPr>
        <w:t>。</w:t>
      </w:r>
    </w:p>
  </w:footnote>
  <w:footnote w:id="36">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 xml:space="preserve"> </w:t>
      </w:r>
      <w:r w:rsidRPr="007D602F">
        <w:rPr>
          <w:lang w:eastAsia="zh-TW"/>
        </w:rPr>
        <w:t>感謝警大</w:t>
      </w:r>
      <w:r w:rsidRPr="007D602F">
        <w:rPr>
          <w:lang w:eastAsia="zh-TW"/>
        </w:rPr>
        <w:t>841</w:t>
      </w:r>
      <w:r w:rsidRPr="007D602F">
        <w:rPr>
          <w:lang w:eastAsia="zh-TW"/>
        </w:rPr>
        <w:t>國境系境管組林偉弘先生惠賜高見。</w:t>
      </w:r>
    </w:p>
  </w:footnote>
  <w:footnote w:id="37">
    <w:p w:rsidR="00657FEF" w:rsidRPr="007D602F" w:rsidRDefault="00657FEF" w:rsidP="00992AB6">
      <w:pPr>
        <w:pStyle w:val="5"/>
        <w:rPr>
          <w:lang w:eastAsia="zh-TW"/>
        </w:rPr>
      </w:pPr>
      <w:r w:rsidRPr="0059552B">
        <w:rPr>
          <w:rStyle w:val="af7"/>
          <w:rFonts w:eastAsia="新細明體" w:cs="Arial Unicode MS"/>
          <w:kern w:val="2"/>
          <w:szCs w:val="20"/>
        </w:rPr>
        <w:footnoteRef/>
      </w:r>
      <w:r w:rsidRPr="007D602F">
        <w:rPr>
          <w:lang w:eastAsia="zh-TW"/>
        </w:rPr>
        <w:t xml:space="preserve"> </w:t>
      </w:r>
      <w:r w:rsidRPr="007D602F">
        <w:rPr>
          <w:lang w:eastAsia="zh-TW"/>
        </w:rPr>
        <w:t>感謝警大</w:t>
      </w:r>
      <w:r w:rsidRPr="007D602F">
        <w:rPr>
          <w:lang w:eastAsia="zh-TW"/>
        </w:rPr>
        <w:t>841</w:t>
      </w:r>
      <w:r w:rsidRPr="007D602F">
        <w:rPr>
          <w:lang w:eastAsia="zh-TW"/>
        </w:rPr>
        <w:t>國境系境管組林偉弘先生惠賜高見。</w:t>
      </w:r>
    </w:p>
  </w:footnote>
  <w:footnote w:id="38">
    <w:p w:rsidR="00657FEF" w:rsidRPr="007D602F" w:rsidRDefault="00657FEF" w:rsidP="00992AB6">
      <w:pPr>
        <w:pStyle w:val="5"/>
        <w:rPr>
          <w:lang w:eastAsia="zh-TW"/>
        </w:rPr>
      </w:pPr>
      <w:r w:rsidRPr="0059552B">
        <w:rPr>
          <w:rStyle w:val="af7"/>
          <w:rFonts w:eastAsia="新細明體" w:cs="Arial Unicode MS"/>
          <w:kern w:val="2"/>
          <w:szCs w:val="20"/>
        </w:rPr>
        <w:footnoteRef/>
      </w:r>
      <w:r w:rsidRPr="007D602F">
        <w:rPr>
          <w:lang w:eastAsia="zh-TW"/>
        </w:rPr>
        <w:t>簡立欣</w:t>
      </w:r>
      <w:r w:rsidRPr="007D602F">
        <w:rPr>
          <w:lang w:eastAsia="zh-TW"/>
        </w:rPr>
        <w:t>(2017)</w:t>
      </w:r>
      <w:r w:rsidRPr="007D602F">
        <w:rPr>
          <w:lang w:eastAsia="zh-TW"/>
        </w:rPr>
        <w:t>，陸校招台生，學測放寬至均標，</w:t>
      </w:r>
      <w:hyperlink r:id="rId27" w:history="1">
        <w:r w:rsidRPr="0059552B">
          <w:rPr>
            <w:rStyle w:val="a7"/>
            <w:rFonts w:ascii="Arial Unicode MS" w:eastAsia="新細明體" w:hAnsi="Arial Unicode MS" w:cs="Calibri"/>
            <w:color w:val="5F5F5F"/>
            <w:kern w:val="2"/>
            <w:sz w:val="18"/>
            <w:lang w:eastAsia="zh-TW"/>
          </w:rPr>
          <w:t>http://www.chinatimes.com/newspapers/20170705000777-260301</w:t>
        </w:r>
      </w:hyperlink>
      <w:r w:rsidRPr="007D602F">
        <w:rPr>
          <w:lang w:eastAsia="zh-TW"/>
        </w:rPr>
        <w:t>。</w:t>
      </w:r>
    </w:p>
  </w:footnote>
  <w:footnote w:id="39">
    <w:p w:rsidR="00657FEF" w:rsidRPr="007D602F" w:rsidRDefault="00657FEF" w:rsidP="00992AB6">
      <w:pPr>
        <w:pStyle w:val="5"/>
        <w:rPr>
          <w:lang w:eastAsia="zh-TW"/>
        </w:rPr>
      </w:pPr>
      <w:r w:rsidRPr="0059552B">
        <w:rPr>
          <w:rStyle w:val="af7"/>
          <w:rFonts w:eastAsia="新細明體" w:cs="Arial Unicode MS"/>
          <w:kern w:val="2"/>
          <w:szCs w:val="20"/>
        </w:rPr>
        <w:footnoteRef/>
      </w:r>
      <w:r w:rsidRPr="0059552B">
        <w:rPr>
          <w:rFonts w:ascii="Arial Unicode MS" w:eastAsia="新細明體" w:hAnsi="Arial Unicode MS"/>
          <w:color w:val="FF6600"/>
          <w:kern w:val="2"/>
          <w:lang w:eastAsia="zh-TW"/>
        </w:rPr>
        <w:t xml:space="preserve"> </w:t>
      </w:r>
      <w:r w:rsidRPr="007D602F">
        <w:rPr>
          <w:lang w:eastAsia="zh-TW"/>
        </w:rPr>
        <w:t>感謝警大</w:t>
      </w:r>
      <w:r w:rsidRPr="007D602F">
        <w:rPr>
          <w:lang w:eastAsia="zh-TW"/>
        </w:rPr>
        <w:t>841</w:t>
      </w:r>
      <w:r w:rsidRPr="007D602F">
        <w:rPr>
          <w:lang w:eastAsia="zh-TW"/>
        </w:rPr>
        <w:t>國境系境管組林偉弘先生惠賜高見。</w:t>
      </w:r>
    </w:p>
  </w:footnote>
  <w:footnote w:id="40">
    <w:p w:rsidR="00657FEF" w:rsidRPr="007D602F" w:rsidRDefault="00657FEF" w:rsidP="00992AB6">
      <w:pPr>
        <w:pStyle w:val="5"/>
        <w:rPr>
          <w:lang w:eastAsia="zh-TW"/>
        </w:rPr>
      </w:pPr>
      <w:r w:rsidRPr="0059552B">
        <w:rPr>
          <w:rStyle w:val="af7"/>
          <w:rFonts w:eastAsia="新細明體" w:cs="Arial Unicode MS"/>
          <w:kern w:val="2"/>
          <w:szCs w:val="20"/>
        </w:rPr>
        <w:footnoteRef/>
      </w:r>
      <w:r w:rsidRPr="007D602F">
        <w:rPr>
          <w:lang w:eastAsia="zh-TW"/>
        </w:rPr>
        <w:t xml:space="preserve"> </w:t>
      </w:r>
      <w:r w:rsidRPr="007D602F">
        <w:rPr>
          <w:lang w:eastAsia="zh-TW"/>
        </w:rPr>
        <w:t>感謝警大</w:t>
      </w:r>
      <w:r w:rsidRPr="007D602F">
        <w:rPr>
          <w:lang w:eastAsia="zh-TW"/>
        </w:rPr>
        <w:t>841</w:t>
      </w:r>
      <w:r w:rsidRPr="007D602F">
        <w:rPr>
          <w:lang w:eastAsia="zh-TW"/>
        </w:rPr>
        <w:t>國境系境管組林偉弘先生惠賜高見。</w:t>
      </w:r>
    </w:p>
  </w:footnote>
  <w:footnote w:id="41">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 xml:space="preserve"> </w:t>
      </w:r>
      <w:r w:rsidRPr="007D602F">
        <w:rPr>
          <w:lang w:eastAsia="zh-TW"/>
        </w:rPr>
        <w:t>感謝警大</w:t>
      </w:r>
      <w:r w:rsidRPr="007D602F">
        <w:rPr>
          <w:lang w:eastAsia="zh-TW"/>
        </w:rPr>
        <w:t>841</w:t>
      </w:r>
      <w:r w:rsidRPr="007D602F">
        <w:rPr>
          <w:lang w:eastAsia="zh-TW"/>
        </w:rPr>
        <w:t>國境系境管組林偉弘先生惠賜高見。</w:t>
      </w:r>
    </w:p>
  </w:footnote>
  <w:footnote w:id="42">
    <w:p w:rsidR="00657FEF" w:rsidRPr="007D602F" w:rsidRDefault="00657FEF" w:rsidP="005606DC">
      <w:pPr>
        <w:pStyle w:val="5"/>
        <w:jc w:val="left"/>
        <w:rPr>
          <w:lang w:eastAsia="zh-TW"/>
        </w:rPr>
      </w:pPr>
      <w:r w:rsidRPr="005606DC">
        <w:rPr>
          <w:rStyle w:val="af7"/>
          <w:rFonts w:eastAsia="新細明體" w:cs="Arial Unicode MS"/>
          <w:kern w:val="2"/>
          <w:szCs w:val="20"/>
        </w:rPr>
        <w:footnoteRef/>
      </w:r>
      <w:r w:rsidRPr="007D602F">
        <w:rPr>
          <w:lang w:eastAsia="zh-TW"/>
        </w:rPr>
        <w:t xml:space="preserve"> </w:t>
      </w:r>
      <w:r w:rsidRPr="007D602F">
        <w:rPr>
          <w:lang w:eastAsia="zh-TW"/>
        </w:rPr>
        <w:t>國家發展委員會</w:t>
      </w:r>
      <w:r w:rsidRPr="007D602F">
        <w:rPr>
          <w:lang w:eastAsia="zh-TW"/>
        </w:rPr>
        <w:t>(2017)</w:t>
      </w:r>
      <w:r w:rsidRPr="007D602F">
        <w:rPr>
          <w:lang w:eastAsia="zh-TW"/>
        </w:rPr>
        <w:t>，育才、留才及攬才整合方案，</w:t>
      </w:r>
      <w:hyperlink r:id="rId28" w:history="1">
        <w:r w:rsidRPr="005606DC">
          <w:rPr>
            <w:rStyle w:val="a7"/>
            <w:rFonts w:ascii="Arial Unicode MS" w:eastAsia="新細明體" w:hAnsi="Arial Unicode MS" w:cs="Calibri"/>
            <w:color w:val="5F5F5F"/>
            <w:kern w:val="2"/>
            <w:sz w:val="18"/>
            <w:lang w:eastAsia="zh-TW"/>
          </w:rPr>
          <w:t>https://www.ndc.gov.tw/cp.aspx?n=43E064AE4DB3FD96&amp;upn=83E8E2C85878BB68</w:t>
        </w:r>
      </w:hyperlink>
      <w:r w:rsidRPr="007D602F">
        <w:rPr>
          <w:lang w:eastAsia="zh-TW"/>
        </w:rPr>
        <w:t>。</w:t>
      </w:r>
    </w:p>
  </w:footnote>
  <w:footnote w:id="43">
    <w:p w:rsidR="00657FEF" w:rsidRPr="007D602F" w:rsidRDefault="00657FEF" w:rsidP="005606DC">
      <w:pPr>
        <w:pStyle w:val="5"/>
        <w:jc w:val="left"/>
        <w:rPr>
          <w:lang w:eastAsia="zh-TW"/>
        </w:rPr>
      </w:pPr>
      <w:r w:rsidRPr="005606DC">
        <w:rPr>
          <w:rStyle w:val="af7"/>
          <w:rFonts w:eastAsia="新細明體" w:cs="Arial Unicode MS"/>
          <w:kern w:val="2"/>
          <w:szCs w:val="20"/>
        </w:rPr>
        <w:footnoteRef/>
      </w:r>
      <w:r w:rsidRPr="007D602F">
        <w:rPr>
          <w:lang w:eastAsia="zh-TW"/>
        </w:rPr>
        <w:t xml:space="preserve"> </w:t>
      </w:r>
      <w:r w:rsidRPr="007D602F">
        <w:rPr>
          <w:lang w:eastAsia="zh-TW"/>
        </w:rPr>
        <w:t>感謝警大</w:t>
      </w:r>
      <w:r w:rsidRPr="007D602F">
        <w:rPr>
          <w:lang w:eastAsia="zh-TW"/>
        </w:rPr>
        <w:t>841</w:t>
      </w:r>
      <w:r w:rsidRPr="007D602F">
        <w:rPr>
          <w:lang w:eastAsia="zh-TW"/>
        </w:rPr>
        <w:t>國境系境管組吳佳承先生惠賜高見。</w:t>
      </w:r>
    </w:p>
  </w:footnote>
  <w:footnote w:id="44">
    <w:p w:rsidR="00657FEF" w:rsidRPr="007D602F" w:rsidRDefault="00657FEF" w:rsidP="005606DC">
      <w:pPr>
        <w:pStyle w:val="5"/>
        <w:jc w:val="left"/>
        <w:rPr>
          <w:lang w:eastAsia="zh-TW"/>
        </w:rPr>
      </w:pPr>
      <w:r w:rsidRPr="005606DC">
        <w:rPr>
          <w:rStyle w:val="af7"/>
          <w:rFonts w:eastAsia="新細明體" w:cs="Arial Unicode MS"/>
          <w:kern w:val="2"/>
          <w:szCs w:val="20"/>
        </w:rPr>
        <w:footnoteRef/>
      </w:r>
      <w:r w:rsidRPr="007D602F">
        <w:rPr>
          <w:lang w:eastAsia="zh-TW"/>
        </w:rPr>
        <w:t xml:space="preserve"> </w:t>
      </w:r>
      <w:r w:rsidRPr="007D602F">
        <w:rPr>
          <w:lang w:eastAsia="zh-TW"/>
        </w:rPr>
        <w:t>感謝警大</w:t>
      </w:r>
      <w:r w:rsidRPr="007D602F">
        <w:rPr>
          <w:lang w:eastAsia="zh-TW"/>
        </w:rPr>
        <w:t>841</w:t>
      </w:r>
      <w:r w:rsidRPr="007D602F">
        <w:rPr>
          <w:lang w:eastAsia="zh-TW"/>
        </w:rPr>
        <w:t>國境系境管組吳佳承先生惠賜高見。</w:t>
      </w:r>
    </w:p>
  </w:footnote>
  <w:footnote w:id="45">
    <w:p w:rsidR="00657FEF" w:rsidRPr="007D602F" w:rsidRDefault="00657FEF" w:rsidP="00992AB6">
      <w:pPr>
        <w:pStyle w:val="5"/>
        <w:rPr>
          <w:lang w:eastAsia="zh-TW"/>
        </w:rPr>
      </w:pPr>
      <w:r w:rsidRPr="005606DC">
        <w:rPr>
          <w:rStyle w:val="af7"/>
          <w:rFonts w:eastAsia="新細明體" w:cs="Arial Unicode MS"/>
          <w:kern w:val="2"/>
          <w:szCs w:val="20"/>
        </w:rPr>
        <w:footnoteRef/>
      </w:r>
      <w:r w:rsidRPr="005606DC">
        <w:rPr>
          <w:rFonts w:ascii="Arial Unicode MS" w:eastAsia="新細明體" w:hAnsi="Arial Unicode MS"/>
          <w:color w:val="FF6600"/>
          <w:kern w:val="2"/>
          <w:lang w:eastAsia="zh-TW"/>
        </w:rPr>
        <w:t xml:space="preserve"> </w:t>
      </w:r>
      <w:r w:rsidRPr="007D602F">
        <w:rPr>
          <w:lang w:eastAsia="zh-TW"/>
        </w:rPr>
        <w:t>感謝警大</w:t>
      </w:r>
      <w:r w:rsidRPr="007D602F">
        <w:rPr>
          <w:lang w:eastAsia="zh-TW"/>
        </w:rPr>
        <w:t>841</w:t>
      </w:r>
      <w:r w:rsidRPr="007D602F">
        <w:rPr>
          <w:lang w:eastAsia="zh-TW"/>
        </w:rPr>
        <w:t>國境系境管組吳佳承先生惠賜高見。</w:t>
      </w:r>
    </w:p>
  </w:footnote>
  <w:footnote w:id="46">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 xml:space="preserve"> </w:t>
      </w:r>
      <w:r w:rsidRPr="007D602F">
        <w:rPr>
          <w:lang w:eastAsia="zh-TW"/>
        </w:rPr>
        <w:t>感謝警大</w:t>
      </w:r>
      <w:r w:rsidRPr="007D602F">
        <w:rPr>
          <w:lang w:eastAsia="zh-TW"/>
        </w:rPr>
        <w:t>841</w:t>
      </w:r>
      <w:r w:rsidRPr="007D602F">
        <w:rPr>
          <w:lang w:eastAsia="zh-TW"/>
        </w:rPr>
        <w:t>國境系境管組吳佳承先生惠賜高見。</w:t>
      </w:r>
    </w:p>
  </w:footnote>
  <w:footnote w:id="47">
    <w:p w:rsidR="00657FEF" w:rsidRPr="007D602F" w:rsidRDefault="00657FEF" w:rsidP="00D43F64">
      <w:pPr>
        <w:pStyle w:val="5"/>
        <w:jc w:val="left"/>
        <w:rPr>
          <w:lang w:eastAsia="zh-TW"/>
        </w:rPr>
      </w:pPr>
      <w:r w:rsidRPr="005606DC">
        <w:rPr>
          <w:rStyle w:val="af7"/>
          <w:rFonts w:eastAsia="新細明體" w:cs="Arial Unicode MS"/>
          <w:kern w:val="2"/>
          <w:szCs w:val="20"/>
        </w:rPr>
        <w:footnoteRef/>
      </w:r>
      <w:r w:rsidRPr="007D602F">
        <w:rPr>
          <w:lang w:eastAsia="zh-TW"/>
        </w:rPr>
        <w:t xml:space="preserve"> </w:t>
      </w:r>
      <w:r w:rsidRPr="007D602F">
        <w:rPr>
          <w:lang w:eastAsia="zh-TW"/>
        </w:rPr>
        <w:t>程晏鈴</w:t>
      </w:r>
      <w:r w:rsidRPr="007D602F">
        <w:rPr>
          <w:lang w:eastAsia="zh-TW"/>
        </w:rPr>
        <w:t>(2017)</w:t>
      </w:r>
      <w:r w:rsidRPr="007D602F">
        <w:rPr>
          <w:lang w:eastAsia="zh-TW"/>
        </w:rPr>
        <w:t>，「高出低進」沒人才，</w:t>
      </w:r>
      <w:r w:rsidRPr="007D602F">
        <w:rPr>
          <w:lang w:eastAsia="zh-TW"/>
        </w:rPr>
        <w:t>4</w:t>
      </w:r>
      <w:r w:rsidRPr="007D602F">
        <w:rPr>
          <w:lang w:eastAsia="zh-TW"/>
        </w:rPr>
        <w:t>年後，台灣人才缺口全球最嚴重，</w:t>
      </w:r>
      <w:hyperlink r:id="rId29" w:history="1">
        <w:r w:rsidRPr="005606DC">
          <w:rPr>
            <w:rStyle w:val="a7"/>
            <w:rFonts w:ascii="Arial Unicode MS" w:eastAsia="新細明體" w:hAnsi="Arial Unicode MS" w:cs="Calibri"/>
            <w:color w:val="5F5F5F"/>
            <w:kern w:val="2"/>
            <w:sz w:val="18"/>
            <w:lang w:eastAsia="zh-TW"/>
          </w:rPr>
          <w:t>https://www.cw.com.tw/article/article.action?id=5083320</w:t>
        </w:r>
      </w:hyperlink>
      <w:r>
        <w:rPr>
          <w:lang w:eastAsia="zh-TW"/>
        </w:rPr>
        <w:t>。</w:t>
      </w:r>
    </w:p>
  </w:footnote>
  <w:footnote w:id="48">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 xml:space="preserve"> </w:t>
      </w:r>
      <w:r w:rsidRPr="007D602F">
        <w:rPr>
          <w:lang w:eastAsia="zh-TW"/>
        </w:rPr>
        <w:t>感謝警大</w:t>
      </w:r>
      <w:r w:rsidRPr="007D602F">
        <w:rPr>
          <w:lang w:eastAsia="zh-TW"/>
        </w:rPr>
        <w:t>841</w:t>
      </w:r>
      <w:r w:rsidRPr="007D602F">
        <w:rPr>
          <w:lang w:eastAsia="zh-TW"/>
        </w:rPr>
        <w:t>國境系境管組吳佳承先生惠賜高見。</w:t>
      </w:r>
    </w:p>
  </w:footnote>
  <w:footnote w:id="49">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50">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51">
    <w:p w:rsidR="00657FEF" w:rsidRPr="007D602F" w:rsidRDefault="00657FEF" w:rsidP="005606DC">
      <w:pPr>
        <w:pStyle w:val="5"/>
        <w:jc w:val="left"/>
        <w:rPr>
          <w:lang w:eastAsia="zh-TW"/>
        </w:rPr>
      </w:pPr>
      <w:r w:rsidRPr="005606DC">
        <w:rPr>
          <w:rStyle w:val="af7"/>
          <w:rFonts w:eastAsia="新細明體" w:cs="Arial Unicode MS"/>
          <w:kern w:val="2"/>
          <w:szCs w:val="20"/>
        </w:rPr>
        <w:footnoteRef/>
      </w:r>
      <w:r w:rsidRPr="007D602F">
        <w:rPr>
          <w:lang w:eastAsia="zh-TW"/>
        </w:rPr>
        <w:t>維基百科</w:t>
      </w:r>
      <w:r w:rsidRPr="007D602F">
        <w:rPr>
          <w:lang w:eastAsia="zh-TW"/>
        </w:rPr>
        <w:t>(2017)</w:t>
      </w:r>
      <w:r w:rsidRPr="007D602F">
        <w:rPr>
          <w:lang w:eastAsia="zh-TW"/>
        </w:rPr>
        <w:t>，台灣經濟史，</w:t>
      </w:r>
      <w:hyperlink r:id="rId30" w:history="1">
        <w:r w:rsidRPr="005606DC">
          <w:rPr>
            <w:rStyle w:val="a7"/>
            <w:rFonts w:ascii="Arial Unicode MS" w:eastAsia="新細明體" w:hAnsi="Arial Unicode MS" w:cs="Calibri"/>
            <w:color w:val="5F5F5F"/>
            <w:kern w:val="2"/>
            <w:sz w:val="18"/>
            <w:lang w:eastAsia="zh-TW"/>
          </w:rPr>
          <w:t>https://zh.wikipedia.org/zh-tw/%E5%8F%B0%E7%81%A3%E7%B6%93%E6%BF%9F%E5%8F%B2</w:t>
        </w:r>
      </w:hyperlink>
      <w:r w:rsidRPr="007D602F">
        <w:rPr>
          <w:lang w:eastAsia="zh-TW"/>
        </w:rPr>
        <w:t>。</w:t>
      </w:r>
    </w:p>
  </w:footnote>
  <w:footnote w:id="52">
    <w:p w:rsidR="00657FEF" w:rsidRPr="007D602F" w:rsidRDefault="00657FEF" w:rsidP="00992AB6">
      <w:pPr>
        <w:pStyle w:val="5"/>
        <w:rPr>
          <w:lang w:eastAsia="zh-TW"/>
        </w:rPr>
      </w:pPr>
      <w:r w:rsidRPr="005606DC">
        <w:rPr>
          <w:rStyle w:val="af7"/>
          <w:rFonts w:eastAsia="新細明體" w:cs="Arial Unicode MS"/>
          <w:kern w:val="2"/>
          <w:szCs w:val="20"/>
        </w:rPr>
        <w:footnoteRef/>
      </w:r>
      <w:r w:rsidRPr="005606DC">
        <w:rPr>
          <w:rFonts w:ascii="Arial Unicode MS" w:eastAsia="新細明體" w:hAnsi="Arial Unicode MS"/>
          <w:color w:val="5F5F5F"/>
          <w:kern w:val="2"/>
          <w:lang w:eastAsia="zh-TW"/>
        </w:rPr>
        <w:t>感</w:t>
      </w:r>
      <w:r w:rsidRPr="007D602F">
        <w:rPr>
          <w:lang w:eastAsia="zh-TW"/>
        </w:rPr>
        <w:t>謝警大</w:t>
      </w:r>
      <w:r w:rsidRPr="007D602F">
        <w:rPr>
          <w:lang w:eastAsia="zh-TW"/>
        </w:rPr>
        <w:t>841</w:t>
      </w:r>
      <w:r w:rsidRPr="007D602F">
        <w:rPr>
          <w:lang w:eastAsia="zh-TW"/>
        </w:rPr>
        <w:t>國境系境管組王家彬先生惠賜高見。</w:t>
      </w:r>
    </w:p>
  </w:footnote>
  <w:footnote w:id="53">
    <w:p w:rsidR="00657FEF" w:rsidRPr="007D602F" w:rsidRDefault="00657FEF" w:rsidP="00992AB6">
      <w:pPr>
        <w:pStyle w:val="5"/>
        <w:rPr>
          <w:lang w:eastAsia="zh-TW"/>
        </w:rPr>
      </w:pPr>
      <w:r w:rsidRPr="005606DC">
        <w:rPr>
          <w:rStyle w:val="a7"/>
          <w:rFonts w:ascii="Arial Unicode MS" w:eastAsia="新細明體" w:hAnsi="Arial Unicode MS" w:cs="Calibri"/>
          <w:b/>
          <w:color w:val="FF6600"/>
          <w:kern w:val="2"/>
          <w:sz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54">
    <w:p w:rsidR="00657FEF" w:rsidRPr="005606DC"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陳隆志</w:t>
      </w:r>
      <w:r w:rsidRPr="007D602F">
        <w:rPr>
          <w:lang w:eastAsia="zh-TW"/>
        </w:rPr>
        <w:t>(2000)</w:t>
      </w:r>
      <w:r w:rsidRPr="007D602F">
        <w:rPr>
          <w:lang w:eastAsia="zh-TW"/>
        </w:rPr>
        <w:t>，台灣參加國際組織之展望，新世紀智庫論壇第</w:t>
      </w:r>
      <w:r w:rsidRPr="007D602F">
        <w:rPr>
          <w:lang w:eastAsia="zh-TW"/>
        </w:rPr>
        <w:t>9</w:t>
      </w:r>
      <w:r w:rsidRPr="007D602F">
        <w:rPr>
          <w:lang w:eastAsia="zh-TW"/>
        </w:rPr>
        <w:t>期，</w:t>
      </w:r>
      <w:hyperlink r:id="rId31" w:history="1">
        <w:r w:rsidRPr="005606DC">
          <w:rPr>
            <w:rStyle w:val="a7"/>
            <w:rFonts w:ascii="Arial Unicode MS" w:eastAsia="新細明體" w:hAnsi="Arial Unicode MS" w:cs="Calibri"/>
            <w:color w:val="5F5F5F"/>
            <w:kern w:val="2"/>
            <w:sz w:val="18"/>
            <w:lang w:eastAsia="zh-TW"/>
          </w:rPr>
          <w:t>http://www.taiwanncf.org.tw/ttforum/09/09-01.pdf</w:t>
        </w:r>
      </w:hyperlink>
      <w:r w:rsidRPr="005606DC">
        <w:rPr>
          <w:lang w:eastAsia="zh-TW"/>
        </w:rPr>
        <w:t>。</w:t>
      </w:r>
    </w:p>
  </w:footnote>
  <w:footnote w:id="55">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56">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57">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 xml:space="preserve"> </w:t>
      </w:r>
      <w:r w:rsidRPr="007D602F">
        <w:rPr>
          <w:lang w:eastAsia="zh-TW"/>
        </w:rPr>
        <w:t>曾志超</w:t>
      </w:r>
      <w:r w:rsidRPr="007D602F">
        <w:rPr>
          <w:lang w:eastAsia="zh-TW"/>
        </w:rPr>
        <w:t>(2018)</w:t>
      </w:r>
      <w:r w:rsidRPr="007D602F">
        <w:rPr>
          <w:lang w:eastAsia="zh-TW"/>
        </w:rPr>
        <w:t>，從供需面看台灣人才外流問題，師友月刊，</w:t>
      </w:r>
      <w:hyperlink r:id="rId32" w:history="1">
        <w:r w:rsidRPr="005606DC">
          <w:rPr>
            <w:rStyle w:val="a7"/>
            <w:rFonts w:ascii="Arial Unicode MS" w:eastAsia="新細明體" w:hAnsi="Arial Unicode MS" w:cs="Calibri"/>
            <w:color w:val="5F5F5F"/>
            <w:kern w:val="2"/>
            <w:sz w:val="18"/>
            <w:lang w:eastAsia="zh-TW"/>
          </w:rPr>
          <w:t>https://www.npf.org.tw/printfriendly/18196</w:t>
        </w:r>
      </w:hyperlink>
      <w:r w:rsidRPr="007D602F">
        <w:rPr>
          <w:lang w:eastAsia="zh-TW"/>
        </w:rPr>
        <w:t>。</w:t>
      </w:r>
    </w:p>
  </w:footnote>
  <w:footnote w:id="58">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59">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60">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61">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62">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63">
    <w:p w:rsidR="00657FEF" w:rsidRPr="007D602F" w:rsidRDefault="00657FEF" w:rsidP="00992AB6">
      <w:pPr>
        <w:pStyle w:val="5"/>
        <w:rPr>
          <w:lang w:eastAsia="zh-TW"/>
        </w:rPr>
      </w:pPr>
      <w:r w:rsidRPr="005606DC">
        <w:rPr>
          <w:rStyle w:val="af7"/>
          <w:rFonts w:eastAsia="新細明體" w:cs="Arial Unicode MS"/>
          <w:kern w:val="2"/>
          <w:szCs w:val="20"/>
        </w:rPr>
        <w:footnoteRef/>
      </w:r>
      <w:r w:rsidRPr="007D602F">
        <w:rPr>
          <w:lang w:eastAsia="zh-TW"/>
        </w:rPr>
        <w:t>立法院</w:t>
      </w:r>
      <w:r w:rsidRPr="007D602F">
        <w:rPr>
          <w:lang w:eastAsia="zh-TW"/>
        </w:rPr>
        <w:t>(2016)</w:t>
      </w:r>
      <w:r w:rsidRPr="007D602F">
        <w:rPr>
          <w:lang w:eastAsia="zh-TW"/>
        </w:rPr>
        <w:t>，立法院第</w:t>
      </w:r>
      <w:r w:rsidRPr="007D602F">
        <w:rPr>
          <w:lang w:eastAsia="zh-TW"/>
        </w:rPr>
        <w:t xml:space="preserve">9 </w:t>
      </w:r>
      <w:r w:rsidRPr="007D602F">
        <w:rPr>
          <w:lang w:eastAsia="zh-TW"/>
        </w:rPr>
        <w:t>屆第</w:t>
      </w:r>
      <w:r w:rsidRPr="007D602F">
        <w:rPr>
          <w:lang w:eastAsia="zh-TW"/>
        </w:rPr>
        <w:t xml:space="preserve">3 </w:t>
      </w:r>
      <w:r w:rsidRPr="007D602F">
        <w:rPr>
          <w:lang w:eastAsia="zh-TW"/>
        </w:rPr>
        <w:t>會期第</w:t>
      </w:r>
      <w:r w:rsidRPr="007D602F">
        <w:rPr>
          <w:lang w:eastAsia="zh-TW"/>
        </w:rPr>
        <w:t xml:space="preserve">12 </w:t>
      </w:r>
      <w:r w:rsidRPr="007D602F">
        <w:rPr>
          <w:lang w:eastAsia="zh-TW"/>
        </w:rPr>
        <w:t>次會議議案關係文書，院總第</w:t>
      </w:r>
      <w:r w:rsidRPr="007D602F">
        <w:rPr>
          <w:lang w:eastAsia="zh-TW"/>
        </w:rPr>
        <w:t xml:space="preserve">1537 </w:t>
      </w:r>
      <w:r w:rsidRPr="007D602F">
        <w:rPr>
          <w:lang w:eastAsia="zh-TW"/>
        </w:rPr>
        <w:t>號政府提案第</w:t>
      </w:r>
      <w:r w:rsidRPr="007D602F">
        <w:rPr>
          <w:lang w:eastAsia="zh-TW"/>
        </w:rPr>
        <w:t xml:space="preserve">15963 </w:t>
      </w:r>
      <w:r w:rsidRPr="007D602F">
        <w:rPr>
          <w:lang w:eastAsia="zh-TW"/>
        </w:rPr>
        <w:t>號，案由：行政院函請審議「外國專業人才延攬及僱用法草案」案。感謝警大</w:t>
      </w:r>
      <w:r w:rsidRPr="007D602F">
        <w:rPr>
          <w:lang w:eastAsia="zh-TW"/>
        </w:rPr>
        <w:t>841</w:t>
      </w:r>
      <w:r w:rsidRPr="007D602F">
        <w:rPr>
          <w:lang w:eastAsia="zh-TW"/>
        </w:rPr>
        <w:t>國境系境管組王家彬先生惠賜高見。</w:t>
      </w:r>
    </w:p>
  </w:footnote>
  <w:footnote w:id="64">
    <w:p w:rsidR="00657FEF" w:rsidRPr="007D602F" w:rsidRDefault="00657FEF" w:rsidP="00992AB6">
      <w:pPr>
        <w:pStyle w:val="5"/>
        <w:rPr>
          <w:lang w:eastAsia="zh-TW"/>
        </w:rPr>
      </w:pPr>
      <w:r w:rsidRPr="00C41545">
        <w:rPr>
          <w:rStyle w:val="af7"/>
          <w:rFonts w:cs="Arial Unicode MS"/>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65">
    <w:p w:rsidR="00657FEF" w:rsidRPr="007D602F" w:rsidRDefault="00657FEF" w:rsidP="005606DC">
      <w:pPr>
        <w:pStyle w:val="5"/>
        <w:jc w:val="left"/>
        <w:rPr>
          <w:lang w:eastAsia="zh-TW"/>
        </w:rPr>
      </w:pPr>
      <w:r w:rsidRPr="00C41545">
        <w:rPr>
          <w:rStyle w:val="af7"/>
          <w:rFonts w:cs="Arial Unicode MS"/>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66">
    <w:p w:rsidR="00657FEF" w:rsidRPr="005606DC" w:rsidRDefault="00657FEF" w:rsidP="005606DC">
      <w:pPr>
        <w:pStyle w:val="5"/>
        <w:jc w:val="left"/>
        <w:rPr>
          <w:lang w:eastAsia="zh-TW"/>
        </w:rPr>
      </w:pPr>
      <w:r w:rsidRPr="005606DC">
        <w:rPr>
          <w:rStyle w:val="af7"/>
          <w:rFonts w:cs="Arial Unicode MS"/>
          <w:szCs w:val="20"/>
        </w:rPr>
        <w:footnoteRef/>
      </w:r>
      <w:r w:rsidRPr="005606DC">
        <w:rPr>
          <w:color w:val="FF6600"/>
          <w:lang w:eastAsia="zh-TW"/>
        </w:rPr>
        <w:t xml:space="preserve"> </w:t>
      </w:r>
      <w:r w:rsidRPr="005606DC">
        <w:rPr>
          <w:lang w:eastAsia="zh-TW"/>
        </w:rPr>
        <w:t>行政院國發會</w:t>
      </w:r>
      <w:r w:rsidRPr="005606DC">
        <w:rPr>
          <w:lang w:eastAsia="zh-TW"/>
        </w:rPr>
        <w:t>(2017)</w:t>
      </w:r>
      <w:r w:rsidRPr="005606DC">
        <w:rPr>
          <w:lang w:eastAsia="zh-TW"/>
        </w:rPr>
        <w:t>，完善我國留才環境方案。</w:t>
      </w:r>
      <w:hyperlink r:id="rId33" w:history="1">
        <w:r w:rsidRPr="005606DC">
          <w:rPr>
            <w:rStyle w:val="a7"/>
            <w:rFonts w:ascii="Arial Unicode MS" w:eastAsia="新細明體" w:hAnsi="Arial Unicode MS" w:cs="Calibri"/>
            <w:color w:val="5F5F5F"/>
            <w:kern w:val="2"/>
            <w:sz w:val="18"/>
            <w:lang w:eastAsia="zh-TW"/>
          </w:rPr>
          <w:t>https://www.ndc.gov.tw/News7.aspx?n=5F5662157BC98A7D</w:t>
        </w:r>
      </w:hyperlink>
      <w:r w:rsidRPr="005606DC">
        <w:rPr>
          <w:lang w:eastAsia="zh-TW"/>
        </w:rPr>
        <w:t>。感謝警大</w:t>
      </w:r>
      <w:r w:rsidRPr="005606DC">
        <w:rPr>
          <w:lang w:eastAsia="zh-TW"/>
        </w:rPr>
        <w:t>841</w:t>
      </w:r>
      <w:r w:rsidRPr="005606DC">
        <w:rPr>
          <w:lang w:eastAsia="zh-TW"/>
        </w:rPr>
        <w:t>國境系境管組王家彬先生惠賜高見。</w:t>
      </w:r>
    </w:p>
  </w:footnote>
  <w:footnote w:id="67">
    <w:p w:rsidR="00657FEF" w:rsidRPr="005606DC" w:rsidRDefault="00657FEF" w:rsidP="005606DC">
      <w:pPr>
        <w:pStyle w:val="5"/>
        <w:jc w:val="left"/>
        <w:rPr>
          <w:lang w:eastAsia="zh-TW"/>
        </w:rPr>
      </w:pPr>
      <w:r w:rsidRPr="005606DC">
        <w:rPr>
          <w:rStyle w:val="af7"/>
          <w:rFonts w:cs="Arial Unicode MS"/>
          <w:szCs w:val="20"/>
        </w:rPr>
        <w:footnoteRef/>
      </w:r>
      <w:r w:rsidRPr="005606DC">
        <w:rPr>
          <w:lang w:eastAsia="zh-TW"/>
        </w:rPr>
        <w:t xml:space="preserve"> </w:t>
      </w:r>
      <w:r w:rsidRPr="005606DC">
        <w:rPr>
          <w:lang w:eastAsia="zh-TW"/>
        </w:rPr>
        <w:t>行政院國發會</w:t>
      </w:r>
      <w:r w:rsidRPr="005606DC">
        <w:rPr>
          <w:lang w:eastAsia="zh-TW"/>
        </w:rPr>
        <w:t>(2017)</w:t>
      </w:r>
      <w:r w:rsidRPr="005606DC">
        <w:rPr>
          <w:lang w:eastAsia="zh-TW"/>
        </w:rPr>
        <w:t>，完善我國留才環境方案。</w:t>
      </w:r>
      <w:hyperlink r:id="rId34" w:history="1">
        <w:r w:rsidRPr="005606DC">
          <w:rPr>
            <w:rStyle w:val="a7"/>
            <w:rFonts w:ascii="Arial Unicode MS" w:eastAsia="新細明體" w:hAnsi="Arial Unicode MS" w:cs="Calibri"/>
            <w:color w:val="5F5F5F"/>
            <w:kern w:val="2"/>
            <w:sz w:val="18"/>
            <w:lang w:eastAsia="zh-TW"/>
          </w:rPr>
          <w:t>https://www.ndc.gov.tw/News7.aspx?n=5F5662157BC98A7D</w:t>
        </w:r>
      </w:hyperlink>
      <w:r w:rsidRPr="005606DC">
        <w:rPr>
          <w:lang w:eastAsia="zh-TW"/>
        </w:rPr>
        <w:t>。感謝警大</w:t>
      </w:r>
      <w:r w:rsidRPr="005606DC">
        <w:rPr>
          <w:lang w:eastAsia="zh-TW"/>
        </w:rPr>
        <w:t>841</w:t>
      </w:r>
      <w:r w:rsidRPr="005606DC">
        <w:rPr>
          <w:lang w:eastAsia="zh-TW"/>
        </w:rPr>
        <w:t>國境系境管組王家彬先生惠賜高見。</w:t>
      </w:r>
    </w:p>
  </w:footnote>
  <w:footnote w:id="68">
    <w:p w:rsidR="00657FEF" w:rsidRPr="005606DC" w:rsidRDefault="00657FEF" w:rsidP="005606DC">
      <w:pPr>
        <w:pStyle w:val="5"/>
        <w:jc w:val="left"/>
        <w:rPr>
          <w:lang w:eastAsia="zh-TW"/>
        </w:rPr>
      </w:pPr>
      <w:r w:rsidRPr="005606DC">
        <w:rPr>
          <w:rStyle w:val="af7"/>
          <w:rFonts w:cs="Arial Unicode MS"/>
          <w:szCs w:val="20"/>
        </w:rPr>
        <w:footnoteRef/>
      </w:r>
      <w:r w:rsidRPr="005606DC">
        <w:rPr>
          <w:lang w:eastAsia="zh-TW"/>
        </w:rPr>
        <w:t xml:space="preserve"> </w:t>
      </w:r>
      <w:r w:rsidRPr="005606DC">
        <w:rPr>
          <w:lang w:eastAsia="zh-TW"/>
        </w:rPr>
        <w:t>行政院國發會</w:t>
      </w:r>
      <w:r w:rsidRPr="005606DC">
        <w:rPr>
          <w:lang w:eastAsia="zh-TW"/>
        </w:rPr>
        <w:t>(2017)</w:t>
      </w:r>
      <w:r w:rsidRPr="005606DC">
        <w:rPr>
          <w:lang w:eastAsia="zh-TW"/>
        </w:rPr>
        <w:t>，完善我國留才環境方案。</w:t>
      </w:r>
      <w:hyperlink r:id="rId35" w:history="1">
        <w:r w:rsidRPr="005606DC">
          <w:rPr>
            <w:rStyle w:val="a7"/>
            <w:rFonts w:ascii="Arial Unicode MS" w:eastAsia="新細明體" w:hAnsi="Arial Unicode MS" w:cs="Calibri"/>
            <w:color w:val="5F5F5F"/>
            <w:kern w:val="2"/>
            <w:sz w:val="18"/>
            <w:lang w:eastAsia="zh-TW"/>
          </w:rPr>
          <w:t>https://www.ndc.gov.tw/News7.aspx?n=5F5662157BC98A7D</w:t>
        </w:r>
      </w:hyperlink>
      <w:r w:rsidRPr="005606DC">
        <w:rPr>
          <w:lang w:eastAsia="zh-TW"/>
        </w:rPr>
        <w:t>。感謝警大</w:t>
      </w:r>
      <w:r w:rsidRPr="005606DC">
        <w:rPr>
          <w:lang w:eastAsia="zh-TW"/>
        </w:rPr>
        <w:t>841</w:t>
      </w:r>
      <w:r w:rsidRPr="005606DC">
        <w:rPr>
          <w:lang w:eastAsia="zh-TW"/>
        </w:rPr>
        <w:t>國境系境管組王家彬先生惠賜高見。</w:t>
      </w:r>
    </w:p>
  </w:footnote>
  <w:footnote w:id="69">
    <w:p w:rsidR="00657FEF" w:rsidRPr="005606DC" w:rsidRDefault="00657FEF" w:rsidP="005606DC">
      <w:pPr>
        <w:pStyle w:val="5"/>
        <w:jc w:val="left"/>
        <w:rPr>
          <w:lang w:eastAsia="zh-TW"/>
        </w:rPr>
      </w:pPr>
      <w:r w:rsidRPr="005606DC">
        <w:rPr>
          <w:rStyle w:val="af7"/>
          <w:rFonts w:cs="Arial Unicode MS"/>
          <w:szCs w:val="20"/>
        </w:rPr>
        <w:footnoteRef/>
      </w:r>
      <w:r w:rsidRPr="005606DC">
        <w:rPr>
          <w:color w:val="FF6600"/>
          <w:lang w:eastAsia="zh-TW"/>
        </w:rPr>
        <w:t xml:space="preserve"> </w:t>
      </w:r>
      <w:r w:rsidRPr="005606DC">
        <w:rPr>
          <w:lang w:eastAsia="zh-TW"/>
        </w:rPr>
        <w:t>行政院國發會</w:t>
      </w:r>
      <w:r w:rsidRPr="005606DC">
        <w:rPr>
          <w:lang w:eastAsia="zh-TW"/>
        </w:rPr>
        <w:t>(2017)</w:t>
      </w:r>
      <w:r w:rsidRPr="005606DC">
        <w:rPr>
          <w:lang w:eastAsia="zh-TW"/>
        </w:rPr>
        <w:t>，完善我國留才環境方案。</w:t>
      </w:r>
      <w:hyperlink r:id="rId36" w:history="1">
        <w:r w:rsidRPr="005606DC">
          <w:rPr>
            <w:rStyle w:val="a7"/>
            <w:rFonts w:ascii="Arial Unicode MS" w:eastAsia="新細明體" w:hAnsi="Arial Unicode MS" w:cs="Calibri"/>
            <w:color w:val="5F5F5F"/>
            <w:kern w:val="2"/>
            <w:sz w:val="18"/>
            <w:lang w:eastAsia="zh-TW"/>
          </w:rPr>
          <w:t>https://www.ndc.gov.tw/News7.aspx?n=5F5662157BC98A7D</w:t>
        </w:r>
      </w:hyperlink>
      <w:r w:rsidRPr="005606DC">
        <w:rPr>
          <w:lang w:eastAsia="zh-TW"/>
        </w:rPr>
        <w:t>。感謝警大</w:t>
      </w:r>
      <w:r w:rsidRPr="005606DC">
        <w:rPr>
          <w:lang w:eastAsia="zh-TW"/>
        </w:rPr>
        <w:t>841</w:t>
      </w:r>
      <w:r w:rsidRPr="005606DC">
        <w:rPr>
          <w:lang w:eastAsia="zh-TW"/>
        </w:rPr>
        <w:t>國境系境管組王家彬先生惠賜高見。</w:t>
      </w:r>
    </w:p>
  </w:footnote>
  <w:footnote w:id="70">
    <w:p w:rsidR="00657FEF" w:rsidRPr="005606DC" w:rsidRDefault="00657FEF" w:rsidP="00992AB6">
      <w:pPr>
        <w:pStyle w:val="5"/>
        <w:rPr>
          <w:lang w:eastAsia="zh-TW"/>
        </w:rPr>
      </w:pPr>
      <w:r w:rsidRPr="005606DC">
        <w:rPr>
          <w:rStyle w:val="af7"/>
          <w:rFonts w:eastAsia="新細明體" w:cs="Arial Unicode MS"/>
          <w:kern w:val="2"/>
          <w:szCs w:val="20"/>
        </w:rPr>
        <w:footnoteRef/>
      </w:r>
      <w:r w:rsidRPr="005606DC">
        <w:rPr>
          <w:rFonts w:ascii="Arial Unicode MS" w:eastAsia="新細明體" w:hAnsi="Arial Unicode MS"/>
          <w:color w:val="FF6600"/>
          <w:kern w:val="2"/>
          <w:lang w:eastAsia="zh-TW"/>
        </w:rPr>
        <w:t xml:space="preserve"> </w:t>
      </w:r>
      <w:r w:rsidRPr="005606DC">
        <w:rPr>
          <w:lang w:eastAsia="zh-TW"/>
        </w:rPr>
        <w:t>行政院國發會</w:t>
      </w:r>
      <w:r w:rsidRPr="005606DC">
        <w:rPr>
          <w:lang w:eastAsia="zh-TW"/>
        </w:rPr>
        <w:t>(2017)</w:t>
      </w:r>
      <w:r w:rsidRPr="005606DC">
        <w:rPr>
          <w:lang w:eastAsia="zh-TW"/>
        </w:rPr>
        <w:t>，完善我國留才環境方案。</w:t>
      </w:r>
      <w:hyperlink r:id="rId37" w:history="1">
        <w:r w:rsidRPr="005606DC">
          <w:rPr>
            <w:rStyle w:val="a7"/>
            <w:rFonts w:ascii="Arial Unicode MS" w:eastAsia="新細明體" w:hAnsi="Arial Unicode MS" w:cs="Calibri"/>
            <w:color w:val="5F5F5F"/>
            <w:kern w:val="2"/>
            <w:sz w:val="18"/>
            <w:lang w:eastAsia="zh-TW"/>
          </w:rPr>
          <w:t>https://www.ndc.gov.tw/News7.aspx?n=5F5662157BC98A7D</w:t>
        </w:r>
      </w:hyperlink>
      <w:r w:rsidRPr="005606DC">
        <w:rPr>
          <w:lang w:eastAsia="zh-TW"/>
        </w:rPr>
        <w:t>。感謝警大</w:t>
      </w:r>
      <w:r w:rsidRPr="005606DC">
        <w:rPr>
          <w:lang w:eastAsia="zh-TW"/>
        </w:rPr>
        <w:t>841</w:t>
      </w:r>
      <w:r w:rsidRPr="005606DC">
        <w:rPr>
          <w:lang w:eastAsia="zh-TW"/>
        </w:rPr>
        <w:t>國境系境管組王家彬先生惠賜高見。</w:t>
      </w:r>
    </w:p>
  </w:footnote>
  <w:footnote w:id="71">
    <w:p w:rsidR="00657FEF" w:rsidRPr="005606DC" w:rsidRDefault="00657FEF" w:rsidP="00992AB6">
      <w:pPr>
        <w:pStyle w:val="5"/>
        <w:rPr>
          <w:lang w:eastAsia="zh-TW"/>
        </w:rPr>
      </w:pPr>
      <w:r w:rsidRPr="005606DC">
        <w:rPr>
          <w:rStyle w:val="af7"/>
          <w:rFonts w:eastAsia="新細明體" w:cs="Arial Unicode MS"/>
          <w:kern w:val="2"/>
          <w:szCs w:val="20"/>
        </w:rPr>
        <w:footnoteRef/>
      </w:r>
      <w:r w:rsidRPr="005606DC">
        <w:rPr>
          <w:lang w:eastAsia="zh-TW"/>
        </w:rPr>
        <w:t xml:space="preserve"> </w:t>
      </w:r>
      <w:r w:rsidRPr="005606DC">
        <w:rPr>
          <w:lang w:eastAsia="zh-TW"/>
        </w:rPr>
        <w:t>行政院國發會</w:t>
      </w:r>
      <w:r w:rsidRPr="005606DC">
        <w:rPr>
          <w:lang w:eastAsia="zh-TW"/>
        </w:rPr>
        <w:t>(2017)</w:t>
      </w:r>
      <w:r w:rsidRPr="005606DC">
        <w:rPr>
          <w:lang w:eastAsia="zh-TW"/>
        </w:rPr>
        <w:t>，完善我國留才環境方案。</w:t>
      </w:r>
      <w:hyperlink r:id="rId38" w:history="1">
        <w:r w:rsidRPr="005606DC">
          <w:rPr>
            <w:rStyle w:val="a7"/>
            <w:rFonts w:ascii="Arial Unicode MS" w:eastAsia="新細明體" w:hAnsi="Arial Unicode MS" w:cs="Calibri"/>
            <w:color w:val="5F5F5F"/>
            <w:kern w:val="2"/>
            <w:sz w:val="18"/>
            <w:lang w:eastAsia="zh-TW"/>
          </w:rPr>
          <w:t>https://www.ndc.gov.tw/News7.aspx?n=5F5662157BC98A7D</w:t>
        </w:r>
      </w:hyperlink>
      <w:r w:rsidRPr="005606DC">
        <w:rPr>
          <w:lang w:eastAsia="zh-TW"/>
        </w:rPr>
        <w:t>。感謝警大</w:t>
      </w:r>
      <w:r w:rsidRPr="005606DC">
        <w:rPr>
          <w:lang w:eastAsia="zh-TW"/>
        </w:rPr>
        <w:t>841</w:t>
      </w:r>
      <w:r w:rsidRPr="005606DC">
        <w:rPr>
          <w:lang w:eastAsia="zh-TW"/>
        </w:rPr>
        <w:t>國境系境管組王家彬先生惠賜高見。</w:t>
      </w:r>
    </w:p>
  </w:footnote>
  <w:footnote w:id="72">
    <w:p w:rsidR="00657FEF" w:rsidRPr="005606DC" w:rsidRDefault="00657FEF" w:rsidP="00992AB6">
      <w:pPr>
        <w:pStyle w:val="5"/>
        <w:rPr>
          <w:lang w:eastAsia="zh-TW"/>
        </w:rPr>
      </w:pPr>
      <w:r w:rsidRPr="005606DC">
        <w:rPr>
          <w:rStyle w:val="af7"/>
          <w:rFonts w:cs="Arial Unicode MS"/>
          <w:szCs w:val="20"/>
        </w:rPr>
        <w:footnoteRef/>
      </w:r>
      <w:r w:rsidRPr="005606DC">
        <w:rPr>
          <w:lang w:eastAsia="zh-TW"/>
        </w:rPr>
        <w:t xml:space="preserve"> </w:t>
      </w:r>
      <w:r w:rsidRPr="005606DC">
        <w:rPr>
          <w:lang w:eastAsia="zh-TW"/>
        </w:rPr>
        <w:t>行政院國發會</w:t>
      </w:r>
      <w:r w:rsidRPr="005606DC">
        <w:rPr>
          <w:lang w:eastAsia="zh-TW"/>
        </w:rPr>
        <w:t>(2017)</w:t>
      </w:r>
      <w:r w:rsidRPr="005606DC">
        <w:rPr>
          <w:lang w:eastAsia="zh-TW"/>
        </w:rPr>
        <w:t>，完善我國留才環境方案。</w:t>
      </w:r>
      <w:hyperlink r:id="rId39" w:history="1">
        <w:r w:rsidRPr="005606DC">
          <w:rPr>
            <w:rStyle w:val="a7"/>
            <w:rFonts w:ascii="Arial Unicode MS" w:eastAsia="新細明體" w:hAnsi="Arial Unicode MS" w:cs="Calibri"/>
            <w:color w:val="5F5F5F"/>
            <w:kern w:val="2"/>
            <w:sz w:val="18"/>
            <w:lang w:eastAsia="zh-TW"/>
          </w:rPr>
          <w:t>https://www.ndc.gov.tw/News7.aspx?n=5F5662157BC98A7D</w:t>
        </w:r>
      </w:hyperlink>
      <w:r w:rsidRPr="005606DC">
        <w:rPr>
          <w:lang w:eastAsia="zh-TW"/>
        </w:rPr>
        <w:t>。感謝警大</w:t>
      </w:r>
      <w:r w:rsidRPr="005606DC">
        <w:rPr>
          <w:lang w:eastAsia="zh-TW"/>
        </w:rPr>
        <w:t>841</w:t>
      </w:r>
      <w:r w:rsidRPr="005606DC">
        <w:rPr>
          <w:lang w:eastAsia="zh-TW"/>
        </w:rPr>
        <w:t>國境系境管組王家彬先生惠賜高見。</w:t>
      </w:r>
    </w:p>
  </w:footnote>
  <w:footnote w:id="73">
    <w:p w:rsidR="00657FEF" w:rsidRPr="005606DC" w:rsidRDefault="00657FEF" w:rsidP="00992AB6">
      <w:pPr>
        <w:pStyle w:val="5"/>
        <w:rPr>
          <w:lang w:eastAsia="zh-TW"/>
        </w:rPr>
      </w:pPr>
      <w:r w:rsidRPr="005606DC">
        <w:rPr>
          <w:rStyle w:val="af7"/>
          <w:rFonts w:cs="Arial Unicode MS"/>
          <w:szCs w:val="20"/>
        </w:rPr>
        <w:footnoteRef/>
      </w:r>
      <w:r w:rsidRPr="005606DC">
        <w:rPr>
          <w:lang w:eastAsia="zh-TW"/>
        </w:rPr>
        <w:t xml:space="preserve"> </w:t>
      </w:r>
      <w:r w:rsidRPr="005606DC">
        <w:rPr>
          <w:lang w:eastAsia="zh-TW"/>
        </w:rPr>
        <w:t>行政院國發會</w:t>
      </w:r>
      <w:r w:rsidRPr="005606DC">
        <w:rPr>
          <w:lang w:eastAsia="zh-TW"/>
        </w:rPr>
        <w:t>(2017)</w:t>
      </w:r>
      <w:r w:rsidRPr="005606DC">
        <w:rPr>
          <w:lang w:eastAsia="zh-TW"/>
        </w:rPr>
        <w:t>，完善我國留才環境方案。</w:t>
      </w:r>
      <w:hyperlink r:id="rId40" w:history="1">
        <w:r w:rsidRPr="005606DC">
          <w:rPr>
            <w:rStyle w:val="a7"/>
            <w:rFonts w:ascii="Arial Unicode MS" w:eastAsia="新細明體" w:hAnsi="Arial Unicode MS" w:cs="Calibri"/>
            <w:color w:val="5F5F5F"/>
            <w:kern w:val="2"/>
            <w:sz w:val="18"/>
            <w:lang w:eastAsia="zh-TW"/>
          </w:rPr>
          <w:t>https://www.ndc.gov.tw/News7.aspx?n=5F5662157BC98A7D</w:t>
        </w:r>
      </w:hyperlink>
      <w:r w:rsidRPr="005606DC">
        <w:rPr>
          <w:lang w:eastAsia="zh-TW"/>
        </w:rPr>
        <w:t>。感謝警大</w:t>
      </w:r>
      <w:r w:rsidRPr="005606DC">
        <w:rPr>
          <w:lang w:eastAsia="zh-TW"/>
        </w:rPr>
        <w:t>841</w:t>
      </w:r>
      <w:r w:rsidRPr="005606DC">
        <w:rPr>
          <w:lang w:eastAsia="zh-TW"/>
        </w:rPr>
        <w:t>國境系境管組王家彬先生惠賜高見。</w:t>
      </w:r>
    </w:p>
  </w:footnote>
  <w:footnote w:id="74">
    <w:p w:rsidR="00657FEF" w:rsidRPr="005606DC" w:rsidRDefault="00657FEF" w:rsidP="00992AB6">
      <w:pPr>
        <w:pStyle w:val="5"/>
        <w:rPr>
          <w:lang w:eastAsia="zh-TW"/>
        </w:rPr>
      </w:pPr>
      <w:r w:rsidRPr="005606DC">
        <w:rPr>
          <w:rStyle w:val="af7"/>
          <w:rFonts w:cs="Arial Unicode MS"/>
          <w:szCs w:val="20"/>
        </w:rPr>
        <w:footnoteRef/>
      </w:r>
      <w:r w:rsidRPr="005606DC">
        <w:rPr>
          <w:color w:val="FF6600"/>
          <w:lang w:eastAsia="zh-TW"/>
        </w:rPr>
        <w:t xml:space="preserve"> </w:t>
      </w:r>
      <w:r w:rsidRPr="005606DC">
        <w:rPr>
          <w:lang w:eastAsia="zh-TW"/>
        </w:rPr>
        <w:t>行政院國發會</w:t>
      </w:r>
      <w:r w:rsidRPr="005606DC">
        <w:rPr>
          <w:lang w:eastAsia="zh-TW"/>
        </w:rPr>
        <w:t>(2017)</w:t>
      </w:r>
      <w:r w:rsidRPr="005606DC">
        <w:rPr>
          <w:lang w:eastAsia="zh-TW"/>
        </w:rPr>
        <w:t>，完善我國留才環境方案。</w:t>
      </w:r>
      <w:hyperlink r:id="rId41" w:history="1">
        <w:r w:rsidRPr="005606DC">
          <w:rPr>
            <w:rStyle w:val="a7"/>
            <w:rFonts w:ascii="Arial Unicode MS" w:eastAsia="新細明體" w:hAnsi="Arial Unicode MS" w:cs="Calibri"/>
            <w:color w:val="5F5F5F"/>
            <w:kern w:val="2"/>
            <w:sz w:val="18"/>
            <w:lang w:eastAsia="zh-TW"/>
          </w:rPr>
          <w:t>https://www.ndc.gov.tw/News7.aspx?n=5F5662157BC98A7D</w:t>
        </w:r>
      </w:hyperlink>
      <w:r w:rsidRPr="005606DC">
        <w:rPr>
          <w:lang w:eastAsia="zh-TW"/>
        </w:rPr>
        <w:t>。感謝警大</w:t>
      </w:r>
      <w:r w:rsidRPr="005606DC">
        <w:rPr>
          <w:lang w:eastAsia="zh-TW"/>
        </w:rPr>
        <w:t>841</w:t>
      </w:r>
      <w:r w:rsidRPr="005606DC">
        <w:rPr>
          <w:lang w:eastAsia="zh-TW"/>
        </w:rPr>
        <w:t>國境系境管組王家彬先生惠賜高見。</w:t>
      </w:r>
    </w:p>
  </w:footnote>
  <w:footnote w:id="75">
    <w:p w:rsidR="00657FEF" w:rsidRPr="005606DC" w:rsidRDefault="00657FEF" w:rsidP="009B39F4">
      <w:pPr>
        <w:pStyle w:val="5"/>
        <w:jc w:val="left"/>
        <w:rPr>
          <w:lang w:eastAsia="zh-TW"/>
        </w:rPr>
      </w:pPr>
      <w:r w:rsidRPr="005606DC">
        <w:rPr>
          <w:rStyle w:val="af7"/>
          <w:rFonts w:cs="Arial Unicode MS"/>
          <w:szCs w:val="20"/>
        </w:rPr>
        <w:footnoteRef/>
      </w:r>
      <w:r w:rsidRPr="005606DC">
        <w:rPr>
          <w:lang w:eastAsia="zh-TW"/>
        </w:rPr>
        <w:t xml:space="preserve"> </w:t>
      </w:r>
      <w:r w:rsidRPr="005606DC">
        <w:rPr>
          <w:lang w:eastAsia="zh-TW"/>
        </w:rPr>
        <w:t>行政院國發會</w:t>
      </w:r>
      <w:r w:rsidRPr="005606DC">
        <w:rPr>
          <w:lang w:eastAsia="zh-TW"/>
        </w:rPr>
        <w:t>(2017)</w:t>
      </w:r>
      <w:r w:rsidRPr="005606DC">
        <w:rPr>
          <w:lang w:eastAsia="zh-TW"/>
        </w:rPr>
        <w:t>，全球競才方案</w:t>
      </w:r>
      <w:r w:rsidRPr="005606DC">
        <w:rPr>
          <w:lang w:eastAsia="zh-TW"/>
        </w:rPr>
        <w:t xml:space="preserve"> - Contact Taiwan</w:t>
      </w:r>
      <w:r w:rsidRPr="005606DC">
        <w:rPr>
          <w:lang w:eastAsia="zh-TW"/>
        </w:rPr>
        <w:t>。</w:t>
      </w:r>
      <w:hyperlink r:id="rId42" w:history="1">
        <w:r w:rsidRPr="005606DC">
          <w:rPr>
            <w:rStyle w:val="a7"/>
            <w:rFonts w:ascii="Arial Unicode MS" w:eastAsia="新細明體" w:hAnsi="Arial Unicode MS" w:cs="Calibri"/>
            <w:color w:val="5F5F5F"/>
            <w:kern w:val="2"/>
            <w:sz w:val="18"/>
            <w:lang w:eastAsia="zh-TW"/>
          </w:rPr>
          <w:t>https://www.ndc.gov.tw/Content_List.aspx?n=9A220CB77D7F4178&amp;upn=044D10B93AFA1714</w:t>
        </w:r>
      </w:hyperlink>
      <w:r w:rsidRPr="005606DC">
        <w:rPr>
          <w:lang w:eastAsia="zh-TW"/>
        </w:rPr>
        <w:t>。感謝警大</w:t>
      </w:r>
      <w:r w:rsidRPr="005606DC">
        <w:rPr>
          <w:lang w:eastAsia="zh-TW"/>
        </w:rPr>
        <w:t>841</w:t>
      </w:r>
      <w:r w:rsidRPr="005606DC">
        <w:rPr>
          <w:lang w:eastAsia="zh-TW"/>
        </w:rPr>
        <w:t>國境系境管組王家彬先生惠賜高見。</w:t>
      </w:r>
    </w:p>
  </w:footnote>
  <w:footnote w:id="76">
    <w:p w:rsidR="00657FEF" w:rsidRPr="005606DC" w:rsidRDefault="00657FEF" w:rsidP="00992AB6">
      <w:pPr>
        <w:pStyle w:val="5"/>
        <w:rPr>
          <w:lang w:eastAsia="zh-TW"/>
        </w:rPr>
      </w:pPr>
      <w:r w:rsidRPr="005606DC">
        <w:rPr>
          <w:rStyle w:val="af7"/>
          <w:rFonts w:cs="Arial Unicode MS"/>
          <w:szCs w:val="20"/>
        </w:rPr>
        <w:footnoteRef/>
      </w:r>
      <w:r w:rsidRPr="005606DC">
        <w:rPr>
          <w:lang w:eastAsia="zh-TW"/>
        </w:rPr>
        <w:t>謝佳雯</w:t>
      </w:r>
      <w:r w:rsidRPr="005606DC">
        <w:rPr>
          <w:lang w:eastAsia="zh-TW"/>
        </w:rPr>
        <w:t>(2017)</w:t>
      </w:r>
      <w:r w:rsidRPr="005606DC">
        <w:rPr>
          <w:lang w:eastAsia="zh-TW"/>
        </w:rPr>
        <w:t>，半導體三星全球居冠，台廠沒進</w:t>
      </w:r>
      <w:r w:rsidRPr="005606DC">
        <w:rPr>
          <w:lang w:eastAsia="zh-TW"/>
        </w:rPr>
        <w:t>10</w:t>
      </w:r>
      <w:r w:rsidRPr="005606DC">
        <w:rPr>
          <w:lang w:eastAsia="zh-TW"/>
        </w:rPr>
        <w:t>大，</w:t>
      </w:r>
      <w:hyperlink r:id="rId43" w:history="1">
        <w:r w:rsidRPr="008A454E">
          <w:rPr>
            <w:rStyle w:val="a7"/>
            <w:rFonts w:ascii="Arial Unicode MS" w:eastAsia="新細明體" w:hAnsi="Arial Unicode MS" w:cs="Calibri"/>
            <w:color w:val="5F5F5F"/>
            <w:kern w:val="2"/>
            <w:sz w:val="18"/>
            <w:lang w:eastAsia="zh-TW"/>
          </w:rPr>
          <w:t>https://udn.com/news/story/11316/2830062</w:t>
        </w:r>
      </w:hyperlink>
      <w:r w:rsidRPr="008A454E">
        <w:rPr>
          <w:color w:val="5F5F5F"/>
          <w:lang w:eastAsia="zh-TW"/>
        </w:rPr>
        <w:t>。</w:t>
      </w:r>
    </w:p>
  </w:footnote>
  <w:footnote w:id="77">
    <w:p w:rsidR="00657FEF" w:rsidRPr="005606DC" w:rsidRDefault="00657FEF" w:rsidP="00992AB6">
      <w:pPr>
        <w:pStyle w:val="5"/>
        <w:rPr>
          <w:lang w:eastAsia="zh-TW"/>
        </w:rPr>
      </w:pPr>
      <w:r w:rsidRPr="005606DC">
        <w:rPr>
          <w:rStyle w:val="af7"/>
          <w:rFonts w:cs="Arial Unicode MS"/>
          <w:szCs w:val="20"/>
        </w:rPr>
        <w:footnoteRef/>
      </w:r>
      <w:r w:rsidRPr="005606DC">
        <w:rPr>
          <w:lang w:eastAsia="zh-TW"/>
        </w:rPr>
        <w:t>感謝警大</w:t>
      </w:r>
      <w:r w:rsidRPr="005606DC">
        <w:rPr>
          <w:lang w:eastAsia="zh-TW"/>
        </w:rPr>
        <w:t>841</w:t>
      </w:r>
      <w:r w:rsidRPr="005606DC">
        <w:rPr>
          <w:lang w:eastAsia="zh-TW"/>
        </w:rPr>
        <w:t>國境系境管組王家彬先生惠賜高見。</w:t>
      </w:r>
    </w:p>
  </w:footnote>
  <w:footnote w:id="78">
    <w:p w:rsidR="00657FEF" w:rsidRPr="005606DC" w:rsidRDefault="00657FEF" w:rsidP="00992AB6">
      <w:pPr>
        <w:pStyle w:val="5"/>
        <w:rPr>
          <w:lang w:eastAsia="zh-TW"/>
        </w:rPr>
      </w:pPr>
      <w:r w:rsidRPr="005606DC">
        <w:rPr>
          <w:rStyle w:val="af7"/>
          <w:rFonts w:cs="Arial Unicode MS"/>
          <w:szCs w:val="20"/>
        </w:rPr>
        <w:footnoteRef/>
      </w:r>
      <w:r w:rsidRPr="005606DC">
        <w:rPr>
          <w:lang w:eastAsia="zh-TW"/>
        </w:rPr>
        <w:t>湯淑君</w:t>
      </w:r>
      <w:r w:rsidRPr="005606DC">
        <w:rPr>
          <w:lang w:eastAsia="zh-TW"/>
        </w:rPr>
        <w:t>(2014)</w:t>
      </w:r>
      <w:r w:rsidRPr="005606DC">
        <w:rPr>
          <w:lang w:eastAsia="zh-TW"/>
        </w:rPr>
        <w:t>，張忠謀談接班、網路與中國崛起，有法可用</w:t>
      </w:r>
      <w:r w:rsidRPr="005606DC">
        <w:rPr>
          <w:lang w:eastAsia="zh-TW"/>
        </w:rPr>
        <w:t xml:space="preserve"> </w:t>
      </w:r>
      <w:r w:rsidRPr="005606DC">
        <w:rPr>
          <w:lang w:eastAsia="zh-TW"/>
        </w:rPr>
        <w:t>集體帶槍投靠仍連爆，反挖角，台灣需要下一個明星產業</w:t>
      </w:r>
      <w:r w:rsidRPr="005606DC">
        <w:rPr>
          <w:rStyle w:val="a7"/>
          <w:lang w:eastAsia="zh-TW"/>
        </w:rPr>
        <w:t>，</w:t>
      </w:r>
      <w:hyperlink r:id="rId44" w:history="1">
        <w:r w:rsidRPr="005606DC">
          <w:rPr>
            <w:rStyle w:val="a7"/>
            <w:rFonts w:ascii="Arial Unicode MS" w:eastAsia="新細明體" w:hAnsi="Arial Unicode MS" w:cs="Calibri"/>
            <w:color w:val="5F5F5F"/>
            <w:kern w:val="2"/>
            <w:sz w:val="18"/>
            <w:lang w:eastAsia="zh-TW"/>
          </w:rPr>
          <w:t>http://blog.udn.com/geshela/18353520</w:t>
        </w:r>
      </w:hyperlink>
      <w:r w:rsidRPr="005606DC">
        <w:rPr>
          <w:lang w:eastAsia="zh-TW"/>
        </w:rPr>
        <w:t>。</w:t>
      </w:r>
    </w:p>
  </w:footnote>
  <w:footnote w:id="79">
    <w:p w:rsidR="00657FEF" w:rsidRPr="007D602F" w:rsidRDefault="00657FEF" w:rsidP="00992AB6">
      <w:pPr>
        <w:pStyle w:val="5"/>
        <w:rPr>
          <w:lang w:eastAsia="zh-TW"/>
        </w:rPr>
      </w:pPr>
      <w:r w:rsidRPr="00C73C9C">
        <w:rPr>
          <w:rStyle w:val="af7"/>
          <w:rFonts w:cs="Arial Unicode MS"/>
          <w:szCs w:val="20"/>
        </w:rPr>
        <w:footnoteRef/>
      </w:r>
      <w:r w:rsidRPr="007D602F">
        <w:rPr>
          <w:lang w:eastAsia="zh-TW"/>
        </w:rPr>
        <w:t>感謝警大</w:t>
      </w:r>
      <w:r w:rsidRPr="007D602F">
        <w:rPr>
          <w:lang w:eastAsia="zh-TW"/>
        </w:rPr>
        <w:t>841</w:t>
      </w:r>
      <w:r w:rsidRPr="007D602F">
        <w:rPr>
          <w:lang w:eastAsia="zh-TW"/>
        </w:rPr>
        <w:t>國境系境管組王家彬先生惠賜高見。</w:t>
      </w:r>
    </w:p>
  </w:footnote>
  <w:footnote w:id="80">
    <w:p w:rsidR="00657FEF" w:rsidRPr="007D602F" w:rsidRDefault="00657FEF" w:rsidP="00992AB6">
      <w:pPr>
        <w:pStyle w:val="5"/>
        <w:rPr>
          <w:lang w:eastAsia="zh-TW"/>
        </w:rPr>
      </w:pPr>
      <w:r w:rsidRPr="00C73C9C">
        <w:rPr>
          <w:rStyle w:val="af7"/>
          <w:rFonts w:cs="Arial Unicode MS"/>
          <w:szCs w:val="20"/>
        </w:rPr>
        <w:footnoteRef/>
      </w:r>
      <w:r w:rsidRPr="007D602F">
        <w:rPr>
          <w:lang w:eastAsia="zh-TW"/>
        </w:rPr>
        <w:t>行政院國發會</w:t>
      </w:r>
      <w:r w:rsidRPr="007D602F">
        <w:rPr>
          <w:lang w:eastAsia="zh-TW"/>
        </w:rPr>
        <w:t>(2016)</w:t>
      </w:r>
      <w:r w:rsidRPr="007D602F">
        <w:rPr>
          <w:lang w:eastAsia="zh-TW"/>
        </w:rPr>
        <w:t>，全球競才方案</w:t>
      </w:r>
      <w:r w:rsidRPr="007D602F">
        <w:rPr>
          <w:lang w:eastAsia="zh-TW"/>
        </w:rPr>
        <w:t xml:space="preserve"> - Contact Taiwan</w:t>
      </w:r>
      <w:r w:rsidRPr="007D602F">
        <w:rPr>
          <w:lang w:eastAsia="zh-TW"/>
        </w:rPr>
        <w:t>核定本。感謝警大</w:t>
      </w:r>
      <w:r w:rsidRPr="007D602F">
        <w:rPr>
          <w:lang w:eastAsia="zh-TW"/>
        </w:rPr>
        <w:t>841</w:t>
      </w:r>
      <w:r w:rsidRPr="007D602F">
        <w:rPr>
          <w:lang w:eastAsia="zh-TW"/>
        </w:rPr>
        <w:t>國境系境管組王家彬先生惠賜高見。</w:t>
      </w:r>
    </w:p>
  </w:footnote>
  <w:footnote w:id="81">
    <w:p w:rsidR="00657FEF" w:rsidRPr="007D602F" w:rsidRDefault="00657FEF" w:rsidP="00992AB6">
      <w:pPr>
        <w:pStyle w:val="5"/>
        <w:rPr>
          <w:lang w:eastAsia="zh-TW"/>
        </w:rPr>
      </w:pPr>
      <w:r w:rsidRPr="00C41545">
        <w:rPr>
          <w:rStyle w:val="af7"/>
          <w:rFonts w:cs="Arial Unicode MS"/>
          <w:szCs w:val="20"/>
        </w:rPr>
        <w:footnoteRef/>
      </w:r>
      <w:r w:rsidRPr="007D602F">
        <w:rPr>
          <w:lang w:eastAsia="zh-TW"/>
        </w:rPr>
        <w:t xml:space="preserve"> </w:t>
      </w:r>
      <w:r w:rsidRPr="007D602F">
        <w:rPr>
          <w:lang w:eastAsia="zh-TW"/>
        </w:rPr>
        <w:t>主因在於：執行死刑、無期徒刑無法有效地嚇阻</w:t>
      </w:r>
      <w:r w:rsidRPr="007D602F">
        <w:rPr>
          <w:lang w:eastAsia="zh-TW"/>
        </w:rPr>
        <w:t>(</w:t>
      </w:r>
      <w:r w:rsidRPr="007D602F">
        <w:rPr>
          <w:lang w:eastAsia="zh-TW"/>
        </w:rPr>
        <w:t>減少</w:t>
      </w:r>
      <w:r w:rsidRPr="007D602F">
        <w:rPr>
          <w:lang w:eastAsia="zh-TW"/>
        </w:rPr>
        <w:t>)</w:t>
      </w:r>
      <w:r w:rsidRPr="007D602F">
        <w:rPr>
          <w:lang w:eastAsia="zh-TW"/>
        </w:rPr>
        <w:t>當年度重大指標犯罪</w:t>
      </w:r>
      <w:r w:rsidRPr="007D602F">
        <w:rPr>
          <w:lang w:eastAsia="zh-TW"/>
        </w:rPr>
        <w:t>(</w:t>
      </w:r>
      <w:r w:rsidRPr="007D602F">
        <w:rPr>
          <w:lang w:eastAsia="zh-TW"/>
        </w:rPr>
        <w:t>故意殺人犯罪</w:t>
      </w:r>
      <w:r w:rsidRPr="007D602F">
        <w:rPr>
          <w:lang w:eastAsia="zh-TW"/>
        </w:rPr>
        <w:t>+</w:t>
      </w:r>
      <w:r w:rsidRPr="007D602F">
        <w:rPr>
          <w:lang w:eastAsia="zh-TW"/>
        </w:rPr>
        <w:t>重傷犯罪</w:t>
      </w:r>
      <w:r w:rsidRPr="007D602F">
        <w:rPr>
          <w:lang w:eastAsia="zh-TW"/>
        </w:rPr>
        <w:t>+</w:t>
      </w:r>
      <w:r w:rsidRPr="007D602F">
        <w:rPr>
          <w:lang w:eastAsia="zh-TW"/>
        </w:rPr>
        <w:t>重大恐嚇取財犯罪</w:t>
      </w:r>
      <w:r w:rsidRPr="007D602F">
        <w:rPr>
          <w:lang w:eastAsia="zh-TW"/>
        </w:rPr>
        <w:t>+</w:t>
      </w:r>
      <w:r w:rsidRPr="007D602F">
        <w:rPr>
          <w:lang w:eastAsia="zh-TW"/>
        </w:rPr>
        <w:t>擄人勒贖犯罪</w:t>
      </w:r>
      <w:r w:rsidRPr="007D602F">
        <w:rPr>
          <w:lang w:eastAsia="zh-TW"/>
        </w:rPr>
        <w:t>+</w:t>
      </w:r>
      <w:r w:rsidRPr="007D602F">
        <w:rPr>
          <w:lang w:eastAsia="zh-TW"/>
        </w:rPr>
        <w:t>強盜搶奪犯罪</w:t>
      </w:r>
      <w:r w:rsidRPr="007D602F">
        <w:rPr>
          <w:lang w:eastAsia="zh-TW"/>
        </w:rPr>
        <w:t>+</w:t>
      </w:r>
      <w:r w:rsidRPr="007D602F">
        <w:rPr>
          <w:lang w:eastAsia="zh-TW"/>
        </w:rPr>
        <w:t>強制性交犯罪</w:t>
      </w:r>
      <w:r w:rsidRPr="007D602F">
        <w:rPr>
          <w:lang w:eastAsia="zh-TW"/>
        </w:rPr>
        <w:t>)</w:t>
      </w:r>
      <w:r w:rsidRPr="007D602F">
        <w:rPr>
          <w:lang w:eastAsia="zh-TW"/>
        </w:rPr>
        <w:t>。</w:t>
      </w:r>
    </w:p>
  </w:footnote>
  <w:footnote w:id="82">
    <w:p w:rsidR="00657FEF" w:rsidRPr="00FF6603" w:rsidRDefault="00657FEF" w:rsidP="00992AB6">
      <w:pPr>
        <w:pStyle w:val="5"/>
      </w:pPr>
      <w:r w:rsidRPr="00150351">
        <w:rPr>
          <w:rStyle w:val="af7"/>
          <w:rFonts w:cs="Arial Unicode MS"/>
          <w:szCs w:val="20"/>
        </w:rPr>
        <w:footnoteRef/>
      </w:r>
      <w:r w:rsidRPr="00FF6603">
        <w:t xml:space="preserve"> Section 9 –(Freedom of movement )----</w:t>
      </w:r>
    </w:p>
    <w:p w:rsidR="00657FEF" w:rsidRPr="00C9725A" w:rsidRDefault="00657FEF" w:rsidP="00992AB6">
      <w:pPr>
        <w:pStyle w:val="5"/>
      </w:pPr>
      <w:r w:rsidRPr="00C9725A">
        <w:t>Finnish citizens and foreigners legally resident in Finland have the right to freely move within the country and to choose their place of residence.</w:t>
      </w:r>
    </w:p>
    <w:p w:rsidR="00657FEF" w:rsidRPr="00C9725A" w:rsidRDefault="00657FEF" w:rsidP="00992AB6">
      <w:pPr>
        <w:pStyle w:val="5"/>
      </w:pPr>
      <w:r w:rsidRPr="00C9725A">
        <w:t>Everyone has the right to leave the country. Limitations on this right may be provided by an Act, if they are necessary for the purpose of safeguarding legal proceedings or for the enforcement of penalties or for the fulfillment of the duty of national defence.</w:t>
      </w:r>
    </w:p>
    <w:p w:rsidR="00657FEF" w:rsidRPr="00C9725A" w:rsidRDefault="00657FEF" w:rsidP="00992AB6">
      <w:pPr>
        <w:pStyle w:val="5"/>
      </w:pPr>
      <w:r w:rsidRPr="00C9725A">
        <w:t>Finnish citizens shall not be prevented from entering Finland or deported or extradited or transferred from Finland to another country against their will. However, it may be laid down by an Act that due to a criminal act, for the purpose of legal proceedings, or in order to enforce a decision concerning the custody or care of a child, a Finnish citizen can be extradited or transferred to a country in which his or her human rights and legal protection are guaranteed. (802/2007, entry into force 1.10.2007)</w:t>
      </w:r>
    </w:p>
    <w:p w:rsidR="00657FEF" w:rsidRPr="00C9725A" w:rsidRDefault="00657FEF" w:rsidP="00992AB6">
      <w:pPr>
        <w:pStyle w:val="5"/>
      </w:pPr>
      <w:r w:rsidRPr="00C9725A">
        <w:t>The right of foreigners to enter Finland and to remain in the country is regulated by an Act. A foreigner shall not be deported, extradited or returned to another country, if in consequence he or she is in danger of a death sentence, torture or other treatment violating human dignity.</w:t>
      </w:r>
    </w:p>
  </w:footnote>
  <w:footnote w:id="83">
    <w:p w:rsidR="00657FEF" w:rsidRPr="00FF6603" w:rsidRDefault="00657FEF" w:rsidP="00992AB6">
      <w:pPr>
        <w:pStyle w:val="5"/>
      </w:pPr>
      <w:r w:rsidRPr="00C4640B">
        <w:rPr>
          <w:rStyle w:val="af7"/>
          <w:rFonts w:cs="Arial Unicode MS"/>
          <w:szCs w:val="20"/>
        </w:rPr>
        <w:footnoteRef/>
      </w:r>
      <w:r w:rsidRPr="00FF6603">
        <w:t xml:space="preserve"> Residence Act  Section 62 ( Custody awaiting deportation)</w:t>
      </w:r>
      <w:r w:rsidRPr="00FF6603">
        <w:t>：</w:t>
      </w:r>
    </w:p>
    <w:p w:rsidR="00657FEF" w:rsidRPr="00FF6603" w:rsidRDefault="00657FEF" w:rsidP="00992AB6">
      <w:pPr>
        <w:pStyle w:val="5"/>
      </w:pPr>
      <w:r w:rsidRPr="00FF6603">
        <w:t xml:space="preserve">(1) A foreigner shall be placed in custody by judicial order to enable the preparation of deportation, if a decision on deportation cannot be reached immediately and deportation would be complicated substantially or frustrated without such detainment (custody to prepare deportation). The duration of custody to prepare deportation should not exceed six weeks. In case of expulsion, no new judicial order shall be required for the continuation of custody up to expiry of the ordered term of custody. </w:t>
      </w:r>
    </w:p>
    <w:p w:rsidR="00657FEF" w:rsidRPr="00FF6603" w:rsidRDefault="00657FEF" w:rsidP="00992AB6">
      <w:pPr>
        <w:pStyle w:val="5"/>
      </w:pPr>
      <w:r w:rsidRPr="00FF6603">
        <w:t xml:space="preserve">(2) A foreigner shall be placed in custody by judicial order for the purpose of safeguarding deportation (detention pending deportation) if </w:t>
      </w:r>
    </w:p>
    <w:p w:rsidR="00657FEF" w:rsidRPr="00FF6603" w:rsidRDefault="00657FEF" w:rsidP="00992AB6">
      <w:pPr>
        <w:pStyle w:val="5"/>
      </w:pPr>
      <w:r w:rsidRPr="00FF6603">
        <w:t xml:space="preserve">1. the foreigner is enforceably required to leave the Federal territory on account of his or her having entered the territory unlawfully, </w:t>
      </w:r>
    </w:p>
    <w:p w:rsidR="00657FEF" w:rsidRPr="00FF6603" w:rsidRDefault="00657FEF" w:rsidP="00992AB6">
      <w:pPr>
        <w:pStyle w:val="5"/>
      </w:pPr>
      <w:r w:rsidRPr="00FF6603">
        <w:t xml:space="preserve">1a. a deportation order has been issued pursuant to Section 58a but is not immediately enforceable, </w:t>
      </w:r>
    </w:p>
    <w:p w:rsidR="00657FEF" w:rsidRPr="00FF6603" w:rsidRDefault="00657FEF" w:rsidP="00992AB6">
      <w:pPr>
        <w:pStyle w:val="5"/>
      </w:pPr>
      <w:r w:rsidRPr="00FF6603">
        <w:t xml:space="preserve">2. the period allowed for departure has expired and the foreigner has changed his or her place of residence without notifying the foreigners authority of an address at which he or she can be reached, </w:t>
      </w:r>
    </w:p>
    <w:p w:rsidR="00657FEF" w:rsidRPr="00FF6603" w:rsidRDefault="00657FEF" w:rsidP="00992AB6">
      <w:pPr>
        <w:pStyle w:val="5"/>
      </w:pPr>
      <w:r w:rsidRPr="00FF6603">
        <w:t xml:space="preserve">3. he or she has failed to appear at the location stipulated by the foreigners authority on a date fixed for deportation, for reasons for which he or she is responsible </w:t>
      </w:r>
    </w:p>
    <w:p w:rsidR="00657FEF" w:rsidRPr="00FF6603" w:rsidRDefault="00657FEF" w:rsidP="00992AB6">
      <w:pPr>
        <w:pStyle w:val="5"/>
      </w:pPr>
      <w:r w:rsidRPr="00FF6603">
        <w:t xml:space="preserve">4. he or she has evaded deportation by any other means or </w:t>
      </w:r>
    </w:p>
    <w:p w:rsidR="00657FEF" w:rsidRPr="00FF6603" w:rsidRDefault="00657FEF" w:rsidP="00992AB6">
      <w:pPr>
        <w:pStyle w:val="5"/>
      </w:pPr>
      <w:r w:rsidRPr="00FF6603">
        <w:t xml:space="preserve">5. a well-founded suspicion exists that he or she intends to evade deportation. </w:t>
      </w:r>
    </w:p>
    <w:p w:rsidR="00657FEF" w:rsidRPr="00FF6603" w:rsidRDefault="00657FEF" w:rsidP="00992AB6">
      <w:pPr>
        <w:pStyle w:val="5"/>
      </w:pPr>
      <w:r w:rsidRPr="00FF6603">
        <w:t xml:space="preserve">The foreigner may be placed in detention pending deportation for a maximum of two weeks, if the period allowed for departure has expired and it has been established that deportation can be enforced. By way of exception, the order for detention pending deportation pursuant to sentence 1, no. 1 may be waived if the foreigner credibly asserts that he or she does not intend to evade deportation. Detention pending deportation shall not be permissible if it is established that it will not be possible to carry out deportation within the next three months for reasons for which the foreigner is not responsible. Where deportation has failed due to reasons for which the foreigner is responsible, the order pursuant to sentence 1 shall remain unaffected until expiry of the period stipulated in the order. </w:t>
      </w:r>
    </w:p>
    <w:p w:rsidR="00657FEF" w:rsidRPr="00FF6603" w:rsidRDefault="00657FEF" w:rsidP="00992AB6">
      <w:pPr>
        <w:pStyle w:val="5"/>
      </w:pPr>
      <w:r w:rsidRPr="00FF6603">
        <w:t>(3) Detention pending deportation may be ordered for up to six months. In cases in which the foreigner</w:t>
      </w:r>
      <w:r>
        <w:t xml:space="preserve"> </w:t>
      </w:r>
      <w:r w:rsidRPr="00FF6603">
        <w:t xml:space="preserve">frustrates his or her deportation, it may be extended by a maximum of twelve months. A period of   custody to prepare deportation shall count towards the overall duration of detention pending deportation. </w:t>
      </w:r>
    </w:p>
    <w:p w:rsidR="00657FEF" w:rsidRPr="00FF6603" w:rsidRDefault="00657FEF" w:rsidP="00992AB6">
      <w:pPr>
        <w:pStyle w:val="5"/>
      </w:pPr>
      <w:r w:rsidRPr="00FF6603">
        <w:t xml:space="preserve">(4) The authority responsible for the detention application may detain a foreigner without a prior judicial order and place such foreigner in temporary custody where </w:t>
      </w:r>
    </w:p>
    <w:p w:rsidR="00657FEF" w:rsidRPr="00FF6603" w:rsidRDefault="00657FEF" w:rsidP="00992AB6">
      <w:pPr>
        <w:pStyle w:val="5"/>
      </w:pPr>
      <w:r w:rsidRPr="00FF6603">
        <w:t xml:space="preserve">1. there is a strong suspicion that the conditions pursuant to sub-section 2, sentence 1 apply, </w:t>
      </w:r>
    </w:p>
    <w:p w:rsidR="00657FEF" w:rsidRPr="00FF6603" w:rsidRDefault="00657FEF" w:rsidP="00992AB6">
      <w:pPr>
        <w:pStyle w:val="5"/>
      </w:pPr>
      <w:r w:rsidRPr="00FF6603">
        <w:t xml:space="preserve">2. the judicial decision on the order for detention pending deportation is not obtainable beforehand and </w:t>
      </w:r>
    </w:p>
    <w:p w:rsidR="00657FEF" w:rsidRPr="00FF6603" w:rsidRDefault="00657FEF" w:rsidP="00992AB6">
      <w:pPr>
        <w:pStyle w:val="5"/>
      </w:pPr>
      <w:r w:rsidRPr="00FF6603">
        <w:t xml:space="preserve">3. there is a well-founded suspicion that the foreigner intends to evade the order for detention pending deportation. </w:t>
      </w:r>
    </w:p>
    <w:p w:rsidR="00657FEF" w:rsidRPr="00FF6603" w:rsidRDefault="00657FEF" w:rsidP="00992AB6">
      <w:pPr>
        <w:pStyle w:val="5"/>
      </w:pPr>
      <w:r w:rsidRPr="00FF6603">
        <w:t>The foreigner shall be brought before the court forthwith for a decision on the order for detention pending deportation.</w:t>
      </w:r>
    </w:p>
  </w:footnote>
  <w:footnote w:id="84">
    <w:p w:rsidR="00657FEF" w:rsidRPr="00FF6603" w:rsidRDefault="00657FEF" w:rsidP="00992AB6">
      <w:pPr>
        <w:pStyle w:val="5"/>
      </w:pPr>
      <w:r w:rsidRPr="00C4640B">
        <w:rPr>
          <w:rStyle w:val="af7"/>
          <w:rFonts w:cs="Arial Unicode MS"/>
          <w:szCs w:val="20"/>
        </w:rPr>
        <w:footnoteRef/>
      </w:r>
      <w:r w:rsidRPr="00FF6603">
        <w:t xml:space="preserve"> Article 104 [Deprivation of liberty] </w:t>
      </w:r>
    </w:p>
    <w:p w:rsidR="00657FEF" w:rsidRPr="00FF6603" w:rsidRDefault="00657FEF" w:rsidP="00992AB6">
      <w:pPr>
        <w:pStyle w:val="5"/>
      </w:pPr>
      <w:r w:rsidRPr="00FF6603">
        <w:t>(1) Liberty of the person may be restricted only pursuant to a formal law and only in compliance with the procedures prescribed therein. Persons in custody may not be subjected to mental or physical mistreatment.</w:t>
      </w:r>
    </w:p>
    <w:p w:rsidR="00657FEF" w:rsidRPr="007D602F" w:rsidRDefault="00657FEF" w:rsidP="00992AB6">
      <w:pPr>
        <w:pStyle w:val="5"/>
      </w:pPr>
      <w:r w:rsidRPr="007D602F">
        <w:t>(2) Only a judge may rule upon the permissibility or continuation of any deprivation of liberty. If such a deprivation is not based on a judicial order, a judicial decision shall be obtained without delay. The police may hold no one in custody on their own authority beyond the end of the day following the arrest. Details shall be regulated by a law.</w:t>
      </w:r>
    </w:p>
    <w:p w:rsidR="00657FEF" w:rsidRPr="007D602F" w:rsidRDefault="00657FEF" w:rsidP="00992AB6">
      <w:pPr>
        <w:pStyle w:val="5"/>
      </w:pPr>
      <w:r w:rsidRPr="007D602F">
        <w:t>(3) Any person provisionally detained on suspicion of having committed a criminal offence shall be brought before a judge no later than the day following his arrest; the judge shall inform him of the reasons for the arrest, examine him, and give him an opportunity to raise objections. The judge shall, without delay, either issue a written arrest warrant setting forth the reasons therefor or order his release.</w:t>
      </w:r>
    </w:p>
    <w:p w:rsidR="00657FEF" w:rsidRPr="007D602F" w:rsidRDefault="00657FEF" w:rsidP="00992AB6">
      <w:pPr>
        <w:pStyle w:val="5"/>
      </w:pPr>
      <w:r w:rsidRPr="007D602F">
        <w:t>(4) A relative or a person enjoying the confi dence of the person in custody shall be notifi ed without delay of any judicial decision imposing or continuing a deprivation of liberty.</w:t>
      </w:r>
    </w:p>
  </w:footnote>
  <w:footnote w:id="85">
    <w:p w:rsidR="00657FEF" w:rsidRPr="00FF6603" w:rsidRDefault="00657FEF" w:rsidP="00992AB6">
      <w:pPr>
        <w:pStyle w:val="5"/>
        <w:rPr>
          <w:lang w:eastAsia="zh-TW"/>
        </w:rPr>
      </w:pPr>
      <w:r w:rsidRPr="00FF6603">
        <w:rPr>
          <w:rStyle w:val="af7"/>
          <w:rFonts w:cs="Arial Unicode MS"/>
          <w:szCs w:val="20"/>
        </w:rPr>
        <w:footnoteRef/>
      </w:r>
      <w:r w:rsidRPr="00FF6603">
        <w:rPr>
          <w:lang w:eastAsia="zh-TW"/>
        </w:rPr>
        <w:t>台灣人權促進會翻譯</w:t>
      </w:r>
      <w:r w:rsidRPr="00FF6603">
        <w:rPr>
          <w:lang w:eastAsia="zh-TW"/>
        </w:rPr>
        <w:t>(2013)</w:t>
      </w:r>
      <w:r w:rsidRPr="00FF6603">
        <w:rPr>
          <w:lang w:eastAsia="zh-TW"/>
        </w:rPr>
        <w:t>，替代收容</w:t>
      </w:r>
      <w:r w:rsidRPr="00FF6603">
        <w:rPr>
          <w:lang w:eastAsia="zh-TW"/>
        </w:rPr>
        <w:t>----</w:t>
      </w:r>
      <w:r w:rsidRPr="00FF6603">
        <w:rPr>
          <w:lang w:eastAsia="zh-TW"/>
        </w:rPr>
        <w:t>避免非必要的移工移民收容，各國經驗，臺北市：台灣人權促進會，頁</w:t>
      </w:r>
      <w:r w:rsidRPr="00FF6603">
        <w:rPr>
          <w:lang w:eastAsia="zh-TW"/>
        </w:rPr>
        <w:t>1-63</w:t>
      </w:r>
      <w:r w:rsidRPr="00FF6603">
        <w:rPr>
          <w:lang w:eastAsia="zh-TW"/>
        </w:rPr>
        <w:t>。</w:t>
      </w:r>
    </w:p>
    <w:p w:rsidR="00657FEF" w:rsidRPr="00FF6603" w:rsidRDefault="00657FEF" w:rsidP="00992AB6">
      <w:pPr>
        <w:pStyle w:val="5"/>
        <w:rPr>
          <w:lang w:eastAsia="zh-TW"/>
        </w:rPr>
      </w:pPr>
      <w:r w:rsidRPr="00FF6603">
        <w:rPr>
          <w:lang w:eastAsia="zh-TW"/>
        </w:rPr>
        <w:t>邱伊翎</w:t>
      </w:r>
      <w:r w:rsidRPr="00FF6603">
        <w:rPr>
          <w:lang w:eastAsia="zh-TW"/>
        </w:rPr>
        <w:t>(2013)</w:t>
      </w:r>
      <w:r w:rsidRPr="00FF6603">
        <w:rPr>
          <w:lang w:eastAsia="zh-TW"/>
        </w:rPr>
        <w:t>，難民、尋求庇護者與外國人收容，台灣人權促進會季刊春季版，頁</w:t>
      </w:r>
      <w:r w:rsidRPr="00FF6603">
        <w:rPr>
          <w:lang w:eastAsia="zh-TW"/>
        </w:rPr>
        <w:t>16-18</w:t>
      </w:r>
      <w:r w:rsidRPr="00FF6603">
        <w:rPr>
          <w:lang w:eastAsia="zh-TW"/>
        </w:rPr>
        <w:t>。在此一文章之中，邱伊翎氏並主張，目前我國對於外國人之暫予收容，無須經由法官之審理，恐不符合國際人權法之規定，筆者亦贊同邱伊翎氏之上述見解。</w:t>
      </w:r>
    </w:p>
  </w:footnote>
  <w:footnote w:id="86">
    <w:p w:rsidR="00657FEF" w:rsidRPr="00FF6603" w:rsidRDefault="00657FEF" w:rsidP="00992AB6">
      <w:pPr>
        <w:pStyle w:val="5"/>
        <w:rPr>
          <w:lang w:eastAsia="zh-TW"/>
        </w:rPr>
      </w:pPr>
      <w:r w:rsidRPr="00FF6603">
        <w:rPr>
          <w:rStyle w:val="af7"/>
          <w:rFonts w:cs="Arial Unicode MS"/>
          <w:szCs w:val="20"/>
        </w:rPr>
        <w:footnoteRef/>
      </w:r>
      <w:r w:rsidRPr="00FF6603">
        <w:rPr>
          <w:color w:val="FF6600"/>
          <w:lang w:eastAsia="zh-TW"/>
        </w:rPr>
        <w:t xml:space="preserve"> </w:t>
      </w:r>
      <w:r w:rsidRPr="00FF6603">
        <w:rPr>
          <w:lang w:eastAsia="zh-TW"/>
        </w:rPr>
        <w:t>「台灣人權促進會」</w:t>
      </w:r>
      <w:r w:rsidRPr="00FF6603">
        <w:rPr>
          <w:lang w:eastAsia="zh-TW"/>
        </w:rPr>
        <w:t>(2011)</w:t>
      </w:r>
      <w:r w:rsidRPr="00FF6603">
        <w:rPr>
          <w:lang w:eastAsia="zh-TW"/>
        </w:rPr>
        <w:t>，「替代收容－避免非必要的移工移民收容：各國經驗」，台北：台灣人權促進會，第</w:t>
      </w:r>
      <w:r w:rsidRPr="00FF6603">
        <w:rPr>
          <w:lang w:eastAsia="zh-TW"/>
        </w:rPr>
        <w:t>20</w:t>
      </w:r>
      <w:r w:rsidRPr="00FF6603">
        <w:rPr>
          <w:lang w:eastAsia="zh-TW"/>
        </w:rPr>
        <w:t>頁</w:t>
      </w:r>
      <w:r>
        <w:rPr>
          <w:lang w:eastAsia="zh-TW"/>
        </w:rPr>
        <w:t>。</w:t>
      </w:r>
    </w:p>
  </w:footnote>
  <w:footnote w:id="87">
    <w:p w:rsidR="00657FEF" w:rsidRPr="00FF6603" w:rsidRDefault="00657FEF" w:rsidP="00992AB6">
      <w:pPr>
        <w:pStyle w:val="5"/>
        <w:rPr>
          <w:lang w:eastAsia="zh-TW"/>
        </w:rPr>
      </w:pPr>
      <w:r w:rsidRPr="00FF6603">
        <w:rPr>
          <w:rStyle w:val="af7"/>
          <w:rFonts w:cs="Arial Unicode MS"/>
          <w:szCs w:val="20"/>
        </w:rPr>
        <w:footnoteRef/>
      </w:r>
      <w:r w:rsidRPr="00FF6603">
        <w:rPr>
          <w:color w:val="FF6600"/>
          <w:lang w:eastAsia="zh-TW"/>
        </w:rPr>
        <w:t xml:space="preserve"> </w:t>
      </w:r>
      <w:r w:rsidRPr="00FF6603">
        <w:rPr>
          <w:lang w:eastAsia="zh-TW"/>
        </w:rPr>
        <w:t>「台灣人權促進會」</w:t>
      </w:r>
      <w:r w:rsidRPr="00FF6603">
        <w:rPr>
          <w:lang w:eastAsia="zh-TW"/>
        </w:rPr>
        <w:t>(2011)</w:t>
      </w:r>
      <w:r w:rsidRPr="00FF6603">
        <w:rPr>
          <w:lang w:eastAsia="zh-TW"/>
        </w:rPr>
        <w:t>，「替代收容－避免非必要的移工移民收容：各國經驗」，台北：台灣人權促進會，第</w:t>
      </w:r>
      <w:r w:rsidRPr="00FF6603">
        <w:rPr>
          <w:lang w:eastAsia="zh-TW"/>
        </w:rPr>
        <w:t>19-20</w:t>
      </w:r>
      <w:r w:rsidRPr="00FF6603">
        <w:rPr>
          <w:lang w:eastAsia="zh-TW"/>
        </w:rPr>
        <w:t>頁。</w:t>
      </w:r>
    </w:p>
  </w:footnote>
  <w:footnote w:id="88">
    <w:p w:rsidR="00657FEF" w:rsidRPr="00FF6603" w:rsidRDefault="00657FEF" w:rsidP="00992AB6">
      <w:pPr>
        <w:pStyle w:val="5"/>
      </w:pPr>
      <w:r w:rsidRPr="00FF6603">
        <w:rPr>
          <w:rStyle w:val="af7"/>
          <w:rFonts w:cs="Arial Unicode MS"/>
          <w:szCs w:val="20"/>
        </w:rPr>
        <w:footnoteRef/>
      </w:r>
      <w:r w:rsidRPr="00FF6603">
        <w:t>林玲瑩（</w:t>
      </w:r>
      <w:r w:rsidRPr="00FF6603">
        <w:t>2013</w:t>
      </w:r>
      <w:r w:rsidRPr="00FF6603">
        <w:t>），替代收容論壇，逃跑外勞不必關？國際司空見慣，上網瀏覽時間：</w:t>
      </w:r>
      <w:r w:rsidRPr="00FF6603">
        <w:t>2015/04/13</w:t>
      </w:r>
      <w:r w:rsidRPr="00FF6603">
        <w:t>，</w:t>
      </w:r>
      <w:hyperlink r:id="rId45" w:history="1">
        <w:r w:rsidRPr="003C20F7">
          <w:rPr>
            <w:rStyle w:val="a7"/>
            <w:rFonts w:ascii="Arial Unicode MS" w:eastAsia="新細明體" w:hAnsi="Arial Unicode MS" w:cs="Calibri"/>
            <w:color w:val="5F5F5F"/>
            <w:kern w:val="2"/>
            <w:sz w:val="18"/>
            <w:lang w:eastAsia="zh-TW" w:bidi="ar-SA"/>
          </w:rPr>
          <w:t>http://pnn.pts.org.tw/main/2013/08/28/</w:t>
        </w:r>
      </w:hyperlink>
      <w:r>
        <w:t>。</w:t>
      </w:r>
    </w:p>
  </w:footnote>
  <w:footnote w:id="89">
    <w:p w:rsidR="00657FEF" w:rsidRPr="007D602F" w:rsidRDefault="00657FEF" w:rsidP="00992AB6">
      <w:pPr>
        <w:pStyle w:val="5"/>
      </w:pPr>
      <w:r w:rsidRPr="00FF6603">
        <w:rPr>
          <w:rStyle w:val="af7"/>
          <w:rFonts w:cs="Arial Unicode MS"/>
          <w:szCs w:val="20"/>
        </w:rPr>
        <w:footnoteRef/>
      </w:r>
      <w:r w:rsidRPr="007D602F">
        <w:t xml:space="preserve"> Article 16a  [Right of asylum] </w:t>
      </w:r>
    </w:p>
    <w:p w:rsidR="00657FEF" w:rsidRPr="007D602F" w:rsidRDefault="00657FEF" w:rsidP="00992AB6">
      <w:pPr>
        <w:pStyle w:val="5"/>
      </w:pPr>
      <w:r w:rsidRPr="007D602F">
        <w:t xml:space="preserve">(1) Persons persecuted on political grounds shall have the right of asylum. </w:t>
      </w:r>
    </w:p>
    <w:p w:rsidR="00657FEF" w:rsidRPr="007D602F" w:rsidRDefault="00657FEF" w:rsidP="00992AB6">
      <w:pPr>
        <w:pStyle w:val="5"/>
      </w:pPr>
      <w:r w:rsidRPr="007D602F">
        <w:t>(2) Paragraph (1) of this Article may not be invoked by a person who enters the federal territory from a member state of the European Communities or from another third state in which application of the Convention Relating to the Status of Refugees and of the Convention for the Protection of Human Rights and Fundamental Freedoms is assured. The states outside the European Communities to which the criteria of the fi rst sentence of this paragraph apply shall be specifi ed by a law requiring the consent of the Bundesrat. In the cases specified in the fi rst sentence of this paragraph, measures to terminate an applicant’s stay may be implemented without regard to any legal challenge that may have been instituted against them.</w:t>
      </w:r>
    </w:p>
    <w:p w:rsidR="00657FEF" w:rsidRPr="007D602F" w:rsidRDefault="00657FEF" w:rsidP="00992AB6">
      <w:pPr>
        <w:pStyle w:val="5"/>
      </w:pPr>
      <w:r w:rsidRPr="007D602F">
        <w:t xml:space="preserve">(3) By a law requiring the consent of the Bundesrat, states may be specifi ed in which, on the basis of their laws, enforcement practices and general political conditions, it can be safely concluded that neither political persecution nor inhuman or degrading punishment or treatment exists. It shall be presumed that a foreigner from such a state is not persecuted, unless he presents evidence justifying the conclusion that, contrary to this presumption, he is persecuted on political grounds. </w:t>
      </w:r>
    </w:p>
    <w:p w:rsidR="00657FEF" w:rsidRPr="007D602F" w:rsidRDefault="00657FEF" w:rsidP="00992AB6">
      <w:pPr>
        <w:pStyle w:val="5"/>
      </w:pPr>
      <w:r w:rsidRPr="007D602F">
        <w:t>(4) In the cases specifi ed by paragraph (3) of this Article and in other cases that are plainly unfounded or considered to be plainly unfounded, the implementation of measures to terminate an applicant’s stay may be suspended by a court only if serious doubts exist as to their legality; the scope of review may be limited, and tardy objections may be disregarded. Details shall be determined by a law.</w:t>
      </w:r>
    </w:p>
    <w:p w:rsidR="00657FEF" w:rsidRPr="007D602F" w:rsidRDefault="00657FEF" w:rsidP="00992AB6">
      <w:pPr>
        <w:pStyle w:val="5"/>
      </w:pPr>
      <w:r w:rsidRPr="007D602F">
        <w:t>(5) Paragraphs (1) to (4) of this Article shall not preclude the conclusion of international agreements of member states of the European Communities with each other or with those third states which, with due regard for the obligations arising from the Convention Relating to the Status of Refugees and the Convention for the Protection of Human Rights and Fundamental Freedoms, whose enforcement must be assured in the contracting states, adopt rules conferring jurisdiction to decide on applications for asylum, including the reciprocal recognition of asylum decisions.</w:t>
      </w:r>
    </w:p>
    <w:p w:rsidR="00657FEF" w:rsidRPr="007D602F" w:rsidRDefault="00657FEF" w:rsidP="00992AB6">
      <w:pPr>
        <w:pStyle w:val="5"/>
      </w:pPr>
    </w:p>
  </w:footnote>
  <w:footnote w:id="90">
    <w:p w:rsidR="00657FEF" w:rsidRPr="007D602F" w:rsidRDefault="00657FEF" w:rsidP="00992AB6">
      <w:pPr>
        <w:pStyle w:val="5"/>
      </w:pPr>
      <w:r w:rsidRPr="00DC6142">
        <w:rPr>
          <w:rStyle w:val="af7"/>
          <w:rFonts w:cs="Arial Unicode MS"/>
          <w:szCs w:val="20"/>
        </w:rPr>
        <w:footnoteRef/>
      </w:r>
      <w:r w:rsidRPr="007D602F">
        <w:t xml:space="preserve"> Section 14 - Electoral and participatory rights</w:t>
      </w:r>
    </w:p>
    <w:p w:rsidR="00657FEF" w:rsidRPr="007D602F" w:rsidRDefault="00657FEF" w:rsidP="00992AB6">
      <w:pPr>
        <w:pStyle w:val="5"/>
      </w:pPr>
      <w:r w:rsidRPr="007D602F">
        <w:t>14.1 Every Finnish citizen who has reached eighteen years of age has the right to vote in national elections and referendums. Specific provisions in this Constitution shall govern the eligibility to stand for office in national elections.</w:t>
      </w:r>
    </w:p>
    <w:p w:rsidR="00657FEF" w:rsidRPr="007D602F" w:rsidRDefault="00657FEF" w:rsidP="00992AB6">
      <w:pPr>
        <w:pStyle w:val="5"/>
      </w:pPr>
      <w:r w:rsidRPr="007D602F">
        <w:t>14.2 Every Finnish citizen and every other citizen of the European Union resident in Finland, having attained eighteen years of age, has the right to vote in the European Parliamentary elections, as provided by an Act. (1112/2011, entry into force 1.3.2012).</w:t>
      </w:r>
    </w:p>
    <w:p w:rsidR="00657FEF" w:rsidRPr="007D602F" w:rsidRDefault="00657FEF" w:rsidP="00992AB6">
      <w:pPr>
        <w:pStyle w:val="5"/>
      </w:pPr>
      <w:r w:rsidRPr="007D602F">
        <w:t>14.3 Every Finnish citizen and every foreigner permanently resident in Finland, having attained eighteen years of age, has the right to vote in municipal elections and municipal referendums, as provided by an Act. Provisions on the right to otherwise participate in municipal government are laid down by an Act.</w:t>
      </w:r>
    </w:p>
    <w:p w:rsidR="00657FEF" w:rsidRPr="007D602F" w:rsidRDefault="00657FEF" w:rsidP="00992AB6">
      <w:pPr>
        <w:pStyle w:val="5"/>
      </w:pPr>
      <w:r w:rsidRPr="007D602F">
        <w:t>14.4 The public authorities shall promote the opportunities for the individual to participate in societal activity and to influence the decisions that concern him or her.</w:t>
      </w:r>
    </w:p>
  </w:footnote>
  <w:footnote w:id="91">
    <w:p w:rsidR="00657FEF" w:rsidRPr="00C9725A" w:rsidRDefault="00657FEF" w:rsidP="00992AB6">
      <w:pPr>
        <w:pStyle w:val="5"/>
      </w:pPr>
      <w:r w:rsidRPr="00C9725A">
        <w:rPr>
          <w:rStyle w:val="af7"/>
          <w:rFonts w:cs="Arial Unicode MS"/>
          <w:szCs w:val="20"/>
        </w:rPr>
        <w:footnoteRef/>
      </w:r>
      <w:r w:rsidRPr="00C9725A">
        <w:t xml:space="preserve"> </w:t>
      </w:r>
      <w:r w:rsidRPr="00C9725A">
        <w:t>自變項</w:t>
      </w:r>
      <w:r w:rsidRPr="00C9725A">
        <w:t>(</w:t>
      </w:r>
      <w:r w:rsidRPr="00C9725A">
        <w:t>又被命名為：</w:t>
      </w:r>
      <w:r w:rsidRPr="00C9725A">
        <w:rPr>
          <w:rStyle w:val="st1"/>
        </w:rPr>
        <w:t>原因變項，</w:t>
      </w:r>
      <w:r w:rsidRPr="00C9725A">
        <w:rPr>
          <w:rStyle w:val="st1"/>
        </w:rPr>
        <w:t>change variables)</w:t>
      </w:r>
      <w:r w:rsidRPr="00C9725A">
        <w:t>、依變項</w:t>
      </w:r>
      <w:r w:rsidRPr="00C9725A">
        <w:t>(</w:t>
      </w:r>
      <w:r w:rsidRPr="00C9725A">
        <w:t>又被命名為：</w:t>
      </w:r>
      <w:r w:rsidRPr="00C9725A">
        <w:rPr>
          <w:rStyle w:val="st1"/>
        </w:rPr>
        <w:t>結果變項，</w:t>
      </w:r>
      <w:r w:rsidRPr="00C9725A">
        <w:rPr>
          <w:rStyle w:val="st1"/>
        </w:rPr>
        <w:t>outcome variables)</w:t>
      </w:r>
      <w:r w:rsidRPr="00C9725A">
        <w:t>之最原始數據之來源，如下所述：</w:t>
      </w:r>
    </w:p>
    <w:p w:rsidR="00657FEF" w:rsidRPr="003C20F7" w:rsidRDefault="00657FEF" w:rsidP="00992AB6">
      <w:pPr>
        <w:pStyle w:val="5"/>
      </w:pPr>
      <w:r w:rsidRPr="003C20F7">
        <w:t>中華民國統計資訊網</w:t>
      </w:r>
      <w:r w:rsidRPr="003C20F7">
        <w:t>(2018)</w:t>
      </w:r>
      <w:r w:rsidRPr="003C20F7">
        <w:t>，主計總處統計專區，</w:t>
      </w:r>
      <w:hyperlink r:id="rId46" w:history="1">
        <w:r w:rsidRPr="003C20F7">
          <w:rPr>
            <w:rStyle w:val="a7"/>
            <w:rFonts w:ascii="Arial Unicode MS" w:eastAsia="新細明體" w:hAnsi="Arial Unicode MS" w:cs="Calibri"/>
            <w:color w:val="5F5F5F"/>
            <w:kern w:val="2"/>
            <w:sz w:val="18"/>
          </w:rPr>
          <w:t>https://www.stat.gov.tw/mp.asp?mp=4</w:t>
        </w:r>
      </w:hyperlink>
      <w:r w:rsidRPr="003C20F7">
        <w:t>。</w:t>
      </w:r>
    </w:p>
    <w:p w:rsidR="00657FEF" w:rsidRPr="003C20F7" w:rsidRDefault="00657FEF" w:rsidP="00992AB6">
      <w:pPr>
        <w:pStyle w:val="5"/>
      </w:pPr>
      <w:r w:rsidRPr="003C20F7">
        <w:t>中華民國統計資訊網</w:t>
      </w:r>
      <w:r w:rsidRPr="003C20F7">
        <w:t>(2018)</w:t>
      </w:r>
      <w:r w:rsidRPr="003C20F7">
        <w:t>，主計總處統計專區</w:t>
      </w:r>
      <w:r w:rsidRPr="003C20F7">
        <w:t>---</w:t>
      </w:r>
      <w:r w:rsidRPr="003C20F7">
        <w:t>國民所得及經濟成長，</w:t>
      </w:r>
      <w:hyperlink r:id="rId47" w:history="1">
        <w:r w:rsidRPr="003C20F7">
          <w:rPr>
            <w:rStyle w:val="a7"/>
            <w:rFonts w:ascii="Arial Unicode MS" w:eastAsia="新細明體" w:hAnsi="Arial Unicode MS" w:cs="Calibri"/>
            <w:color w:val="5F5F5F"/>
            <w:kern w:val="2"/>
            <w:sz w:val="18"/>
          </w:rPr>
          <w:t>https://www.stat.gov.tw/mp.asp?mp=4</w:t>
        </w:r>
      </w:hyperlink>
      <w:r w:rsidRPr="003C20F7">
        <w:t>。</w:t>
      </w:r>
    </w:p>
    <w:p w:rsidR="00657FEF" w:rsidRPr="003C20F7" w:rsidRDefault="00657FEF" w:rsidP="00992AB6">
      <w:pPr>
        <w:pStyle w:val="5"/>
      </w:pPr>
      <w:r w:rsidRPr="003C20F7">
        <w:t>中華民國統計資訊網</w:t>
      </w:r>
      <w:r w:rsidRPr="003C20F7">
        <w:t>(2018)</w:t>
      </w:r>
      <w:r w:rsidRPr="003C20F7">
        <w:t>，主計總處統計專區</w:t>
      </w:r>
      <w:r w:rsidRPr="003C20F7">
        <w:t>---</w:t>
      </w:r>
      <w:r w:rsidRPr="003C20F7">
        <w:t>家庭收支調查，</w:t>
      </w:r>
      <w:hyperlink r:id="rId48" w:history="1">
        <w:r w:rsidRPr="003C20F7">
          <w:rPr>
            <w:rStyle w:val="a7"/>
            <w:rFonts w:ascii="Arial Unicode MS" w:eastAsia="新細明體" w:hAnsi="Arial Unicode MS" w:cs="Calibri"/>
            <w:color w:val="5F5F5F"/>
            <w:kern w:val="2"/>
            <w:sz w:val="18"/>
          </w:rPr>
          <w:t>https://www.stat.gov.tw/mp.asp?mp=4</w:t>
        </w:r>
      </w:hyperlink>
      <w:r w:rsidRPr="003C20F7">
        <w:t>。</w:t>
      </w:r>
    </w:p>
    <w:p w:rsidR="00657FEF" w:rsidRPr="003C20F7" w:rsidRDefault="00657FEF" w:rsidP="00992AB6">
      <w:pPr>
        <w:pStyle w:val="5"/>
      </w:pPr>
      <w:r w:rsidRPr="003C20F7">
        <w:t>中華民國統計資訊網</w:t>
      </w:r>
      <w:r w:rsidRPr="003C20F7">
        <w:t>(2018)</w:t>
      </w:r>
      <w:r w:rsidRPr="003C20F7">
        <w:t>，主計總處統計專區</w:t>
      </w:r>
      <w:r w:rsidRPr="003C20F7">
        <w:t>---</w:t>
      </w:r>
      <w:r w:rsidRPr="003C20F7">
        <w:t>就業、失業統計，</w:t>
      </w:r>
      <w:hyperlink r:id="rId49" w:history="1">
        <w:r w:rsidRPr="003C20F7">
          <w:rPr>
            <w:rStyle w:val="a7"/>
            <w:rFonts w:ascii="Arial Unicode MS" w:eastAsia="新細明體" w:hAnsi="Arial Unicode MS" w:cs="Calibri"/>
            <w:color w:val="5F5F5F"/>
            <w:kern w:val="2"/>
            <w:sz w:val="18"/>
          </w:rPr>
          <w:t>https://www.stat.gov.tw/mp.asp?mp=4</w:t>
        </w:r>
      </w:hyperlink>
      <w:r w:rsidRPr="003C20F7">
        <w:t>。</w:t>
      </w:r>
    </w:p>
    <w:p w:rsidR="00657FEF" w:rsidRPr="003C20F7" w:rsidRDefault="00657FEF" w:rsidP="00992AB6">
      <w:pPr>
        <w:pStyle w:val="5"/>
      </w:pPr>
      <w:r w:rsidRPr="003C20F7">
        <w:t>中華民國統計資訊網</w:t>
      </w:r>
      <w:r w:rsidRPr="003C20F7">
        <w:t>(2018)</w:t>
      </w:r>
      <w:r w:rsidRPr="003C20F7">
        <w:t>，主計總處統計專區</w:t>
      </w:r>
      <w:r w:rsidRPr="003C20F7">
        <w:t>---</w:t>
      </w:r>
      <w:r w:rsidRPr="003C20F7">
        <w:t>薪資及生產力統計，</w:t>
      </w:r>
      <w:hyperlink r:id="rId50" w:history="1">
        <w:r w:rsidRPr="003C20F7">
          <w:rPr>
            <w:rStyle w:val="a7"/>
            <w:rFonts w:ascii="Arial Unicode MS" w:eastAsia="新細明體" w:hAnsi="Arial Unicode MS" w:cs="Calibri"/>
            <w:color w:val="5F5F5F"/>
            <w:kern w:val="2"/>
            <w:sz w:val="18"/>
          </w:rPr>
          <w:t>https://www.stat.gov.tw/mp.asp?mp=4</w:t>
        </w:r>
      </w:hyperlink>
      <w:r w:rsidRPr="003C20F7">
        <w:t>。</w:t>
      </w:r>
    </w:p>
    <w:p w:rsidR="00657FEF" w:rsidRPr="003C20F7" w:rsidRDefault="00657FEF" w:rsidP="00992AB6">
      <w:pPr>
        <w:pStyle w:val="5"/>
      </w:pPr>
      <w:r w:rsidRPr="003C20F7">
        <w:t>中華民國統計資訊網</w:t>
      </w:r>
      <w:r w:rsidRPr="003C20F7">
        <w:t>(2018)</w:t>
      </w:r>
      <w:r w:rsidRPr="003C20F7">
        <w:t>，主計總處統計專區</w:t>
      </w:r>
      <w:r w:rsidRPr="003C20F7">
        <w:t>---</w:t>
      </w:r>
      <w:r w:rsidRPr="003C20F7">
        <w:t>社會指標</w:t>
      </w:r>
      <w:r w:rsidRPr="003C20F7">
        <w:rPr>
          <w:rStyle w:val="a7"/>
          <w:rFonts w:ascii="Arial Unicode MS" w:eastAsia="新細明體" w:hAnsi="Arial Unicode MS" w:cs="Calibri"/>
          <w:color w:val="5F5F5F"/>
          <w:kern w:val="2"/>
          <w:sz w:val="18"/>
        </w:rPr>
        <w:t>，</w:t>
      </w:r>
      <w:hyperlink r:id="rId51" w:history="1">
        <w:r w:rsidRPr="003C20F7">
          <w:rPr>
            <w:rStyle w:val="a7"/>
            <w:rFonts w:ascii="Arial Unicode MS" w:eastAsia="新細明體" w:hAnsi="Arial Unicode MS" w:cs="Calibri"/>
            <w:color w:val="5F5F5F"/>
            <w:kern w:val="2"/>
            <w:sz w:val="18"/>
          </w:rPr>
          <w:t>https://www.stat.gov.tw/mp.asp?mp=4</w:t>
        </w:r>
      </w:hyperlink>
      <w:r w:rsidRPr="003C20F7">
        <w:t>。</w:t>
      </w:r>
    </w:p>
    <w:p w:rsidR="00657FEF" w:rsidRPr="003C20F7" w:rsidRDefault="00657FEF" w:rsidP="00992AB6">
      <w:pPr>
        <w:pStyle w:val="5"/>
      </w:pPr>
      <w:r w:rsidRPr="003C20F7">
        <w:t>中華民國統計資訊網</w:t>
      </w:r>
      <w:r w:rsidRPr="003C20F7">
        <w:t>(2018)</w:t>
      </w:r>
      <w:r w:rsidRPr="003C20F7">
        <w:t>，主計總處統計專區</w:t>
      </w:r>
      <w:r w:rsidRPr="003C20F7">
        <w:t>---</w:t>
      </w:r>
      <w:r w:rsidRPr="003C20F7">
        <w:t>工業及服務業普查，</w:t>
      </w:r>
      <w:hyperlink r:id="rId52" w:history="1">
        <w:r w:rsidRPr="003C20F7">
          <w:rPr>
            <w:rStyle w:val="a7"/>
            <w:rFonts w:ascii="Arial Unicode MS" w:eastAsia="新細明體" w:hAnsi="Arial Unicode MS" w:cs="Calibri"/>
            <w:color w:val="5F5F5F"/>
            <w:kern w:val="2"/>
            <w:sz w:val="18"/>
          </w:rPr>
          <w:t>https://www.stat.gov.tw/mp.asp?mp=4</w:t>
        </w:r>
      </w:hyperlink>
      <w:r w:rsidRPr="003C20F7">
        <w:t>。</w:t>
      </w:r>
    </w:p>
    <w:p w:rsidR="00657FEF" w:rsidRPr="003C20F7" w:rsidRDefault="00657FEF" w:rsidP="00992AB6">
      <w:pPr>
        <w:pStyle w:val="5"/>
      </w:pPr>
      <w:r w:rsidRPr="003C20F7">
        <w:t>中華民國統計資訊網</w:t>
      </w:r>
      <w:r w:rsidRPr="003C20F7">
        <w:t>(2018)</w:t>
      </w:r>
      <w:r w:rsidRPr="003C20F7">
        <w:t>，主計總處統計專區</w:t>
      </w:r>
      <w:r w:rsidRPr="003C20F7">
        <w:t>---</w:t>
      </w:r>
      <w:r w:rsidRPr="003C20F7">
        <w:t>人口及住宅普查</w:t>
      </w:r>
      <w:r w:rsidRPr="003C20F7">
        <w:rPr>
          <w:rStyle w:val="a7"/>
          <w:rFonts w:ascii="Arial Unicode MS" w:eastAsia="新細明體" w:hAnsi="Arial Unicode MS" w:cs="Calibri"/>
          <w:color w:val="5F5F5F"/>
          <w:kern w:val="2"/>
          <w:sz w:val="18"/>
        </w:rPr>
        <w:t>，</w:t>
      </w:r>
      <w:hyperlink r:id="rId53" w:history="1">
        <w:r w:rsidRPr="003C20F7">
          <w:rPr>
            <w:rStyle w:val="a7"/>
            <w:rFonts w:ascii="Arial Unicode MS" w:eastAsia="新細明體" w:hAnsi="Arial Unicode MS" w:cs="Calibri"/>
            <w:color w:val="5F5F5F"/>
            <w:kern w:val="2"/>
            <w:sz w:val="18"/>
          </w:rPr>
          <w:t>https://www.stat.gov.tw/mp.asp?mp=4</w:t>
        </w:r>
      </w:hyperlink>
      <w:r w:rsidRPr="003C20F7">
        <w:t>。</w:t>
      </w:r>
    </w:p>
    <w:p w:rsidR="00657FEF" w:rsidRPr="003C20F7" w:rsidRDefault="00657FEF" w:rsidP="00992AB6">
      <w:pPr>
        <w:pStyle w:val="5"/>
        <w:rPr>
          <w:color w:val="5F5F5F"/>
        </w:rPr>
      </w:pPr>
      <w:r w:rsidRPr="00C9725A">
        <w:t>中華民國統計資訊網</w:t>
      </w:r>
      <w:r w:rsidRPr="00C9725A">
        <w:t>(2018)</w:t>
      </w:r>
      <w:r w:rsidRPr="00C9725A">
        <w:t>，主計總處統計專區</w:t>
      </w:r>
      <w:r w:rsidRPr="00C9725A">
        <w:t>---</w:t>
      </w:r>
      <w:r w:rsidRPr="00C9725A">
        <w:t>國富統計，</w:t>
      </w:r>
      <w:hyperlink r:id="rId54" w:history="1">
        <w:r w:rsidRPr="003C20F7">
          <w:rPr>
            <w:rStyle w:val="a7"/>
            <w:color w:val="5F5F5F"/>
            <w:sz w:val="20"/>
            <w:szCs w:val="20"/>
          </w:rPr>
          <w:t>https://www.stat.gov.tw/mp.asp?mp=4</w:t>
        </w:r>
      </w:hyperlink>
      <w:r w:rsidRPr="003C20F7">
        <w:rPr>
          <w:color w:val="5F5F5F"/>
        </w:rPr>
        <w:t>。</w:t>
      </w:r>
    </w:p>
    <w:p w:rsidR="00657FEF" w:rsidRPr="003C20F7" w:rsidRDefault="00657FEF" w:rsidP="00992AB6">
      <w:pPr>
        <w:pStyle w:val="5"/>
        <w:rPr>
          <w:color w:val="5F5F5F"/>
        </w:rPr>
      </w:pPr>
      <w:r w:rsidRPr="003C20F7">
        <w:rPr>
          <w:color w:val="5F5F5F"/>
        </w:rPr>
        <w:t>法務部</w:t>
      </w:r>
      <w:r w:rsidRPr="003C20F7">
        <w:rPr>
          <w:color w:val="5F5F5F"/>
        </w:rPr>
        <w:t>(2018)</w:t>
      </w:r>
      <w:r w:rsidRPr="003C20F7">
        <w:rPr>
          <w:color w:val="5F5F5F"/>
        </w:rPr>
        <w:t>，法務統計</w:t>
      </w:r>
      <w:r w:rsidRPr="003C20F7">
        <w:rPr>
          <w:color w:val="5F5F5F"/>
        </w:rPr>
        <w:t>---</w:t>
      </w:r>
      <w:r w:rsidRPr="003C20F7">
        <w:rPr>
          <w:color w:val="5F5F5F"/>
        </w:rPr>
        <w:t>死刑執行及尚未執行人數，</w:t>
      </w:r>
      <w:hyperlink r:id="rId55" w:history="1">
        <w:r w:rsidRPr="003C20F7">
          <w:rPr>
            <w:rStyle w:val="a7"/>
            <w:color w:val="5F5F5F"/>
            <w:sz w:val="20"/>
            <w:szCs w:val="20"/>
          </w:rPr>
          <w:t>http://www.rjsd.moj.gov.tw/rjsdweb/</w:t>
        </w:r>
      </w:hyperlink>
      <w:r w:rsidRPr="003C20F7">
        <w:rPr>
          <w:color w:val="5F5F5F"/>
        </w:rPr>
        <w:t>。</w:t>
      </w:r>
    </w:p>
    <w:p w:rsidR="00657FEF" w:rsidRPr="003C20F7" w:rsidRDefault="00657FEF" w:rsidP="00992AB6">
      <w:pPr>
        <w:pStyle w:val="5"/>
        <w:rPr>
          <w:color w:val="5F5F5F"/>
        </w:rPr>
      </w:pPr>
      <w:r w:rsidRPr="003C20F7">
        <w:rPr>
          <w:color w:val="5F5F5F"/>
        </w:rPr>
        <w:t>法務部</w:t>
      </w:r>
      <w:r w:rsidRPr="003C20F7">
        <w:rPr>
          <w:color w:val="5F5F5F"/>
        </w:rPr>
        <w:t>(2018)</w:t>
      </w:r>
      <w:r w:rsidRPr="003C20F7">
        <w:rPr>
          <w:color w:val="5F5F5F"/>
        </w:rPr>
        <w:t>，法務統計</w:t>
      </w:r>
      <w:r w:rsidRPr="003C20F7">
        <w:rPr>
          <w:color w:val="5F5F5F"/>
        </w:rPr>
        <w:t>---</w:t>
      </w:r>
      <w:r w:rsidRPr="003C20F7">
        <w:rPr>
          <w:color w:val="5F5F5F"/>
        </w:rPr>
        <w:t>法務統計摘要，</w:t>
      </w:r>
      <w:hyperlink r:id="rId56" w:history="1">
        <w:r w:rsidRPr="003C20F7">
          <w:rPr>
            <w:rStyle w:val="a7"/>
            <w:color w:val="5F5F5F"/>
            <w:sz w:val="20"/>
            <w:szCs w:val="20"/>
          </w:rPr>
          <w:t>http://www.rjsd.moj.gov.tw/rjsdweb/</w:t>
        </w:r>
      </w:hyperlink>
      <w:r w:rsidRPr="003C20F7">
        <w:rPr>
          <w:color w:val="5F5F5F"/>
        </w:rPr>
        <w:t>。</w:t>
      </w:r>
    </w:p>
    <w:p w:rsidR="00657FEF" w:rsidRPr="003C20F7" w:rsidRDefault="00657FEF" w:rsidP="00992AB6">
      <w:pPr>
        <w:pStyle w:val="5"/>
        <w:rPr>
          <w:color w:val="5F5F5F"/>
        </w:rPr>
      </w:pPr>
      <w:r w:rsidRPr="003C20F7">
        <w:rPr>
          <w:color w:val="5F5F5F"/>
        </w:rPr>
        <w:t>法務部</w:t>
      </w:r>
      <w:r w:rsidRPr="003C20F7">
        <w:rPr>
          <w:color w:val="5F5F5F"/>
        </w:rPr>
        <w:t>(2018)</w:t>
      </w:r>
      <w:r w:rsidRPr="003C20F7">
        <w:rPr>
          <w:color w:val="5F5F5F"/>
        </w:rPr>
        <w:t>，法務統計</w:t>
      </w:r>
      <w:r w:rsidRPr="003C20F7">
        <w:rPr>
          <w:color w:val="5F5F5F"/>
        </w:rPr>
        <w:t>---</w:t>
      </w:r>
      <w:r w:rsidRPr="003C20F7">
        <w:rPr>
          <w:color w:val="5F5F5F"/>
        </w:rPr>
        <w:t>法務統計重要參考指標，</w:t>
      </w:r>
      <w:hyperlink r:id="rId57" w:history="1">
        <w:r w:rsidRPr="003C20F7">
          <w:rPr>
            <w:rStyle w:val="a7"/>
            <w:color w:val="5F5F5F"/>
            <w:sz w:val="20"/>
            <w:szCs w:val="20"/>
          </w:rPr>
          <w:t>http://www.rjsd.moj.gov.tw/rjsdweb/</w:t>
        </w:r>
      </w:hyperlink>
      <w:r w:rsidRPr="003C20F7">
        <w:rPr>
          <w:color w:val="5F5F5F"/>
        </w:rPr>
        <w:t>。</w:t>
      </w:r>
    </w:p>
    <w:p w:rsidR="00657FEF" w:rsidRPr="003C20F7" w:rsidRDefault="00657FEF" w:rsidP="00992AB6">
      <w:pPr>
        <w:pStyle w:val="5"/>
        <w:rPr>
          <w:color w:val="5F5F5F"/>
        </w:rPr>
      </w:pPr>
      <w:r w:rsidRPr="003C20F7">
        <w:rPr>
          <w:color w:val="5F5F5F"/>
        </w:rPr>
        <w:t>法務部</w:t>
      </w:r>
      <w:r w:rsidRPr="003C20F7">
        <w:rPr>
          <w:color w:val="5F5F5F"/>
        </w:rPr>
        <w:t>(2018)</w:t>
      </w:r>
      <w:r w:rsidRPr="003C20F7">
        <w:rPr>
          <w:color w:val="5F5F5F"/>
        </w:rPr>
        <w:t>，法務統計</w:t>
      </w:r>
      <w:r w:rsidRPr="003C20F7">
        <w:rPr>
          <w:color w:val="5F5F5F"/>
        </w:rPr>
        <w:t>---</w:t>
      </w:r>
      <w:r w:rsidRPr="003C20F7">
        <w:rPr>
          <w:color w:val="5F5F5F"/>
        </w:rPr>
        <w:t>法務統計月報，</w:t>
      </w:r>
      <w:hyperlink r:id="rId58" w:history="1">
        <w:r w:rsidRPr="003C20F7">
          <w:rPr>
            <w:rStyle w:val="a7"/>
            <w:color w:val="5F5F5F"/>
            <w:sz w:val="20"/>
            <w:szCs w:val="20"/>
          </w:rPr>
          <w:t>http://www.rjsd.moj.gov.tw/rjsdweb/</w:t>
        </w:r>
      </w:hyperlink>
      <w:r w:rsidRPr="003C20F7">
        <w:rPr>
          <w:rStyle w:val="a7"/>
          <w:color w:val="5F5F5F"/>
          <w:sz w:val="20"/>
          <w:szCs w:val="20"/>
        </w:rPr>
        <w:t>。</w:t>
      </w:r>
    </w:p>
    <w:p w:rsidR="00657FEF" w:rsidRPr="003C20F7" w:rsidRDefault="00657FEF" w:rsidP="00992AB6">
      <w:pPr>
        <w:pStyle w:val="5"/>
        <w:rPr>
          <w:color w:val="5F5F5F"/>
        </w:rPr>
      </w:pPr>
      <w:r w:rsidRPr="003C20F7">
        <w:rPr>
          <w:color w:val="5F5F5F"/>
        </w:rPr>
        <w:t>法務部</w:t>
      </w:r>
      <w:r w:rsidRPr="003C20F7">
        <w:rPr>
          <w:color w:val="5F5F5F"/>
        </w:rPr>
        <w:t>(2018)</w:t>
      </w:r>
      <w:r w:rsidRPr="003C20F7">
        <w:rPr>
          <w:color w:val="5F5F5F"/>
        </w:rPr>
        <w:t>，法務統計</w:t>
      </w:r>
      <w:r w:rsidRPr="003C20F7">
        <w:rPr>
          <w:color w:val="5F5F5F"/>
        </w:rPr>
        <w:t>---</w:t>
      </w:r>
      <w:r w:rsidRPr="003C20F7">
        <w:rPr>
          <w:color w:val="5F5F5F"/>
        </w:rPr>
        <w:t>法務統計年報，</w:t>
      </w:r>
      <w:hyperlink r:id="rId59" w:history="1">
        <w:r w:rsidRPr="003C20F7">
          <w:rPr>
            <w:rStyle w:val="a7"/>
            <w:color w:val="5F5F5F"/>
            <w:sz w:val="20"/>
            <w:szCs w:val="20"/>
          </w:rPr>
          <w:t>http://www.rjsd.moj.gov.tw/rjsdweb/</w:t>
        </w:r>
      </w:hyperlink>
      <w:r w:rsidRPr="003C20F7">
        <w:rPr>
          <w:color w:val="5F5F5F"/>
        </w:rPr>
        <w:t>。</w:t>
      </w:r>
    </w:p>
    <w:p w:rsidR="00657FEF" w:rsidRPr="003C20F7" w:rsidRDefault="00657FEF" w:rsidP="00992AB6">
      <w:pPr>
        <w:pStyle w:val="5"/>
        <w:rPr>
          <w:color w:val="5F5F5F"/>
        </w:rPr>
      </w:pPr>
      <w:r w:rsidRPr="003C20F7">
        <w:rPr>
          <w:color w:val="5F5F5F"/>
        </w:rPr>
        <w:t>法務部</w:t>
      </w:r>
      <w:r w:rsidRPr="003C20F7">
        <w:rPr>
          <w:color w:val="5F5F5F"/>
        </w:rPr>
        <w:t>(2018)</w:t>
      </w:r>
      <w:r w:rsidRPr="003C20F7">
        <w:rPr>
          <w:color w:val="5F5F5F"/>
        </w:rPr>
        <w:t>，法務統計</w:t>
      </w:r>
      <w:r w:rsidRPr="003C20F7">
        <w:rPr>
          <w:color w:val="5F5F5F"/>
        </w:rPr>
        <w:t>---</w:t>
      </w:r>
      <w:r w:rsidRPr="003C20F7">
        <w:rPr>
          <w:color w:val="5F5F5F"/>
        </w:rPr>
        <w:t>法務部統計手冊，</w:t>
      </w:r>
      <w:hyperlink r:id="rId60" w:history="1">
        <w:r w:rsidRPr="003C20F7">
          <w:rPr>
            <w:rStyle w:val="a7"/>
            <w:color w:val="5F5F5F"/>
            <w:sz w:val="20"/>
            <w:szCs w:val="20"/>
          </w:rPr>
          <w:t>http://www.rjsd.moj.gov.tw/rjsdweb/</w:t>
        </w:r>
      </w:hyperlink>
      <w:r w:rsidRPr="003C20F7">
        <w:rPr>
          <w:color w:val="5F5F5F"/>
        </w:rPr>
        <w:t>。</w:t>
      </w:r>
    </w:p>
    <w:p w:rsidR="00657FEF" w:rsidRPr="007D602F" w:rsidRDefault="00657FEF" w:rsidP="00992AB6">
      <w:pPr>
        <w:pStyle w:val="5"/>
      </w:pPr>
      <w:r w:rsidRPr="003C20F7">
        <w:rPr>
          <w:color w:val="5F5F5F"/>
        </w:rPr>
        <w:t>台灣人權促進會，臺灣，不為人知的一面</w:t>
      </w:r>
      <w:r w:rsidRPr="003C20F7">
        <w:rPr>
          <w:color w:val="5F5F5F"/>
        </w:rPr>
        <w:t>----</w:t>
      </w:r>
      <w:r w:rsidRPr="003C20F7">
        <w:rPr>
          <w:color w:val="5F5F5F"/>
        </w:rPr>
        <w:t>從《公民與政治權利國際公約》／《經濟社會文化權利國際公約》審查過程吸取教訓，</w:t>
      </w:r>
      <w:hyperlink r:id="rId61" w:history="1">
        <w:r w:rsidRPr="003C20F7">
          <w:rPr>
            <w:rStyle w:val="a7"/>
            <w:rFonts w:asciiTheme="majorHAnsi" w:eastAsiaTheme="majorEastAsia" w:hAnsiTheme="majorHAnsi" w:cstheme="majorBidi"/>
            <w:color w:val="5F5F5F"/>
            <w:sz w:val="20"/>
            <w:szCs w:val="20"/>
          </w:rPr>
          <w:t>https://www.tahr.org.tw/</w:t>
        </w:r>
      </w:hyperlink>
      <w:r w:rsidRPr="003C20F7">
        <w:rPr>
          <w:color w:val="5F5F5F"/>
        </w:rPr>
        <w:t>。</w:t>
      </w:r>
    </w:p>
  </w:footnote>
  <w:footnote w:id="92">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謝廣全</w:t>
      </w:r>
      <w:r w:rsidRPr="007D602F">
        <w:rPr>
          <w:lang w:eastAsia="zh-TW"/>
        </w:rPr>
        <w:t>(1996)</w:t>
      </w:r>
      <w:r w:rsidRPr="007D602F">
        <w:rPr>
          <w:lang w:eastAsia="zh-TW"/>
        </w:rPr>
        <w:t>，最新實用心理與教育統計學，高雄：復文書局修訂</w:t>
      </w:r>
      <w:r w:rsidRPr="007D602F">
        <w:rPr>
          <w:lang w:eastAsia="zh-TW"/>
        </w:rPr>
        <w:t>5</w:t>
      </w:r>
      <w:r w:rsidRPr="007D602F">
        <w:rPr>
          <w:lang w:eastAsia="zh-TW"/>
        </w:rPr>
        <w:t>版。</w:t>
      </w:r>
    </w:p>
  </w:footnote>
  <w:footnote w:id="93">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王文科</w:t>
      </w:r>
      <w:r w:rsidRPr="007D602F">
        <w:rPr>
          <w:lang w:eastAsia="zh-TW"/>
        </w:rPr>
        <w:t>(2005)</w:t>
      </w:r>
      <w:r w:rsidRPr="007D602F">
        <w:rPr>
          <w:lang w:eastAsia="zh-TW"/>
        </w:rPr>
        <w:t>，</w:t>
      </w:r>
      <w:r w:rsidRPr="007D602F">
        <w:rPr>
          <w:lang w:eastAsia="zh-TW"/>
        </w:rPr>
        <w:t>"</w:t>
      </w:r>
      <w:r w:rsidRPr="007D602F">
        <w:rPr>
          <w:lang w:eastAsia="zh-TW"/>
        </w:rPr>
        <w:t>教育研究法</w:t>
      </w:r>
      <w:r w:rsidRPr="007D602F">
        <w:rPr>
          <w:lang w:eastAsia="zh-TW"/>
        </w:rPr>
        <w:t>"</w:t>
      </w:r>
      <w:r w:rsidRPr="007D602F">
        <w:rPr>
          <w:lang w:eastAsia="zh-TW"/>
        </w:rPr>
        <w:t>（增訂</w:t>
      </w:r>
      <w:r w:rsidRPr="007D602F">
        <w:rPr>
          <w:lang w:eastAsia="zh-TW"/>
        </w:rPr>
        <w:t>8</w:t>
      </w:r>
      <w:r w:rsidRPr="007D602F">
        <w:rPr>
          <w:lang w:eastAsia="zh-TW"/>
        </w:rPr>
        <w:t>版），台北</w:t>
      </w:r>
      <w:r w:rsidRPr="007D602F">
        <w:rPr>
          <w:lang w:eastAsia="zh-TW"/>
        </w:rPr>
        <w:t xml:space="preserve">: </w:t>
      </w:r>
      <w:r w:rsidRPr="007D602F">
        <w:rPr>
          <w:lang w:eastAsia="zh-TW"/>
        </w:rPr>
        <w:t>五南。</w:t>
      </w:r>
    </w:p>
    <w:p w:rsidR="00657FEF" w:rsidRPr="007D602F" w:rsidRDefault="00657FEF" w:rsidP="00992AB6">
      <w:pPr>
        <w:pStyle w:val="5"/>
        <w:rPr>
          <w:lang w:eastAsia="zh-TW"/>
        </w:rPr>
      </w:pPr>
      <w:r w:rsidRPr="007D602F">
        <w:rPr>
          <w:lang w:eastAsia="zh-TW"/>
        </w:rPr>
        <w:t>吳明隆、涂金堂著</w:t>
      </w:r>
      <w:r w:rsidRPr="007D602F">
        <w:rPr>
          <w:lang w:eastAsia="zh-TW"/>
        </w:rPr>
        <w:t>(2005)</w:t>
      </w:r>
      <w:r w:rsidRPr="007D602F">
        <w:rPr>
          <w:lang w:eastAsia="zh-TW"/>
        </w:rPr>
        <w:t>，徐慧如編輯，</w:t>
      </w:r>
      <w:r w:rsidRPr="007D602F">
        <w:rPr>
          <w:lang w:eastAsia="zh-TW"/>
        </w:rPr>
        <w:t>SPSS</w:t>
      </w:r>
      <w:r w:rsidRPr="007D602F">
        <w:rPr>
          <w:lang w:eastAsia="zh-TW"/>
        </w:rPr>
        <w:t>與統計應用分析，台北：五南出版社。</w:t>
      </w:r>
    </w:p>
    <w:p w:rsidR="00657FEF" w:rsidRPr="007D602F" w:rsidRDefault="00657FEF" w:rsidP="00992AB6">
      <w:pPr>
        <w:pStyle w:val="5"/>
        <w:rPr>
          <w:lang w:eastAsia="zh-TW"/>
        </w:rPr>
      </w:pPr>
      <w:r w:rsidRPr="007D602F">
        <w:rPr>
          <w:lang w:eastAsia="zh-TW"/>
        </w:rPr>
        <w:t>林清山，心理與教育統計學，台北：東華書局。</w:t>
      </w:r>
    </w:p>
    <w:p w:rsidR="00657FEF" w:rsidRPr="007D602F" w:rsidRDefault="00657FEF" w:rsidP="00992AB6">
      <w:pPr>
        <w:pStyle w:val="5"/>
        <w:rPr>
          <w:lang w:eastAsia="zh-TW"/>
        </w:rPr>
      </w:pPr>
      <w:r w:rsidRPr="007D602F">
        <w:rPr>
          <w:lang w:eastAsia="zh-TW"/>
        </w:rPr>
        <w:t>馬傳鎮</w:t>
      </w:r>
      <w:r w:rsidRPr="007D602F">
        <w:rPr>
          <w:lang w:eastAsia="zh-TW"/>
        </w:rPr>
        <w:t>(1997)</w:t>
      </w:r>
      <w:r w:rsidRPr="007D602F">
        <w:rPr>
          <w:lang w:eastAsia="zh-TW"/>
        </w:rPr>
        <w:t>，中央警察大學犯罪防治學大學部上課內容。</w:t>
      </w:r>
    </w:p>
    <w:p w:rsidR="00657FEF" w:rsidRPr="007D602F" w:rsidRDefault="00657FEF" w:rsidP="00992AB6">
      <w:pPr>
        <w:pStyle w:val="5"/>
        <w:rPr>
          <w:lang w:eastAsia="zh-TW"/>
        </w:rPr>
      </w:pPr>
      <w:r w:rsidRPr="007D602F">
        <w:rPr>
          <w:lang w:eastAsia="zh-TW"/>
        </w:rPr>
        <w:t>張紹勳、林秀娟</w:t>
      </w:r>
      <w:r w:rsidRPr="007D602F">
        <w:rPr>
          <w:lang w:eastAsia="zh-TW"/>
        </w:rPr>
        <w:t>(1993)</w:t>
      </w:r>
      <w:r w:rsidRPr="007D602F">
        <w:rPr>
          <w:lang w:eastAsia="zh-TW"/>
        </w:rPr>
        <w:t>，</w:t>
      </w:r>
      <w:r w:rsidRPr="007D602F">
        <w:rPr>
          <w:lang w:eastAsia="zh-TW"/>
        </w:rPr>
        <w:t>SPSS For Windows</w:t>
      </w:r>
      <w:r w:rsidRPr="007D602F">
        <w:rPr>
          <w:lang w:eastAsia="zh-TW"/>
        </w:rPr>
        <w:t>統計分析</w:t>
      </w:r>
      <w:r w:rsidRPr="007D602F">
        <w:rPr>
          <w:lang w:eastAsia="zh-TW"/>
        </w:rPr>
        <w:t>---</w:t>
      </w:r>
      <w:r w:rsidRPr="007D602F">
        <w:rPr>
          <w:lang w:eastAsia="zh-TW"/>
        </w:rPr>
        <w:t>初等統計與高等統計，台北：松崗電腦公司，頁</w:t>
      </w:r>
      <w:r w:rsidRPr="007D602F">
        <w:rPr>
          <w:lang w:eastAsia="zh-TW"/>
        </w:rPr>
        <w:t>11-9</w:t>
      </w:r>
      <w:r>
        <w:rPr>
          <w:lang w:eastAsia="zh-TW"/>
        </w:rPr>
        <w:t>。</w:t>
      </w:r>
    </w:p>
    <w:p w:rsidR="00657FEF" w:rsidRPr="007D602F" w:rsidRDefault="00657FEF" w:rsidP="00992AB6">
      <w:pPr>
        <w:pStyle w:val="5"/>
        <w:rPr>
          <w:lang w:eastAsia="zh-TW"/>
        </w:rPr>
      </w:pPr>
      <w:r w:rsidRPr="007D602F">
        <w:rPr>
          <w:lang w:eastAsia="zh-TW"/>
        </w:rPr>
        <w:t>張雲景、賴礽仰翻譯</w:t>
      </w:r>
      <w:r w:rsidRPr="007D602F">
        <w:rPr>
          <w:lang w:eastAsia="zh-TW"/>
        </w:rPr>
        <w:t>(2003)</w:t>
      </w:r>
      <w:r w:rsidRPr="007D602F">
        <w:rPr>
          <w:lang w:eastAsia="zh-TW"/>
        </w:rPr>
        <w:t>，</w:t>
      </w:r>
      <w:r w:rsidRPr="007D602F">
        <w:rPr>
          <w:lang w:eastAsia="zh-TW"/>
        </w:rPr>
        <w:t>SPSS</w:t>
      </w:r>
      <w:r w:rsidRPr="007D602F">
        <w:rPr>
          <w:lang w:eastAsia="zh-TW"/>
        </w:rPr>
        <w:t>統計軟體的應用</w:t>
      </w:r>
      <w:r w:rsidRPr="007D602F">
        <w:rPr>
          <w:lang w:eastAsia="zh-TW"/>
        </w:rPr>
        <w:t>---11.0</w:t>
      </w:r>
      <w:r w:rsidRPr="007D602F">
        <w:rPr>
          <w:lang w:eastAsia="zh-TW"/>
        </w:rPr>
        <w:t>版，台北：華騰文化股份有限公司。</w:t>
      </w:r>
    </w:p>
    <w:p w:rsidR="00657FEF" w:rsidRPr="007D602F" w:rsidRDefault="00657FEF" w:rsidP="00992AB6">
      <w:pPr>
        <w:pStyle w:val="5"/>
        <w:rPr>
          <w:lang w:eastAsia="zh-TW"/>
        </w:rPr>
      </w:pPr>
      <w:r w:rsidRPr="007D602F">
        <w:rPr>
          <w:lang w:eastAsia="zh-TW"/>
        </w:rPr>
        <w:t>陳玉書</w:t>
      </w:r>
      <w:r w:rsidRPr="007D602F">
        <w:rPr>
          <w:lang w:eastAsia="zh-TW"/>
        </w:rPr>
        <w:t>(2001)</w:t>
      </w:r>
      <w:r w:rsidRPr="007D602F">
        <w:rPr>
          <w:lang w:eastAsia="zh-TW"/>
        </w:rPr>
        <w:t>，中央警察大學犯罪防治研究所博士班上課內容</w:t>
      </w:r>
      <w:r>
        <w:rPr>
          <w:lang w:eastAsia="zh-TW"/>
        </w:rPr>
        <w:t>。</w:t>
      </w:r>
    </w:p>
    <w:p w:rsidR="00657FEF" w:rsidRPr="007D602F" w:rsidRDefault="00657FEF" w:rsidP="00992AB6">
      <w:pPr>
        <w:pStyle w:val="5"/>
        <w:rPr>
          <w:lang w:eastAsia="zh-TW"/>
        </w:rPr>
      </w:pPr>
      <w:r w:rsidRPr="007D602F">
        <w:rPr>
          <w:lang w:eastAsia="zh-TW"/>
        </w:rPr>
        <w:t>陳徹</w:t>
      </w:r>
      <w:r w:rsidRPr="007D602F">
        <w:rPr>
          <w:lang w:eastAsia="zh-TW"/>
        </w:rPr>
        <w:t>(2003)</w:t>
      </w:r>
      <w:r w:rsidRPr="007D602F">
        <w:rPr>
          <w:lang w:eastAsia="zh-TW"/>
        </w:rPr>
        <w:t>，</w:t>
      </w:r>
      <w:r w:rsidRPr="007D602F">
        <w:rPr>
          <w:lang w:eastAsia="zh-TW"/>
        </w:rPr>
        <w:t>SPSS</w:t>
      </w:r>
      <w:r w:rsidRPr="007D602F">
        <w:rPr>
          <w:lang w:eastAsia="zh-TW"/>
        </w:rPr>
        <w:t>統計分析，台北：碁峯資訊公司。</w:t>
      </w:r>
    </w:p>
    <w:p w:rsidR="00657FEF" w:rsidRPr="007D602F" w:rsidRDefault="00657FEF" w:rsidP="00992AB6">
      <w:pPr>
        <w:pStyle w:val="5"/>
        <w:rPr>
          <w:lang w:eastAsia="zh-TW"/>
        </w:rPr>
      </w:pPr>
      <w:r w:rsidRPr="007D602F">
        <w:rPr>
          <w:lang w:eastAsia="zh-TW"/>
        </w:rPr>
        <w:t>蔡中志</w:t>
      </w:r>
      <w:r w:rsidRPr="007D602F">
        <w:rPr>
          <w:lang w:eastAsia="zh-TW"/>
        </w:rPr>
        <w:t>(1992)</w:t>
      </w:r>
      <w:r w:rsidRPr="007D602F">
        <w:rPr>
          <w:lang w:eastAsia="zh-TW"/>
        </w:rPr>
        <w:t>，中央警察大學行政警察研究所碩士班上課內容。</w:t>
      </w:r>
    </w:p>
    <w:p w:rsidR="00657FEF" w:rsidRPr="007D602F" w:rsidRDefault="00657FEF" w:rsidP="00992AB6">
      <w:pPr>
        <w:pStyle w:val="5"/>
        <w:rPr>
          <w:lang w:eastAsia="zh-TW"/>
        </w:rPr>
      </w:pPr>
      <w:r w:rsidRPr="007D602F">
        <w:rPr>
          <w:lang w:eastAsia="zh-TW"/>
        </w:rPr>
        <w:t>謝廣全</w:t>
      </w:r>
      <w:r w:rsidRPr="007D602F">
        <w:rPr>
          <w:lang w:eastAsia="zh-TW"/>
        </w:rPr>
        <w:t>(1996)</w:t>
      </w:r>
      <w:r w:rsidRPr="007D602F">
        <w:rPr>
          <w:lang w:eastAsia="zh-TW"/>
        </w:rPr>
        <w:t>，最新實用心理與教育統計學，高雄：復文書局修訂</w:t>
      </w:r>
      <w:r w:rsidRPr="007D602F">
        <w:rPr>
          <w:lang w:eastAsia="zh-TW"/>
        </w:rPr>
        <w:t>5</w:t>
      </w:r>
      <w:r w:rsidRPr="007D602F">
        <w:rPr>
          <w:lang w:eastAsia="zh-TW"/>
        </w:rPr>
        <w:t>版。</w:t>
      </w:r>
    </w:p>
  </w:footnote>
  <w:footnote w:id="94">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謝廣全</w:t>
      </w:r>
      <w:r w:rsidRPr="007D602F">
        <w:rPr>
          <w:lang w:eastAsia="zh-TW"/>
        </w:rPr>
        <w:t>(1966)</w:t>
      </w:r>
      <w:r w:rsidRPr="007D602F">
        <w:rPr>
          <w:lang w:eastAsia="zh-TW"/>
        </w:rPr>
        <w:t>，最新實用心理與教育統計學，高雄：復文書局修訂</w:t>
      </w:r>
      <w:r w:rsidRPr="007D602F">
        <w:rPr>
          <w:lang w:eastAsia="zh-TW"/>
        </w:rPr>
        <w:t>5</w:t>
      </w:r>
      <w:r w:rsidRPr="007D602F">
        <w:rPr>
          <w:lang w:eastAsia="zh-TW"/>
        </w:rPr>
        <w:t>版。</w:t>
      </w:r>
    </w:p>
  </w:footnote>
  <w:footnote w:id="95">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王文科</w:t>
      </w:r>
      <w:r w:rsidRPr="007D602F">
        <w:rPr>
          <w:lang w:eastAsia="zh-TW"/>
        </w:rPr>
        <w:t>(2005)</w:t>
      </w:r>
      <w:r w:rsidRPr="007D602F">
        <w:rPr>
          <w:lang w:eastAsia="zh-TW"/>
        </w:rPr>
        <w:t>，</w:t>
      </w:r>
      <w:r w:rsidRPr="007D602F">
        <w:rPr>
          <w:lang w:eastAsia="zh-TW"/>
        </w:rPr>
        <w:t>"</w:t>
      </w:r>
      <w:r w:rsidRPr="007D602F">
        <w:rPr>
          <w:lang w:eastAsia="zh-TW"/>
        </w:rPr>
        <w:t>教育研究法</w:t>
      </w:r>
      <w:r w:rsidRPr="007D602F">
        <w:rPr>
          <w:lang w:eastAsia="zh-TW"/>
        </w:rPr>
        <w:t>"</w:t>
      </w:r>
      <w:r w:rsidRPr="007D602F">
        <w:rPr>
          <w:lang w:eastAsia="zh-TW"/>
        </w:rPr>
        <w:t>（增訂</w:t>
      </w:r>
      <w:r w:rsidRPr="007D602F">
        <w:rPr>
          <w:lang w:eastAsia="zh-TW"/>
        </w:rPr>
        <w:t>8</w:t>
      </w:r>
      <w:r w:rsidRPr="007D602F">
        <w:rPr>
          <w:lang w:eastAsia="zh-TW"/>
        </w:rPr>
        <w:t>版），台北</w:t>
      </w:r>
      <w:r w:rsidRPr="007D602F">
        <w:rPr>
          <w:lang w:eastAsia="zh-TW"/>
        </w:rPr>
        <w:t xml:space="preserve">: </w:t>
      </w:r>
      <w:r w:rsidRPr="007D602F">
        <w:rPr>
          <w:lang w:eastAsia="zh-TW"/>
        </w:rPr>
        <w:t>五南。</w:t>
      </w:r>
    </w:p>
    <w:p w:rsidR="00657FEF" w:rsidRPr="007D602F" w:rsidRDefault="00657FEF" w:rsidP="00992AB6">
      <w:pPr>
        <w:pStyle w:val="5"/>
        <w:rPr>
          <w:lang w:eastAsia="zh-TW"/>
        </w:rPr>
      </w:pPr>
      <w:r w:rsidRPr="007D602F">
        <w:rPr>
          <w:lang w:eastAsia="zh-TW"/>
        </w:rPr>
        <w:t>吳明隆、涂金堂著</w:t>
      </w:r>
      <w:r w:rsidRPr="007D602F">
        <w:rPr>
          <w:lang w:eastAsia="zh-TW"/>
        </w:rPr>
        <w:t>(2005)</w:t>
      </w:r>
      <w:r w:rsidRPr="007D602F">
        <w:rPr>
          <w:lang w:eastAsia="zh-TW"/>
        </w:rPr>
        <w:t>，徐慧如編輯，</w:t>
      </w:r>
      <w:r w:rsidRPr="007D602F">
        <w:rPr>
          <w:lang w:eastAsia="zh-TW"/>
        </w:rPr>
        <w:t>SPSS</w:t>
      </w:r>
      <w:r w:rsidRPr="007D602F">
        <w:rPr>
          <w:lang w:eastAsia="zh-TW"/>
        </w:rPr>
        <w:t>與統計應用分析，台北：五南出版社。</w:t>
      </w:r>
    </w:p>
    <w:p w:rsidR="00657FEF" w:rsidRPr="007D602F" w:rsidRDefault="00657FEF" w:rsidP="00992AB6">
      <w:pPr>
        <w:pStyle w:val="5"/>
        <w:rPr>
          <w:lang w:eastAsia="zh-TW"/>
        </w:rPr>
      </w:pPr>
      <w:r w:rsidRPr="007D602F">
        <w:rPr>
          <w:lang w:eastAsia="zh-TW"/>
        </w:rPr>
        <w:t>林清山，心理與教育統計學，台北：東華書局。</w:t>
      </w:r>
    </w:p>
    <w:p w:rsidR="00657FEF" w:rsidRPr="007D602F" w:rsidRDefault="00657FEF" w:rsidP="00992AB6">
      <w:pPr>
        <w:pStyle w:val="5"/>
        <w:rPr>
          <w:lang w:eastAsia="zh-TW"/>
        </w:rPr>
      </w:pPr>
      <w:r w:rsidRPr="007D602F">
        <w:rPr>
          <w:lang w:eastAsia="zh-TW"/>
        </w:rPr>
        <w:t>馬傳鎮</w:t>
      </w:r>
      <w:r w:rsidRPr="007D602F">
        <w:rPr>
          <w:lang w:eastAsia="zh-TW"/>
        </w:rPr>
        <w:t>(1997)</w:t>
      </w:r>
      <w:r w:rsidRPr="007D602F">
        <w:rPr>
          <w:lang w:eastAsia="zh-TW"/>
        </w:rPr>
        <w:t>，中央警察大學犯罪防治學大學部上課內容。</w:t>
      </w:r>
    </w:p>
    <w:p w:rsidR="00657FEF" w:rsidRPr="007D602F" w:rsidRDefault="00657FEF" w:rsidP="00992AB6">
      <w:pPr>
        <w:pStyle w:val="5"/>
        <w:rPr>
          <w:lang w:eastAsia="zh-TW"/>
        </w:rPr>
      </w:pPr>
      <w:r w:rsidRPr="007D602F">
        <w:rPr>
          <w:lang w:eastAsia="zh-TW"/>
        </w:rPr>
        <w:t>張紹勳、林秀娟</w:t>
      </w:r>
      <w:r w:rsidRPr="007D602F">
        <w:rPr>
          <w:lang w:eastAsia="zh-TW"/>
        </w:rPr>
        <w:t>(1993)</w:t>
      </w:r>
      <w:r w:rsidRPr="007D602F">
        <w:rPr>
          <w:lang w:eastAsia="zh-TW"/>
        </w:rPr>
        <w:t>，</w:t>
      </w:r>
      <w:r w:rsidRPr="007D602F">
        <w:rPr>
          <w:lang w:eastAsia="zh-TW"/>
        </w:rPr>
        <w:t>SPSS For Windows</w:t>
      </w:r>
      <w:r w:rsidRPr="007D602F">
        <w:rPr>
          <w:lang w:eastAsia="zh-TW"/>
        </w:rPr>
        <w:t>統計分析</w:t>
      </w:r>
      <w:r w:rsidRPr="007D602F">
        <w:rPr>
          <w:lang w:eastAsia="zh-TW"/>
        </w:rPr>
        <w:t>---</w:t>
      </w:r>
      <w:r w:rsidRPr="007D602F">
        <w:rPr>
          <w:lang w:eastAsia="zh-TW"/>
        </w:rPr>
        <w:t>初等統計與高等統計，台北：松崗電腦公司，頁</w:t>
      </w:r>
      <w:r w:rsidRPr="007D602F">
        <w:rPr>
          <w:lang w:eastAsia="zh-TW"/>
        </w:rPr>
        <w:t>11-9</w:t>
      </w:r>
      <w:r>
        <w:rPr>
          <w:lang w:eastAsia="zh-TW"/>
        </w:rPr>
        <w:t>。</w:t>
      </w:r>
    </w:p>
    <w:p w:rsidR="00657FEF" w:rsidRPr="007D602F" w:rsidRDefault="00657FEF" w:rsidP="00992AB6">
      <w:pPr>
        <w:pStyle w:val="5"/>
        <w:rPr>
          <w:lang w:eastAsia="zh-TW"/>
        </w:rPr>
      </w:pPr>
      <w:r w:rsidRPr="007D602F">
        <w:rPr>
          <w:lang w:eastAsia="zh-TW"/>
        </w:rPr>
        <w:t>張雲景、賴礽仰翻譯</w:t>
      </w:r>
      <w:r w:rsidRPr="007D602F">
        <w:rPr>
          <w:lang w:eastAsia="zh-TW"/>
        </w:rPr>
        <w:t>(2003)</w:t>
      </w:r>
      <w:r w:rsidRPr="007D602F">
        <w:rPr>
          <w:lang w:eastAsia="zh-TW"/>
        </w:rPr>
        <w:t>，</w:t>
      </w:r>
      <w:r w:rsidRPr="007D602F">
        <w:rPr>
          <w:lang w:eastAsia="zh-TW"/>
        </w:rPr>
        <w:t>SPSS</w:t>
      </w:r>
      <w:r w:rsidRPr="007D602F">
        <w:rPr>
          <w:lang w:eastAsia="zh-TW"/>
        </w:rPr>
        <w:t>統計軟體的應用</w:t>
      </w:r>
      <w:r w:rsidRPr="007D602F">
        <w:rPr>
          <w:lang w:eastAsia="zh-TW"/>
        </w:rPr>
        <w:t>---11.0</w:t>
      </w:r>
      <w:r w:rsidRPr="007D602F">
        <w:rPr>
          <w:lang w:eastAsia="zh-TW"/>
        </w:rPr>
        <w:t>版，台北：華騰文化股份有限公司。</w:t>
      </w:r>
    </w:p>
    <w:p w:rsidR="00657FEF" w:rsidRPr="007D602F" w:rsidRDefault="00657FEF" w:rsidP="00992AB6">
      <w:pPr>
        <w:pStyle w:val="5"/>
        <w:rPr>
          <w:lang w:eastAsia="zh-TW"/>
        </w:rPr>
      </w:pPr>
      <w:r w:rsidRPr="007D602F">
        <w:rPr>
          <w:lang w:eastAsia="zh-TW"/>
        </w:rPr>
        <w:t>陳玉書</w:t>
      </w:r>
      <w:r w:rsidRPr="007D602F">
        <w:rPr>
          <w:lang w:eastAsia="zh-TW"/>
        </w:rPr>
        <w:t>(2001)</w:t>
      </w:r>
      <w:r w:rsidRPr="007D602F">
        <w:rPr>
          <w:lang w:eastAsia="zh-TW"/>
        </w:rPr>
        <w:t>，中央警察大學犯罪防治研究所博士班上課內容</w:t>
      </w:r>
      <w:r>
        <w:rPr>
          <w:lang w:eastAsia="zh-TW"/>
        </w:rPr>
        <w:t>。</w:t>
      </w:r>
    </w:p>
    <w:p w:rsidR="00657FEF" w:rsidRPr="007D602F" w:rsidRDefault="00657FEF" w:rsidP="00992AB6">
      <w:pPr>
        <w:pStyle w:val="5"/>
        <w:rPr>
          <w:lang w:eastAsia="zh-TW"/>
        </w:rPr>
      </w:pPr>
      <w:r w:rsidRPr="007D602F">
        <w:rPr>
          <w:lang w:eastAsia="zh-TW"/>
        </w:rPr>
        <w:t>陳徹</w:t>
      </w:r>
      <w:r w:rsidRPr="007D602F">
        <w:rPr>
          <w:lang w:eastAsia="zh-TW"/>
        </w:rPr>
        <w:t>(2003)</w:t>
      </w:r>
      <w:r w:rsidRPr="007D602F">
        <w:rPr>
          <w:lang w:eastAsia="zh-TW"/>
        </w:rPr>
        <w:t>，</w:t>
      </w:r>
      <w:r w:rsidRPr="007D602F">
        <w:rPr>
          <w:lang w:eastAsia="zh-TW"/>
        </w:rPr>
        <w:t>SPSS</w:t>
      </w:r>
      <w:r w:rsidRPr="007D602F">
        <w:rPr>
          <w:lang w:eastAsia="zh-TW"/>
        </w:rPr>
        <w:t>統計分析，台北：碁峯資訊公司。</w:t>
      </w:r>
    </w:p>
    <w:p w:rsidR="00657FEF" w:rsidRPr="007D602F" w:rsidRDefault="00657FEF" w:rsidP="00992AB6">
      <w:pPr>
        <w:pStyle w:val="5"/>
        <w:rPr>
          <w:lang w:eastAsia="zh-TW"/>
        </w:rPr>
      </w:pPr>
      <w:r w:rsidRPr="007D602F">
        <w:rPr>
          <w:lang w:eastAsia="zh-TW"/>
        </w:rPr>
        <w:t>蔡中志</w:t>
      </w:r>
      <w:r w:rsidRPr="007D602F">
        <w:rPr>
          <w:lang w:eastAsia="zh-TW"/>
        </w:rPr>
        <w:t>(1992)</w:t>
      </w:r>
      <w:r w:rsidRPr="007D602F">
        <w:rPr>
          <w:lang w:eastAsia="zh-TW"/>
        </w:rPr>
        <w:t>，中央警察大學行政警察研究所碩士班上課內容。</w:t>
      </w:r>
    </w:p>
    <w:p w:rsidR="00657FEF" w:rsidRPr="007D602F" w:rsidRDefault="00657FEF" w:rsidP="00992AB6">
      <w:pPr>
        <w:pStyle w:val="5"/>
        <w:rPr>
          <w:lang w:eastAsia="zh-TW"/>
        </w:rPr>
      </w:pPr>
      <w:r w:rsidRPr="007D602F">
        <w:rPr>
          <w:lang w:eastAsia="zh-TW"/>
        </w:rPr>
        <w:t>謝廣全</w:t>
      </w:r>
      <w:r w:rsidRPr="007D602F">
        <w:rPr>
          <w:lang w:eastAsia="zh-TW"/>
        </w:rPr>
        <w:t>(1996)</w:t>
      </w:r>
      <w:r w:rsidRPr="007D602F">
        <w:rPr>
          <w:lang w:eastAsia="zh-TW"/>
        </w:rPr>
        <w:t>，最新實用心理與教育統計學，高雄：復文書局修訂</w:t>
      </w:r>
      <w:r w:rsidRPr="007D602F">
        <w:rPr>
          <w:lang w:eastAsia="zh-TW"/>
        </w:rPr>
        <w:t>5</w:t>
      </w:r>
      <w:r w:rsidRPr="007D602F">
        <w:rPr>
          <w:lang w:eastAsia="zh-TW"/>
        </w:rPr>
        <w:t>版。</w:t>
      </w:r>
    </w:p>
  </w:footnote>
  <w:footnote w:id="96">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 xml:space="preserve"> </w:t>
      </w:r>
      <w:hyperlink r:id="rId62" w:history="1">
        <w:r w:rsidRPr="007D602F">
          <w:rPr>
            <w:lang w:eastAsia="zh-TW"/>
          </w:rPr>
          <w:t>王保進</w:t>
        </w:r>
      </w:hyperlink>
      <w:r w:rsidRPr="007D602F">
        <w:rPr>
          <w:lang w:eastAsia="zh-TW"/>
        </w:rPr>
        <w:t>(2000)</w:t>
      </w:r>
      <w:r w:rsidRPr="007D602F">
        <w:rPr>
          <w:lang w:eastAsia="zh-TW"/>
        </w:rPr>
        <w:t>，教育大辭書</w:t>
      </w:r>
      <w:r w:rsidRPr="007D602F">
        <w:rPr>
          <w:lang w:eastAsia="zh-TW"/>
        </w:rPr>
        <w:t>---</w:t>
      </w:r>
      <w:r w:rsidRPr="007D602F">
        <w:rPr>
          <w:lang w:eastAsia="zh-TW"/>
        </w:rPr>
        <w:t>第二類型錯誤</w:t>
      </w:r>
      <w:r w:rsidRPr="007D602F">
        <w:rPr>
          <w:lang w:eastAsia="zh-TW"/>
        </w:rPr>
        <w:t>(Type II Error)</w:t>
      </w:r>
      <w:r w:rsidRPr="007D602F">
        <w:rPr>
          <w:lang w:eastAsia="zh-TW"/>
        </w:rPr>
        <w:t>，</w:t>
      </w:r>
      <w:hyperlink r:id="rId63" w:history="1">
        <w:r w:rsidRPr="00530898">
          <w:rPr>
            <w:rStyle w:val="a7"/>
            <w:rFonts w:ascii="Arial Unicode MS" w:eastAsia="新細明體" w:hAnsi="Arial Unicode MS" w:cs="Calibri"/>
            <w:color w:val="5F5F5F"/>
            <w:kern w:val="2"/>
            <w:sz w:val="18"/>
            <w:lang w:eastAsia="zh-TW"/>
          </w:rPr>
          <w:t>http://terms.naer.edu.tw/detail/1310655/</w:t>
        </w:r>
      </w:hyperlink>
      <w:r w:rsidRPr="007D602F">
        <w:rPr>
          <w:lang w:eastAsia="zh-TW"/>
        </w:rPr>
        <w:t>。</w:t>
      </w:r>
    </w:p>
  </w:footnote>
  <w:footnote w:id="97">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 xml:space="preserve"> </w:t>
      </w:r>
      <w:hyperlink r:id="rId64" w:history="1">
        <w:r w:rsidRPr="007D602F">
          <w:rPr>
            <w:lang w:eastAsia="zh-TW"/>
          </w:rPr>
          <w:t>王保進</w:t>
        </w:r>
      </w:hyperlink>
      <w:r w:rsidRPr="007D602F">
        <w:rPr>
          <w:lang w:eastAsia="zh-TW"/>
        </w:rPr>
        <w:t>(2000)</w:t>
      </w:r>
      <w:r w:rsidRPr="007D602F">
        <w:rPr>
          <w:lang w:eastAsia="zh-TW"/>
        </w:rPr>
        <w:t>，教育大辭書</w:t>
      </w:r>
      <w:r w:rsidRPr="007D602F">
        <w:rPr>
          <w:lang w:eastAsia="zh-TW"/>
        </w:rPr>
        <w:t>---</w:t>
      </w:r>
      <w:r w:rsidRPr="007D602F">
        <w:rPr>
          <w:lang w:eastAsia="zh-TW"/>
        </w:rPr>
        <w:t>第二類型錯誤</w:t>
      </w:r>
      <w:r w:rsidRPr="007D602F">
        <w:rPr>
          <w:lang w:eastAsia="zh-TW"/>
        </w:rPr>
        <w:t>(Type II Error)</w:t>
      </w:r>
      <w:r w:rsidRPr="007D602F">
        <w:rPr>
          <w:lang w:eastAsia="zh-TW"/>
        </w:rPr>
        <w:t>，</w:t>
      </w:r>
      <w:hyperlink r:id="rId65" w:history="1">
        <w:r w:rsidRPr="00530898">
          <w:rPr>
            <w:rStyle w:val="a7"/>
            <w:rFonts w:ascii="Arial Unicode MS" w:eastAsia="新細明體" w:hAnsi="Arial Unicode MS" w:cs="Calibri"/>
            <w:color w:val="5F5F5F"/>
            <w:kern w:val="2"/>
            <w:sz w:val="18"/>
            <w:lang w:eastAsia="zh-TW"/>
          </w:rPr>
          <w:t>http://terms.naer.edu.tw/detail/1310655/</w:t>
        </w:r>
      </w:hyperlink>
      <w:r w:rsidRPr="007D602F">
        <w:rPr>
          <w:lang w:eastAsia="zh-TW"/>
        </w:rPr>
        <w:t>。</w:t>
      </w:r>
    </w:p>
  </w:footnote>
  <w:footnote w:id="98">
    <w:p w:rsidR="00657FEF" w:rsidRPr="007D602F" w:rsidRDefault="00657FEF" w:rsidP="00992AB6">
      <w:pPr>
        <w:pStyle w:val="5"/>
        <w:rPr>
          <w:lang w:eastAsia="zh-TW"/>
        </w:rPr>
      </w:pPr>
      <w:r w:rsidRPr="00D20F89">
        <w:rPr>
          <w:rStyle w:val="af7"/>
          <w:rFonts w:eastAsia="新細明體" w:cs="Arial Unicode MS"/>
          <w:kern w:val="2"/>
          <w:szCs w:val="20"/>
        </w:rPr>
        <w:footnoteRef/>
      </w:r>
      <w:r w:rsidRPr="00D20F89">
        <w:rPr>
          <w:rFonts w:ascii="Arial Unicode MS" w:eastAsia="新細明體" w:hAnsi="Arial Unicode MS"/>
          <w:color w:val="FF6600"/>
          <w:kern w:val="2"/>
          <w:lang w:eastAsia="zh-TW"/>
        </w:rPr>
        <w:t xml:space="preserve"> </w:t>
      </w:r>
      <w:hyperlink r:id="rId66" w:history="1">
        <w:r w:rsidRPr="007D602F">
          <w:rPr>
            <w:lang w:eastAsia="zh-TW"/>
          </w:rPr>
          <w:t>王保進</w:t>
        </w:r>
      </w:hyperlink>
      <w:r w:rsidRPr="007D602F">
        <w:rPr>
          <w:lang w:eastAsia="zh-TW"/>
        </w:rPr>
        <w:t>(2000)</w:t>
      </w:r>
      <w:r w:rsidRPr="007D602F">
        <w:rPr>
          <w:lang w:eastAsia="zh-TW"/>
        </w:rPr>
        <w:t>，教育大辭書</w:t>
      </w:r>
      <w:r w:rsidRPr="007D602F">
        <w:rPr>
          <w:lang w:eastAsia="zh-TW"/>
        </w:rPr>
        <w:t>---</w:t>
      </w:r>
      <w:r w:rsidRPr="007D602F">
        <w:rPr>
          <w:lang w:eastAsia="zh-TW"/>
        </w:rPr>
        <w:t>第二類型錯誤</w:t>
      </w:r>
      <w:r w:rsidRPr="007D602F">
        <w:rPr>
          <w:lang w:eastAsia="zh-TW"/>
        </w:rPr>
        <w:t>(Type II Error)</w:t>
      </w:r>
      <w:r w:rsidRPr="007D602F">
        <w:rPr>
          <w:lang w:eastAsia="zh-TW"/>
        </w:rPr>
        <w:t>，</w:t>
      </w:r>
      <w:hyperlink r:id="rId67" w:history="1">
        <w:r w:rsidRPr="00530898">
          <w:rPr>
            <w:rStyle w:val="a7"/>
            <w:rFonts w:ascii="Arial Unicode MS" w:eastAsia="新細明體" w:hAnsi="Arial Unicode MS" w:cs="Calibri"/>
            <w:color w:val="5F5F5F"/>
            <w:kern w:val="2"/>
            <w:sz w:val="18"/>
            <w:lang w:eastAsia="zh-TW"/>
          </w:rPr>
          <w:t>http://terms.naer.edu.tw/detail/1310655/</w:t>
        </w:r>
      </w:hyperlink>
      <w:r w:rsidRPr="007D602F">
        <w:rPr>
          <w:lang w:eastAsia="zh-TW"/>
        </w:rPr>
        <w:t>。</w:t>
      </w:r>
    </w:p>
  </w:footnote>
  <w:footnote w:id="99">
    <w:p w:rsidR="00657FEF" w:rsidRPr="007D602F" w:rsidRDefault="00657FEF" w:rsidP="00992AB6">
      <w:pPr>
        <w:pStyle w:val="5"/>
        <w:rPr>
          <w:lang w:eastAsia="zh-TW"/>
        </w:rPr>
      </w:pPr>
      <w:r w:rsidRPr="00D20F89">
        <w:rPr>
          <w:rStyle w:val="af7"/>
          <w:rFonts w:eastAsia="新細明體" w:cs="Arial Unicode MS"/>
          <w:kern w:val="2"/>
          <w:szCs w:val="20"/>
        </w:rPr>
        <w:footnoteRef/>
      </w:r>
      <w:r w:rsidRPr="00D20F89">
        <w:rPr>
          <w:rFonts w:ascii="Arial Unicode MS" w:eastAsia="新細明體" w:hAnsi="Arial Unicode MS"/>
          <w:color w:val="FF6600"/>
          <w:kern w:val="2"/>
          <w:lang w:eastAsia="zh-TW"/>
        </w:rPr>
        <w:t xml:space="preserve"> </w:t>
      </w:r>
      <w:hyperlink r:id="rId68" w:history="1">
        <w:r w:rsidRPr="007D602F">
          <w:rPr>
            <w:lang w:eastAsia="zh-TW"/>
          </w:rPr>
          <w:t>王保進</w:t>
        </w:r>
      </w:hyperlink>
      <w:r w:rsidRPr="007D602F">
        <w:rPr>
          <w:lang w:eastAsia="zh-TW"/>
        </w:rPr>
        <w:t>(2000)</w:t>
      </w:r>
      <w:r w:rsidRPr="007D602F">
        <w:rPr>
          <w:lang w:eastAsia="zh-TW"/>
        </w:rPr>
        <w:t>，教育大辭書</w:t>
      </w:r>
      <w:r w:rsidRPr="007D602F">
        <w:rPr>
          <w:lang w:eastAsia="zh-TW"/>
        </w:rPr>
        <w:t>---</w:t>
      </w:r>
      <w:r w:rsidRPr="007D602F">
        <w:rPr>
          <w:lang w:eastAsia="zh-TW"/>
        </w:rPr>
        <w:t>第二類型錯誤</w:t>
      </w:r>
      <w:r w:rsidRPr="007D602F">
        <w:rPr>
          <w:lang w:eastAsia="zh-TW"/>
        </w:rPr>
        <w:t>(Type II Error)</w:t>
      </w:r>
      <w:r w:rsidRPr="007D602F">
        <w:rPr>
          <w:lang w:eastAsia="zh-TW"/>
        </w:rPr>
        <w:t>，</w:t>
      </w:r>
      <w:hyperlink r:id="rId69" w:history="1">
        <w:r w:rsidRPr="00530898">
          <w:rPr>
            <w:rStyle w:val="a7"/>
            <w:rFonts w:ascii="Arial Unicode MS" w:eastAsia="新細明體" w:hAnsi="Arial Unicode MS" w:cs="Calibri"/>
            <w:color w:val="5F5F5F"/>
            <w:kern w:val="2"/>
            <w:sz w:val="18"/>
            <w:lang w:eastAsia="zh-TW"/>
          </w:rPr>
          <w:t>http://terms.naer.edu.tw/detail/1310655/</w:t>
        </w:r>
      </w:hyperlink>
      <w:r w:rsidRPr="007D602F">
        <w:rPr>
          <w:lang w:eastAsia="zh-TW"/>
        </w:rPr>
        <w:t>。</w:t>
      </w:r>
    </w:p>
  </w:footnote>
  <w:footnote w:id="100">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王文科</w:t>
      </w:r>
      <w:r w:rsidRPr="007D602F">
        <w:rPr>
          <w:lang w:eastAsia="zh-TW"/>
        </w:rPr>
        <w:t>(2005)</w:t>
      </w:r>
      <w:r w:rsidRPr="007D602F">
        <w:rPr>
          <w:lang w:eastAsia="zh-TW"/>
        </w:rPr>
        <w:t>，</w:t>
      </w:r>
      <w:r w:rsidRPr="007D602F">
        <w:rPr>
          <w:lang w:eastAsia="zh-TW"/>
        </w:rPr>
        <w:t>"</w:t>
      </w:r>
      <w:r w:rsidRPr="007D602F">
        <w:rPr>
          <w:lang w:eastAsia="zh-TW"/>
        </w:rPr>
        <w:t>教育研究法</w:t>
      </w:r>
      <w:r w:rsidRPr="007D602F">
        <w:rPr>
          <w:lang w:eastAsia="zh-TW"/>
        </w:rPr>
        <w:t>"</w:t>
      </w:r>
      <w:r w:rsidRPr="007D602F">
        <w:rPr>
          <w:lang w:eastAsia="zh-TW"/>
        </w:rPr>
        <w:t>（增訂</w:t>
      </w:r>
      <w:r w:rsidRPr="007D602F">
        <w:rPr>
          <w:lang w:eastAsia="zh-TW"/>
        </w:rPr>
        <w:t>8</w:t>
      </w:r>
      <w:r w:rsidRPr="007D602F">
        <w:rPr>
          <w:lang w:eastAsia="zh-TW"/>
        </w:rPr>
        <w:t>版），台北</w:t>
      </w:r>
      <w:r w:rsidRPr="007D602F">
        <w:rPr>
          <w:lang w:eastAsia="zh-TW"/>
        </w:rPr>
        <w:t xml:space="preserve">: </w:t>
      </w:r>
      <w:r w:rsidRPr="007D602F">
        <w:rPr>
          <w:lang w:eastAsia="zh-TW"/>
        </w:rPr>
        <w:t>五南。</w:t>
      </w:r>
    </w:p>
    <w:p w:rsidR="00657FEF" w:rsidRPr="007D602F" w:rsidRDefault="00657FEF" w:rsidP="00992AB6">
      <w:pPr>
        <w:pStyle w:val="5"/>
        <w:rPr>
          <w:lang w:eastAsia="zh-TW"/>
        </w:rPr>
      </w:pPr>
      <w:r w:rsidRPr="007D602F">
        <w:rPr>
          <w:lang w:eastAsia="zh-TW"/>
        </w:rPr>
        <w:t>吳明隆、涂金堂著</w:t>
      </w:r>
      <w:r w:rsidRPr="007D602F">
        <w:rPr>
          <w:lang w:eastAsia="zh-TW"/>
        </w:rPr>
        <w:t>(2005)</w:t>
      </w:r>
      <w:r w:rsidRPr="007D602F">
        <w:rPr>
          <w:lang w:eastAsia="zh-TW"/>
        </w:rPr>
        <w:t>，徐慧如編輯，</w:t>
      </w:r>
      <w:r w:rsidRPr="007D602F">
        <w:rPr>
          <w:lang w:eastAsia="zh-TW"/>
        </w:rPr>
        <w:t>SPSS</w:t>
      </w:r>
      <w:r w:rsidRPr="007D602F">
        <w:rPr>
          <w:lang w:eastAsia="zh-TW"/>
        </w:rPr>
        <w:t>與統計應用分析，台北：五南出版社。</w:t>
      </w:r>
    </w:p>
    <w:p w:rsidR="00657FEF" w:rsidRPr="007D602F" w:rsidRDefault="00657FEF" w:rsidP="00992AB6">
      <w:pPr>
        <w:pStyle w:val="5"/>
        <w:rPr>
          <w:lang w:eastAsia="zh-TW"/>
        </w:rPr>
      </w:pPr>
      <w:r w:rsidRPr="007D602F">
        <w:rPr>
          <w:lang w:eastAsia="zh-TW"/>
        </w:rPr>
        <w:t>林清山，心理與教育統計學，台北：東華書局。</w:t>
      </w:r>
    </w:p>
    <w:p w:rsidR="00657FEF" w:rsidRPr="007D602F" w:rsidRDefault="00657FEF" w:rsidP="00992AB6">
      <w:pPr>
        <w:pStyle w:val="5"/>
        <w:rPr>
          <w:lang w:eastAsia="zh-TW"/>
        </w:rPr>
      </w:pPr>
      <w:r w:rsidRPr="007D602F">
        <w:rPr>
          <w:lang w:eastAsia="zh-TW"/>
        </w:rPr>
        <w:t>馬傳鎮</w:t>
      </w:r>
      <w:r w:rsidRPr="007D602F">
        <w:rPr>
          <w:lang w:eastAsia="zh-TW"/>
        </w:rPr>
        <w:t>(1997)</w:t>
      </w:r>
      <w:r w:rsidRPr="007D602F">
        <w:rPr>
          <w:lang w:eastAsia="zh-TW"/>
        </w:rPr>
        <w:t>，中央警察大學犯罪防治學大學部上課內容。</w:t>
      </w:r>
    </w:p>
    <w:p w:rsidR="00657FEF" w:rsidRPr="007D602F" w:rsidRDefault="00657FEF" w:rsidP="00992AB6">
      <w:pPr>
        <w:pStyle w:val="5"/>
        <w:rPr>
          <w:lang w:eastAsia="zh-TW"/>
        </w:rPr>
      </w:pPr>
      <w:r w:rsidRPr="007D602F">
        <w:rPr>
          <w:lang w:eastAsia="zh-TW"/>
        </w:rPr>
        <w:t>張紹勳、林秀娟</w:t>
      </w:r>
      <w:r w:rsidRPr="007D602F">
        <w:rPr>
          <w:lang w:eastAsia="zh-TW"/>
        </w:rPr>
        <w:t>(1993)</w:t>
      </w:r>
      <w:r w:rsidRPr="007D602F">
        <w:rPr>
          <w:lang w:eastAsia="zh-TW"/>
        </w:rPr>
        <w:t>，</w:t>
      </w:r>
      <w:r w:rsidRPr="007D602F">
        <w:rPr>
          <w:lang w:eastAsia="zh-TW"/>
        </w:rPr>
        <w:t>SPSS For Windows</w:t>
      </w:r>
      <w:r w:rsidRPr="007D602F">
        <w:rPr>
          <w:lang w:eastAsia="zh-TW"/>
        </w:rPr>
        <w:t>統計分析</w:t>
      </w:r>
      <w:r w:rsidRPr="007D602F">
        <w:rPr>
          <w:lang w:eastAsia="zh-TW"/>
        </w:rPr>
        <w:t>---</w:t>
      </w:r>
      <w:r w:rsidRPr="007D602F">
        <w:rPr>
          <w:lang w:eastAsia="zh-TW"/>
        </w:rPr>
        <w:t>初等統計與高等統計，台北：松崗電腦公司，頁</w:t>
      </w:r>
      <w:r w:rsidRPr="007D602F">
        <w:rPr>
          <w:lang w:eastAsia="zh-TW"/>
        </w:rPr>
        <w:t>11-9</w:t>
      </w:r>
      <w:r>
        <w:rPr>
          <w:lang w:eastAsia="zh-TW"/>
        </w:rPr>
        <w:t>。</w:t>
      </w:r>
    </w:p>
    <w:p w:rsidR="00657FEF" w:rsidRPr="007D602F" w:rsidRDefault="00657FEF" w:rsidP="00992AB6">
      <w:pPr>
        <w:pStyle w:val="5"/>
        <w:rPr>
          <w:lang w:eastAsia="zh-TW"/>
        </w:rPr>
      </w:pPr>
      <w:r w:rsidRPr="007D602F">
        <w:rPr>
          <w:lang w:eastAsia="zh-TW"/>
        </w:rPr>
        <w:t>張雲景、賴礽仰翻譯</w:t>
      </w:r>
      <w:r w:rsidRPr="007D602F">
        <w:rPr>
          <w:lang w:eastAsia="zh-TW"/>
        </w:rPr>
        <w:t>(2003)</w:t>
      </w:r>
      <w:r w:rsidRPr="007D602F">
        <w:rPr>
          <w:lang w:eastAsia="zh-TW"/>
        </w:rPr>
        <w:t>，</w:t>
      </w:r>
      <w:r w:rsidRPr="007D602F">
        <w:rPr>
          <w:lang w:eastAsia="zh-TW"/>
        </w:rPr>
        <w:t>SPSS</w:t>
      </w:r>
      <w:r w:rsidRPr="007D602F">
        <w:rPr>
          <w:lang w:eastAsia="zh-TW"/>
        </w:rPr>
        <w:t>統計軟體的應用</w:t>
      </w:r>
      <w:r w:rsidRPr="007D602F">
        <w:rPr>
          <w:lang w:eastAsia="zh-TW"/>
        </w:rPr>
        <w:t>---11.0</w:t>
      </w:r>
      <w:r w:rsidRPr="007D602F">
        <w:rPr>
          <w:lang w:eastAsia="zh-TW"/>
        </w:rPr>
        <w:t>版，台北：華騰文化股份有限公司。</w:t>
      </w:r>
    </w:p>
    <w:p w:rsidR="00657FEF" w:rsidRPr="007D602F" w:rsidRDefault="00657FEF" w:rsidP="00992AB6">
      <w:pPr>
        <w:pStyle w:val="5"/>
        <w:rPr>
          <w:lang w:eastAsia="zh-TW"/>
        </w:rPr>
      </w:pPr>
      <w:r w:rsidRPr="007D602F">
        <w:rPr>
          <w:lang w:eastAsia="zh-TW"/>
        </w:rPr>
        <w:t>陳玉書</w:t>
      </w:r>
      <w:r w:rsidRPr="007D602F">
        <w:rPr>
          <w:lang w:eastAsia="zh-TW"/>
        </w:rPr>
        <w:t>(2001)</w:t>
      </w:r>
      <w:r w:rsidRPr="007D602F">
        <w:rPr>
          <w:lang w:eastAsia="zh-TW"/>
        </w:rPr>
        <w:t>，中央警察大學犯罪防治研究所博士班上課內容</w:t>
      </w:r>
      <w:r>
        <w:rPr>
          <w:lang w:eastAsia="zh-TW"/>
        </w:rPr>
        <w:t>。</w:t>
      </w:r>
    </w:p>
    <w:p w:rsidR="00657FEF" w:rsidRPr="007D602F" w:rsidRDefault="00657FEF" w:rsidP="00992AB6">
      <w:pPr>
        <w:pStyle w:val="5"/>
        <w:rPr>
          <w:lang w:eastAsia="zh-TW"/>
        </w:rPr>
      </w:pPr>
      <w:r w:rsidRPr="007D602F">
        <w:rPr>
          <w:lang w:eastAsia="zh-TW"/>
        </w:rPr>
        <w:t>陳徹</w:t>
      </w:r>
      <w:r w:rsidRPr="007D602F">
        <w:rPr>
          <w:lang w:eastAsia="zh-TW"/>
        </w:rPr>
        <w:t>(2003)</w:t>
      </w:r>
      <w:r w:rsidRPr="007D602F">
        <w:rPr>
          <w:lang w:eastAsia="zh-TW"/>
        </w:rPr>
        <w:t>，</w:t>
      </w:r>
      <w:r w:rsidRPr="007D602F">
        <w:rPr>
          <w:lang w:eastAsia="zh-TW"/>
        </w:rPr>
        <w:t>SPSS</w:t>
      </w:r>
      <w:r w:rsidRPr="007D602F">
        <w:rPr>
          <w:lang w:eastAsia="zh-TW"/>
        </w:rPr>
        <w:t>統計分析，台北：碁峯資訊公司。</w:t>
      </w:r>
    </w:p>
    <w:p w:rsidR="00657FEF" w:rsidRPr="007D602F" w:rsidRDefault="00657FEF" w:rsidP="00992AB6">
      <w:pPr>
        <w:pStyle w:val="5"/>
        <w:rPr>
          <w:lang w:eastAsia="zh-TW"/>
        </w:rPr>
      </w:pPr>
      <w:r w:rsidRPr="007D602F">
        <w:rPr>
          <w:lang w:eastAsia="zh-TW"/>
        </w:rPr>
        <w:t>蔡中志</w:t>
      </w:r>
      <w:r w:rsidRPr="007D602F">
        <w:rPr>
          <w:lang w:eastAsia="zh-TW"/>
        </w:rPr>
        <w:t>(1992)</w:t>
      </w:r>
      <w:r w:rsidRPr="007D602F">
        <w:rPr>
          <w:lang w:eastAsia="zh-TW"/>
        </w:rPr>
        <w:t>，中央警察大學行政警察研究所碩士班上課內容。</w:t>
      </w:r>
    </w:p>
    <w:p w:rsidR="00657FEF" w:rsidRPr="007D602F" w:rsidRDefault="00657FEF" w:rsidP="00992AB6">
      <w:pPr>
        <w:pStyle w:val="5"/>
        <w:rPr>
          <w:lang w:eastAsia="zh-TW"/>
        </w:rPr>
      </w:pPr>
      <w:r w:rsidRPr="007D602F">
        <w:rPr>
          <w:lang w:eastAsia="zh-TW"/>
        </w:rPr>
        <w:t>謝廣全</w:t>
      </w:r>
      <w:r w:rsidRPr="007D602F">
        <w:rPr>
          <w:lang w:eastAsia="zh-TW"/>
        </w:rPr>
        <w:t>(1996)</w:t>
      </w:r>
      <w:r w:rsidRPr="007D602F">
        <w:rPr>
          <w:lang w:eastAsia="zh-TW"/>
        </w:rPr>
        <w:t>，最新實用心理與教育統計學，高雄：復文書局修訂</w:t>
      </w:r>
      <w:r w:rsidRPr="007D602F">
        <w:rPr>
          <w:lang w:eastAsia="zh-TW"/>
        </w:rPr>
        <w:t>5</w:t>
      </w:r>
      <w:r w:rsidRPr="007D602F">
        <w:rPr>
          <w:lang w:eastAsia="zh-TW"/>
        </w:rPr>
        <w:t>版。</w:t>
      </w:r>
    </w:p>
  </w:footnote>
  <w:footnote w:id="101">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另外，在對數迴歸分析之中，</w:t>
      </w:r>
      <w:r w:rsidRPr="007D602F">
        <w:rPr>
          <w:lang w:eastAsia="zh-TW"/>
        </w:rPr>
        <w:t>SPSS</w:t>
      </w:r>
      <w:r w:rsidRPr="007D602F">
        <w:rPr>
          <w:lang w:eastAsia="zh-TW"/>
        </w:rPr>
        <w:t>社會科學統計分析軟體，其歸納多數之研究者的報告調查結果，絕大部分之研究者，總是期望其分析之結果，自變項對依變項有統計上之作用力，故</w:t>
      </w:r>
      <w:r w:rsidRPr="007D602F">
        <w:rPr>
          <w:lang w:eastAsia="zh-TW"/>
        </w:rPr>
        <w:t>SPSS</w:t>
      </w:r>
      <w:r w:rsidRPr="007D602F">
        <w:rPr>
          <w:lang w:eastAsia="zh-TW"/>
        </w:rPr>
        <w:t>社會科學統計分析軟體之內定之對立假設，是自變項對依變項有統計上之作用力。</w:t>
      </w:r>
      <w:r w:rsidRPr="007D602F">
        <w:rPr>
          <w:lang w:eastAsia="zh-TW"/>
        </w:rPr>
        <w:t>SPSS</w:t>
      </w:r>
      <w:r w:rsidRPr="007D602F">
        <w:rPr>
          <w:lang w:eastAsia="zh-TW"/>
        </w:rPr>
        <w:t>社會科學統計分析軟體之內定之虛無假設，是自變項對依變項沒有統計上之作用力。</w:t>
      </w:r>
    </w:p>
    <w:p w:rsidR="00657FEF" w:rsidRPr="007D602F" w:rsidRDefault="00657FEF" w:rsidP="00992AB6">
      <w:pPr>
        <w:pStyle w:val="5"/>
        <w:rPr>
          <w:lang w:eastAsia="zh-TW"/>
        </w:rPr>
      </w:pPr>
      <w:r w:rsidRPr="007D602F">
        <w:rPr>
          <w:lang w:eastAsia="zh-TW"/>
        </w:rPr>
        <w:t>在存活分析之中，</w:t>
      </w:r>
      <w:r w:rsidRPr="007D602F">
        <w:rPr>
          <w:lang w:eastAsia="zh-TW"/>
        </w:rPr>
        <w:t>SPSS</w:t>
      </w:r>
      <w:r w:rsidRPr="007D602F">
        <w:rPr>
          <w:lang w:eastAsia="zh-TW"/>
        </w:rPr>
        <w:t>社會科學統計分析軟體，其歸納多數之研究者的報告調查結果，絕大部分之研究者，總是期望其分析之結果，自變項對依變項有統計上之作用力，故</w:t>
      </w:r>
      <w:r w:rsidRPr="007D602F">
        <w:rPr>
          <w:lang w:eastAsia="zh-TW"/>
        </w:rPr>
        <w:t>SPSS</w:t>
      </w:r>
      <w:r w:rsidRPr="007D602F">
        <w:rPr>
          <w:lang w:eastAsia="zh-TW"/>
        </w:rPr>
        <w:t>社會科學統計分析軟體之內定之對立假設，是自變項對依變項有統計上之作用力。</w:t>
      </w:r>
      <w:r w:rsidRPr="007D602F">
        <w:rPr>
          <w:lang w:eastAsia="zh-TW"/>
        </w:rPr>
        <w:t>SPSS</w:t>
      </w:r>
      <w:r w:rsidRPr="007D602F">
        <w:rPr>
          <w:lang w:eastAsia="zh-TW"/>
        </w:rPr>
        <w:t>社會科學統計分析軟體之內定之虛無假設，是自變項對依變項沒有統計上之作用力。</w:t>
      </w:r>
    </w:p>
  </w:footnote>
  <w:footnote w:id="102">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王文科</w:t>
      </w:r>
      <w:r w:rsidRPr="007D602F">
        <w:rPr>
          <w:lang w:eastAsia="zh-TW"/>
        </w:rPr>
        <w:t>(2005)</w:t>
      </w:r>
      <w:r w:rsidRPr="007D602F">
        <w:rPr>
          <w:lang w:eastAsia="zh-TW"/>
        </w:rPr>
        <w:t>，</w:t>
      </w:r>
      <w:r w:rsidRPr="007D602F">
        <w:rPr>
          <w:lang w:eastAsia="zh-TW"/>
        </w:rPr>
        <w:t>"</w:t>
      </w:r>
      <w:r w:rsidRPr="007D602F">
        <w:rPr>
          <w:lang w:eastAsia="zh-TW"/>
        </w:rPr>
        <w:t>教育研究法</w:t>
      </w:r>
      <w:r w:rsidRPr="007D602F">
        <w:rPr>
          <w:lang w:eastAsia="zh-TW"/>
        </w:rPr>
        <w:t>"</w:t>
      </w:r>
      <w:r w:rsidRPr="007D602F">
        <w:rPr>
          <w:lang w:eastAsia="zh-TW"/>
        </w:rPr>
        <w:t>（增訂</w:t>
      </w:r>
      <w:r w:rsidRPr="007D602F">
        <w:rPr>
          <w:lang w:eastAsia="zh-TW"/>
        </w:rPr>
        <w:t>8</w:t>
      </w:r>
      <w:r w:rsidRPr="007D602F">
        <w:rPr>
          <w:lang w:eastAsia="zh-TW"/>
        </w:rPr>
        <w:t>版），台北</w:t>
      </w:r>
      <w:r w:rsidRPr="007D602F">
        <w:rPr>
          <w:lang w:eastAsia="zh-TW"/>
        </w:rPr>
        <w:t xml:space="preserve">: </w:t>
      </w:r>
      <w:r w:rsidRPr="007D602F">
        <w:rPr>
          <w:lang w:eastAsia="zh-TW"/>
        </w:rPr>
        <w:t>五南。</w:t>
      </w:r>
    </w:p>
    <w:p w:rsidR="00657FEF" w:rsidRPr="007D602F" w:rsidRDefault="00657FEF" w:rsidP="00992AB6">
      <w:pPr>
        <w:pStyle w:val="5"/>
        <w:rPr>
          <w:lang w:eastAsia="zh-TW"/>
        </w:rPr>
      </w:pPr>
      <w:r w:rsidRPr="007D602F">
        <w:rPr>
          <w:lang w:eastAsia="zh-TW"/>
        </w:rPr>
        <w:t>吳明隆、涂金堂著</w:t>
      </w:r>
      <w:r w:rsidRPr="007D602F">
        <w:rPr>
          <w:lang w:eastAsia="zh-TW"/>
        </w:rPr>
        <w:t>(2005)</w:t>
      </w:r>
      <w:r w:rsidRPr="007D602F">
        <w:rPr>
          <w:lang w:eastAsia="zh-TW"/>
        </w:rPr>
        <w:t>，徐慧如編輯，</w:t>
      </w:r>
      <w:r w:rsidRPr="007D602F">
        <w:rPr>
          <w:lang w:eastAsia="zh-TW"/>
        </w:rPr>
        <w:t>SPSS</w:t>
      </w:r>
      <w:r w:rsidRPr="007D602F">
        <w:rPr>
          <w:lang w:eastAsia="zh-TW"/>
        </w:rPr>
        <w:t>與統計應用分析，台北：五南出版社。</w:t>
      </w:r>
    </w:p>
    <w:p w:rsidR="00657FEF" w:rsidRPr="007D602F" w:rsidRDefault="00657FEF" w:rsidP="00992AB6">
      <w:pPr>
        <w:pStyle w:val="5"/>
        <w:rPr>
          <w:lang w:eastAsia="zh-TW"/>
        </w:rPr>
      </w:pPr>
      <w:r w:rsidRPr="007D602F">
        <w:rPr>
          <w:lang w:eastAsia="zh-TW"/>
        </w:rPr>
        <w:t>林清山，心理與教育統計學，台北：東華書局。</w:t>
      </w:r>
    </w:p>
    <w:p w:rsidR="00657FEF" w:rsidRPr="007D602F" w:rsidRDefault="00657FEF" w:rsidP="00992AB6">
      <w:pPr>
        <w:pStyle w:val="5"/>
        <w:rPr>
          <w:lang w:eastAsia="zh-TW"/>
        </w:rPr>
      </w:pPr>
      <w:r w:rsidRPr="007D602F">
        <w:rPr>
          <w:lang w:eastAsia="zh-TW"/>
        </w:rPr>
        <w:t>馬傳鎮</w:t>
      </w:r>
      <w:r w:rsidRPr="007D602F">
        <w:rPr>
          <w:lang w:eastAsia="zh-TW"/>
        </w:rPr>
        <w:t>(1997)</w:t>
      </w:r>
      <w:r w:rsidRPr="007D602F">
        <w:rPr>
          <w:lang w:eastAsia="zh-TW"/>
        </w:rPr>
        <w:t>，中央警察大學犯罪防治學大學部上課內容。</w:t>
      </w:r>
    </w:p>
    <w:p w:rsidR="00657FEF" w:rsidRPr="007D602F" w:rsidRDefault="00657FEF" w:rsidP="00992AB6">
      <w:pPr>
        <w:pStyle w:val="5"/>
        <w:rPr>
          <w:lang w:eastAsia="zh-TW"/>
        </w:rPr>
      </w:pPr>
      <w:r w:rsidRPr="007D602F">
        <w:rPr>
          <w:lang w:eastAsia="zh-TW"/>
        </w:rPr>
        <w:t>張紹勳、林秀娟</w:t>
      </w:r>
      <w:r w:rsidRPr="007D602F">
        <w:rPr>
          <w:lang w:eastAsia="zh-TW"/>
        </w:rPr>
        <w:t>(1993)</w:t>
      </w:r>
      <w:r w:rsidRPr="007D602F">
        <w:rPr>
          <w:lang w:eastAsia="zh-TW"/>
        </w:rPr>
        <w:t>，</w:t>
      </w:r>
      <w:r w:rsidRPr="007D602F">
        <w:rPr>
          <w:lang w:eastAsia="zh-TW"/>
        </w:rPr>
        <w:t>SPSS For Windows</w:t>
      </w:r>
      <w:r w:rsidRPr="007D602F">
        <w:rPr>
          <w:lang w:eastAsia="zh-TW"/>
        </w:rPr>
        <w:t>統計分析</w:t>
      </w:r>
      <w:r w:rsidRPr="007D602F">
        <w:rPr>
          <w:lang w:eastAsia="zh-TW"/>
        </w:rPr>
        <w:t>---</w:t>
      </w:r>
      <w:r w:rsidRPr="007D602F">
        <w:rPr>
          <w:lang w:eastAsia="zh-TW"/>
        </w:rPr>
        <w:t>初等統計與高等統計，台北：松崗電腦公司，頁</w:t>
      </w:r>
      <w:r w:rsidRPr="007D602F">
        <w:rPr>
          <w:lang w:eastAsia="zh-TW"/>
        </w:rPr>
        <w:t>11-9</w:t>
      </w:r>
      <w:r>
        <w:rPr>
          <w:lang w:eastAsia="zh-TW"/>
        </w:rPr>
        <w:t>。</w:t>
      </w:r>
    </w:p>
    <w:p w:rsidR="00657FEF" w:rsidRPr="007D602F" w:rsidRDefault="00657FEF" w:rsidP="00992AB6">
      <w:pPr>
        <w:pStyle w:val="5"/>
        <w:rPr>
          <w:lang w:eastAsia="zh-TW"/>
        </w:rPr>
      </w:pPr>
      <w:r w:rsidRPr="007D602F">
        <w:rPr>
          <w:lang w:eastAsia="zh-TW"/>
        </w:rPr>
        <w:t>張雲景、賴礽仰翻譯</w:t>
      </w:r>
      <w:r w:rsidRPr="007D602F">
        <w:rPr>
          <w:lang w:eastAsia="zh-TW"/>
        </w:rPr>
        <w:t>(2003)</w:t>
      </w:r>
      <w:r w:rsidRPr="007D602F">
        <w:rPr>
          <w:lang w:eastAsia="zh-TW"/>
        </w:rPr>
        <w:t>，</w:t>
      </w:r>
      <w:r w:rsidRPr="007D602F">
        <w:rPr>
          <w:lang w:eastAsia="zh-TW"/>
        </w:rPr>
        <w:t>SPSS</w:t>
      </w:r>
      <w:r w:rsidRPr="007D602F">
        <w:rPr>
          <w:lang w:eastAsia="zh-TW"/>
        </w:rPr>
        <w:t>統計軟體的應用</w:t>
      </w:r>
      <w:r w:rsidRPr="007D602F">
        <w:rPr>
          <w:lang w:eastAsia="zh-TW"/>
        </w:rPr>
        <w:t>---11.0</w:t>
      </w:r>
      <w:r w:rsidRPr="007D602F">
        <w:rPr>
          <w:lang w:eastAsia="zh-TW"/>
        </w:rPr>
        <w:t>版，台北：華騰文化股份有限公司。</w:t>
      </w:r>
    </w:p>
    <w:p w:rsidR="00657FEF" w:rsidRPr="007D602F" w:rsidRDefault="00657FEF" w:rsidP="00992AB6">
      <w:pPr>
        <w:pStyle w:val="5"/>
        <w:rPr>
          <w:lang w:eastAsia="zh-TW"/>
        </w:rPr>
      </w:pPr>
      <w:r w:rsidRPr="007D602F">
        <w:rPr>
          <w:lang w:eastAsia="zh-TW"/>
        </w:rPr>
        <w:t>陳玉書</w:t>
      </w:r>
      <w:r w:rsidRPr="007D602F">
        <w:rPr>
          <w:lang w:eastAsia="zh-TW"/>
        </w:rPr>
        <w:t>(2001)</w:t>
      </w:r>
      <w:r w:rsidRPr="007D602F">
        <w:rPr>
          <w:lang w:eastAsia="zh-TW"/>
        </w:rPr>
        <w:t>，中央警察大學犯罪防治研究所博士班上課內容</w:t>
      </w:r>
      <w:r>
        <w:rPr>
          <w:lang w:eastAsia="zh-TW"/>
        </w:rPr>
        <w:t>。</w:t>
      </w:r>
    </w:p>
    <w:p w:rsidR="00657FEF" w:rsidRPr="007D602F" w:rsidRDefault="00657FEF" w:rsidP="00992AB6">
      <w:pPr>
        <w:pStyle w:val="5"/>
        <w:rPr>
          <w:lang w:eastAsia="zh-TW"/>
        </w:rPr>
      </w:pPr>
      <w:r w:rsidRPr="007D602F">
        <w:rPr>
          <w:lang w:eastAsia="zh-TW"/>
        </w:rPr>
        <w:t>陳徹</w:t>
      </w:r>
      <w:r w:rsidRPr="007D602F">
        <w:rPr>
          <w:lang w:eastAsia="zh-TW"/>
        </w:rPr>
        <w:t>(2003)</w:t>
      </w:r>
      <w:r w:rsidRPr="007D602F">
        <w:rPr>
          <w:lang w:eastAsia="zh-TW"/>
        </w:rPr>
        <w:t>，</w:t>
      </w:r>
      <w:r w:rsidRPr="007D602F">
        <w:rPr>
          <w:lang w:eastAsia="zh-TW"/>
        </w:rPr>
        <w:t>SPSS</w:t>
      </w:r>
      <w:r w:rsidRPr="007D602F">
        <w:rPr>
          <w:lang w:eastAsia="zh-TW"/>
        </w:rPr>
        <w:t>統計分析，台北：碁峯資訊公司。</w:t>
      </w:r>
    </w:p>
    <w:p w:rsidR="00657FEF" w:rsidRPr="007D602F" w:rsidRDefault="00657FEF" w:rsidP="00992AB6">
      <w:pPr>
        <w:pStyle w:val="5"/>
        <w:rPr>
          <w:lang w:eastAsia="zh-TW"/>
        </w:rPr>
      </w:pPr>
      <w:r w:rsidRPr="007D602F">
        <w:rPr>
          <w:lang w:eastAsia="zh-TW"/>
        </w:rPr>
        <w:t>蔡中志</w:t>
      </w:r>
      <w:r w:rsidRPr="007D602F">
        <w:rPr>
          <w:lang w:eastAsia="zh-TW"/>
        </w:rPr>
        <w:t>(1992)</w:t>
      </w:r>
      <w:r w:rsidRPr="007D602F">
        <w:rPr>
          <w:lang w:eastAsia="zh-TW"/>
        </w:rPr>
        <w:t>，中央警察大學行政警察研究所碩士班上課內容。</w:t>
      </w:r>
    </w:p>
    <w:p w:rsidR="00657FEF" w:rsidRPr="00A14BAA" w:rsidRDefault="00657FEF" w:rsidP="00992AB6">
      <w:pPr>
        <w:pStyle w:val="5"/>
        <w:rPr>
          <w:lang w:eastAsia="zh-TW"/>
        </w:rPr>
      </w:pPr>
      <w:r w:rsidRPr="007D602F">
        <w:rPr>
          <w:lang w:eastAsia="zh-TW"/>
        </w:rPr>
        <w:t>謝廣全</w:t>
      </w:r>
      <w:r w:rsidRPr="007D602F">
        <w:rPr>
          <w:lang w:eastAsia="zh-TW"/>
        </w:rPr>
        <w:t>(1996)</w:t>
      </w:r>
      <w:r w:rsidRPr="007D602F">
        <w:rPr>
          <w:lang w:eastAsia="zh-TW"/>
        </w:rPr>
        <w:t>，最新實用心理與教育統計學，高雄：</w:t>
      </w:r>
      <w:r w:rsidRPr="00A14BAA">
        <w:rPr>
          <w:lang w:eastAsia="zh-TW"/>
        </w:rPr>
        <w:t>復文書局修訂</w:t>
      </w:r>
      <w:r w:rsidRPr="00A14BAA">
        <w:rPr>
          <w:lang w:eastAsia="zh-TW"/>
        </w:rPr>
        <w:t>5</w:t>
      </w:r>
      <w:r w:rsidRPr="00A14BAA">
        <w:rPr>
          <w:lang w:eastAsia="zh-TW"/>
        </w:rPr>
        <w:t>版。</w:t>
      </w:r>
    </w:p>
  </w:footnote>
  <w:footnote w:id="103">
    <w:p w:rsidR="00657FEF" w:rsidRPr="00A14BAA" w:rsidRDefault="00657FEF" w:rsidP="00992AB6">
      <w:pPr>
        <w:pStyle w:val="5"/>
      </w:pPr>
      <w:r w:rsidRPr="00A14BAA">
        <w:rPr>
          <w:rStyle w:val="af7"/>
          <w:rFonts w:eastAsia="新細明體" w:cs="Arial Unicode MS"/>
          <w:kern w:val="2"/>
          <w:szCs w:val="20"/>
        </w:rPr>
        <w:footnoteRef/>
      </w:r>
      <w:r w:rsidRPr="00A14BAA">
        <w:t>中華民國統計資訊網</w:t>
      </w:r>
      <w:r w:rsidRPr="00A14BAA">
        <w:t>(2018)</w:t>
      </w:r>
      <w:r w:rsidRPr="00A14BAA">
        <w:t>，主計總處統計專區，</w:t>
      </w:r>
      <w:hyperlink r:id="rId70" w:history="1">
        <w:r w:rsidRPr="00A14BAA">
          <w:rPr>
            <w:rStyle w:val="a7"/>
            <w:rFonts w:ascii="Arial Unicode MS" w:eastAsia="新細明體" w:hAnsi="Arial Unicode MS" w:cs="Calibri"/>
            <w:color w:val="5F5F5F"/>
            <w:sz w:val="18"/>
          </w:rPr>
          <w:t>https://www.stat.gov.tw/mp.asp?mp=4</w:t>
        </w:r>
      </w:hyperlink>
      <w:r w:rsidRPr="00A14BAA">
        <w:t>。</w:t>
      </w:r>
    </w:p>
    <w:p w:rsidR="00657FEF" w:rsidRPr="00A14BAA" w:rsidRDefault="00657FEF" w:rsidP="00992AB6">
      <w:pPr>
        <w:pStyle w:val="5"/>
      </w:pPr>
      <w:r w:rsidRPr="00A14BAA">
        <w:t>中華民國統計資訊網</w:t>
      </w:r>
      <w:r w:rsidRPr="00A14BAA">
        <w:t>(2018)</w:t>
      </w:r>
      <w:r w:rsidRPr="00A14BAA">
        <w:t>，主計總處統計專區</w:t>
      </w:r>
      <w:r w:rsidRPr="00A14BAA">
        <w:t>---</w:t>
      </w:r>
      <w:r w:rsidRPr="00A14BAA">
        <w:t>國民所得及經濟成長，</w:t>
      </w:r>
      <w:hyperlink r:id="rId71" w:history="1">
        <w:r w:rsidRPr="00A14BAA">
          <w:rPr>
            <w:rStyle w:val="a7"/>
            <w:rFonts w:ascii="Arial Unicode MS" w:eastAsia="新細明體" w:hAnsi="Arial Unicode MS" w:cs="Calibri"/>
            <w:color w:val="5F5F5F"/>
            <w:sz w:val="18"/>
          </w:rPr>
          <w:t>https://www.stat.gov.tw/mp.asp?mp=4</w:t>
        </w:r>
      </w:hyperlink>
      <w:r w:rsidRPr="00A14BAA">
        <w:t>。</w:t>
      </w:r>
    </w:p>
    <w:p w:rsidR="00657FEF" w:rsidRPr="00A14BAA" w:rsidRDefault="00657FEF" w:rsidP="00992AB6">
      <w:pPr>
        <w:pStyle w:val="5"/>
      </w:pPr>
      <w:r w:rsidRPr="00A14BAA">
        <w:t>中華民國統計資訊網</w:t>
      </w:r>
      <w:r w:rsidRPr="00A14BAA">
        <w:t>(2018)</w:t>
      </w:r>
      <w:r w:rsidRPr="00A14BAA">
        <w:t>，主計總處統計專區</w:t>
      </w:r>
      <w:r w:rsidRPr="00A14BAA">
        <w:t>---</w:t>
      </w:r>
      <w:r w:rsidRPr="00A14BAA">
        <w:t>家庭收支調查，</w:t>
      </w:r>
      <w:hyperlink r:id="rId72" w:history="1">
        <w:r w:rsidRPr="00A14BAA">
          <w:rPr>
            <w:rStyle w:val="a7"/>
            <w:rFonts w:ascii="Arial Unicode MS" w:eastAsia="新細明體" w:hAnsi="Arial Unicode MS" w:cs="Calibri"/>
            <w:color w:val="5F5F5F"/>
            <w:sz w:val="18"/>
          </w:rPr>
          <w:t>https://www.stat.gov.tw/mp.asp?mp=4</w:t>
        </w:r>
      </w:hyperlink>
      <w:r w:rsidRPr="00A14BAA">
        <w:t>。</w:t>
      </w:r>
    </w:p>
    <w:p w:rsidR="00657FEF" w:rsidRPr="00A14BAA" w:rsidRDefault="00657FEF" w:rsidP="00992AB6">
      <w:pPr>
        <w:pStyle w:val="5"/>
      </w:pPr>
      <w:r w:rsidRPr="00A14BAA">
        <w:t>中華民國統計資訊網</w:t>
      </w:r>
      <w:r w:rsidRPr="00A14BAA">
        <w:t>(2018)</w:t>
      </w:r>
      <w:r w:rsidRPr="00A14BAA">
        <w:t>，主計總處統計專區</w:t>
      </w:r>
      <w:r w:rsidRPr="00A14BAA">
        <w:t>---</w:t>
      </w:r>
      <w:r w:rsidRPr="00A14BAA">
        <w:t>就業、失業統計，</w:t>
      </w:r>
      <w:hyperlink r:id="rId73" w:history="1">
        <w:r w:rsidRPr="00A14BAA">
          <w:rPr>
            <w:rStyle w:val="a7"/>
            <w:rFonts w:ascii="Arial Unicode MS" w:eastAsia="新細明體" w:hAnsi="Arial Unicode MS" w:cs="Calibri"/>
            <w:color w:val="5F5F5F"/>
            <w:sz w:val="18"/>
          </w:rPr>
          <w:t>https://www.stat.gov.tw/mp.asp?mp=4</w:t>
        </w:r>
      </w:hyperlink>
      <w:r w:rsidRPr="00A14BAA">
        <w:t>。</w:t>
      </w:r>
    </w:p>
    <w:p w:rsidR="00657FEF" w:rsidRPr="00A14BAA" w:rsidRDefault="00657FEF" w:rsidP="00992AB6">
      <w:pPr>
        <w:pStyle w:val="5"/>
      </w:pPr>
      <w:r w:rsidRPr="00A14BAA">
        <w:t>中華民國統計資訊網</w:t>
      </w:r>
      <w:r w:rsidRPr="00A14BAA">
        <w:t>(2018)</w:t>
      </w:r>
      <w:r w:rsidRPr="00A14BAA">
        <w:t>，主計總處統計專區</w:t>
      </w:r>
      <w:r w:rsidRPr="00A14BAA">
        <w:t>---</w:t>
      </w:r>
      <w:r w:rsidRPr="00A14BAA">
        <w:t>薪資及生產力統計，</w:t>
      </w:r>
      <w:hyperlink r:id="rId74" w:history="1">
        <w:r w:rsidRPr="00A14BAA">
          <w:rPr>
            <w:rStyle w:val="a7"/>
            <w:rFonts w:ascii="Arial Unicode MS" w:eastAsia="新細明體" w:hAnsi="Arial Unicode MS" w:cs="Calibri"/>
            <w:color w:val="5F5F5F"/>
            <w:sz w:val="18"/>
          </w:rPr>
          <w:t>https://www.stat.gov.tw/mp.asp?mp=4</w:t>
        </w:r>
      </w:hyperlink>
      <w:r w:rsidRPr="00A14BAA">
        <w:t>。</w:t>
      </w:r>
    </w:p>
    <w:p w:rsidR="00657FEF" w:rsidRPr="00A14BAA" w:rsidRDefault="00657FEF" w:rsidP="00992AB6">
      <w:pPr>
        <w:pStyle w:val="5"/>
      </w:pPr>
      <w:r w:rsidRPr="00A14BAA">
        <w:t>中華民國統計資訊網</w:t>
      </w:r>
      <w:r w:rsidRPr="00A14BAA">
        <w:t>(2018)</w:t>
      </w:r>
      <w:r w:rsidRPr="00A14BAA">
        <w:t>，主計總處統計專區</w:t>
      </w:r>
      <w:r w:rsidRPr="00A14BAA">
        <w:t>---</w:t>
      </w:r>
      <w:r w:rsidRPr="00A14BAA">
        <w:t>社會指標</w:t>
      </w:r>
      <w:r w:rsidRPr="0014189D">
        <w:rPr>
          <w:u w:val="single"/>
        </w:rPr>
        <w:t>，</w:t>
      </w:r>
      <w:hyperlink r:id="rId75" w:history="1">
        <w:r w:rsidRPr="0014189D">
          <w:rPr>
            <w:u w:val="single"/>
          </w:rPr>
          <w:t>https://www.stat.gov.tw/mp.asp?mp=4</w:t>
        </w:r>
      </w:hyperlink>
      <w:r w:rsidRPr="00A14BAA">
        <w:t>。</w:t>
      </w:r>
    </w:p>
    <w:p w:rsidR="00657FEF" w:rsidRPr="00A14BAA" w:rsidRDefault="00657FEF" w:rsidP="00992AB6">
      <w:pPr>
        <w:pStyle w:val="5"/>
      </w:pPr>
      <w:r w:rsidRPr="00A14BAA">
        <w:t>中華民國統計資訊網</w:t>
      </w:r>
      <w:r w:rsidRPr="00A14BAA">
        <w:t>(2018)</w:t>
      </w:r>
      <w:r w:rsidRPr="00A14BAA">
        <w:t>，主計總處統計專區</w:t>
      </w:r>
      <w:r w:rsidRPr="00A14BAA">
        <w:t>---</w:t>
      </w:r>
      <w:r w:rsidRPr="00A14BAA">
        <w:t>工業及服務業普查，</w:t>
      </w:r>
      <w:hyperlink r:id="rId76" w:history="1">
        <w:r w:rsidRPr="00A14BAA">
          <w:rPr>
            <w:rStyle w:val="a7"/>
            <w:rFonts w:ascii="Arial Unicode MS" w:eastAsia="新細明體" w:hAnsi="Arial Unicode MS" w:cs="Calibri"/>
            <w:color w:val="5F5F5F"/>
            <w:sz w:val="18"/>
          </w:rPr>
          <w:t>https://www.stat.gov.tw/mp.asp?mp=4</w:t>
        </w:r>
      </w:hyperlink>
      <w:r w:rsidRPr="00A14BAA">
        <w:t>。</w:t>
      </w:r>
    </w:p>
    <w:p w:rsidR="00657FEF" w:rsidRPr="00A14BAA" w:rsidRDefault="00657FEF" w:rsidP="00992AB6">
      <w:pPr>
        <w:pStyle w:val="5"/>
      </w:pPr>
      <w:r w:rsidRPr="00A14BAA">
        <w:t>中華民國統計資訊網</w:t>
      </w:r>
      <w:r w:rsidRPr="00A14BAA">
        <w:t>(2018)</w:t>
      </w:r>
      <w:r w:rsidRPr="00A14BAA">
        <w:t>，主計總處統計專區</w:t>
      </w:r>
      <w:r w:rsidRPr="00A14BAA">
        <w:t>---</w:t>
      </w:r>
      <w:r w:rsidRPr="00A14BAA">
        <w:t>人口及住宅普查，</w:t>
      </w:r>
      <w:hyperlink r:id="rId77" w:history="1">
        <w:r w:rsidRPr="00A14BAA">
          <w:rPr>
            <w:rStyle w:val="a7"/>
            <w:rFonts w:ascii="Arial Unicode MS" w:eastAsia="新細明體" w:hAnsi="Arial Unicode MS" w:cs="Calibri"/>
            <w:color w:val="5F5F5F"/>
            <w:sz w:val="18"/>
          </w:rPr>
          <w:t>https://www.stat.gov.tw/mp.asp?mp=4</w:t>
        </w:r>
      </w:hyperlink>
      <w:r w:rsidRPr="00A14BAA">
        <w:t>。</w:t>
      </w:r>
    </w:p>
    <w:p w:rsidR="00657FEF" w:rsidRPr="00A14BAA" w:rsidRDefault="00657FEF" w:rsidP="00992AB6">
      <w:pPr>
        <w:pStyle w:val="5"/>
      </w:pPr>
      <w:r w:rsidRPr="00A14BAA">
        <w:t>中華民國統計資訊網</w:t>
      </w:r>
      <w:r w:rsidRPr="00A14BAA">
        <w:t>(2018)</w:t>
      </w:r>
      <w:r w:rsidRPr="00A14BAA">
        <w:t>，主計總處統計專區</w:t>
      </w:r>
      <w:r w:rsidRPr="00A14BAA">
        <w:t>---</w:t>
      </w:r>
      <w:r w:rsidRPr="00A14BAA">
        <w:t>國富統計，</w:t>
      </w:r>
      <w:hyperlink r:id="rId78" w:history="1">
        <w:r w:rsidRPr="00A14BAA">
          <w:rPr>
            <w:rStyle w:val="a7"/>
            <w:rFonts w:ascii="Arial Unicode MS" w:eastAsia="新細明體" w:hAnsi="Arial Unicode MS" w:cs="Calibri"/>
            <w:color w:val="5F5F5F"/>
            <w:sz w:val="18"/>
          </w:rPr>
          <w:t>https://www.stat.gov.tw/mp.asp?mp=4</w:t>
        </w:r>
      </w:hyperlink>
      <w:r w:rsidRPr="00A14BAA">
        <w:t>。</w:t>
      </w:r>
    </w:p>
    <w:p w:rsidR="00657FEF" w:rsidRPr="00A14BAA" w:rsidRDefault="00657FEF" w:rsidP="00992AB6">
      <w:pPr>
        <w:pStyle w:val="5"/>
      </w:pPr>
      <w:r w:rsidRPr="00A14BAA">
        <w:t>法務部</w:t>
      </w:r>
      <w:r w:rsidRPr="00A14BAA">
        <w:t>(2018)</w:t>
      </w:r>
      <w:r w:rsidRPr="00A14BAA">
        <w:t>，法務統計</w:t>
      </w:r>
      <w:r w:rsidRPr="00A14BAA">
        <w:t>---</w:t>
      </w:r>
      <w:r w:rsidRPr="00A14BAA">
        <w:t>死刑執行及尚未執行人數，</w:t>
      </w:r>
      <w:hyperlink r:id="rId79" w:history="1">
        <w:r w:rsidRPr="00A14BAA">
          <w:rPr>
            <w:rStyle w:val="a7"/>
            <w:rFonts w:ascii="Arial Unicode MS" w:eastAsia="新細明體" w:hAnsi="Arial Unicode MS" w:cs="Calibri"/>
            <w:color w:val="5F5F5F"/>
            <w:sz w:val="18"/>
          </w:rPr>
          <w:t>http://www.rjsd.moj.gov.tw/rjsdweb/</w:t>
        </w:r>
      </w:hyperlink>
      <w:r w:rsidRPr="00A14BAA">
        <w:t>。</w:t>
      </w:r>
    </w:p>
    <w:p w:rsidR="00657FEF" w:rsidRPr="00A14BAA" w:rsidRDefault="00657FEF" w:rsidP="00992AB6">
      <w:pPr>
        <w:pStyle w:val="5"/>
      </w:pPr>
      <w:r w:rsidRPr="00A14BAA">
        <w:t>法務部</w:t>
      </w:r>
      <w:r w:rsidRPr="00A14BAA">
        <w:t>(2018)</w:t>
      </w:r>
      <w:r w:rsidRPr="00A14BAA">
        <w:t>，法務統計</w:t>
      </w:r>
      <w:r w:rsidRPr="00A14BAA">
        <w:t>---</w:t>
      </w:r>
      <w:r w:rsidRPr="00A14BAA">
        <w:t>法務統計摘要，</w:t>
      </w:r>
      <w:hyperlink r:id="rId80" w:history="1">
        <w:r w:rsidRPr="00A14BAA">
          <w:rPr>
            <w:rStyle w:val="a7"/>
            <w:rFonts w:ascii="Arial Unicode MS" w:eastAsia="新細明體" w:hAnsi="Arial Unicode MS" w:cs="Calibri"/>
            <w:color w:val="5F5F5F"/>
            <w:sz w:val="18"/>
          </w:rPr>
          <w:t>http://www.rjsd.moj.gov.tw/rjsdweb/</w:t>
        </w:r>
      </w:hyperlink>
      <w:r w:rsidRPr="00A14BAA">
        <w:t>。</w:t>
      </w:r>
    </w:p>
    <w:p w:rsidR="00657FEF" w:rsidRPr="00A14BAA" w:rsidRDefault="00657FEF" w:rsidP="00992AB6">
      <w:pPr>
        <w:pStyle w:val="5"/>
      </w:pPr>
      <w:r w:rsidRPr="00A14BAA">
        <w:t>法務部</w:t>
      </w:r>
      <w:r w:rsidRPr="00A14BAA">
        <w:t>(2018)</w:t>
      </w:r>
      <w:r w:rsidRPr="00A14BAA">
        <w:t>，法務統計</w:t>
      </w:r>
      <w:r w:rsidRPr="00A14BAA">
        <w:t>---</w:t>
      </w:r>
      <w:r w:rsidRPr="00A14BAA">
        <w:t>法務統計重要參考指標，</w:t>
      </w:r>
      <w:hyperlink r:id="rId81" w:history="1">
        <w:r w:rsidRPr="00A14BAA">
          <w:rPr>
            <w:rStyle w:val="a7"/>
            <w:rFonts w:ascii="Arial Unicode MS" w:eastAsia="新細明體" w:hAnsi="Arial Unicode MS" w:cs="Calibri"/>
            <w:color w:val="5F5F5F"/>
            <w:sz w:val="18"/>
          </w:rPr>
          <w:t>http://www.rjsd.moj.gov.tw/rjsdweb/</w:t>
        </w:r>
      </w:hyperlink>
      <w:r w:rsidRPr="00A14BAA">
        <w:t>。</w:t>
      </w:r>
    </w:p>
    <w:p w:rsidR="00657FEF" w:rsidRPr="00A14BAA" w:rsidRDefault="00657FEF" w:rsidP="00992AB6">
      <w:pPr>
        <w:pStyle w:val="5"/>
      </w:pPr>
      <w:r w:rsidRPr="00A14BAA">
        <w:t>法務部</w:t>
      </w:r>
      <w:r w:rsidRPr="00A14BAA">
        <w:t>(2018)</w:t>
      </w:r>
      <w:r w:rsidRPr="00A14BAA">
        <w:t>，法務統計</w:t>
      </w:r>
      <w:r w:rsidRPr="00A14BAA">
        <w:t>---</w:t>
      </w:r>
      <w:r w:rsidRPr="00A14BAA">
        <w:t>法務統計月報</w:t>
      </w:r>
      <w:r w:rsidRPr="00A14BAA">
        <w:rPr>
          <w:rStyle w:val="a7"/>
          <w:rFonts w:ascii="Arial Unicode MS" w:eastAsia="新細明體" w:hAnsi="Arial Unicode MS" w:cs="Calibri"/>
          <w:color w:val="5F5F5F"/>
          <w:sz w:val="18"/>
        </w:rPr>
        <w:t>，</w:t>
      </w:r>
      <w:hyperlink r:id="rId82" w:history="1">
        <w:r w:rsidRPr="00A14BAA">
          <w:rPr>
            <w:rStyle w:val="a7"/>
            <w:rFonts w:ascii="Arial Unicode MS" w:eastAsia="新細明體" w:hAnsi="Arial Unicode MS" w:cs="Calibri"/>
            <w:color w:val="5F5F5F"/>
            <w:sz w:val="18"/>
          </w:rPr>
          <w:t>http://www.rjsd.moj.gov.tw/rjsdweb/</w:t>
        </w:r>
      </w:hyperlink>
      <w:r w:rsidRPr="00A14BAA">
        <w:t>。</w:t>
      </w:r>
    </w:p>
    <w:p w:rsidR="00657FEF" w:rsidRPr="00A14BAA" w:rsidRDefault="00657FEF" w:rsidP="00992AB6">
      <w:pPr>
        <w:pStyle w:val="5"/>
      </w:pPr>
      <w:r w:rsidRPr="00A14BAA">
        <w:t>法務部</w:t>
      </w:r>
      <w:r w:rsidRPr="00A14BAA">
        <w:t>(2018)</w:t>
      </w:r>
      <w:r w:rsidRPr="00A14BAA">
        <w:t>，法務統計</w:t>
      </w:r>
      <w:r w:rsidRPr="00A14BAA">
        <w:t>---</w:t>
      </w:r>
      <w:r w:rsidRPr="00A14BAA">
        <w:t>法務統計年報，</w:t>
      </w:r>
      <w:hyperlink r:id="rId83" w:history="1">
        <w:r w:rsidRPr="00A14BAA">
          <w:rPr>
            <w:rStyle w:val="a7"/>
            <w:rFonts w:ascii="Arial Unicode MS" w:eastAsia="新細明體" w:hAnsi="Arial Unicode MS" w:cs="Calibri"/>
            <w:color w:val="5F5F5F"/>
            <w:sz w:val="18"/>
          </w:rPr>
          <w:t>http://www.rjsd.moj.gov.tw/rjsdweb/</w:t>
        </w:r>
      </w:hyperlink>
      <w:r w:rsidRPr="00A14BAA">
        <w:t>。</w:t>
      </w:r>
    </w:p>
    <w:p w:rsidR="00657FEF" w:rsidRPr="00A14BAA" w:rsidRDefault="00657FEF" w:rsidP="00992AB6">
      <w:pPr>
        <w:pStyle w:val="5"/>
      </w:pPr>
      <w:r w:rsidRPr="007D602F">
        <w:t>法務部</w:t>
      </w:r>
      <w:r w:rsidRPr="007D602F">
        <w:t>(2018)</w:t>
      </w:r>
      <w:r w:rsidRPr="007D602F">
        <w:t>，法務統計</w:t>
      </w:r>
      <w:r w:rsidRPr="007D602F">
        <w:t>---</w:t>
      </w:r>
      <w:r w:rsidRPr="007D602F">
        <w:t>法務部統</w:t>
      </w:r>
      <w:r w:rsidRPr="00A14BAA">
        <w:t>計手冊，</w:t>
      </w:r>
      <w:hyperlink r:id="rId84" w:history="1">
        <w:r w:rsidRPr="00A14BAA">
          <w:rPr>
            <w:rStyle w:val="a7"/>
            <w:rFonts w:ascii="Arial Unicode MS" w:eastAsia="新細明體" w:hAnsi="Arial Unicode MS" w:cs="Calibri"/>
            <w:color w:val="5F5F5F"/>
            <w:sz w:val="18"/>
          </w:rPr>
          <w:t>http://www.rjsd.moj.gov.tw/rjsdweb/</w:t>
        </w:r>
      </w:hyperlink>
      <w:r w:rsidRPr="00A14BAA">
        <w:t>。</w:t>
      </w:r>
    </w:p>
    <w:p w:rsidR="00657FEF" w:rsidRPr="00A14BAA" w:rsidRDefault="00657FEF" w:rsidP="00992AB6">
      <w:pPr>
        <w:pStyle w:val="5"/>
      </w:pPr>
      <w:r w:rsidRPr="00A14BAA">
        <w:t>台灣人權促進會，臺灣，不為人知的一面</w:t>
      </w:r>
      <w:r w:rsidRPr="00A14BAA">
        <w:t>----</w:t>
      </w:r>
      <w:r w:rsidRPr="00A14BAA">
        <w:t>從《公民與政治權利國際公約》／《經濟社會文化權利國際公約》審查過程吸取教訓，</w:t>
      </w:r>
      <w:hyperlink r:id="rId85" w:history="1">
        <w:r w:rsidRPr="0014189D">
          <w:rPr>
            <w:rStyle w:val="a7"/>
            <w:rFonts w:asciiTheme="majorHAnsi" w:eastAsiaTheme="majorEastAsia" w:hAnsiTheme="majorHAnsi" w:cstheme="majorBidi"/>
            <w:color w:val="5F5F5F"/>
            <w:sz w:val="20"/>
            <w:szCs w:val="20"/>
          </w:rPr>
          <w:t>https://www.tahr.org.tw/</w:t>
        </w:r>
      </w:hyperlink>
      <w:r>
        <w:rPr>
          <w:color w:val="5F5F5F"/>
        </w:rPr>
        <w:t>。</w:t>
      </w:r>
    </w:p>
  </w:footnote>
  <w:footnote w:id="104">
    <w:p w:rsidR="00657FEF" w:rsidRPr="0007693E" w:rsidRDefault="00657FEF" w:rsidP="00992AB6">
      <w:pPr>
        <w:pStyle w:val="5"/>
        <w:rPr>
          <w:color w:val="5F5F5F"/>
        </w:rPr>
      </w:pPr>
      <w:r w:rsidRPr="00A14BAA">
        <w:rPr>
          <w:rStyle w:val="af7"/>
          <w:rFonts w:cs="Arial Unicode MS"/>
          <w:szCs w:val="20"/>
        </w:rPr>
        <w:footnoteRef/>
      </w:r>
      <w:r w:rsidRPr="00A14BAA">
        <w:t>那個才是影響依變項最多的自變項？以</w:t>
      </w:r>
      <w:r w:rsidRPr="00A14BAA">
        <w:t>SPSS</w:t>
      </w:r>
      <w:r w:rsidRPr="00A14BAA">
        <w:t>實作解釋型多元迴歸</w:t>
      </w:r>
      <w:r w:rsidRPr="00A14BAA">
        <w:t xml:space="preserve"> / Interpreting Multiple Regression Analysis in SP</w:t>
      </w:r>
      <w:r w:rsidRPr="0007693E">
        <w:rPr>
          <w:color w:val="5F5F5F"/>
        </w:rPr>
        <w:t xml:space="preserve">SS </w:t>
      </w:r>
      <w:r w:rsidRPr="0007693E">
        <w:rPr>
          <w:color w:val="5F5F5F"/>
        </w:rPr>
        <w:t>，</w:t>
      </w:r>
      <w:hyperlink r:id="rId86" w:history="1">
        <w:r w:rsidRPr="0007693E">
          <w:rPr>
            <w:rStyle w:val="a7"/>
            <w:rFonts w:ascii="Arial Unicode MS" w:eastAsia="新細明體" w:hAnsi="Arial Unicode MS" w:cs="Calibri"/>
            <w:color w:val="5F5F5F"/>
            <w:sz w:val="18"/>
          </w:rPr>
          <w:t>http://blog.pulipuli.info/2017/06/spss-interpreting-multiple-regression.html</w:t>
        </w:r>
      </w:hyperlink>
      <w:r w:rsidRPr="0007693E">
        <w:rPr>
          <w:color w:val="5F5F5F"/>
        </w:rPr>
        <w:t>。</w:t>
      </w:r>
    </w:p>
  </w:footnote>
  <w:footnote w:id="105">
    <w:p w:rsidR="00657FEF" w:rsidRPr="007D602F" w:rsidRDefault="00657FEF" w:rsidP="00992AB6">
      <w:pPr>
        <w:pStyle w:val="5"/>
        <w:rPr>
          <w:lang w:eastAsia="zh-TW"/>
        </w:rPr>
      </w:pPr>
      <w:r w:rsidRPr="00817A92">
        <w:rPr>
          <w:rStyle w:val="af7"/>
          <w:rFonts w:cs="Arial Unicode MS"/>
          <w:szCs w:val="20"/>
        </w:rPr>
        <w:footnoteRef/>
      </w:r>
      <w:r w:rsidRPr="007D602F">
        <w:rPr>
          <w:lang w:eastAsia="zh-TW"/>
        </w:rPr>
        <w:t>張雲景、賴礽仰翻譯</w:t>
      </w:r>
      <w:r w:rsidRPr="007D602F">
        <w:rPr>
          <w:lang w:eastAsia="zh-TW"/>
        </w:rPr>
        <w:t>(2003)</w:t>
      </w:r>
      <w:r w:rsidRPr="007D602F">
        <w:rPr>
          <w:lang w:eastAsia="zh-TW"/>
        </w:rPr>
        <w:t>，</w:t>
      </w:r>
      <w:r w:rsidRPr="007D602F">
        <w:rPr>
          <w:lang w:eastAsia="zh-TW"/>
        </w:rPr>
        <w:t>SPSS</w:t>
      </w:r>
      <w:r w:rsidRPr="007D602F">
        <w:rPr>
          <w:lang w:eastAsia="zh-TW"/>
        </w:rPr>
        <w:t>統計軟體的應用</w:t>
      </w:r>
      <w:r w:rsidRPr="007D602F">
        <w:rPr>
          <w:lang w:eastAsia="zh-TW"/>
        </w:rPr>
        <w:t>---11.0</w:t>
      </w:r>
      <w:r w:rsidRPr="007D602F">
        <w:rPr>
          <w:lang w:eastAsia="zh-TW"/>
        </w:rPr>
        <w:t>版，台北：華騰文化股份有限公司。</w:t>
      </w:r>
    </w:p>
    <w:p w:rsidR="00657FEF" w:rsidRPr="007D602F" w:rsidRDefault="00657FEF" w:rsidP="00992AB6">
      <w:pPr>
        <w:pStyle w:val="5"/>
        <w:rPr>
          <w:lang w:eastAsia="zh-TW"/>
        </w:rPr>
      </w:pPr>
      <w:r w:rsidRPr="007D602F">
        <w:rPr>
          <w:lang w:eastAsia="zh-TW"/>
        </w:rPr>
        <w:t>陳順宇，迴歸分析</w:t>
      </w:r>
      <w:r w:rsidRPr="007D602F">
        <w:rPr>
          <w:lang w:eastAsia="zh-TW"/>
        </w:rPr>
        <w:t>3</w:t>
      </w:r>
      <w:r w:rsidRPr="007D602F">
        <w:rPr>
          <w:lang w:eastAsia="zh-TW"/>
        </w:rPr>
        <w:t>版，台北：華泰公司。</w:t>
      </w:r>
    </w:p>
    <w:p w:rsidR="00657FEF" w:rsidRPr="007D602F" w:rsidRDefault="00657FEF" w:rsidP="00992AB6">
      <w:pPr>
        <w:pStyle w:val="5"/>
        <w:rPr>
          <w:lang w:eastAsia="zh-TW"/>
        </w:rPr>
      </w:pPr>
      <w:r w:rsidRPr="007D602F">
        <w:rPr>
          <w:lang w:eastAsia="zh-TW"/>
        </w:rPr>
        <w:t xml:space="preserve">SPSS </w:t>
      </w:r>
      <w:r w:rsidRPr="007D602F">
        <w:rPr>
          <w:lang w:eastAsia="zh-TW"/>
        </w:rPr>
        <w:t>公司出版，</w:t>
      </w:r>
      <w:r w:rsidRPr="007D602F">
        <w:rPr>
          <w:lang w:eastAsia="zh-TW"/>
        </w:rPr>
        <w:t>SPSS 11.0</w:t>
      </w:r>
      <w:r w:rsidRPr="007D602F">
        <w:rPr>
          <w:lang w:eastAsia="zh-TW"/>
        </w:rPr>
        <w:t>軟體內建說明手冊。</w:t>
      </w:r>
    </w:p>
    <w:p w:rsidR="00657FEF" w:rsidRPr="007D602F" w:rsidRDefault="00657FEF" w:rsidP="00992AB6">
      <w:pPr>
        <w:pStyle w:val="5"/>
        <w:rPr>
          <w:lang w:eastAsia="zh-TW"/>
        </w:rPr>
      </w:pPr>
      <w:r w:rsidRPr="007D602F">
        <w:rPr>
          <w:lang w:eastAsia="zh-TW"/>
        </w:rPr>
        <w:t>陳玉書</w:t>
      </w:r>
      <w:r w:rsidRPr="007D602F">
        <w:rPr>
          <w:lang w:eastAsia="zh-TW"/>
        </w:rPr>
        <w:t>(2010)</w:t>
      </w:r>
      <w:r w:rsidRPr="007D602F">
        <w:rPr>
          <w:lang w:eastAsia="zh-TW"/>
        </w:rPr>
        <w:t>，中央警察大學犯防所博士班上課資料、講義、教材。</w:t>
      </w:r>
    </w:p>
    <w:p w:rsidR="00657FEF" w:rsidRPr="007D602F" w:rsidRDefault="00657FEF" w:rsidP="00992AB6">
      <w:pPr>
        <w:pStyle w:val="5"/>
        <w:rPr>
          <w:lang w:eastAsia="zh-TW"/>
        </w:rPr>
      </w:pPr>
      <w:r w:rsidRPr="007D602F">
        <w:rPr>
          <w:lang w:eastAsia="zh-TW"/>
        </w:rPr>
        <w:t>陳徹工作室</w:t>
      </w:r>
      <w:r w:rsidRPr="007D602F">
        <w:rPr>
          <w:lang w:eastAsia="zh-TW"/>
        </w:rPr>
        <w:t>(2003)</w:t>
      </w:r>
      <w:r w:rsidRPr="007D602F">
        <w:rPr>
          <w:lang w:eastAsia="zh-TW"/>
        </w:rPr>
        <w:t>，</w:t>
      </w:r>
      <w:r w:rsidRPr="007D602F">
        <w:rPr>
          <w:lang w:eastAsia="zh-TW"/>
        </w:rPr>
        <w:t>SPSS</w:t>
      </w:r>
      <w:r w:rsidRPr="007D602F">
        <w:rPr>
          <w:lang w:eastAsia="zh-TW"/>
        </w:rPr>
        <w:t>統計分析基礎篇，台北：碁峯公司。</w:t>
      </w:r>
    </w:p>
  </w:footnote>
  <w:footnote w:id="106">
    <w:p w:rsidR="00657FEF" w:rsidRPr="007D602F" w:rsidRDefault="00657FEF" w:rsidP="00992AB6">
      <w:pPr>
        <w:pStyle w:val="5"/>
        <w:rPr>
          <w:lang w:eastAsia="zh-TW"/>
        </w:rPr>
      </w:pPr>
      <w:r w:rsidRPr="00817A92">
        <w:rPr>
          <w:rStyle w:val="af7"/>
          <w:rFonts w:cs="Arial Unicode MS"/>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CI(95)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w:t>
      </w:r>
      <w:r w:rsidRPr="007D602F">
        <w:t>當年度之刑案發生率</w:t>
      </w:r>
    </w:p>
    <w:p w:rsidR="00657FEF" w:rsidRPr="007D602F" w:rsidRDefault="00657FEF" w:rsidP="00992AB6">
      <w:pPr>
        <w:pStyle w:val="5"/>
      </w:pPr>
      <w:r w:rsidRPr="007D602F">
        <w:t xml:space="preserve">  /METHOD=ENTER GNI</w:t>
      </w:r>
    </w:p>
    <w:p w:rsidR="00657FEF" w:rsidRPr="007D602F" w:rsidRDefault="00657FEF" w:rsidP="00992AB6">
      <w:pPr>
        <w:pStyle w:val="5"/>
      </w:pPr>
      <w:r w:rsidRPr="007D602F">
        <w:t xml:space="preserve">  /CASEWISE PLOT(ZRESID) ALL.</w:t>
      </w:r>
    </w:p>
  </w:footnote>
  <w:footnote w:id="107">
    <w:p w:rsidR="00657FEF" w:rsidRPr="007D602F" w:rsidRDefault="00657FEF" w:rsidP="00992AB6">
      <w:pPr>
        <w:pStyle w:val="5"/>
      </w:pPr>
      <w:r w:rsidRPr="00A14BAA">
        <w:rPr>
          <w:rStyle w:val="af7"/>
          <w:rFonts w:eastAsia="新細明體" w:cs="Arial Unicode MS"/>
          <w:kern w:val="2"/>
          <w:szCs w:val="20"/>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08">
    <w:p w:rsidR="00657FEF" w:rsidRPr="007D602F" w:rsidRDefault="00657FEF" w:rsidP="00992AB6">
      <w:pPr>
        <w:pStyle w:val="5"/>
        <w:rPr>
          <w:lang w:eastAsia="zh-TW"/>
        </w:rPr>
      </w:pPr>
      <w:r w:rsidRPr="00817A92">
        <w:rPr>
          <w:rStyle w:val="af7"/>
          <w:rFonts w:cs="Arial Unicode MS"/>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w:t>
      </w:r>
      <w:r w:rsidRPr="007D602F">
        <w:t>當年度之刑案發生率</w:t>
      </w:r>
    </w:p>
    <w:p w:rsidR="00657FEF" w:rsidRPr="007D602F" w:rsidRDefault="00657FEF" w:rsidP="00992AB6">
      <w:pPr>
        <w:pStyle w:val="5"/>
      </w:pPr>
      <w:r w:rsidRPr="007D602F">
        <w:t xml:space="preserve">  /METHOD=STEPWISE over35manunmarryrate</w:t>
      </w:r>
    </w:p>
    <w:p w:rsidR="00657FEF" w:rsidRPr="007D602F" w:rsidRDefault="00657FEF" w:rsidP="00992AB6">
      <w:pPr>
        <w:pStyle w:val="5"/>
      </w:pPr>
      <w:r w:rsidRPr="007D602F">
        <w:t xml:space="preserve">  /CASEWISE PLOT(ZRESID) ALL.</w:t>
      </w:r>
    </w:p>
  </w:footnote>
  <w:footnote w:id="109">
    <w:p w:rsidR="00657FEF" w:rsidRPr="007D602F" w:rsidRDefault="00657FEF" w:rsidP="00992AB6">
      <w:pPr>
        <w:pStyle w:val="5"/>
      </w:pPr>
      <w:r w:rsidRPr="00817A92">
        <w:rPr>
          <w:rStyle w:val="af7"/>
          <w:rFonts w:cs="Arial Unicode MS"/>
          <w:szCs w:val="20"/>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10">
    <w:p w:rsidR="00657FEF" w:rsidRPr="007D602F" w:rsidRDefault="00657FEF" w:rsidP="00992AB6">
      <w:pPr>
        <w:pStyle w:val="5"/>
        <w:rPr>
          <w:lang w:eastAsia="zh-TW"/>
        </w:rPr>
      </w:pPr>
      <w:r w:rsidRPr="00A14BAA">
        <w:rPr>
          <w:rStyle w:val="af7"/>
          <w:rFonts w:eastAsia="新細明體" w:cs="Arial Unicode MS"/>
          <w:kern w:val="2"/>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w:t>
      </w:r>
      <w:r w:rsidRPr="007D602F">
        <w:t>下年度之刑案發生率</w:t>
      </w:r>
    </w:p>
    <w:p w:rsidR="00657FEF" w:rsidRPr="007D602F" w:rsidRDefault="00657FEF" w:rsidP="00992AB6">
      <w:pPr>
        <w:pStyle w:val="5"/>
      </w:pPr>
      <w:r w:rsidRPr="007D602F">
        <w:t xml:space="preserve">  /METHOD=ENTER divorcerate GNI</w:t>
      </w:r>
    </w:p>
    <w:p w:rsidR="00657FEF" w:rsidRPr="007D602F" w:rsidRDefault="00657FEF" w:rsidP="00992AB6">
      <w:pPr>
        <w:pStyle w:val="5"/>
      </w:pPr>
      <w:r w:rsidRPr="007D602F">
        <w:t xml:space="preserve">  /CASEWISE PLOT(ZRESID) ALL.</w:t>
      </w:r>
    </w:p>
  </w:footnote>
  <w:footnote w:id="111">
    <w:p w:rsidR="00657FEF" w:rsidRPr="007D602F" w:rsidRDefault="00657FEF" w:rsidP="00992AB6">
      <w:pPr>
        <w:pStyle w:val="5"/>
      </w:pPr>
      <w:r w:rsidRPr="00817A92">
        <w:rPr>
          <w:rStyle w:val="af7"/>
          <w:rFonts w:cs="Arial Unicode MS"/>
          <w:szCs w:val="20"/>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12">
    <w:p w:rsidR="00657FEF" w:rsidRPr="007D602F" w:rsidRDefault="00657FEF" w:rsidP="00992AB6">
      <w:pPr>
        <w:pStyle w:val="5"/>
        <w:rPr>
          <w:lang w:eastAsia="zh-TW"/>
        </w:rPr>
      </w:pPr>
      <w:r w:rsidRPr="00664AD3">
        <w:rPr>
          <w:rStyle w:val="af7"/>
          <w:rFonts w:cs="Arial Unicode MS"/>
          <w:szCs w:val="20"/>
        </w:rPr>
        <w:footnoteRef/>
      </w:r>
      <w:r w:rsidRPr="00664AD3">
        <w:rPr>
          <w:color w:val="FF6600"/>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w:t>
      </w:r>
      <w:r w:rsidRPr="007D602F">
        <w:t>下年度之刑案發生率</w:t>
      </w:r>
    </w:p>
    <w:p w:rsidR="00657FEF" w:rsidRPr="007D602F" w:rsidRDefault="00657FEF" w:rsidP="00992AB6">
      <w:pPr>
        <w:pStyle w:val="5"/>
      </w:pPr>
      <w:r w:rsidRPr="007D602F">
        <w:t xml:space="preserve">  /METHOD=STEPWISE divorcerate GNI nonderterminsentence clearrate</w:t>
      </w:r>
    </w:p>
    <w:p w:rsidR="00657FEF" w:rsidRPr="007D602F" w:rsidRDefault="00657FEF" w:rsidP="00992AB6">
      <w:pPr>
        <w:pStyle w:val="5"/>
      </w:pPr>
      <w:r w:rsidRPr="007D602F">
        <w:t xml:space="preserve">  /CASEWISE PLOT(ZRESID) ALL.</w:t>
      </w:r>
    </w:p>
  </w:footnote>
  <w:footnote w:id="113">
    <w:p w:rsidR="00657FEF" w:rsidRPr="007D602F" w:rsidRDefault="00657FEF" w:rsidP="00992AB6">
      <w:pPr>
        <w:pStyle w:val="5"/>
      </w:pPr>
      <w:r w:rsidRPr="00664AD3">
        <w:rPr>
          <w:rStyle w:val="af7"/>
          <w:rFonts w:cs="Arial Unicode MS"/>
          <w:szCs w:val="20"/>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14">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CI(95)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/NOORIGIN</w:t>
      </w:r>
    </w:p>
    <w:p w:rsidR="00657FEF" w:rsidRPr="007D602F" w:rsidRDefault="00657FEF" w:rsidP="00992AB6">
      <w:pPr>
        <w:pStyle w:val="5"/>
      </w:pPr>
      <w:r w:rsidRPr="007D602F">
        <w:t xml:space="preserve">  /DEPENDENT </w:t>
      </w:r>
      <w:r w:rsidRPr="007D602F">
        <w:t>重傷害故意殺人</w:t>
      </w:r>
    </w:p>
    <w:p w:rsidR="00657FEF" w:rsidRPr="007D602F" w:rsidRDefault="00657FEF" w:rsidP="00992AB6">
      <w:pPr>
        <w:pStyle w:val="5"/>
      </w:pPr>
      <w:r w:rsidRPr="007D602F">
        <w:t xml:space="preserve">  /METHOD=ENTER unemploymentrate marrypair GNI</w:t>
      </w:r>
    </w:p>
    <w:p w:rsidR="00657FEF" w:rsidRPr="007D602F" w:rsidRDefault="00657FEF" w:rsidP="00992AB6">
      <w:pPr>
        <w:pStyle w:val="5"/>
      </w:pPr>
      <w:r w:rsidRPr="007D602F">
        <w:t xml:space="preserve">  /CASEWISE PLOT(ZRESID) ALL.</w:t>
      </w:r>
    </w:p>
  </w:footnote>
  <w:footnote w:id="115">
    <w:p w:rsidR="00657FEF" w:rsidRPr="007D602F" w:rsidRDefault="00657FEF" w:rsidP="00992AB6">
      <w:pPr>
        <w:pStyle w:val="5"/>
      </w:pPr>
      <w:r w:rsidRPr="00D20F89">
        <w:rPr>
          <w:rStyle w:val="af7"/>
          <w:rFonts w:eastAsia="新細明體" w:cs="Arial Unicode MS"/>
          <w:kern w:val="2"/>
          <w:szCs w:val="20"/>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16">
    <w:p w:rsidR="00657FEF" w:rsidRPr="007D602F" w:rsidRDefault="00657FEF" w:rsidP="00992AB6">
      <w:pPr>
        <w:pStyle w:val="5"/>
      </w:pPr>
      <w:r w:rsidRPr="007175B7">
        <w:rPr>
          <w:rStyle w:val="af7"/>
          <w:rFonts w:cs="Arial Unicode MS"/>
          <w:szCs w:val="20"/>
        </w:rPr>
        <w:footnoteRef/>
      </w:r>
      <w:r w:rsidRPr="007175B7">
        <w:rPr>
          <w:color w:val="FF6600"/>
        </w:rPr>
        <w:t xml:space="preserve"> </w:t>
      </w: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w:t>
      </w:r>
      <w:r w:rsidRPr="007D602F">
        <w:t>重傷害故意殺人</w:t>
      </w:r>
    </w:p>
    <w:p w:rsidR="00657FEF" w:rsidRPr="007D602F" w:rsidRDefault="00657FEF" w:rsidP="00992AB6">
      <w:pPr>
        <w:pStyle w:val="5"/>
      </w:pPr>
      <w:r w:rsidRPr="007D602F">
        <w:t xml:space="preserve">  /METHOD=STEPWISE clearrate unemploymentrate marrypair GNI nonderterminsentence </w:t>
      </w:r>
      <w:r w:rsidRPr="007D602F">
        <w:t>死刑執行人數</w:t>
      </w:r>
    </w:p>
    <w:p w:rsidR="00657FEF" w:rsidRPr="007D602F" w:rsidRDefault="00657FEF" w:rsidP="00992AB6">
      <w:pPr>
        <w:pStyle w:val="5"/>
      </w:pPr>
      <w:r w:rsidRPr="007D602F">
        <w:t xml:space="preserve">  /CASEWISE PLOT(ZRESID) ALL.</w:t>
      </w:r>
    </w:p>
  </w:footnote>
  <w:footnote w:id="117">
    <w:p w:rsidR="00657FEF" w:rsidRPr="007D602F" w:rsidRDefault="00657FEF" w:rsidP="00992AB6">
      <w:pPr>
        <w:pStyle w:val="5"/>
      </w:pPr>
      <w:r w:rsidRPr="007175B7">
        <w:rPr>
          <w:rStyle w:val="af7"/>
          <w:rFonts w:cs="Arial Unicode MS"/>
          <w:szCs w:val="20"/>
        </w:rPr>
        <w:footnoteRef/>
      </w:r>
      <w:r w:rsidRPr="007175B7">
        <w:t>低</w:t>
      </w:r>
      <w:r w:rsidRPr="007D602F">
        <w:t>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18">
    <w:p w:rsidR="00657FEF" w:rsidRPr="007D602F" w:rsidRDefault="00657FEF" w:rsidP="00992AB6">
      <w:pPr>
        <w:pStyle w:val="5"/>
        <w:rPr>
          <w:lang w:eastAsia="zh-TW"/>
        </w:rPr>
      </w:pPr>
      <w:r w:rsidRPr="00A14BAA">
        <w:rPr>
          <w:rStyle w:val="af7"/>
          <w:rFonts w:eastAsia="新細明體" w:cs="Arial Unicode MS"/>
          <w:kern w:val="2"/>
          <w:szCs w:val="20"/>
        </w:rPr>
        <w:footnoteRef/>
      </w:r>
      <w:r w:rsidRPr="00A14BAA">
        <w:rPr>
          <w:rFonts w:ascii="Arial Unicode MS" w:eastAsia="新細明體" w:hAnsi="Arial Unicode MS"/>
          <w:color w:val="FF6600"/>
          <w:kern w:val="2"/>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killingnext</w:t>
      </w:r>
    </w:p>
    <w:p w:rsidR="00657FEF" w:rsidRPr="007D602F" w:rsidRDefault="00657FEF" w:rsidP="00992AB6">
      <w:pPr>
        <w:pStyle w:val="5"/>
      </w:pPr>
      <w:r w:rsidRPr="007D602F">
        <w:t xml:space="preserve">  /METHOD=STEPWISE clearrate unemploymentrate marrypair GNI </w:t>
      </w:r>
      <w:r w:rsidRPr="007D602F">
        <w:t>死刑執行人數</w:t>
      </w:r>
    </w:p>
    <w:p w:rsidR="00657FEF" w:rsidRPr="007D602F" w:rsidRDefault="00657FEF" w:rsidP="00992AB6">
      <w:pPr>
        <w:pStyle w:val="5"/>
      </w:pPr>
      <w:r w:rsidRPr="007D602F">
        <w:t xml:space="preserve">  /CASEWISE PLOT(ZRESID) ALL.</w:t>
      </w:r>
    </w:p>
  </w:footnote>
  <w:footnote w:id="119">
    <w:p w:rsidR="00657FEF" w:rsidRPr="007D602F" w:rsidRDefault="00657FEF" w:rsidP="00992AB6">
      <w:pPr>
        <w:pStyle w:val="5"/>
      </w:pPr>
      <w:r w:rsidRPr="00A14BAA">
        <w:rPr>
          <w:rStyle w:val="af7"/>
          <w:rFonts w:eastAsia="新細明體" w:cs="Arial Unicode MS"/>
          <w:kern w:val="2"/>
          <w:szCs w:val="20"/>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20">
    <w:p w:rsidR="00657FEF" w:rsidRPr="007D602F" w:rsidRDefault="00657FEF" w:rsidP="00992AB6">
      <w:pPr>
        <w:pStyle w:val="5"/>
      </w:pPr>
      <w:r w:rsidRPr="007175B7">
        <w:rPr>
          <w:rStyle w:val="af7"/>
          <w:rFonts w:cs="Arial Unicode MS"/>
          <w:szCs w:val="20"/>
        </w:rPr>
        <w:footnoteRef/>
      </w:r>
      <w:r w:rsidRPr="007D602F">
        <w:t xml:space="preserve"> SPSS</w:t>
      </w:r>
      <w:r w:rsidRPr="007D602F">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killingnext</w:t>
      </w:r>
    </w:p>
    <w:p w:rsidR="00657FEF" w:rsidRPr="007D602F" w:rsidRDefault="00657FEF" w:rsidP="00992AB6">
      <w:pPr>
        <w:pStyle w:val="5"/>
      </w:pPr>
      <w:r w:rsidRPr="007D602F">
        <w:t xml:space="preserve">  /METHOD=ENTER unemploymentrate GNI</w:t>
      </w:r>
    </w:p>
    <w:p w:rsidR="00657FEF" w:rsidRPr="007D602F" w:rsidRDefault="00657FEF" w:rsidP="00992AB6">
      <w:pPr>
        <w:pStyle w:val="5"/>
      </w:pPr>
      <w:r w:rsidRPr="007D602F">
        <w:t xml:space="preserve">  /CASEWISE PLOT(ZRESID) ALL.</w:t>
      </w:r>
    </w:p>
  </w:footnote>
  <w:footnote w:id="121">
    <w:p w:rsidR="00657FEF" w:rsidRPr="007D602F" w:rsidRDefault="00657FEF" w:rsidP="00992AB6">
      <w:pPr>
        <w:pStyle w:val="5"/>
        <w:rPr>
          <w:lang w:eastAsia="zh-TW"/>
        </w:rPr>
      </w:pPr>
      <w:r w:rsidRPr="007175B7">
        <w:rPr>
          <w:rStyle w:val="af7"/>
          <w:rFonts w:cs="Arial Unicode MS"/>
          <w:szCs w:val="20"/>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122">
    <w:p w:rsidR="00657FEF" w:rsidRPr="007D602F" w:rsidRDefault="00657FEF" w:rsidP="00992AB6">
      <w:pPr>
        <w:pStyle w:val="5"/>
        <w:rPr>
          <w:lang w:eastAsia="zh-TW"/>
        </w:rPr>
      </w:pPr>
      <w:r w:rsidRPr="00D20F89">
        <w:rPr>
          <w:rStyle w:val="af7"/>
          <w:rFonts w:eastAsia="新細明體" w:cs="Arial Unicode MS"/>
          <w:kern w:val="2"/>
          <w:szCs w:val="20"/>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123">
    <w:p w:rsidR="00657FEF" w:rsidRPr="007D602F" w:rsidRDefault="00657FEF" w:rsidP="00992AB6">
      <w:pPr>
        <w:pStyle w:val="5"/>
        <w:rPr>
          <w:lang w:eastAsia="zh-TW"/>
        </w:rPr>
      </w:pPr>
      <w:r w:rsidRPr="00E736D6">
        <w:rPr>
          <w:rStyle w:val="af7"/>
          <w:rFonts w:eastAsia="新細明體" w:cs="Arial Unicode MS"/>
          <w:kern w:val="2"/>
          <w:szCs w:val="20"/>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124">
    <w:p w:rsidR="00657FEF" w:rsidRPr="007D602F" w:rsidRDefault="00657FEF" w:rsidP="00992AB6">
      <w:pPr>
        <w:pStyle w:val="5"/>
        <w:rPr>
          <w:lang w:eastAsia="zh-TW"/>
        </w:rPr>
      </w:pPr>
      <w:r w:rsidRPr="00817A92">
        <w:rPr>
          <w:rStyle w:val="af7"/>
          <w:rFonts w:cs="Arial Unicode MS"/>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killingsentense</w:t>
      </w:r>
    </w:p>
    <w:p w:rsidR="00657FEF" w:rsidRPr="007D602F" w:rsidRDefault="00657FEF" w:rsidP="00992AB6">
      <w:pPr>
        <w:pStyle w:val="5"/>
      </w:pPr>
      <w:r w:rsidRPr="007D602F">
        <w:t xml:space="preserve">  /METHOD=STEPWISE unemploymentrate marrypair </w:t>
      </w:r>
      <w:r w:rsidRPr="007D602F">
        <w:t>死刑執行人數</w:t>
      </w:r>
      <w:r w:rsidRPr="007D602F">
        <w:t xml:space="preserve"> nonderterminsentence</w:t>
      </w:r>
    </w:p>
    <w:p w:rsidR="00657FEF" w:rsidRPr="007D602F" w:rsidRDefault="00657FEF" w:rsidP="00992AB6">
      <w:pPr>
        <w:pStyle w:val="5"/>
      </w:pPr>
      <w:r w:rsidRPr="007D602F">
        <w:t xml:space="preserve">  /CASEWISE PLOT(ZRESID) ALL.</w:t>
      </w:r>
    </w:p>
  </w:footnote>
  <w:footnote w:id="125">
    <w:p w:rsidR="00657FEF" w:rsidRPr="007D602F" w:rsidRDefault="00657FEF" w:rsidP="00992AB6">
      <w:pPr>
        <w:pStyle w:val="5"/>
      </w:pPr>
      <w:r w:rsidRPr="002031B1">
        <w:rPr>
          <w:rStyle w:val="af7"/>
          <w:rFonts w:eastAsia="新細明體" w:cs="Arial Unicode MS"/>
          <w:kern w:val="2"/>
          <w:szCs w:val="20"/>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26">
    <w:p w:rsidR="00657FEF" w:rsidRPr="007D602F" w:rsidRDefault="00657FEF" w:rsidP="00992AB6">
      <w:pPr>
        <w:pStyle w:val="5"/>
      </w:pPr>
      <w:r w:rsidRPr="00A14BAA">
        <w:rPr>
          <w:rStyle w:val="af7"/>
          <w:rFonts w:eastAsia="新細明體" w:cs="Arial Unicode MS"/>
          <w:kern w:val="2"/>
          <w:szCs w:val="20"/>
        </w:rPr>
        <w:footnoteRef/>
      </w:r>
      <w:r w:rsidRPr="00A14BAA">
        <w:rPr>
          <w:rFonts w:ascii="Arial Unicode MS" w:eastAsia="新細明體" w:hAnsi="Arial Unicode MS"/>
          <w:color w:val="FF6600"/>
          <w:kern w:val="2"/>
        </w:rPr>
        <w:t xml:space="preserve"> </w:t>
      </w:r>
      <w:r w:rsidRPr="007D602F">
        <w:t>SPSS</w:t>
      </w:r>
      <w:r w:rsidRPr="007D602F">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killingsentense</w:t>
      </w:r>
    </w:p>
    <w:p w:rsidR="00657FEF" w:rsidRPr="007D602F" w:rsidRDefault="00657FEF" w:rsidP="00992AB6">
      <w:pPr>
        <w:pStyle w:val="5"/>
      </w:pPr>
      <w:r w:rsidRPr="007D602F">
        <w:t xml:space="preserve">  /METHOD=ENTER unemploymentrate marrypair </w:t>
      </w:r>
      <w:r w:rsidRPr="007D602F">
        <w:t>死刑執行人數</w:t>
      </w:r>
      <w:r w:rsidRPr="007D602F">
        <w:t xml:space="preserve"> nonderterminsentence</w:t>
      </w:r>
    </w:p>
    <w:p w:rsidR="00657FEF" w:rsidRPr="007D602F" w:rsidRDefault="00657FEF" w:rsidP="00992AB6">
      <w:pPr>
        <w:pStyle w:val="5"/>
      </w:pPr>
      <w:r w:rsidRPr="007D602F">
        <w:t xml:space="preserve">  /CASEWISE PLOT(ZRESID) ALL.</w:t>
      </w:r>
    </w:p>
  </w:footnote>
  <w:footnote w:id="127">
    <w:p w:rsidR="00657FEF" w:rsidRPr="007D602F" w:rsidRDefault="00657FEF" w:rsidP="00992AB6">
      <w:pPr>
        <w:pStyle w:val="5"/>
      </w:pPr>
      <w:r w:rsidRPr="007175B7">
        <w:rPr>
          <w:rStyle w:val="af7"/>
          <w:rFonts w:cs="Arial Unicode MS"/>
          <w:szCs w:val="20"/>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28">
    <w:p w:rsidR="00657FEF" w:rsidRPr="007D602F" w:rsidRDefault="00657FEF" w:rsidP="00992AB6">
      <w:pPr>
        <w:pStyle w:val="5"/>
        <w:rPr>
          <w:lang w:eastAsia="zh-TW"/>
        </w:rPr>
      </w:pPr>
      <w:r w:rsidRPr="007175B7">
        <w:rPr>
          <w:rStyle w:val="af7"/>
          <w:rFonts w:cs="Arial Unicode MS"/>
          <w:szCs w:val="20"/>
        </w:rPr>
        <w:footnoteRef/>
      </w:r>
      <w:r w:rsidRPr="007D602F">
        <w:t>所謂「絶對數模式」，乃指影響犯罪率之各個自變項之「絶對數值」，對犯罪率「絶對數值」之影響與效果；而所謂之「相對數模式」，乃指影響犯罪率之各個自變項之「相對數值」（自變數之變化），對犯罪率「相對數值」之影響與效果。</w:t>
      </w:r>
      <w:r w:rsidRPr="007D602F">
        <w:rPr>
          <w:lang w:eastAsia="zh-TW"/>
        </w:rPr>
        <w:t>相對數模式之定義，乃指前一年自變數之「變化」，是否亦會牽動與影響後一年犯罪率之變化。茲舉一例說明自變數之「相對數值」，以失業率為例，如前一年之失業率，係</w:t>
      </w:r>
      <w:r w:rsidRPr="007D602F">
        <w:rPr>
          <w:lang w:eastAsia="zh-TW"/>
        </w:rPr>
        <w:t>4</w:t>
      </w:r>
      <w:r w:rsidRPr="007D602F">
        <w:rPr>
          <w:lang w:eastAsia="zh-TW"/>
        </w:rPr>
        <w:t>％，而今年之失業率係</w:t>
      </w:r>
      <w:r w:rsidRPr="007D602F">
        <w:rPr>
          <w:lang w:eastAsia="zh-TW"/>
        </w:rPr>
        <w:t>5</w:t>
      </w:r>
      <w:r w:rsidRPr="007D602F">
        <w:rPr>
          <w:lang w:eastAsia="zh-TW"/>
        </w:rPr>
        <w:t>％，「相對數值」為</w:t>
      </w:r>
      <w:r w:rsidRPr="007D602F">
        <w:rPr>
          <w:lang w:eastAsia="zh-TW"/>
        </w:rPr>
        <w:t>5-4</w:t>
      </w:r>
      <w:r w:rsidRPr="007D602F">
        <w:rPr>
          <w:lang w:eastAsia="zh-TW"/>
        </w:rPr>
        <w:t>＝</w:t>
      </w:r>
      <w:r w:rsidRPr="007D602F">
        <w:rPr>
          <w:lang w:eastAsia="zh-TW"/>
        </w:rPr>
        <w:t>1</w:t>
      </w:r>
      <w:r w:rsidRPr="007D602F">
        <w:rPr>
          <w:lang w:eastAsia="zh-TW"/>
        </w:rPr>
        <w:t>；亦即，失業率之變化（相對數值），係為</w:t>
      </w:r>
      <w:r w:rsidRPr="007D602F">
        <w:rPr>
          <w:lang w:eastAsia="zh-TW"/>
        </w:rPr>
        <w:t>+1</w:t>
      </w:r>
      <w:r w:rsidRPr="007D602F">
        <w:rPr>
          <w:lang w:eastAsia="zh-TW"/>
        </w:rPr>
        <w:t>。請參閱：許春金、吳景芳、李湧清、曾正一、許金標、蔡田木</w:t>
      </w:r>
      <w:r w:rsidRPr="007D602F">
        <w:rPr>
          <w:lang w:eastAsia="zh-TW"/>
        </w:rPr>
        <w:t>(1994)</w:t>
      </w:r>
      <w:r w:rsidRPr="007D602F">
        <w:rPr>
          <w:lang w:eastAsia="zh-TW"/>
        </w:rPr>
        <w:t>，死刑存廢之探討，台北：行政院研究發展考核委員會編</w:t>
      </w:r>
    </w:p>
  </w:footnote>
  <w:footnote w:id="129">
    <w:p w:rsidR="00657FEF" w:rsidRPr="007D602F" w:rsidRDefault="00657FEF" w:rsidP="00992AB6">
      <w:pPr>
        <w:pStyle w:val="5"/>
      </w:pPr>
      <w:r w:rsidRPr="00E736D6">
        <w:rPr>
          <w:rStyle w:val="af7"/>
          <w:rFonts w:eastAsia="新細明體" w:cs="Arial Unicode MS"/>
          <w:kern w:val="2"/>
          <w:szCs w:val="20"/>
        </w:rPr>
        <w:footnoteRef/>
      </w:r>
      <w:r w:rsidRPr="007D602F">
        <w:t xml:space="preserve"> -1.668(E-04) =-0.0001668</w:t>
      </w:r>
    </w:p>
  </w:footnote>
  <w:footnote w:id="130">
    <w:p w:rsidR="00657FEF" w:rsidRPr="007D602F" w:rsidRDefault="00657FEF" w:rsidP="00992AB6">
      <w:pPr>
        <w:pStyle w:val="5"/>
      </w:pPr>
      <w:r w:rsidRPr="00E736D6">
        <w:rPr>
          <w:rStyle w:val="af7"/>
          <w:rFonts w:eastAsia="新細明體" w:cs="Arial Unicode MS"/>
          <w:kern w:val="2"/>
          <w:szCs w:val="20"/>
        </w:rPr>
        <w:footnoteRef/>
      </w:r>
      <w:r w:rsidRPr="00E736D6">
        <w:rPr>
          <w:rFonts w:ascii="Arial Unicode MS" w:eastAsia="新細明體" w:hAnsi="Arial Unicode MS"/>
          <w:color w:val="FF6600"/>
          <w:kern w:val="2"/>
        </w:rPr>
        <w:t xml:space="preserve"> </w:t>
      </w:r>
      <w:r w:rsidRPr="007D602F">
        <w:t>4.889(E-04)=0.0004889</w:t>
      </w:r>
    </w:p>
  </w:footnote>
  <w:footnote w:id="131">
    <w:p w:rsidR="00657FEF" w:rsidRPr="007D602F" w:rsidRDefault="00657FEF" w:rsidP="00992AB6">
      <w:pPr>
        <w:pStyle w:val="5"/>
      </w:pPr>
      <w:r w:rsidRPr="00E736D6">
        <w:rPr>
          <w:rStyle w:val="af7"/>
          <w:rFonts w:eastAsia="新細明體" w:cs="Arial Unicode MS"/>
          <w:kern w:val="2"/>
          <w:szCs w:val="20"/>
        </w:rPr>
        <w:footnoteRef/>
      </w:r>
      <w:r w:rsidRPr="007D602F">
        <w:t xml:space="preserve"> 3.80(E-04)=0.000380</w:t>
      </w:r>
    </w:p>
  </w:footnote>
  <w:footnote w:id="132">
    <w:p w:rsidR="00657FEF" w:rsidRPr="007D602F" w:rsidRDefault="00657FEF" w:rsidP="00992AB6">
      <w:pPr>
        <w:pStyle w:val="5"/>
      </w:pPr>
      <w:r w:rsidRPr="00E736D6">
        <w:rPr>
          <w:rStyle w:val="af7"/>
          <w:rFonts w:eastAsia="新細明體" w:cs="Arial Unicode MS"/>
          <w:kern w:val="2"/>
          <w:szCs w:val="20"/>
        </w:rPr>
        <w:footnoteRef/>
      </w:r>
      <w:r w:rsidRPr="00E736D6">
        <w:rPr>
          <w:rFonts w:ascii="Arial Unicode MS" w:eastAsia="新細明體" w:hAnsi="Arial Unicode MS"/>
          <w:color w:val="FF6600"/>
          <w:kern w:val="2"/>
        </w:rPr>
        <w:t xml:space="preserve"> </w:t>
      </w:r>
      <w:r w:rsidRPr="007D602F">
        <w:t>9.743(E-07)=0.0000009743</w:t>
      </w:r>
    </w:p>
  </w:footnote>
  <w:footnote w:id="133">
    <w:p w:rsidR="00657FEF" w:rsidRPr="007D602F" w:rsidRDefault="00657FEF" w:rsidP="00992AB6">
      <w:pPr>
        <w:pStyle w:val="5"/>
      </w:pPr>
      <w:r w:rsidRPr="007175B7">
        <w:rPr>
          <w:rStyle w:val="af7"/>
          <w:rFonts w:cs="Arial Unicode MS"/>
          <w:szCs w:val="20"/>
        </w:rPr>
        <w:footnoteRef/>
      </w:r>
      <w:r w:rsidRPr="007D602F">
        <w:t xml:space="preserve"> -3.499(E-05)=-0.00003499</w:t>
      </w:r>
    </w:p>
  </w:footnote>
  <w:footnote w:id="134">
    <w:p w:rsidR="00657FEF" w:rsidRPr="007D602F" w:rsidRDefault="00657FEF" w:rsidP="00992AB6">
      <w:pPr>
        <w:pStyle w:val="5"/>
      </w:pPr>
      <w:r w:rsidRPr="007175B7">
        <w:rPr>
          <w:rStyle w:val="af7"/>
          <w:rFonts w:cs="Arial Unicode MS"/>
          <w:szCs w:val="20"/>
        </w:rPr>
        <w:footnoteRef/>
      </w:r>
      <w:r w:rsidRPr="007175B7">
        <w:rPr>
          <w:color w:val="FF6600"/>
        </w:rPr>
        <w:t xml:space="preserve"> </w:t>
      </w:r>
      <w:r w:rsidRPr="007D602F">
        <w:t>-4.434(E-04)=-0.0004434</w:t>
      </w:r>
    </w:p>
  </w:footnote>
  <w:footnote w:id="135">
    <w:p w:rsidR="00657FEF" w:rsidRPr="007D602F" w:rsidRDefault="00657FEF" w:rsidP="00992AB6">
      <w:pPr>
        <w:pStyle w:val="5"/>
      </w:pPr>
      <w:r w:rsidRPr="007175B7">
        <w:rPr>
          <w:rStyle w:val="af7"/>
          <w:rFonts w:cs="Arial Unicode MS"/>
          <w:szCs w:val="20"/>
        </w:rPr>
        <w:footnoteRef/>
      </w:r>
      <w:r w:rsidRPr="007175B7">
        <w:rPr>
          <w:color w:val="FF6600"/>
        </w:rPr>
        <w:t xml:space="preserve"> </w:t>
      </w:r>
      <w:r w:rsidRPr="007D602F">
        <w:t>-1.228(E-06)=-0.000001228</w:t>
      </w:r>
    </w:p>
  </w:footnote>
  <w:footnote w:id="136">
    <w:p w:rsidR="00657FEF" w:rsidRPr="007D602F" w:rsidRDefault="00657FEF" w:rsidP="00992AB6">
      <w:pPr>
        <w:pStyle w:val="5"/>
      </w:pPr>
      <w:r w:rsidRPr="003409A9">
        <w:rPr>
          <w:rStyle w:val="af7"/>
          <w:rFonts w:eastAsia="新細明體" w:cs="Arial Unicode MS"/>
          <w:kern w:val="2"/>
          <w:szCs w:val="20"/>
        </w:rPr>
        <w:footnoteRef/>
      </w:r>
      <w:r w:rsidRPr="007D602F">
        <w:t xml:space="preserve"> -8.697(E-04)=-0.0008697</w:t>
      </w:r>
    </w:p>
  </w:footnote>
  <w:footnote w:id="137">
    <w:p w:rsidR="00657FEF" w:rsidRPr="007D602F" w:rsidRDefault="00657FEF" w:rsidP="00992AB6">
      <w:pPr>
        <w:pStyle w:val="5"/>
      </w:pPr>
      <w:r w:rsidRPr="003409A9">
        <w:rPr>
          <w:rStyle w:val="af7"/>
          <w:rFonts w:eastAsia="新細明體" w:cs="Arial Unicode MS"/>
          <w:kern w:val="2"/>
          <w:szCs w:val="20"/>
        </w:rPr>
        <w:footnoteRef/>
      </w:r>
      <w:r w:rsidRPr="007D602F">
        <w:t xml:space="preserve"> SPSS</w:t>
      </w:r>
      <w:r w:rsidRPr="007D602F">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w:t>
      </w:r>
      <w:r w:rsidRPr="007D602F">
        <w:t>擄人勒贖</w:t>
      </w:r>
    </w:p>
    <w:p w:rsidR="00657FEF" w:rsidRPr="007D602F" w:rsidRDefault="00657FEF" w:rsidP="00992AB6">
      <w:pPr>
        <w:pStyle w:val="5"/>
      </w:pPr>
      <w:r w:rsidRPr="007D602F">
        <w:t xml:space="preserve">  /METHOD=ENTER unemploymentrate marrypair GNI</w:t>
      </w:r>
    </w:p>
    <w:p w:rsidR="00657FEF" w:rsidRPr="007D602F" w:rsidRDefault="00657FEF" w:rsidP="00992AB6">
      <w:pPr>
        <w:pStyle w:val="5"/>
      </w:pPr>
      <w:r w:rsidRPr="007D602F">
        <w:t xml:space="preserve">  /CASEWISE PLOT(ZRESID) ALL.</w:t>
      </w:r>
    </w:p>
  </w:footnote>
  <w:footnote w:id="138">
    <w:p w:rsidR="00657FEF" w:rsidRPr="007D602F" w:rsidRDefault="00657FEF" w:rsidP="00992AB6">
      <w:pPr>
        <w:pStyle w:val="5"/>
      </w:pPr>
      <w:r w:rsidRPr="007175B7">
        <w:rPr>
          <w:rStyle w:val="af7"/>
          <w:rFonts w:cs="Arial Unicode MS"/>
          <w:szCs w:val="20"/>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39">
    <w:p w:rsidR="00657FEF" w:rsidRPr="007D602F" w:rsidRDefault="00657FEF" w:rsidP="00992AB6">
      <w:pPr>
        <w:pStyle w:val="5"/>
        <w:rPr>
          <w:lang w:eastAsia="zh-TW"/>
        </w:rPr>
      </w:pPr>
      <w:r w:rsidRPr="007175B7">
        <w:rPr>
          <w:rStyle w:val="af7"/>
          <w:rFonts w:cs="Arial Unicode MS"/>
          <w:szCs w:val="20"/>
        </w:rPr>
        <w:footnoteRef/>
      </w:r>
      <w:r w:rsidRPr="007175B7">
        <w:rPr>
          <w:color w:val="FF6600"/>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/NOORIGIN</w:t>
      </w:r>
    </w:p>
    <w:p w:rsidR="00657FEF" w:rsidRPr="007D602F" w:rsidRDefault="00657FEF" w:rsidP="00992AB6">
      <w:pPr>
        <w:pStyle w:val="5"/>
      </w:pPr>
      <w:r w:rsidRPr="007D602F">
        <w:t xml:space="preserve">  /DEPENDENT kidnapnext</w:t>
      </w:r>
    </w:p>
    <w:p w:rsidR="00657FEF" w:rsidRPr="007D602F" w:rsidRDefault="00657FEF" w:rsidP="00992AB6">
      <w:pPr>
        <w:pStyle w:val="5"/>
      </w:pPr>
      <w:r w:rsidRPr="007D602F">
        <w:t xml:space="preserve">  /METHOD=STEPWISE unemploymentrate probationrate</w:t>
      </w:r>
    </w:p>
    <w:p w:rsidR="00657FEF" w:rsidRPr="007D602F" w:rsidRDefault="00657FEF" w:rsidP="00992AB6">
      <w:pPr>
        <w:pStyle w:val="5"/>
      </w:pPr>
      <w:r w:rsidRPr="007D602F">
        <w:t xml:space="preserve">  /CASEWISE PLOT(ZRESID) ALL.</w:t>
      </w:r>
    </w:p>
  </w:footnote>
  <w:footnote w:id="140">
    <w:p w:rsidR="00657FEF" w:rsidRPr="007D602F" w:rsidRDefault="00657FEF" w:rsidP="00992AB6">
      <w:pPr>
        <w:pStyle w:val="5"/>
        <w:rPr>
          <w:lang w:eastAsia="zh-TW"/>
        </w:rPr>
      </w:pPr>
      <w:r w:rsidRPr="003409A9">
        <w:rPr>
          <w:rStyle w:val="af7"/>
          <w:rFonts w:eastAsia="新細明體" w:cs="Arial Unicode MS"/>
          <w:kern w:val="2"/>
          <w:szCs w:val="20"/>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141">
    <w:p w:rsidR="00657FEF" w:rsidRPr="007D602F" w:rsidRDefault="00657FEF" w:rsidP="00992AB6">
      <w:pPr>
        <w:pStyle w:val="5"/>
        <w:rPr>
          <w:lang w:eastAsia="zh-TW"/>
        </w:rPr>
      </w:pPr>
      <w:r w:rsidRPr="003409A9">
        <w:rPr>
          <w:rStyle w:val="af7"/>
          <w:rFonts w:eastAsia="新細明體" w:cs="Arial Unicode MS"/>
          <w:kern w:val="2"/>
          <w:szCs w:val="20"/>
        </w:rPr>
        <w:footnoteRef/>
      </w:r>
      <w:r w:rsidRPr="007D602F">
        <w:rPr>
          <w:lang w:eastAsia="zh-TW"/>
        </w:rPr>
        <w:t>許福生</w:t>
      </w:r>
      <w:r w:rsidRPr="007D602F">
        <w:rPr>
          <w:lang w:eastAsia="zh-TW"/>
        </w:rPr>
        <w:t>(2016)</w:t>
      </w:r>
      <w:r w:rsidRPr="007D602F">
        <w:rPr>
          <w:lang w:eastAsia="zh-TW"/>
        </w:rPr>
        <w:t>，犯罪學與犯罪預防，台北：元照。</w:t>
      </w:r>
    </w:p>
    <w:p w:rsidR="00657FEF" w:rsidRPr="007D602F" w:rsidRDefault="00657FEF" w:rsidP="00992AB6">
      <w:pPr>
        <w:pStyle w:val="5"/>
        <w:rPr>
          <w:lang w:eastAsia="zh-TW"/>
        </w:rPr>
      </w:pPr>
      <w:r w:rsidRPr="007D602F">
        <w:rPr>
          <w:lang w:eastAsia="zh-TW"/>
        </w:rPr>
        <w:t>許春金</w:t>
      </w:r>
      <w:r w:rsidRPr="007D602F">
        <w:rPr>
          <w:lang w:eastAsia="zh-TW"/>
        </w:rPr>
        <w:t>(2003)</w:t>
      </w:r>
      <w:r w:rsidRPr="007D602F">
        <w:rPr>
          <w:lang w:eastAsia="zh-TW"/>
        </w:rPr>
        <w:t>，犯罪學，桃園：中央警察大學。</w:t>
      </w:r>
    </w:p>
    <w:p w:rsidR="00657FEF" w:rsidRPr="007D602F" w:rsidRDefault="00657FEF" w:rsidP="00992AB6">
      <w:pPr>
        <w:pStyle w:val="5"/>
        <w:rPr>
          <w:lang w:eastAsia="zh-TW"/>
        </w:rPr>
      </w:pPr>
      <w:r w:rsidRPr="007D602F">
        <w:rPr>
          <w:lang w:eastAsia="zh-TW"/>
        </w:rPr>
        <w:t>許春金</w:t>
      </w:r>
      <w:r w:rsidRPr="007D602F">
        <w:rPr>
          <w:lang w:eastAsia="zh-TW"/>
        </w:rPr>
        <w:t>(2006)</w:t>
      </w:r>
      <w:r w:rsidRPr="007D602F">
        <w:rPr>
          <w:lang w:eastAsia="zh-TW"/>
        </w:rPr>
        <w:t>，人本犯罪學</w:t>
      </w:r>
      <w:r w:rsidRPr="007D602F">
        <w:rPr>
          <w:lang w:eastAsia="zh-TW"/>
        </w:rPr>
        <w:t>---</w:t>
      </w:r>
      <w:r w:rsidRPr="007D602F">
        <w:rPr>
          <w:lang w:eastAsia="zh-TW"/>
        </w:rPr>
        <w:t>控制理論與修復式正義，台北：三民書局。</w:t>
      </w:r>
    </w:p>
    <w:p w:rsidR="00657FEF" w:rsidRPr="007D602F" w:rsidRDefault="00657FEF" w:rsidP="00992AB6">
      <w:pPr>
        <w:pStyle w:val="5"/>
        <w:rPr>
          <w:lang w:eastAsia="zh-TW"/>
        </w:rPr>
      </w:pPr>
      <w:r w:rsidRPr="007D602F">
        <w:rPr>
          <w:lang w:eastAsia="zh-TW"/>
        </w:rPr>
        <w:t>許春金</w:t>
      </w:r>
      <w:r w:rsidRPr="007D602F">
        <w:rPr>
          <w:lang w:eastAsia="zh-TW"/>
        </w:rPr>
        <w:t>(2007)</w:t>
      </w:r>
      <w:r w:rsidRPr="007D602F">
        <w:rPr>
          <w:lang w:eastAsia="zh-TW"/>
        </w:rPr>
        <w:t>，犯罪學，修訂第五版。臺北：三民。</w:t>
      </w:r>
    </w:p>
    <w:p w:rsidR="00657FEF" w:rsidRPr="007D602F" w:rsidRDefault="00657FEF" w:rsidP="00992AB6">
      <w:pPr>
        <w:pStyle w:val="5"/>
        <w:rPr>
          <w:lang w:eastAsia="zh-TW"/>
        </w:rPr>
      </w:pPr>
      <w:r w:rsidRPr="007D602F">
        <w:rPr>
          <w:lang w:eastAsia="zh-TW"/>
        </w:rPr>
        <w:t>許春金</w:t>
      </w:r>
      <w:r w:rsidRPr="007D602F">
        <w:rPr>
          <w:lang w:eastAsia="zh-TW"/>
        </w:rPr>
        <w:t>(2010)</w:t>
      </w:r>
      <w:r w:rsidRPr="007D602F">
        <w:rPr>
          <w:lang w:eastAsia="zh-TW"/>
        </w:rPr>
        <w:t>，犯罪學修訂六版。臺北市：三民書局。</w:t>
      </w:r>
    </w:p>
    <w:p w:rsidR="00657FEF" w:rsidRPr="007D602F" w:rsidRDefault="00657FEF" w:rsidP="00992AB6">
      <w:pPr>
        <w:pStyle w:val="5"/>
        <w:rPr>
          <w:lang w:eastAsia="zh-TW"/>
        </w:rPr>
      </w:pPr>
      <w:r w:rsidRPr="007D602F">
        <w:rPr>
          <w:lang w:eastAsia="zh-TW"/>
        </w:rPr>
        <w:t>許春金</w:t>
      </w:r>
      <w:r w:rsidRPr="007D602F">
        <w:rPr>
          <w:lang w:eastAsia="zh-TW"/>
        </w:rPr>
        <w:t>(2013)</w:t>
      </w:r>
      <w:r w:rsidRPr="007D602F">
        <w:rPr>
          <w:lang w:eastAsia="zh-TW"/>
        </w:rPr>
        <w:t>，犯罪學，修訂</w:t>
      </w:r>
      <w:r w:rsidRPr="007D602F">
        <w:rPr>
          <w:lang w:eastAsia="zh-TW"/>
        </w:rPr>
        <w:t>7</w:t>
      </w:r>
      <w:r w:rsidRPr="007D602F">
        <w:rPr>
          <w:lang w:eastAsia="zh-TW"/>
        </w:rPr>
        <w:t>版，台北：三民，頁</w:t>
      </w:r>
      <w:r w:rsidRPr="007D602F">
        <w:rPr>
          <w:lang w:eastAsia="zh-TW"/>
        </w:rPr>
        <w:t>10-795</w:t>
      </w:r>
      <w:r w:rsidRPr="007D602F">
        <w:rPr>
          <w:lang w:eastAsia="zh-TW"/>
        </w:rPr>
        <w:t>。</w:t>
      </w:r>
    </w:p>
    <w:p w:rsidR="00657FEF" w:rsidRPr="007D602F" w:rsidRDefault="00657FEF" w:rsidP="00992AB6">
      <w:pPr>
        <w:pStyle w:val="5"/>
        <w:rPr>
          <w:lang w:eastAsia="zh-TW"/>
        </w:rPr>
      </w:pPr>
      <w:r w:rsidRPr="007D602F">
        <w:rPr>
          <w:lang w:eastAsia="zh-TW"/>
        </w:rPr>
        <w:t>許春金，陳玉書</w:t>
      </w:r>
      <w:r w:rsidRPr="007D602F">
        <w:rPr>
          <w:lang w:eastAsia="zh-TW"/>
        </w:rPr>
        <w:t>(2013)</w:t>
      </w:r>
      <w:r w:rsidRPr="007D602F">
        <w:rPr>
          <w:lang w:eastAsia="zh-TW"/>
        </w:rPr>
        <w:t>，犯罪預防與犯罪分析，二版，台北：三民。</w:t>
      </w:r>
    </w:p>
  </w:footnote>
  <w:footnote w:id="142">
    <w:p w:rsidR="00657FEF" w:rsidRPr="007D602F" w:rsidRDefault="00657FEF" w:rsidP="00992AB6">
      <w:pPr>
        <w:pStyle w:val="5"/>
        <w:rPr>
          <w:lang w:eastAsia="zh-TW"/>
        </w:rPr>
      </w:pPr>
      <w:r w:rsidRPr="00817A92">
        <w:rPr>
          <w:rStyle w:val="af7"/>
          <w:rFonts w:cs="Arial Unicode MS"/>
          <w:szCs w:val="20"/>
        </w:rPr>
        <w:footnoteRef/>
      </w:r>
      <w:r w:rsidRPr="007D602F">
        <w:rPr>
          <w:lang w:eastAsia="zh-TW"/>
        </w:rPr>
        <w:t>許福生</w:t>
      </w:r>
      <w:r w:rsidRPr="007D602F">
        <w:rPr>
          <w:lang w:eastAsia="zh-TW"/>
        </w:rPr>
        <w:t>(2016)</w:t>
      </w:r>
      <w:r w:rsidRPr="007D602F">
        <w:rPr>
          <w:lang w:eastAsia="zh-TW"/>
        </w:rPr>
        <w:t>，犯罪學與犯罪預防，台北：元照。</w:t>
      </w:r>
    </w:p>
    <w:p w:rsidR="00657FEF" w:rsidRPr="007D602F" w:rsidRDefault="00657FEF" w:rsidP="00992AB6">
      <w:pPr>
        <w:pStyle w:val="5"/>
        <w:rPr>
          <w:lang w:eastAsia="zh-TW"/>
        </w:rPr>
      </w:pPr>
      <w:r w:rsidRPr="007D602F">
        <w:rPr>
          <w:lang w:eastAsia="zh-TW"/>
        </w:rPr>
        <w:t>許春金</w:t>
      </w:r>
      <w:r w:rsidRPr="007D602F">
        <w:rPr>
          <w:lang w:eastAsia="zh-TW"/>
        </w:rPr>
        <w:t>(2003)</w:t>
      </w:r>
      <w:r w:rsidRPr="007D602F">
        <w:rPr>
          <w:lang w:eastAsia="zh-TW"/>
        </w:rPr>
        <w:t>，犯罪學，桃園：中央警察大學。</w:t>
      </w:r>
    </w:p>
    <w:p w:rsidR="00657FEF" w:rsidRPr="007D602F" w:rsidRDefault="00657FEF" w:rsidP="00992AB6">
      <w:pPr>
        <w:pStyle w:val="5"/>
        <w:rPr>
          <w:lang w:eastAsia="zh-TW"/>
        </w:rPr>
      </w:pPr>
      <w:r w:rsidRPr="007D602F">
        <w:rPr>
          <w:lang w:eastAsia="zh-TW"/>
        </w:rPr>
        <w:t>許春金</w:t>
      </w:r>
      <w:r w:rsidRPr="007D602F">
        <w:rPr>
          <w:lang w:eastAsia="zh-TW"/>
        </w:rPr>
        <w:t>(2006)</w:t>
      </w:r>
      <w:r w:rsidRPr="007D602F">
        <w:rPr>
          <w:lang w:eastAsia="zh-TW"/>
        </w:rPr>
        <w:t>，人本犯罪學</w:t>
      </w:r>
      <w:r w:rsidRPr="007D602F">
        <w:rPr>
          <w:lang w:eastAsia="zh-TW"/>
        </w:rPr>
        <w:t>---</w:t>
      </w:r>
      <w:r w:rsidRPr="007D602F">
        <w:rPr>
          <w:lang w:eastAsia="zh-TW"/>
        </w:rPr>
        <w:t>控制理論與修復式正義，台北：三民書局。</w:t>
      </w:r>
    </w:p>
    <w:p w:rsidR="00657FEF" w:rsidRPr="007D602F" w:rsidRDefault="00657FEF" w:rsidP="00992AB6">
      <w:pPr>
        <w:pStyle w:val="5"/>
        <w:rPr>
          <w:lang w:eastAsia="zh-TW"/>
        </w:rPr>
      </w:pPr>
      <w:r w:rsidRPr="007D602F">
        <w:rPr>
          <w:lang w:eastAsia="zh-TW"/>
        </w:rPr>
        <w:t>許春金</w:t>
      </w:r>
      <w:r w:rsidRPr="007D602F">
        <w:rPr>
          <w:lang w:eastAsia="zh-TW"/>
        </w:rPr>
        <w:t>(2007)</w:t>
      </w:r>
      <w:r w:rsidRPr="007D602F">
        <w:rPr>
          <w:lang w:eastAsia="zh-TW"/>
        </w:rPr>
        <w:t>，犯罪學，修訂第五版。臺北：三民。</w:t>
      </w:r>
    </w:p>
    <w:p w:rsidR="00657FEF" w:rsidRPr="007D602F" w:rsidRDefault="00657FEF" w:rsidP="00992AB6">
      <w:pPr>
        <w:pStyle w:val="5"/>
        <w:rPr>
          <w:lang w:eastAsia="zh-TW"/>
        </w:rPr>
      </w:pPr>
      <w:r w:rsidRPr="007D602F">
        <w:rPr>
          <w:lang w:eastAsia="zh-TW"/>
        </w:rPr>
        <w:t>許春金</w:t>
      </w:r>
      <w:r w:rsidRPr="007D602F">
        <w:rPr>
          <w:lang w:eastAsia="zh-TW"/>
        </w:rPr>
        <w:t>(2010)</w:t>
      </w:r>
      <w:r w:rsidRPr="007D602F">
        <w:rPr>
          <w:lang w:eastAsia="zh-TW"/>
        </w:rPr>
        <w:t>，犯罪學修訂六版。臺北市：三民書局。</w:t>
      </w:r>
    </w:p>
    <w:p w:rsidR="00657FEF" w:rsidRPr="007D602F" w:rsidRDefault="00657FEF" w:rsidP="00992AB6">
      <w:pPr>
        <w:pStyle w:val="5"/>
        <w:rPr>
          <w:lang w:eastAsia="zh-TW"/>
        </w:rPr>
      </w:pPr>
      <w:r w:rsidRPr="007D602F">
        <w:rPr>
          <w:lang w:eastAsia="zh-TW"/>
        </w:rPr>
        <w:t>許春金</w:t>
      </w:r>
      <w:r w:rsidRPr="007D602F">
        <w:rPr>
          <w:lang w:eastAsia="zh-TW"/>
        </w:rPr>
        <w:t>(2013)</w:t>
      </w:r>
      <w:r w:rsidRPr="007D602F">
        <w:rPr>
          <w:lang w:eastAsia="zh-TW"/>
        </w:rPr>
        <w:t>，犯罪學，修訂</w:t>
      </w:r>
      <w:r w:rsidRPr="007D602F">
        <w:rPr>
          <w:lang w:eastAsia="zh-TW"/>
        </w:rPr>
        <w:t>7</w:t>
      </w:r>
      <w:r w:rsidRPr="007D602F">
        <w:rPr>
          <w:lang w:eastAsia="zh-TW"/>
        </w:rPr>
        <w:t>版，台北：三民，頁</w:t>
      </w:r>
      <w:r w:rsidRPr="007D602F">
        <w:rPr>
          <w:lang w:eastAsia="zh-TW"/>
        </w:rPr>
        <w:t>10-795</w:t>
      </w:r>
      <w:r w:rsidRPr="007D602F">
        <w:rPr>
          <w:lang w:eastAsia="zh-TW"/>
        </w:rPr>
        <w:t>。</w:t>
      </w:r>
    </w:p>
    <w:p w:rsidR="00657FEF" w:rsidRPr="007D602F" w:rsidRDefault="00657FEF" w:rsidP="00992AB6">
      <w:pPr>
        <w:pStyle w:val="5"/>
        <w:rPr>
          <w:lang w:eastAsia="zh-TW"/>
        </w:rPr>
      </w:pPr>
      <w:r w:rsidRPr="007D602F">
        <w:rPr>
          <w:lang w:eastAsia="zh-TW"/>
        </w:rPr>
        <w:t>許春金，陳玉書</w:t>
      </w:r>
      <w:r w:rsidRPr="007D602F">
        <w:rPr>
          <w:lang w:eastAsia="zh-TW"/>
        </w:rPr>
        <w:t>(2013)</w:t>
      </w:r>
      <w:r w:rsidRPr="007D602F">
        <w:rPr>
          <w:lang w:eastAsia="zh-TW"/>
        </w:rPr>
        <w:t>，犯罪預防與犯罪分析，二版，台北：三民。</w:t>
      </w:r>
    </w:p>
  </w:footnote>
  <w:footnote w:id="143">
    <w:p w:rsidR="00657FEF" w:rsidRPr="007D602F" w:rsidRDefault="00657FEF" w:rsidP="00992AB6">
      <w:pPr>
        <w:pStyle w:val="5"/>
        <w:rPr>
          <w:lang w:eastAsia="zh-TW"/>
        </w:rPr>
      </w:pPr>
      <w:r w:rsidRPr="00817A92">
        <w:rPr>
          <w:rStyle w:val="af7"/>
          <w:rFonts w:cs="Arial Unicode MS"/>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kidnapnext</w:t>
      </w:r>
    </w:p>
    <w:p w:rsidR="00657FEF" w:rsidRPr="007D602F" w:rsidRDefault="00657FEF" w:rsidP="00992AB6">
      <w:pPr>
        <w:pStyle w:val="5"/>
      </w:pPr>
      <w:r w:rsidRPr="007D602F">
        <w:t xml:space="preserve">  /METHOD=ENTER unemploymentrate marrypair over35manunmarryrate GNI</w:t>
      </w:r>
    </w:p>
    <w:p w:rsidR="00657FEF" w:rsidRPr="007D602F" w:rsidRDefault="00657FEF" w:rsidP="00992AB6">
      <w:pPr>
        <w:pStyle w:val="5"/>
      </w:pPr>
      <w:r w:rsidRPr="007D602F">
        <w:t xml:space="preserve">  /CASEWISE PLOT(ZRESID) ALL.</w:t>
      </w:r>
    </w:p>
  </w:footnote>
  <w:footnote w:id="144">
    <w:p w:rsidR="00657FEF" w:rsidRPr="007D602F" w:rsidRDefault="00657FEF" w:rsidP="00992AB6">
      <w:pPr>
        <w:pStyle w:val="5"/>
      </w:pPr>
      <w:r w:rsidRPr="00817A92">
        <w:rPr>
          <w:rStyle w:val="af7"/>
          <w:rFonts w:cs="Arial Unicode MS"/>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45">
    <w:p w:rsidR="00657FEF" w:rsidRPr="007D602F" w:rsidRDefault="00657FEF" w:rsidP="00992AB6">
      <w:pPr>
        <w:pStyle w:val="5"/>
      </w:pPr>
      <w:r w:rsidRPr="003409A9">
        <w:rPr>
          <w:rStyle w:val="af7"/>
          <w:rFonts w:eastAsia="新細明體" w:cs="Arial Unicode MS"/>
          <w:kern w:val="2"/>
          <w:szCs w:val="20"/>
        </w:rPr>
        <w:footnoteRef/>
      </w:r>
      <w:r w:rsidRPr="007D602F">
        <w:t xml:space="preserve"> SPSS</w:t>
      </w:r>
      <w:r w:rsidRPr="007D602F">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w:t>
      </w:r>
      <w:r w:rsidRPr="007D602F">
        <w:t>重大恐嚇取財</w:t>
      </w:r>
    </w:p>
    <w:p w:rsidR="00657FEF" w:rsidRPr="007D602F" w:rsidRDefault="00657FEF" w:rsidP="00992AB6">
      <w:pPr>
        <w:pStyle w:val="5"/>
      </w:pPr>
      <w:r w:rsidRPr="007D602F">
        <w:t xml:space="preserve">  /METHOD=ENTER unemploymentrate GNI</w:t>
      </w:r>
    </w:p>
    <w:p w:rsidR="00657FEF" w:rsidRPr="007D602F" w:rsidRDefault="00657FEF" w:rsidP="00992AB6">
      <w:pPr>
        <w:pStyle w:val="5"/>
      </w:pPr>
      <w:r w:rsidRPr="007D602F">
        <w:t xml:space="preserve">  /CASEWISE PLOT(ZRESID) ALL.</w:t>
      </w:r>
    </w:p>
  </w:footnote>
  <w:footnote w:id="146">
    <w:p w:rsidR="00657FEF" w:rsidRPr="007D602F" w:rsidRDefault="00657FEF" w:rsidP="00992AB6">
      <w:pPr>
        <w:pStyle w:val="5"/>
      </w:pPr>
      <w:r w:rsidRPr="003409A9">
        <w:rPr>
          <w:rStyle w:val="af7"/>
          <w:rFonts w:eastAsia="新細明體" w:cs="Arial Unicode MS"/>
          <w:kern w:val="2"/>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47">
    <w:p w:rsidR="00657FEF" w:rsidRPr="007D602F" w:rsidRDefault="00657FEF" w:rsidP="00992AB6">
      <w:pPr>
        <w:pStyle w:val="5"/>
        <w:rPr>
          <w:lang w:eastAsia="zh-TW"/>
        </w:rPr>
      </w:pPr>
      <w:r w:rsidRPr="003409A9">
        <w:rPr>
          <w:rStyle w:val="af7"/>
          <w:rFonts w:eastAsia="新細明體" w:cs="Arial Unicode MS"/>
          <w:kern w:val="2"/>
          <w:szCs w:val="20"/>
        </w:rPr>
        <w:footnoteRef/>
      </w:r>
      <w:r w:rsidRPr="003409A9">
        <w:rPr>
          <w:rFonts w:ascii="Arial Unicode MS" w:eastAsia="新細明體" w:hAnsi="Arial Unicode MS"/>
          <w:color w:val="FF6600"/>
          <w:kern w:val="2"/>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intimidatenext</w:t>
      </w:r>
    </w:p>
    <w:p w:rsidR="00657FEF" w:rsidRPr="007D602F" w:rsidRDefault="00657FEF" w:rsidP="00992AB6">
      <w:pPr>
        <w:pStyle w:val="5"/>
      </w:pPr>
      <w:r w:rsidRPr="007D602F">
        <w:t xml:space="preserve">  /METHOD=STEPWISE unemploymentrate divorcerate GNI policenumberrate CJbudgetrate paroleperson nonderterminsentence </w:t>
      </w:r>
      <w:r w:rsidRPr="007D602F">
        <w:t>死刑執行人數</w:t>
      </w:r>
    </w:p>
    <w:p w:rsidR="00657FEF" w:rsidRPr="007D602F" w:rsidRDefault="00657FEF" w:rsidP="00992AB6">
      <w:pPr>
        <w:pStyle w:val="5"/>
      </w:pPr>
      <w:r w:rsidRPr="007D602F">
        <w:t xml:space="preserve">    clearrate clearratenext</w:t>
      </w:r>
    </w:p>
    <w:p w:rsidR="00657FEF" w:rsidRPr="007D602F" w:rsidRDefault="00657FEF" w:rsidP="00992AB6">
      <w:pPr>
        <w:pStyle w:val="5"/>
      </w:pPr>
      <w:r w:rsidRPr="007D602F">
        <w:t xml:space="preserve">  /CASEWISE PLOT(ZRESID) ALL.</w:t>
      </w:r>
    </w:p>
  </w:footnote>
  <w:footnote w:id="148">
    <w:p w:rsidR="00657FEF" w:rsidRPr="007D602F" w:rsidRDefault="00657FEF" w:rsidP="00992AB6">
      <w:pPr>
        <w:pStyle w:val="5"/>
        <w:rPr>
          <w:lang w:eastAsia="zh-TW"/>
        </w:rPr>
      </w:pPr>
      <w:r w:rsidRPr="007175B7">
        <w:rPr>
          <w:rStyle w:val="af7"/>
          <w:rFonts w:cs="Arial Unicode MS"/>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149">
    <w:p w:rsidR="00657FEF" w:rsidRPr="007D602F" w:rsidRDefault="00657FEF" w:rsidP="00992AB6">
      <w:pPr>
        <w:pStyle w:val="5"/>
        <w:rPr>
          <w:lang w:eastAsia="zh-TW"/>
        </w:rPr>
      </w:pPr>
      <w:r w:rsidRPr="007D602F">
        <w:rPr>
          <w:rStyle w:val="af7"/>
          <w:rFonts w:cs="Arial Unicode MS"/>
          <w:color w:val="5F5F5F"/>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intimidatenext</w:t>
      </w:r>
    </w:p>
    <w:p w:rsidR="00657FEF" w:rsidRPr="007D602F" w:rsidRDefault="00657FEF" w:rsidP="00992AB6">
      <w:pPr>
        <w:pStyle w:val="5"/>
      </w:pPr>
      <w:r w:rsidRPr="007D602F">
        <w:t xml:space="preserve">  /METHOD=ENTER unemploymentrate divorcerate</w:t>
      </w:r>
    </w:p>
    <w:p w:rsidR="00657FEF" w:rsidRPr="007D602F" w:rsidRDefault="00657FEF" w:rsidP="00992AB6">
      <w:pPr>
        <w:pStyle w:val="5"/>
      </w:pPr>
      <w:r w:rsidRPr="007D602F">
        <w:t xml:space="preserve">  /CASEWISE PLOT(ZRESID) ALL.</w:t>
      </w:r>
    </w:p>
  </w:footnote>
  <w:footnote w:id="150">
    <w:p w:rsidR="00657FEF" w:rsidRPr="007D602F" w:rsidRDefault="00657FEF" w:rsidP="00992AB6">
      <w:pPr>
        <w:pStyle w:val="5"/>
        <w:rPr>
          <w:lang w:eastAsia="zh-TW"/>
        </w:rPr>
      </w:pPr>
      <w:r w:rsidRPr="003409A9">
        <w:rPr>
          <w:rStyle w:val="af7"/>
          <w:rFonts w:eastAsia="新細明體" w:cs="Arial Unicode MS"/>
          <w:kern w:val="2"/>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151">
    <w:p w:rsidR="00657FEF" w:rsidRPr="007D602F" w:rsidRDefault="00657FEF" w:rsidP="00992AB6">
      <w:pPr>
        <w:pStyle w:val="5"/>
        <w:rPr>
          <w:lang w:eastAsia="zh-TW"/>
        </w:rPr>
      </w:pPr>
      <w:r w:rsidRPr="00814432">
        <w:rPr>
          <w:rStyle w:val="af7"/>
          <w:rFonts w:cs="Arial Unicode MS"/>
          <w:szCs w:val="20"/>
        </w:rPr>
        <w:footnoteRef/>
      </w:r>
      <w:r w:rsidRPr="00814432">
        <w:rPr>
          <w:color w:val="FF6600"/>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w:t>
      </w:r>
      <w:r w:rsidRPr="007D602F">
        <w:t>強盜搶奪</w:t>
      </w:r>
    </w:p>
    <w:p w:rsidR="00657FEF" w:rsidRPr="007D602F" w:rsidRDefault="00657FEF" w:rsidP="00992AB6">
      <w:pPr>
        <w:pStyle w:val="5"/>
      </w:pPr>
      <w:r w:rsidRPr="007D602F">
        <w:t xml:space="preserve">  /METHOD=STEPWISE over35manunmarryrate lowincomepersonrate lowincomesupplement artparticipation clearrate</w:t>
      </w:r>
    </w:p>
    <w:p w:rsidR="00657FEF" w:rsidRPr="007D602F" w:rsidRDefault="00657FEF" w:rsidP="00992AB6">
      <w:pPr>
        <w:pStyle w:val="5"/>
      </w:pPr>
      <w:r w:rsidRPr="007D602F">
        <w:t xml:space="preserve">  /CASEWISE PLOT(ZRESID) ALL.</w:t>
      </w:r>
    </w:p>
  </w:footnote>
  <w:footnote w:id="152">
    <w:p w:rsidR="00657FEF" w:rsidRPr="007D602F" w:rsidRDefault="00657FEF" w:rsidP="00992AB6">
      <w:pPr>
        <w:pStyle w:val="5"/>
      </w:pPr>
      <w:r w:rsidRPr="003409A9">
        <w:rPr>
          <w:rStyle w:val="af7"/>
          <w:rFonts w:eastAsia="新細明體" w:cs="Arial Unicode MS"/>
          <w:kern w:val="2"/>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53">
    <w:p w:rsidR="00657FEF" w:rsidRPr="007D602F" w:rsidRDefault="00657FEF" w:rsidP="00992AB6">
      <w:pPr>
        <w:pStyle w:val="5"/>
        <w:rPr>
          <w:lang w:eastAsia="zh-TW"/>
        </w:rPr>
      </w:pPr>
      <w:r w:rsidRPr="003409A9">
        <w:rPr>
          <w:rStyle w:val="af7"/>
          <w:rFonts w:eastAsia="新細明體" w:cs="Arial Unicode MS"/>
          <w:kern w:val="2"/>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w:t>
      </w:r>
      <w:r w:rsidRPr="007D602F">
        <w:t>強盜搶奪</w:t>
      </w:r>
    </w:p>
    <w:p w:rsidR="00657FEF" w:rsidRPr="007D602F" w:rsidRDefault="00657FEF" w:rsidP="00992AB6">
      <w:pPr>
        <w:pStyle w:val="5"/>
      </w:pPr>
      <w:r w:rsidRPr="007D602F">
        <w:t xml:space="preserve">  /METHOD=ENTER GNI</w:t>
      </w:r>
    </w:p>
    <w:p w:rsidR="00657FEF" w:rsidRPr="007D602F" w:rsidRDefault="00657FEF" w:rsidP="00992AB6">
      <w:pPr>
        <w:pStyle w:val="5"/>
      </w:pPr>
      <w:r w:rsidRPr="007D602F">
        <w:t xml:space="preserve">  /CASEWISE PLOT(ZRESID) ALL.</w:t>
      </w:r>
    </w:p>
  </w:footnote>
  <w:footnote w:id="154">
    <w:p w:rsidR="00657FEF" w:rsidRPr="007D602F" w:rsidRDefault="00657FEF" w:rsidP="00992AB6">
      <w:pPr>
        <w:pStyle w:val="5"/>
      </w:pPr>
      <w:r w:rsidRPr="00814432">
        <w:rPr>
          <w:rStyle w:val="af7"/>
          <w:rFonts w:cs="Arial Unicode MS"/>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55">
    <w:p w:rsidR="00657FEF" w:rsidRPr="007D602F" w:rsidRDefault="00657FEF" w:rsidP="00992AB6">
      <w:pPr>
        <w:pStyle w:val="5"/>
        <w:rPr>
          <w:lang w:eastAsia="zh-TW"/>
        </w:rPr>
      </w:pPr>
      <w:r w:rsidRPr="00814432">
        <w:rPr>
          <w:rStyle w:val="af7"/>
          <w:rFonts w:cs="Arial Unicode MS"/>
          <w:szCs w:val="20"/>
        </w:rPr>
        <w:footnoteRef/>
      </w:r>
      <w:r w:rsidRPr="00814432">
        <w:rPr>
          <w:color w:val="FF6600"/>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robnext</w:t>
      </w:r>
    </w:p>
    <w:p w:rsidR="00657FEF" w:rsidRPr="007D602F" w:rsidRDefault="00657FEF" w:rsidP="00992AB6">
      <w:pPr>
        <w:pStyle w:val="5"/>
      </w:pPr>
      <w:r w:rsidRPr="007D602F">
        <w:t xml:space="preserve">  /METHOD=STEPWISE over35manunmarryrate GNI prosecuterate sentenserate lowincomepersonrate lowincomesupplement artparticipation probationrate nonderterminsentence clearrate clearratenext</w:t>
      </w:r>
    </w:p>
    <w:p w:rsidR="00657FEF" w:rsidRPr="007D602F" w:rsidRDefault="00657FEF" w:rsidP="00992AB6">
      <w:pPr>
        <w:pStyle w:val="5"/>
      </w:pPr>
      <w:r w:rsidRPr="007D602F">
        <w:t xml:space="preserve">  /CASEWISE PLOT(ZRESID) ALL.</w:t>
      </w:r>
    </w:p>
  </w:footnote>
  <w:footnote w:id="156">
    <w:p w:rsidR="00657FEF" w:rsidRPr="007D602F" w:rsidRDefault="00657FEF" w:rsidP="00992AB6">
      <w:pPr>
        <w:pStyle w:val="5"/>
      </w:pPr>
      <w:r w:rsidRPr="003409A9">
        <w:rPr>
          <w:rStyle w:val="af7"/>
          <w:rFonts w:eastAsia="新細明體" w:cs="Arial Unicode MS"/>
          <w:kern w:val="2"/>
        </w:rPr>
        <w:footnoteRef/>
      </w:r>
      <w:r w:rsidRPr="007D602F">
        <w:t>低收入戶之家庭及就學生活補助金額</w:t>
      </w:r>
      <w:r w:rsidRPr="007D602F">
        <w:t>(1992-2016)</w:t>
      </w:r>
      <w:r w:rsidRPr="007D602F">
        <w:t>方面，以</w:t>
      </w:r>
      <w:r w:rsidRPr="007D602F">
        <w:t>2013</w:t>
      </w:r>
      <w:r w:rsidRPr="007D602F">
        <w:t>年為例，政府補助低收入戶之家庭及就學生活補助金額為新台幣</w:t>
      </w:r>
      <w:r w:rsidRPr="007D602F">
        <w:t>105.87</w:t>
      </w:r>
      <w:r w:rsidRPr="007D602F">
        <w:t>億元。</w:t>
      </w:r>
    </w:p>
  </w:footnote>
  <w:footnote w:id="157">
    <w:p w:rsidR="00657FEF" w:rsidRPr="007D602F" w:rsidRDefault="00657FEF" w:rsidP="00992AB6">
      <w:pPr>
        <w:pStyle w:val="5"/>
      </w:pPr>
      <w:r w:rsidRPr="00814432">
        <w:rPr>
          <w:rStyle w:val="af7"/>
          <w:rFonts w:cs="Arial Unicode MS"/>
          <w:szCs w:val="20"/>
        </w:rPr>
        <w:footnoteRef/>
      </w:r>
      <w:r w:rsidRPr="007D602F">
        <w:t xml:space="preserve"> SPSS</w:t>
      </w:r>
      <w:r w:rsidRPr="007D602F">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CI(95)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w:t>
      </w:r>
      <w:r w:rsidRPr="007D602F">
        <w:t>強制性交</w:t>
      </w:r>
    </w:p>
    <w:p w:rsidR="00657FEF" w:rsidRPr="007D602F" w:rsidRDefault="00657FEF" w:rsidP="00992AB6">
      <w:pPr>
        <w:pStyle w:val="5"/>
      </w:pPr>
      <w:r w:rsidRPr="007D602F">
        <w:t xml:space="preserve">  /METHOD=ENTER unemploymentrate over35manunmarryrate</w:t>
      </w:r>
    </w:p>
    <w:p w:rsidR="00657FEF" w:rsidRPr="007D602F" w:rsidRDefault="00657FEF" w:rsidP="00992AB6">
      <w:pPr>
        <w:pStyle w:val="5"/>
      </w:pPr>
      <w:r w:rsidRPr="007D602F">
        <w:t xml:space="preserve">  /CASEWISE PLOT(ZRESID) ALL.</w:t>
      </w:r>
    </w:p>
  </w:footnote>
  <w:footnote w:id="158">
    <w:p w:rsidR="00657FEF" w:rsidRPr="007D602F" w:rsidRDefault="00657FEF" w:rsidP="00992AB6">
      <w:pPr>
        <w:pStyle w:val="5"/>
        <w:rPr>
          <w:lang w:eastAsia="zh-TW"/>
        </w:rPr>
      </w:pPr>
      <w:r w:rsidRPr="00817A92">
        <w:rPr>
          <w:rStyle w:val="af7"/>
          <w:rFonts w:cs="Arial Unicode MS"/>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159">
    <w:p w:rsidR="00657FEF" w:rsidRPr="007D602F" w:rsidRDefault="00657FEF" w:rsidP="00992AB6">
      <w:pPr>
        <w:pStyle w:val="5"/>
        <w:rPr>
          <w:lang w:eastAsia="zh-TW"/>
        </w:rPr>
      </w:pPr>
      <w:r w:rsidRPr="00817A92">
        <w:rPr>
          <w:rStyle w:val="af7"/>
          <w:rFonts w:cs="Arial Unicode MS"/>
        </w:rPr>
        <w:footnoteRef/>
      </w:r>
      <w:r w:rsidRPr="00817A92">
        <w:rPr>
          <w:rStyle w:val="af7"/>
          <w:rFonts w:cs="Arial Unicode MS"/>
          <w:lang w:eastAsia="zh-TW"/>
        </w:rPr>
        <w:t xml:space="preserve"> </w:t>
      </w:r>
      <w:r w:rsidRPr="007D602F">
        <w:rPr>
          <w:lang w:eastAsia="zh-TW"/>
        </w:rPr>
        <w:t>「社會解組」對「社會文化對於暴力之支持」（</w:t>
      </w:r>
      <w:r w:rsidRPr="007D602F">
        <w:rPr>
          <w:lang w:eastAsia="zh-TW"/>
        </w:rPr>
        <w:t>cultural support for violence</w:t>
      </w:r>
      <w:r w:rsidRPr="007D602F">
        <w:rPr>
          <w:lang w:eastAsia="zh-TW"/>
        </w:rPr>
        <w:t>）之作用力：有許多證據顯示，社會解組與「高度之犯罪率」兩個變項間，具有關連性；另外，社會解組與暴力犯罪亦具有上述之關連性，其原因在於，當一個社會逐漸解組時，則昔日對於犯罪具有抑制力之「社會控制」，會變得微弱無力（</w:t>
      </w:r>
      <w:r w:rsidRPr="007D602F">
        <w:rPr>
          <w:lang w:eastAsia="zh-TW"/>
        </w:rPr>
        <w:t>weaker</w:t>
      </w:r>
      <w:r w:rsidRPr="007D602F">
        <w:rPr>
          <w:lang w:eastAsia="zh-TW"/>
        </w:rPr>
        <w:t>）。</w:t>
      </w:r>
      <w:r w:rsidRPr="007D602F">
        <w:rPr>
          <w:lang w:eastAsia="zh-TW"/>
        </w:rPr>
        <w:t>Wolfgang</w:t>
      </w:r>
      <w:r w:rsidRPr="007D602F">
        <w:rPr>
          <w:lang w:eastAsia="zh-TW"/>
        </w:rPr>
        <w:t>及</w:t>
      </w:r>
      <w:r w:rsidRPr="007D602F">
        <w:rPr>
          <w:lang w:eastAsia="zh-TW"/>
        </w:rPr>
        <w:t>Ferracuti (1967)</w:t>
      </w:r>
      <w:r w:rsidRPr="007D602F">
        <w:rPr>
          <w:lang w:eastAsia="zh-TW"/>
        </w:rPr>
        <w:t>指出，社會解組對於正當化暴力，具有若干之「貢獻」。不過，</w:t>
      </w:r>
      <w:r w:rsidRPr="007D602F">
        <w:rPr>
          <w:lang w:eastAsia="zh-TW"/>
        </w:rPr>
        <w:t>Wolfgang</w:t>
      </w:r>
      <w:r w:rsidRPr="007D602F">
        <w:rPr>
          <w:lang w:eastAsia="zh-TW"/>
        </w:rPr>
        <w:t>及</w:t>
      </w:r>
      <w:r w:rsidRPr="007D602F">
        <w:rPr>
          <w:lang w:eastAsia="zh-TW"/>
        </w:rPr>
        <w:t>Ferracuti (1967)</w:t>
      </w:r>
      <w:r w:rsidRPr="007D602F">
        <w:rPr>
          <w:lang w:eastAsia="zh-TW"/>
        </w:rPr>
        <w:t>他們對於其主張，並未提供實證上之支持，事實上，他們的論點是正確的，而連結「社會解組」與「社會文化對正當化暴力支持」之理論，可稱之為「文化氾濫理論」（或可譯為「文化溢滿理論」，</w:t>
      </w:r>
      <w:r w:rsidRPr="007D602F">
        <w:rPr>
          <w:lang w:eastAsia="zh-TW"/>
        </w:rPr>
        <w:t>cultural spillover theory</w:t>
      </w:r>
      <w:r w:rsidRPr="007D602F">
        <w:rPr>
          <w:lang w:eastAsia="zh-TW"/>
        </w:rPr>
        <w:t>）。此種「文化氾濫理論」之立論根基，其係主張在一個社會中，社會大眾對於正當化暴力之使用，是可加以接受與容許的，亦即，假若暴力並非被用來犯罪，而係作「合理」與「正當」（</w:t>
      </w:r>
      <w:r w:rsidRPr="007D602F">
        <w:rPr>
          <w:lang w:eastAsia="zh-TW"/>
        </w:rPr>
        <w:t>legitimate</w:t>
      </w:r>
      <w:r w:rsidRPr="007D602F">
        <w:rPr>
          <w:lang w:eastAsia="zh-TW"/>
        </w:rPr>
        <w:t>）目的之使用，是會被社會大眾所接納的。當一個社會對於暴力之使用，假若充斥著「合理」及「正當」之態度時，暴力被用作犯罪之本質，將不被受到重視，此稱為「社會文化對於正當化暴力支持理論」，簡稱為「文化氾濫理論」（</w:t>
      </w:r>
      <w:r w:rsidRPr="007D602F">
        <w:rPr>
          <w:lang w:eastAsia="zh-TW"/>
        </w:rPr>
        <w:t>cultural spillover theory</w:t>
      </w:r>
      <w:r w:rsidRPr="007D602F">
        <w:rPr>
          <w:lang w:eastAsia="zh-TW"/>
        </w:rPr>
        <w:t>）。當一個社會面臨到高度之暴力犯罪時，它會易於使用「合法」（合理）之暴力，亦即使用死刑（</w:t>
      </w:r>
      <w:r w:rsidRPr="007D602F">
        <w:rPr>
          <w:lang w:eastAsia="zh-TW"/>
        </w:rPr>
        <w:t>capital punishment</w:t>
      </w:r>
      <w:r w:rsidRPr="007D602F">
        <w:rPr>
          <w:lang w:eastAsia="zh-TW"/>
        </w:rPr>
        <w:t>），用死刑作為控制高度暴力犯罪之手段，是以，社會解組勢必會引發刑事暴力犯行（</w:t>
      </w:r>
      <w:r w:rsidRPr="007D602F">
        <w:rPr>
          <w:lang w:eastAsia="zh-TW"/>
        </w:rPr>
        <w:t>social disorganization genders criminal violence</w:t>
      </w:r>
      <w:r w:rsidRPr="007D602F">
        <w:rPr>
          <w:lang w:eastAsia="zh-TW"/>
        </w:rPr>
        <w:t>），之後，暴力犯行則促使國家動用「合法暴力」（</w:t>
      </w:r>
      <w:r w:rsidRPr="007D602F">
        <w:rPr>
          <w:lang w:eastAsia="zh-TW"/>
        </w:rPr>
        <w:t>legitimate violence</w:t>
      </w:r>
      <w:r w:rsidRPr="007D602F">
        <w:rPr>
          <w:lang w:eastAsia="zh-TW"/>
        </w:rPr>
        <w:t>）以反制犯罪人。故，社會解組對於「合理化暴力」之使用，具有直接之影響力</w:t>
      </w:r>
      <w:r w:rsidRPr="007D602F">
        <w:rPr>
          <w:lang w:eastAsia="zh-TW"/>
        </w:rPr>
        <w:t>(Larry Baron &amp; Murray A. Straus</w:t>
      </w:r>
      <w:r w:rsidRPr="007D602F">
        <w:rPr>
          <w:lang w:eastAsia="zh-TW"/>
        </w:rPr>
        <w:t>，</w:t>
      </w:r>
      <w:r w:rsidRPr="007D602F">
        <w:rPr>
          <w:lang w:eastAsia="zh-TW"/>
        </w:rPr>
        <w:t>1989)</w:t>
      </w:r>
      <w:r w:rsidRPr="007D602F">
        <w:rPr>
          <w:lang w:eastAsia="zh-TW"/>
        </w:rPr>
        <w:t>。再者，有關於「社會解組」對「色情」（</w:t>
      </w:r>
      <w:r w:rsidRPr="007D602F">
        <w:rPr>
          <w:lang w:eastAsia="zh-TW"/>
        </w:rPr>
        <w:t>pornography</w:t>
      </w:r>
      <w:r w:rsidRPr="007D602F">
        <w:rPr>
          <w:lang w:eastAsia="zh-TW"/>
        </w:rPr>
        <w:t>）之作用力：</w:t>
      </w:r>
      <w:r w:rsidRPr="007D602F">
        <w:rPr>
          <w:lang w:eastAsia="zh-TW"/>
        </w:rPr>
        <w:t>Tiryakian (1981)</w:t>
      </w:r>
      <w:r w:rsidRPr="007D602F">
        <w:rPr>
          <w:lang w:eastAsia="zh-TW"/>
        </w:rPr>
        <w:t>對於「性亂迷」（</w:t>
      </w:r>
      <w:r w:rsidRPr="007D602F">
        <w:rPr>
          <w:lang w:eastAsia="zh-TW"/>
        </w:rPr>
        <w:t>sexual anomie</w:t>
      </w:r>
      <w:r w:rsidRPr="007D602F">
        <w:rPr>
          <w:lang w:eastAsia="zh-TW"/>
        </w:rPr>
        <w:t>）曾作深入且具洞察力之討論，其認為社會解組對於「色情雜誌之流通」（</w:t>
      </w:r>
      <w:r w:rsidRPr="007D602F">
        <w:rPr>
          <w:lang w:eastAsia="zh-TW"/>
        </w:rPr>
        <w:t>circulation of sexually explicit magazines</w:t>
      </w:r>
      <w:r w:rsidRPr="007D602F">
        <w:rPr>
          <w:lang w:eastAsia="zh-TW"/>
        </w:rPr>
        <w:t>），具有「提升」之作用力。根據</w:t>
      </w:r>
      <w:r w:rsidRPr="007D602F">
        <w:rPr>
          <w:lang w:eastAsia="zh-TW"/>
        </w:rPr>
        <w:t>Tiryakian</w:t>
      </w:r>
      <w:r w:rsidRPr="007D602F">
        <w:rPr>
          <w:lang w:eastAsia="zh-TW"/>
        </w:rPr>
        <w:t>之看法，當一個社會之控制力量，逐漸被侵蝕（</w:t>
      </w:r>
      <w:r w:rsidRPr="007D602F">
        <w:rPr>
          <w:lang w:eastAsia="zh-TW"/>
        </w:rPr>
        <w:t>undermine</w:t>
      </w:r>
      <w:r w:rsidRPr="007D602F">
        <w:rPr>
          <w:lang w:eastAsia="zh-TW"/>
        </w:rPr>
        <w:t>），則對於性行為傳統規範之力量會變為鬆弛無力，同時，對於性禁忌（</w:t>
      </w:r>
      <w:r w:rsidRPr="007D602F">
        <w:rPr>
          <w:lang w:eastAsia="zh-TW"/>
        </w:rPr>
        <w:t>sexual taboos</w:t>
      </w:r>
      <w:r w:rsidRPr="007D602F">
        <w:rPr>
          <w:lang w:eastAsia="zh-TW"/>
        </w:rPr>
        <w:t>）之規範，亦會逐漸微弱與瓦解。由於傳統規範對於性之作用，不再具約束力，且趨於崩潰（</w:t>
      </w:r>
      <w:r w:rsidRPr="007D602F">
        <w:rPr>
          <w:lang w:eastAsia="zh-TW"/>
        </w:rPr>
        <w:t>breakdown</w:t>
      </w:r>
      <w:r w:rsidRPr="007D602F">
        <w:rPr>
          <w:lang w:eastAsia="zh-TW"/>
        </w:rPr>
        <w:t>），則此種社會控制力量之解組，會形成一種社會「文化氣候」（</w:t>
      </w:r>
      <w:r w:rsidRPr="007D602F">
        <w:rPr>
          <w:lang w:eastAsia="zh-TW"/>
        </w:rPr>
        <w:t>cultural climate</w:t>
      </w:r>
      <w:r w:rsidRPr="007D602F">
        <w:rPr>
          <w:lang w:eastAsia="zh-TW"/>
        </w:rPr>
        <w:t>），此種文化氣候是更有利於大眾對於「色情」與「性」之濫用</w:t>
      </w:r>
      <w:r w:rsidRPr="007D602F">
        <w:rPr>
          <w:lang w:eastAsia="zh-TW"/>
        </w:rPr>
        <w:t>(Larry Baron &amp; Murray A. Straus</w:t>
      </w:r>
      <w:r w:rsidRPr="007D602F">
        <w:rPr>
          <w:lang w:eastAsia="zh-TW"/>
        </w:rPr>
        <w:t>，</w:t>
      </w:r>
      <w:r w:rsidRPr="007D602F">
        <w:rPr>
          <w:lang w:eastAsia="zh-TW"/>
        </w:rPr>
        <w:t>1989)</w:t>
      </w:r>
      <w:r w:rsidRPr="007D602F">
        <w:rPr>
          <w:lang w:eastAsia="zh-TW"/>
        </w:rPr>
        <w:t>。承上所述，「社會解組」對於「性別平等」（</w:t>
      </w:r>
      <w:r w:rsidRPr="007D602F">
        <w:rPr>
          <w:lang w:eastAsia="zh-TW"/>
        </w:rPr>
        <w:t>gender equality</w:t>
      </w:r>
      <w:r w:rsidRPr="007D602F">
        <w:rPr>
          <w:lang w:eastAsia="zh-TW"/>
        </w:rPr>
        <w:t>）之影響力：受到涂爾幹（</w:t>
      </w:r>
      <w:r w:rsidRPr="007D602F">
        <w:rPr>
          <w:lang w:eastAsia="zh-TW"/>
        </w:rPr>
        <w:t>Durkheim</w:t>
      </w:r>
      <w:r w:rsidRPr="007D602F">
        <w:rPr>
          <w:lang w:eastAsia="zh-TW"/>
        </w:rPr>
        <w:t>）自殺論之影響，社會學家們對於社會解組之負面作用，均頗重視與強調。除</w:t>
      </w:r>
      <w:r w:rsidRPr="007D602F">
        <w:rPr>
          <w:lang w:eastAsia="zh-TW"/>
        </w:rPr>
        <w:t>Durkheim</w:t>
      </w:r>
      <w:r w:rsidRPr="007D602F">
        <w:rPr>
          <w:lang w:eastAsia="zh-TW"/>
        </w:rPr>
        <w:t>提出社會解組後之負面作用外，其他之學者，諸如</w:t>
      </w:r>
      <w:r w:rsidRPr="007D602F">
        <w:rPr>
          <w:lang w:eastAsia="zh-TW"/>
        </w:rPr>
        <w:t>Blau &amp; Blau (1982)</w:t>
      </w:r>
      <w:r w:rsidRPr="007D602F">
        <w:rPr>
          <w:lang w:eastAsia="zh-TW"/>
        </w:rPr>
        <w:t>、</w:t>
      </w:r>
      <w:r w:rsidRPr="007D602F">
        <w:rPr>
          <w:lang w:eastAsia="zh-TW"/>
        </w:rPr>
        <w:t>Cruthfield, Geerken, &amp; Gove (1982)</w:t>
      </w:r>
      <w:r w:rsidRPr="007D602F">
        <w:rPr>
          <w:lang w:eastAsia="zh-TW"/>
        </w:rPr>
        <w:t>、</w:t>
      </w:r>
      <w:r w:rsidRPr="007D602F">
        <w:rPr>
          <w:lang w:eastAsia="zh-TW"/>
        </w:rPr>
        <w:t>M.D. Smith &amp; Bennett (1985)</w:t>
      </w:r>
      <w:r w:rsidRPr="007D602F">
        <w:rPr>
          <w:lang w:eastAsia="zh-TW"/>
        </w:rPr>
        <w:t>均指出，有很多之證據，支持此種觀點。不過，假若作反向思考，亦有相當堅強之理由，令吾人相信社會解組亦具有正面之作用力。當一個老舊、過時之社會結構崩潰（</w:t>
      </w:r>
      <w:r w:rsidRPr="007D602F">
        <w:rPr>
          <w:lang w:eastAsia="zh-TW"/>
        </w:rPr>
        <w:t>breakdown</w:t>
      </w:r>
      <w:r w:rsidRPr="007D602F">
        <w:rPr>
          <w:lang w:eastAsia="zh-TW"/>
        </w:rPr>
        <w:t>）後，其將會導致於重新發展一個更具現代化之社會組織。是以，當老舊社會結構中之傳統道德規範、制度、風俗及習慣（</w:t>
      </w:r>
      <w:r w:rsidRPr="007D602F">
        <w:rPr>
          <w:lang w:eastAsia="zh-TW"/>
        </w:rPr>
        <w:t>institutions</w:t>
      </w:r>
      <w:r w:rsidRPr="007D602F">
        <w:rPr>
          <w:lang w:eastAsia="zh-TW"/>
        </w:rPr>
        <w:t>）被人們加以粉碎（</w:t>
      </w:r>
      <w:r w:rsidRPr="007D602F">
        <w:rPr>
          <w:lang w:eastAsia="zh-TW"/>
        </w:rPr>
        <w:t>disrupt</w:t>
      </w:r>
      <w:r w:rsidRPr="007D602F">
        <w:rPr>
          <w:lang w:eastAsia="zh-TW"/>
        </w:rPr>
        <w:t>）後，其將會重新孕育及發展更具男女平等主義色彩之規範與制度（</w:t>
      </w:r>
      <w:r w:rsidRPr="007D602F">
        <w:rPr>
          <w:lang w:eastAsia="zh-TW"/>
        </w:rPr>
        <w:t>more egalitarian norms and institutions</w:t>
      </w:r>
      <w:r w:rsidRPr="007D602F">
        <w:rPr>
          <w:lang w:eastAsia="zh-TW"/>
        </w:rPr>
        <w:t>）。故，社會解組將會提升「性別平等」（</w:t>
      </w:r>
      <w:r w:rsidRPr="007D602F">
        <w:rPr>
          <w:lang w:eastAsia="zh-TW"/>
        </w:rPr>
        <w:t>social disorganization increases gender equality</w:t>
      </w:r>
      <w:r w:rsidRPr="007D602F">
        <w:rPr>
          <w:lang w:eastAsia="zh-TW"/>
        </w:rPr>
        <w:t>）</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60">
    <w:p w:rsidR="00657FEF" w:rsidRPr="007D602F" w:rsidRDefault="00657FEF" w:rsidP="00992AB6">
      <w:pPr>
        <w:pStyle w:val="5"/>
      </w:pPr>
      <w:r w:rsidRPr="003409A9">
        <w:rPr>
          <w:rStyle w:val="af7"/>
          <w:rFonts w:eastAsia="新細明體" w:cs="Arial Unicode MS"/>
          <w:kern w:val="2"/>
        </w:rPr>
        <w:footnoteRef/>
      </w:r>
      <w:r w:rsidRPr="007D602F">
        <w:rPr>
          <w:lang w:eastAsia="zh-TW"/>
        </w:rPr>
        <w:t xml:space="preserve">  </w:t>
      </w:r>
      <w:r w:rsidRPr="007D602F">
        <w:rPr>
          <w:lang w:eastAsia="zh-TW"/>
        </w:rPr>
        <w:t>在研究架構中，尚包括美國各州人口及經濟結構之指標變項，其目的在於控制及避免出現「虛假不實」之關係（</w:t>
      </w:r>
      <w:r w:rsidRPr="007D602F">
        <w:rPr>
          <w:lang w:eastAsia="zh-TW"/>
        </w:rPr>
        <w:t>spurious relationship</w:t>
      </w:r>
      <w:r w:rsidRPr="007D602F">
        <w:rPr>
          <w:lang w:eastAsia="zh-TW"/>
        </w:rPr>
        <w:t>）。這些在強制性交犯罪發生前之先行（前置）變項（</w:t>
      </w:r>
      <w:r w:rsidRPr="007D602F">
        <w:rPr>
          <w:lang w:eastAsia="zh-TW"/>
        </w:rPr>
        <w:t>other antecedents of rape</w:t>
      </w:r>
      <w:r w:rsidRPr="007D602F">
        <w:rPr>
          <w:lang w:eastAsia="zh-TW"/>
        </w:rPr>
        <w:t>），計有以下之指標</w:t>
      </w:r>
      <w:r w:rsidRPr="007D602F">
        <w:rPr>
          <w:lang w:eastAsia="zh-TW"/>
        </w:rPr>
        <w:t>(Larry Baron &amp; Murray A. Straus</w:t>
      </w:r>
      <w:r w:rsidRPr="007D602F">
        <w:rPr>
          <w:lang w:eastAsia="zh-TW"/>
        </w:rPr>
        <w:t>，</w:t>
      </w:r>
      <w:r w:rsidRPr="007D602F">
        <w:rPr>
          <w:lang w:eastAsia="zh-TW"/>
        </w:rPr>
        <w:t>1989)</w:t>
      </w:r>
      <w:r w:rsidRPr="007D602F">
        <w:rPr>
          <w:lang w:eastAsia="zh-TW"/>
        </w:rPr>
        <w:t>：</w:t>
      </w:r>
      <w:r w:rsidRPr="007D602F">
        <w:rPr>
          <w:lang w:eastAsia="zh-TW"/>
        </w:rPr>
        <w:t xml:space="preserve"> </w:t>
      </w:r>
      <w:r w:rsidRPr="007D602F">
        <w:rPr>
          <w:lang w:eastAsia="zh-TW"/>
        </w:rPr>
        <w:cr/>
        <w:t>(1).</w:t>
      </w:r>
      <w:r w:rsidRPr="007D602F">
        <w:rPr>
          <w:lang w:eastAsia="zh-TW"/>
        </w:rPr>
        <w:t>居住在大都會地區（</w:t>
      </w:r>
      <w:r w:rsidRPr="007D602F">
        <w:rPr>
          <w:lang w:eastAsia="zh-TW"/>
        </w:rPr>
        <w:t>SMSA</w:t>
      </w:r>
      <w:r w:rsidRPr="007D602F">
        <w:rPr>
          <w:lang w:eastAsia="zh-TW"/>
        </w:rPr>
        <w:t>）人口之百分比（</w:t>
      </w:r>
      <w:r w:rsidRPr="007D602F">
        <w:rPr>
          <w:lang w:eastAsia="zh-TW"/>
        </w:rPr>
        <w:t>1980</w:t>
      </w:r>
      <w:r w:rsidRPr="007D602F">
        <w:rPr>
          <w:lang w:eastAsia="zh-TW"/>
        </w:rPr>
        <w:t>）。</w:t>
      </w:r>
      <w:r w:rsidRPr="007D602F">
        <w:rPr>
          <w:lang w:eastAsia="zh-TW"/>
        </w:rPr>
        <w:cr/>
        <w:t>(2).</w:t>
      </w:r>
      <w:r w:rsidRPr="007D602F">
        <w:rPr>
          <w:lang w:eastAsia="zh-TW"/>
        </w:rPr>
        <w:t>在</w:t>
      </w:r>
      <w:r w:rsidRPr="007D602F">
        <w:rPr>
          <w:lang w:eastAsia="zh-TW"/>
        </w:rPr>
        <w:t>1980</w:t>
      </w:r>
      <w:r w:rsidRPr="007D602F">
        <w:rPr>
          <w:lang w:eastAsia="zh-TW"/>
        </w:rPr>
        <w:t>年，各州黑人之比例。</w:t>
      </w:r>
      <w:r w:rsidRPr="007D602F">
        <w:rPr>
          <w:lang w:eastAsia="zh-TW"/>
        </w:rPr>
        <w:cr/>
        <w:t>(3).</w:t>
      </w:r>
      <w:r w:rsidRPr="007D602F">
        <w:rPr>
          <w:lang w:eastAsia="zh-TW"/>
        </w:rPr>
        <w:t>在</w:t>
      </w:r>
      <w:r w:rsidRPr="007D602F">
        <w:rPr>
          <w:lang w:eastAsia="zh-TW"/>
        </w:rPr>
        <w:t>1980</w:t>
      </w:r>
      <w:r w:rsidRPr="007D602F">
        <w:rPr>
          <w:lang w:eastAsia="zh-TW"/>
        </w:rPr>
        <w:t>年，各州</w:t>
      </w:r>
      <w:r w:rsidRPr="007D602F">
        <w:rPr>
          <w:lang w:eastAsia="zh-TW"/>
        </w:rPr>
        <w:t>18</w:t>
      </w:r>
      <w:r w:rsidRPr="007D602F">
        <w:rPr>
          <w:lang w:eastAsia="zh-TW"/>
        </w:rPr>
        <w:t>～</w:t>
      </w:r>
      <w:r w:rsidRPr="007D602F">
        <w:rPr>
          <w:lang w:eastAsia="zh-TW"/>
        </w:rPr>
        <w:t>24</w:t>
      </w:r>
      <w:r w:rsidRPr="007D602F">
        <w:rPr>
          <w:lang w:eastAsia="zh-TW"/>
        </w:rPr>
        <w:t>歲人口之百分比。</w:t>
      </w:r>
      <w:r w:rsidRPr="007D602F">
        <w:rPr>
          <w:lang w:eastAsia="zh-TW"/>
        </w:rPr>
        <w:cr/>
        <w:t>(4).</w:t>
      </w:r>
      <w:r w:rsidRPr="007D602F">
        <w:rPr>
          <w:lang w:eastAsia="zh-TW"/>
        </w:rPr>
        <w:t>在</w:t>
      </w:r>
      <w:r w:rsidRPr="007D602F">
        <w:rPr>
          <w:lang w:eastAsia="zh-TW"/>
        </w:rPr>
        <w:t>1980</w:t>
      </w:r>
      <w:r w:rsidRPr="007D602F">
        <w:rPr>
          <w:lang w:eastAsia="zh-TW"/>
        </w:rPr>
        <w:t>年，各州</w:t>
      </w:r>
      <w:r w:rsidRPr="007D602F">
        <w:rPr>
          <w:lang w:eastAsia="zh-TW"/>
        </w:rPr>
        <w:t>15</w:t>
      </w:r>
      <w:r w:rsidRPr="007D602F">
        <w:rPr>
          <w:lang w:eastAsia="zh-TW"/>
        </w:rPr>
        <w:t>～</w:t>
      </w:r>
      <w:r w:rsidRPr="007D602F">
        <w:rPr>
          <w:lang w:eastAsia="zh-TW"/>
        </w:rPr>
        <w:t>24</w:t>
      </w:r>
      <w:r w:rsidRPr="007D602F">
        <w:rPr>
          <w:lang w:eastAsia="zh-TW"/>
        </w:rPr>
        <w:t>歲人口之男性比例（</w:t>
      </w:r>
      <w:r w:rsidRPr="007D602F">
        <w:rPr>
          <w:lang w:eastAsia="zh-TW"/>
        </w:rPr>
        <w:t>15</w:t>
      </w:r>
      <w:r w:rsidRPr="007D602F">
        <w:rPr>
          <w:lang w:eastAsia="zh-TW"/>
        </w:rPr>
        <w:t>～</w:t>
      </w:r>
      <w:r w:rsidRPr="007D602F">
        <w:rPr>
          <w:lang w:eastAsia="zh-TW"/>
        </w:rPr>
        <w:t>24</w:t>
      </w:r>
      <w:r w:rsidRPr="007D602F">
        <w:rPr>
          <w:lang w:eastAsia="zh-TW"/>
        </w:rPr>
        <w:t>歲男性人口比例）。</w:t>
      </w:r>
      <w:r w:rsidRPr="007D602F">
        <w:rPr>
          <w:lang w:eastAsia="zh-TW"/>
        </w:rPr>
        <w:cr/>
        <w:t>(5).</w:t>
      </w:r>
      <w:r w:rsidRPr="007D602F">
        <w:rPr>
          <w:lang w:eastAsia="zh-TW"/>
        </w:rPr>
        <w:t>在</w:t>
      </w:r>
      <w:r w:rsidRPr="007D602F">
        <w:rPr>
          <w:lang w:eastAsia="zh-TW"/>
        </w:rPr>
        <w:t>1979</w:t>
      </w:r>
      <w:r w:rsidRPr="007D602F">
        <w:rPr>
          <w:lang w:eastAsia="zh-TW"/>
        </w:rPr>
        <w:t>年，各州經濟不平等之「基尼指數」。</w:t>
      </w:r>
      <w:r w:rsidRPr="007D602F">
        <w:rPr>
          <w:lang w:eastAsia="zh-TW"/>
        </w:rPr>
        <w:cr/>
        <w:t>(6).</w:t>
      </w:r>
      <w:r w:rsidRPr="007D602F">
        <w:rPr>
          <w:lang w:eastAsia="zh-TW"/>
        </w:rPr>
        <w:t>在</w:t>
      </w:r>
      <w:r w:rsidRPr="007D602F">
        <w:rPr>
          <w:lang w:eastAsia="zh-TW"/>
        </w:rPr>
        <w:t>1979</w:t>
      </w:r>
      <w:r w:rsidRPr="007D602F">
        <w:rPr>
          <w:lang w:eastAsia="zh-TW"/>
        </w:rPr>
        <w:t>年，各州單身之男性，其年齡為</w:t>
      </w:r>
      <w:r w:rsidRPr="007D602F">
        <w:rPr>
          <w:lang w:eastAsia="zh-TW"/>
        </w:rPr>
        <w:t>15</w:t>
      </w:r>
      <w:r w:rsidRPr="007D602F">
        <w:rPr>
          <w:lang w:eastAsia="zh-TW"/>
        </w:rPr>
        <w:t>歲以及</w:t>
      </w:r>
      <w:r w:rsidRPr="007D602F">
        <w:rPr>
          <w:lang w:eastAsia="zh-TW"/>
        </w:rPr>
        <w:t>15</w:t>
      </w:r>
      <w:r w:rsidRPr="007D602F">
        <w:rPr>
          <w:lang w:eastAsia="zh-TW"/>
        </w:rPr>
        <w:t>歲以上者，所佔之人口比例。</w:t>
      </w:r>
      <w:r w:rsidRPr="007D602F">
        <w:rPr>
          <w:lang w:eastAsia="zh-TW"/>
        </w:rPr>
        <w:cr/>
      </w:r>
      <w:r w:rsidRPr="007D602F">
        <w:t>(7).</w:t>
      </w:r>
      <w:r w:rsidRPr="007D602F">
        <w:t>在</w:t>
      </w:r>
      <w:r w:rsidRPr="007D602F">
        <w:t>1980</w:t>
      </w:r>
      <w:r w:rsidRPr="007D602F">
        <w:t>年，各州失業人口所佔之百分比例。</w:t>
      </w:r>
    </w:p>
  </w:footnote>
  <w:footnote w:id="161">
    <w:p w:rsidR="00657FEF" w:rsidRPr="007D602F" w:rsidRDefault="00657FEF" w:rsidP="00992AB6">
      <w:pPr>
        <w:pStyle w:val="5"/>
      </w:pPr>
      <w:r w:rsidRPr="003409A9">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162">
    <w:p w:rsidR="00657FEF" w:rsidRPr="007D602F" w:rsidRDefault="00657FEF" w:rsidP="00992AB6">
      <w:pPr>
        <w:pStyle w:val="5"/>
      </w:pPr>
      <w:r w:rsidRPr="003409A9">
        <w:rPr>
          <w:rStyle w:val="af7"/>
          <w:rFonts w:eastAsia="新細明體" w:cs="Arial Unicode MS"/>
          <w:kern w:val="2"/>
        </w:rPr>
        <w:footnoteRef/>
      </w:r>
      <w:r w:rsidRPr="003409A9">
        <w:rPr>
          <w:rFonts w:ascii="Arial Unicode MS" w:eastAsia="新細明體" w:hAnsi="Arial Unicode MS"/>
          <w:color w:val="FF6600"/>
          <w:kern w:val="2"/>
        </w:rPr>
        <w:t xml:space="preserve"> </w:t>
      </w:r>
      <w:r w:rsidRPr="007D602F">
        <w:t xml:space="preserve">Larry Baron &amp; Murray A. Straus(1989). Four Theories of Rape in American Society: A State-Level Analysis, Yale University Press. </w:t>
      </w:r>
    </w:p>
  </w:footnote>
  <w:footnote w:id="163">
    <w:p w:rsidR="00657FEF" w:rsidRPr="007D602F" w:rsidRDefault="00657FEF" w:rsidP="00992AB6">
      <w:pPr>
        <w:pStyle w:val="5"/>
        <w:rPr>
          <w:lang w:eastAsia="zh-TW"/>
        </w:rPr>
      </w:pPr>
      <w:r w:rsidRPr="003409A9">
        <w:rPr>
          <w:rStyle w:val="af7"/>
          <w:rFonts w:eastAsia="新細明體" w:cs="Arial Unicode MS"/>
          <w:kern w:val="2"/>
        </w:rPr>
        <w:footnoteRef/>
      </w:r>
      <w:r w:rsidRPr="007D602F">
        <w:rPr>
          <w:lang w:eastAsia="zh-TW"/>
        </w:rPr>
        <w:t>所謂之標準誤（</w:t>
      </w:r>
      <w:r w:rsidRPr="007D602F">
        <w:rPr>
          <w:lang w:eastAsia="zh-TW"/>
        </w:rPr>
        <w:t>standard errors</w:t>
      </w:r>
      <w:r w:rsidRPr="007D602F">
        <w:rPr>
          <w:lang w:eastAsia="zh-TW"/>
        </w:rPr>
        <w:t>），其可指出每一個未加標準化之迴歸係數，其信賴區間（</w:t>
      </w:r>
      <w:r w:rsidRPr="007D602F">
        <w:rPr>
          <w:lang w:eastAsia="zh-TW"/>
        </w:rPr>
        <w:t>confidence interval</w:t>
      </w:r>
      <w:r w:rsidRPr="007D602F">
        <w:rPr>
          <w:lang w:eastAsia="zh-TW"/>
        </w:rPr>
        <w:t>）為何﹖信賴區間之功能，其可提供迴歸係數真正之落點，值得我們加以信賴之範圍大小為何（</w:t>
      </w:r>
      <w:r w:rsidRPr="007D602F">
        <w:rPr>
          <w:lang w:eastAsia="zh-TW"/>
        </w:rPr>
        <w:t>J. Cohen &amp; P.Cohen, 1983</w:t>
      </w:r>
      <w:r w:rsidRPr="007D602F">
        <w:rPr>
          <w:lang w:eastAsia="zh-TW"/>
        </w:rPr>
        <w:t>）？就「基尼指數」而言，其對於強制性交犯罪發生率之迴歸係數為</w:t>
      </w:r>
      <w:r w:rsidRPr="007D602F">
        <w:rPr>
          <w:lang w:eastAsia="zh-TW"/>
        </w:rPr>
        <w:t>2.834</w:t>
      </w:r>
      <w:r w:rsidRPr="007D602F">
        <w:rPr>
          <w:lang w:eastAsia="zh-TW"/>
        </w:rPr>
        <w:t>，標準誤為＋</w:t>
      </w:r>
      <w:r w:rsidRPr="007D602F">
        <w:rPr>
          <w:lang w:eastAsia="zh-TW"/>
        </w:rPr>
        <w:t>0.622</w:t>
      </w:r>
      <w:r w:rsidRPr="007D602F">
        <w:rPr>
          <w:lang w:eastAsia="zh-TW"/>
        </w:rPr>
        <w:t>，則「基尼指數」迴歸係數的信賴區間，其最低的下限值，計算方式為迴數係數</w:t>
      </w:r>
      <w:r w:rsidRPr="007D602F">
        <w:rPr>
          <w:lang w:eastAsia="zh-TW"/>
        </w:rPr>
        <w:t>2.834</w:t>
      </w:r>
      <w:r w:rsidRPr="007D602F">
        <w:rPr>
          <w:lang w:eastAsia="zh-TW"/>
        </w:rPr>
        <w:t>減掉（</w:t>
      </w:r>
      <w:r w:rsidRPr="007D602F">
        <w:rPr>
          <w:lang w:eastAsia="zh-TW"/>
        </w:rPr>
        <w:t>Subtract</w:t>
      </w:r>
      <w:r w:rsidRPr="007D602F">
        <w:rPr>
          <w:lang w:eastAsia="zh-TW"/>
        </w:rPr>
        <w:t>）</w:t>
      </w:r>
      <w:r w:rsidRPr="007D602F">
        <w:rPr>
          <w:lang w:eastAsia="zh-TW"/>
        </w:rPr>
        <w:t>0.622</w:t>
      </w:r>
      <w:r w:rsidRPr="007D602F">
        <w:rPr>
          <w:lang w:eastAsia="zh-TW"/>
        </w:rPr>
        <w:t>，可得出＋</w:t>
      </w:r>
      <w:r w:rsidRPr="007D602F">
        <w:rPr>
          <w:lang w:eastAsia="zh-TW"/>
        </w:rPr>
        <w:t>2.212</w:t>
      </w:r>
      <w:r w:rsidRPr="007D602F">
        <w:rPr>
          <w:lang w:eastAsia="zh-TW"/>
        </w:rPr>
        <w:t>；其最高之上限，計算方式為迴歸係數</w:t>
      </w:r>
      <w:r w:rsidRPr="007D602F">
        <w:rPr>
          <w:lang w:eastAsia="zh-TW"/>
        </w:rPr>
        <w:t>2.834</w:t>
      </w:r>
      <w:r w:rsidRPr="007D602F">
        <w:rPr>
          <w:lang w:eastAsia="zh-TW"/>
        </w:rPr>
        <w:t>加上（</w:t>
      </w:r>
      <w:r w:rsidRPr="007D602F">
        <w:rPr>
          <w:lang w:eastAsia="zh-TW"/>
        </w:rPr>
        <w:t>add</w:t>
      </w:r>
      <w:r w:rsidRPr="007D602F">
        <w:rPr>
          <w:lang w:eastAsia="zh-TW"/>
        </w:rPr>
        <w:t>）</w:t>
      </w:r>
      <w:r w:rsidRPr="007D602F">
        <w:rPr>
          <w:lang w:eastAsia="zh-TW"/>
        </w:rPr>
        <w:t>0.622</w:t>
      </w:r>
      <w:r w:rsidRPr="007D602F">
        <w:rPr>
          <w:lang w:eastAsia="zh-TW"/>
        </w:rPr>
        <w:t>，可得到</w:t>
      </w:r>
      <w:r w:rsidRPr="007D602F">
        <w:rPr>
          <w:lang w:eastAsia="zh-TW"/>
        </w:rPr>
        <w:t>3.456</w:t>
      </w:r>
      <w:r w:rsidRPr="007D602F">
        <w:rPr>
          <w:lang w:eastAsia="zh-TW"/>
        </w:rPr>
        <w:t>，由上可得出，「基尼指數」迴歸係數之信賴區間，從</w:t>
      </w:r>
      <w:r w:rsidRPr="007D602F">
        <w:rPr>
          <w:lang w:eastAsia="zh-TW"/>
        </w:rPr>
        <w:t>2.212</w:t>
      </w:r>
      <w:r w:rsidRPr="007D602F">
        <w:rPr>
          <w:lang w:eastAsia="zh-TW"/>
        </w:rPr>
        <w:t>到</w:t>
      </w:r>
      <w:r w:rsidRPr="007D602F">
        <w:rPr>
          <w:lang w:eastAsia="zh-TW"/>
        </w:rPr>
        <w:t>3.456</w:t>
      </w:r>
      <w:r w:rsidRPr="007D602F">
        <w:rPr>
          <w:lang w:eastAsia="zh-TW"/>
        </w:rPr>
        <w:t>，此意味著「基尼指數」真正未標準化之迴歸係數，介於</w:t>
      </w:r>
      <w:r w:rsidRPr="007D602F">
        <w:rPr>
          <w:lang w:eastAsia="zh-TW"/>
        </w:rPr>
        <w:t>+2.212</w:t>
      </w:r>
      <w:r w:rsidRPr="007D602F">
        <w:rPr>
          <w:lang w:eastAsia="zh-TW"/>
        </w:rPr>
        <w:t>到</w:t>
      </w:r>
      <w:r w:rsidRPr="007D602F">
        <w:rPr>
          <w:lang w:eastAsia="zh-TW"/>
        </w:rPr>
        <w:t>+3.456</w:t>
      </w:r>
      <w:r w:rsidRPr="007D602F">
        <w:rPr>
          <w:lang w:eastAsia="zh-TW"/>
        </w:rPr>
        <w:t>之間</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64">
    <w:p w:rsidR="00657FEF" w:rsidRPr="007D602F" w:rsidRDefault="00657FEF" w:rsidP="00992AB6">
      <w:pPr>
        <w:pStyle w:val="5"/>
      </w:pPr>
      <w:r w:rsidRPr="003409A9">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165">
    <w:p w:rsidR="00657FEF" w:rsidRPr="007D602F" w:rsidRDefault="00657FEF" w:rsidP="00992AB6">
      <w:pPr>
        <w:pStyle w:val="5"/>
        <w:rPr>
          <w:lang w:eastAsia="zh-TW"/>
        </w:rPr>
      </w:pPr>
      <w:r w:rsidRPr="003409A9">
        <w:rPr>
          <w:rStyle w:val="af7"/>
          <w:rFonts w:eastAsia="新細明體" w:cs="Arial Unicode MS"/>
          <w:kern w:val="2"/>
        </w:rPr>
        <w:footnoteRef/>
      </w:r>
      <w:r w:rsidRPr="007D602F">
        <w:rPr>
          <w:lang w:eastAsia="zh-TW"/>
        </w:rPr>
        <w:t>就失業率而言，其對於強制性交犯罪發生率之未標準化迴歸係數為＋</w:t>
      </w:r>
      <w:r w:rsidRPr="007D602F">
        <w:rPr>
          <w:lang w:eastAsia="zh-TW"/>
        </w:rPr>
        <w:t>1.422</w:t>
      </w:r>
      <w:r w:rsidRPr="007D602F">
        <w:rPr>
          <w:lang w:eastAsia="zh-TW"/>
        </w:rPr>
        <w:t>，標準誤為＋</w:t>
      </w:r>
      <w:r w:rsidRPr="007D602F">
        <w:rPr>
          <w:lang w:eastAsia="zh-TW"/>
        </w:rPr>
        <w:t>0.562</w:t>
      </w:r>
      <w:r w:rsidRPr="007D602F">
        <w:rPr>
          <w:lang w:eastAsia="zh-TW"/>
        </w:rPr>
        <w:t>，則「失業率」迴歸係數之信賴區間，其下限之算法，為迴歸係數＋</w:t>
      </w:r>
      <w:r w:rsidRPr="007D602F">
        <w:rPr>
          <w:lang w:eastAsia="zh-TW"/>
        </w:rPr>
        <w:t>1.422</w:t>
      </w:r>
      <w:r w:rsidRPr="007D602F">
        <w:rPr>
          <w:lang w:eastAsia="zh-TW"/>
        </w:rPr>
        <w:t>減掉標準誤＋</w:t>
      </w:r>
      <w:r w:rsidRPr="007D602F">
        <w:rPr>
          <w:lang w:eastAsia="zh-TW"/>
        </w:rPr>
        <w:t>0.562</w:t>
      </w:r>
      <w:r w:rsidRPr="007D602F">
        <w:rPr>
          <w:lang w:eastAsia="zh-TW"/>
        </w:rPr>
        <w:t>，可得出＋</w:t>
      </w:r>
      <w:r w:rsidRPr="007D602F">
        <w:rPr>
          <w:lang w:eastAsia="zh-TW"/>
        </w:rPr>
        <w:t>0.86</w:t>
      </w:r>
      <w:r w:rsidRPr="007D602F">
        <w:rPr>
          <w:lang w:eastAsia="zh-TW"/>
        </w:rPr>
        <w:t>；其上限之算法，為迴歸係數＋</w:t>
      </w:r>
      <w:r w:rsidRPr="007D602F">
        <w:rPr>
          <w:lang w:eastAsia="zh-TW"/>
        </w:rPr>
        <w:t>1.422</w:t>
      </w:r>
      <w:r w:rsidRPr="007D602F">
        <w:rPr>
          <w:lang w:eastAsia="zh-TW"/>
        </w:rPr>
        <w:t>加上標準誤＋</w:t>
      </w:r>
      <w:r w:rsidRPr="007D602F">
        <w:rPr>
          <w:lang w:eastAsia="zh-TW"/>
        </w:rPr>
        <w:t>0.562</w:t>
      </w:r>
      <w:r w:rsidRPr="007D602F">
        <w:rPr>
          <w:lang w:eastAsia="zh-TW"/>
        </w:rPr>
        <w:t>，可得出＋</w:t>
      </w:r>
      <w:r w:rsidRPr="007D602F">
        <w:rPr>
          <w:lang w:eastAsia="zh-TW"/>
        </w:rPr>
        <w:t>1.984</w:t>
      </w:r>
      <w:r w:rsidRPr="007D602F">
        <w:rPr>
          <w:lang w:eastAsia="zh-TW"/>
        </w:rPr>
        <w:t>，故「失業率」迴歸係數之信賴區間，從＋</w:t>
      </w:r>
      <w:r w:rsidRPr="007D602F">
        <w:rPr>
          <w:lang w:eastAsia="zh-TW"/>
        </w:rPr>
        <w:t>0.86</w:t>
      </w:r>
      <w:r w:rsidRPr="007D602F">
        <w:rPr>
          <w:lang w:eastAsia="zh-TW"/>
        </w:rPr>
        <w:t>到＋</w:t>
      </w:r>
      <w:r w:rsidRPr="007D602F">
        <w:rPr>
          <w:lang w:eastAsia="zh-TW"/>
        </w:rPr>
        <w:t>1.984 (Larry Baron &amp; Murray A. Straus</w:t>
      </w:r>
      <w:r w:rsidRPr="007D602F">
        <w:rPr>
          <w:lang w:eastAsia="zh-TW"/>
        </w:rPr>
        <w:t>，</w:t>
      </w:r>
      <w:r w:rsidRPr="007D602F">
        <w:rPr>
          <w:lang w:eastAsia="zh-TW"/>
        </w:rPr>
        <w:t>1989)</w:t>
      </w:r>
      <w:r w:rsidRPr="007D602F">
        <w:rPr>
          <w:lang w:eastAsia="zh-TW"/>
        </w:rPr>
        <w:t>。</w:t>
      </w:r>
    </w:p>
  </w:footnote>
  <w:footnote w:id="166">
    <w:p w:rsidR="00657FEF" w:rsidRPr="007D602F" w:rsidRDefault="00657FEF" w:rsidP="00992AB6">
      <w:pPr>
        <w:pStyle w:val="5"/>
        <w:rPr>
          <w:lang w:eastAsia="zh-TW"/>
        </w:rPr>
      </w:pPr>
      <w:r w:rsidRPr="003409A9">
        <w:rPr>
          <w:rStyle w:val="af7"/>
          <w:rFonts w:eastAsia="新細明體" w:cs="Arial Unicode MS"/>
          <w:kern w:val="2"/>
        </w:rPr>
        <w:footnoteRef/>
      </w:r>
      <w:r w:rsidRPr="007D602F">
        <w:rPr>
          <w:lang w:eastAsia="zh-TW"/>
        </w:rPr>
        <w:t>就「性別平等」（</w:t>
      </w:r>
      <w:r w:rsidRPr="007D602F">
        <w:rPr>
          <w:lang w:eastAsia="zh-TW"/>
        </w:rPr>
        <w:t>Gender Equality</w:t>
      </w:r>
      <w:r w:rsidRPr="007D602F">
        <w:rPr>
          <w:lang w:eastAsia="zh-TW"/>
        </w:rPr>
        <w:t>）而言，其對於強制性交犯罪發生率之未標準化迴歸係數為</w:t>
      </w:r>
      <w:r w:rsidRPr="007D602F">
        <w:rPr>
          <w:lang w:eastAsia="zh-TW"/>
        </w:rPr>
        <w:t>-0.166</w:t>
      </w:r>
      <w:r w:rsidRPr="007D602F">
        <w:rPr>
          <w:lang w:eastAsia="zh-TW"/>
        </w:rPr>
        <w:t>，標準誤為＋</w:t>
      </w:r>
      <w:r w:rsidRPr="007D602F">
        <w:rPr>
          <w:lang w:eastAsia="zh-TW"/>
        </w:rPr>
        <w:t>0.06</w:t>
      </w:r>
      <w:r w:rsidRPr="007D602F">
        <w:rPr>
          <w:lang w:eastAsia="zh-TW"/>
        </w:rPr>
        <w:t>，則「性別平等」迴歸係數之信賴區間，其下限之算法，為迴歸係數</w:t>
      </w:r>
      <w:r w:rsidRPr="007D602F">
        <w:rPr>
          <w:lang w:eastAsia="zh-TW"/>
        </w:rPr>
        <w:t>-0.166</w:t>
      </w:r>
      <w:r w:rsidRPr="007D602F">
        <w:rPr>
          <w:lang w:eastAsia="zh-TW"/>
        </w:rPr>
        <w:t>減掉標準誤＋</w:t>
      </w:r>
      <w:r w:rsidRPr="007D602F">
        <w:rPr>
          <w:lang w:eastAsia="zh-TW"/>
        </w:rPr>
        <w:t>0.06</w:t>
      </w:r>
      <w:r w:rsidRPr="007D602F">
        <w:rPr>
          <w:lang w:eastAsia="zh-TW"/>
        </w:rPr>
        <w:t>，可得出</w:t>
      </w:r>
      <w:r w:rsidRPr="007D602F">
        <w:rPr>
          <w:lang w:eastAsia="zh-TW"/>
        </w:rPr>
        <w:t>-0.226</w:t>
      </w:r>
      <w:r w:rsidRPr="007D602F">
        <w:rPr>
          <w:lang w:eastAsia="zh-TW"/>
        </w:rPr>
        <w:t>；其上限之算法，為迴歸係數</w:t>
      </w:r>
      <w:r w:rsidRPr="007D602F">
        <w:rPr>
          <w:lang w:eastAsia="zh-TW"/>
        </w:rPr>
        <w:t>-0.166</w:t>
      </w:r>
      <w:r w:rsidRPr="007D602F">
        <w:rPr>
          <w:lang w:eastAsia="zh-TW"/>
        </w:rPr>
        <w:t>加上標準誤＋</w:t>
      </w:r>
      <w:r w:rsidRPr="007D602F">
        <w:rPr>
          <w:lang w:eastAsia="zh-TW"/>
        </w:rPr>
        <w:t>0.06</w:t>
      </w:r>
      <w:r w:rsidRPr="007D602F">
        <w:rPr>
          <w:lang w:eastAsia="zh-TW"/>
        </w:rPr>
        <w:t>，可得出</w:t>
      </w:r>
      <w:r w:rsidRPr="007D602F">
        <w:rPr>
          <w:lang w:eastAsia="zh-TW"/>
        </w:rPr>
        <w:t>-0.106</w:t>
      </w:r>
      <w:r w:rsidRPr="007D602F">
        <w:rPr>
          <w:lang w:eastAsia="zh-TW"/>
        </w:rPr>
        <w:t>，故「性別平等」迴歸係數之信賴區間，從</w:t>
      </w:r>
      <w:r w:rsidRPr="007D602F">
        <w:rPr>
          <w:lang w:eastAsia="zh-TW"/>
        </w:rPr>
        <w:t>-0.226</w:t>
      </w:r>
      <w:r w:rsidRPr="007D602F">
        <w:rPr>
          <w:lang w:eastAsia="zh-TW"/>
        </w:rPr>
        <w:t>到</w:t>
      </w:r>
      <w:r w:rsidRPr="007D602F">
        <w:rPr>
          <w:lang w:eastAsia="zh-TW"/>
        </w:rPr>
        <w:t>-0.106</w:t>
      </w:r>
      <w:r w:rsidRPr="007D602F">
        <w:rPr>
          <w:lang w:eastAsia="zh-TW"/>
        </w:rPr>
        <w:t>之間</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67">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68">
    <w:p w:rsidR="00657FEF" w:rsidRPr="007D602F" w:rsidRDefault="00657FEF" w:rsidP="00992AB6">
      <w:pPr>
        <w:pStyle w:val="5"/>
        <w:rPr>
          <w:lang w:eastAsia="zh-TW"/>
        </w:rPr>
      </w:pPr>
      <w:r w:rsidRPr="003409A9">
        <w:rPr>
          <w:rStyle w:val="af7"/>
          <w:rFonts w:eastAsia="新細明體" w:cs="Arial Unicode MS"/>
          <w:kern w:val="2"/>
        </w:rPr>
        <w:footnoteRef/>
      </w:r>
      <w:r w:rsidRPr="007D602F">
        <w:t>色情對於「性別不平等」（</w:t>
      </w:r>
      <w:r w:rsidRPr="007D602F">
        <w:t>gender inequality</w:t>
      </w:r>
      <w:r w:rsidRPr="007D602F">
        <w:t>）之作用力：</w:t>
      </w:r>
      <w:r w:rsidRPr="007D602F">
        <w:t>Dworkin (1985)</w:t>
      </w:r>
      <w:r w:rsidRPr="007D602F">
        <w:t>、</w:t>
      </w:r>
      <w:r w:rsidRPr="007D602F">
        <w:t xml:space="preserve"> Drvorkin &amp; Mackinnon (1988)</w:t>
      </w:r>
      <w:r w:rsidRPr="007D602F">
        <w:t>及</w:t>
      </w:r>
      <w:r w:rsidRPr="007D602F">
        <w:t>Bryant's (1982, 1984)</w:t>
      </w:r>
      <w:r w:rsidRPr="007D602F">
        <w:t>的研究顯示，女權主義者批判「色情」是「女性不平等」的直接成因（</w:t>
      </w:r>
      <w:r w:rsidRPr="007D602F">
        <w:t>direct cause</w:t>
      </w:r>
      <w:r w:rsidRPr="007D602F">
        <w:t>）。</w:t>
      </w:r>
      <w:r w:rsidRPr="007D602F">
        <w:rPr>
          <w:lang w:eastAsia="zh-TW"/>
        </w:rPr>
        <w:t>贊同此種論點之研究，尚有</w:t>
      </w:r>
      <w:r w:rsidRPr="007D602F">
        <w:rPr>
          <w:lang w:eastAsia="zh-TW"/>
        </w:rPr>
        <w:t>Zillmann &amp; Bryant's (1982, 1984)</w:t>
      </w:r>
      <w:r w:rsidRPr="007D602F">
        <w:rPr>
          <w:lang w:eastAsia="zh-TW"/>
        </w:rPr>
        <w:t>，其認為若長期暴露於非暴力之色情影片中，其會出現性別不平等之現象。</w:t>
      </w:r>
      <w:r w:rsidRPr="007D602F">
        <w:rPr>
          <w:lang w:eastAsia="zh-TW"/>
        </w:rPr>
        <w:t>Zillmann &amp; Bryant's</w:t>
      </w:r>
      <w:r w:rsidRPr="007D602F">
        <w:rPr>
          <w:lang w:eastAsia="zh-TW"/>
        </w:rPr>
        <w:t>之研究，其發現假若男性在色情影片播放之情境中，若觀看一段時間後，較不會贊同男女平等之權利（</w:t>
      </w:r>
      <w:r w:rsidRPr="007D602F">
        <w:rPr>
          <w:lang w:eastAsia="zh-TW"/>
        </w:rPr>
        <w:t>less favorable to gender equality</w:t>
      </w:r>
      <w:r w:rsidRPr="007D602F">
        <w:rPr>
          <w:lang w:eastAsia="zh-TW"/>
        </w:rPr>
        <w:t>）。因此，假若色情其會孕育「女性不應獲得平等之權利」的信念，則大量流通之色情雜誌，有可能會導致歧視女性之現象</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69">
    <w:p w:rsidR="00657FEF" w:rsidRPr="007D602F" w:rsidRDefault="00657FEF" w:rsidP="00992AB6">
      <w:pPr>
        <w:pStyle w:val="5"/>
        <w:rPr>
          <w:lang w:eastAsia="zh-TW"/>
        </w:rPr>
      </w:pPr>
      <w:r w:rsidRPr="00814432">
        <w:rPr>
          <w:rStyle w:val="af7"/>
          <w:rFonts w:cs="Arial Unicode MS"/>
        </w:rPr>
        <w:footnoteRef/>
      </w:r>
      <w:r w:rsidRPr="007D602F">
        <w:rPr>
          <w:lang w:eastAsia="zh-TW"/>
        </w:rPr>
        <w:t>就「色情雜誌流通率」而言，其對於強制性交犯罪發生率之未標準化迴歸係數為＋</w:t>
      </w:r>
      <w:r w:rsidRPr="007D602F">
        <w:rPr>
          <w:lang w:eastAsia="zh-TW"/>
        </w:rPr>
        <w:t>1.05</w:t>
      </w:r>
      <w:r w:rsidRPr="007D602F">
        <w:rPr>
          <w:lang w:eastAsia="zh-TW"/>
        </w:rPr>
        <w:t>，標準誤為＋</w:t>
      </w:r>
      <w:r w:rsidRPr="007D602F">
        <w:rPr>
          <w:lang w:eastAsia="zh-TW"/>
        </w:rPr>
        <w:t>0.209</w:t>
      </w:r>
      <w:r w:rsidRPr="007D602F">
        <w:rPr>
          <w:lang w:eastAsia="zh-TW"/>
        </w:rPr>
        <w:t>，則「色情雜誌流通率」此一變項迴歸係數之信賴區間，其下限之算法，為迴歸係數＋</w:t>
      </w:r>
      <w:r w:rsidRPr="007D602F">
        <w:rPr>
          <w:lang w:eastAsia="zh-TW"/>
        </w:rPr>
        <w:t>1.05</w:t>
      </w:r>
      <w:r w:rsidRPr="007D602F">
        <w:rPr>
          <w:lang w:eastAsia="zh-TW"/>
        </w:rPr>
        <w:t>減掉標準誤＋</w:t>
      </w:r>
      <w:r w:rsidRPr="007D602F">
        <w:rPr>
          <w:lang w:eastAsia="zh-TW"/>
        </w:rPr>
        <w:t>0.209</w:t>
      </w:r>
      <w:r w:rsidRPr="007D602F">
        <w:rPr>
          <w:lang w:eastAsia="zh-TW"/>
        </w:rPr>
        <w:t>，可得出＋</w:t>
      </w:r>
      <w:r w:rsidRPr="007D602F">
        <w:rPr>
          <w:lang w:eastAsia="zh-TW"/>
        </w:rPr>
        <w:t>0.841</w:t>
      </w:r>
      <w:r w:rsidRPr="007D602F">
        <w:rPr>
          <w:lang w:eastAsia="zh-TW"/>
        </w:rPr>
        <w:t>；其上限之算法，為迴歸係數＋</w:t>
      </w:r>
      <w:r w:rsidRPr="007D602F">
        <w:rPr>
          <w:lang w:eastAsia="zh-TW"/>
        </w:rPr>
        <w:t>1.05</w:t>
      </w:r>
      <w:r w:rsidRPr="007D602F">
        <w:rPr>
          <w:lang w:eastAsia="zh-TW"/>
        </w:rPr>
        <w:t>加上標準誤＋</w:t>
      </w:r>
      <w:r w:rsidRPr="007D602F">
        <w:rPr>
          <w:lang w:eastAsia="zh-TW"/>
        </w:rPr>
        <w:t>0.209</w:t>
      </w:r>
      <w:r w:rsidRPr="007D602F">
        <w:rPr>
          <w:lang w:eastAsia="zh-TW"/>
        </w:rPr>
        <w:t>，可得出＋</w:t>
      </w:r>
      <w:r w:rsidRPr="007D602F">
        <w:rPr>
          <w:lang w:eastAsia="zh-TW"/>
        </w:rPr>
        <w:t>1.259</w:t>
      </w:r>
      <w:r w:rsidRPr="007D602F">
        <w:rPr>
          <w:lang w:eastAsia="zh-TW"/>
        </w:rPr>
        <w:t>，故「色情雜誌流通率」此一變項迴歸係數之信賴區間，從＋</w:t>
      </w:r>
      <w:r w:rsidRPr="007D602F">
        <w:rPr>
          <w:lang w:eastAsia="zh-TW"/>
        </w:rPr>
        <w:t>0.841</w:t>
      </w:r>
      <w:r w:rsidRPr="007D602F">
        <w:rPr>
          <w:lang w:eastAsia="zh-TW"/>
        </w:rPr>
        <w:t>到＋</w:t>
      </w:r>
      <w:r w:rsidRPr="007D602F">
        <w:rPr>
          <w:lang w:eastAsia="zh-TW"/>
        </w:rPr>
        <w:t>1.259</w:t>
      </w:r>
      <w:r w:rsidRPr="007D602F">
        <w:rPr>
          <w:lang w:eastAsia="zh-TW"/>
        </w:rPr>
        <w:t>之間</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70">
    <w:p w:rsidR="00657FEF" w:rsidRPr="007D602F" w:rsidRDefault="00657FEF" w:rsidP="00992AB6">
      <w:pPr>
        <w:pStyle w:val="5"/>
        <w:rPr>
          <w:lang w:eastAsia="zh-TW"/>
        </w:rPr>
      </w:pPr>
      <w:r w:rsidRPr="00814432">
        <w:rPr>
          <w:rStyle w:val="af7"/>
          <w:rFonts w:cs="Arial Unicode MS"/>
        </w:rPr>
        <w:footnoteRef/>
      </w:r>
      <w:r w:rsidRPr="007D602F">
        <w:rPr>
          <w:lang w:eastAsia="zh-TW"/>
        </w:rPr>
        <w:t>另就「社會解組」而言，其對於強制性交犯罪發生機率之迴歸係數為＋</w:t>
      </w:r>
      <w:r w:rsidRPr="007D602F">
        <w:rPr>
          <w:lang w:eastAsia="zh-TW"/>
        </w:rPr>
        <w:t>0.299</w:t>
      </w:r>
      <w:r w:rsidRPr="007D602F">
        <w:rPr>
          <w:lang w:eastAsia="zh-TW"/>
        </w:rPr>
        <w:t>，標準誤為＋</w:t>
      </w:r>
      <w:r w:rsidRPr="007D602F">
        <w:rPr>
          <w:lang w:eastAsia="zh-TW"/>
        </w:rPr>
        <w:t>0.085</w:t>
      </w:r>
      <w:r w:rsidRPr="007D602F">
        <w:rPr>
          <w:lang w:eastAsia="zh-TW"/>
        </w:rPr>
        <w:t>，則「社會解組」迴歸係數之信賴區間，其下限之算法，為迴歸係數</w:t>
      </w:r>
      <w:r w:rsidRPr="007D602F">
        <w:rPr>
          <w:lang w:eastAsia="zh-TW"/>
        </w:rPr>
        <w:t>0.299</w:t>
      </w:r>
      <w:r w:rsidRPr="007D602F">
        <w:rPr>
          <w:lang w:eastAsia="zh-TW"/>
        </w:rPr>
        <w:t>減掉</w:t>
      </w:r>
      <w:r w:rsidRPr="007D602F">
        <w:rPr>
          <w:lang w:eastAsia="zh-TW"/>
        </w:rPr>
        <w:t>0.085</w:t>
      </w:r>
      <w:r w:rsidRPr="007D602F">
        <w:rPr>
          <w:lang w:eastAsia="zh-TW"/>
        </w:rPr>
        <w:t>，可得出</w:t>
      </w:r>
      <w:r w:rsidRPr="007D602F">
        <w:rPr>
          <w:lang w:eastAsia="zh-TW"/>
        </w:rPr>
        <w:t>0.214</w:t>
      </w:r>
      <w:r w:rsidRPr="007D602F">
        <w:rPr>
          <w:lang w:eastAsia="zh-TW"/>
        </w:rPr>
        <w:t>；其上限之算法，則為迴歸係數</w:t>
      </w:r>
      <w:r w:rsidRPr="007D602F">
        <w:rPr>
          <w:lang w:eastAsia="zh-TW"/>
        </w:rPr>
        <w:t>0.299</w:t>
      </w:r>
      <w:r w:rsidRPr="007D602F">
        <w:rPr>
          <w:lang w:eastAsia="zh-TW"/>
        </w:rPr>
        <w:t>加上</w:t>
      </w:r>
      <w:r w:rsidRPr="007D602F">
        <w:rPr>
          <w:lang w:eastAsia="zh-TW"/>
        </w:rPr>
        <w:t>0.085</w:t>
      </w:r>
      <w:r w:rsidRPr="007D602F">
        <w:rPr>
          <w:lang w:eastAsia="zh-TW"/>
        </w:rPr>
        <w:t>，可得出</w:t>
      </w:r>
      <w:r w:rsidRPr="007D602F">
        <w:rPr>
          <w:lang w:eastAsia="zh-TW"/>
        </w:rPr>
        <w:t>0.384</w:t>
      </w:r>
      <w:r w:rsidRPr="007D602F">
        <w:rPr>
          <w:lang w:eastAsia="zh-TW"/>
        </w:rPr>
        <w:t>，由上可算出，社會解組迴歸係數之信賴區間，從＋</w:t>
      </w:r>
      <w:r w:rsidRPr="007D602F">
        <w:rPr>
          <w:lang w:eastAsia="zh-TW"/>
        </w:rPr>
        <w:t>0.214</w:t>
      </w:r>
      <w:r w:rsidRPr="007D602F">
        <w:rPr>
          <w:lang w:eastAsia="zh-TW"/>
        </w:rPr>
        <w:t>到＋</w:t>
      </w:r>
      <w:r w:rsidRPr="007D602F">
        <w:rPr>
          <w:lang w:eastAsia="zh-TW"/>
        </w:rPr>
        <w:t>0.384</w:t>
      </w:r>
      <w:r w:rsidRPr="007D602F">
        <w:rPr>
          <w:lang w:eastAsia="zh-TW"/>
        </w:rPr>
        <w:t>之間</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71">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72">
    <w:p w:rsidR="00657FEF" w:rsidRPr="007D602F" w:rsidRDefault="00657FEF" w:rsidP="00992AB6">
      <w:pPr>
        <w:pStyle w:val="5"/>
        <w:rPr>
          <w:lang w:eastAsia="zh-TW"/>
        </w:rPr>
      </w:pPr>
      <w:r w:rsidRPr="00814432">
        <w:rPr>
          <w:rStyle w:val="af7"/>
          <w:rFonts w:cs="Arial Unicode MS"/>
        </w:rPr>
        <w:footnoteRef/>
      </w:r>
      <w:r w:rsidRPr="007D602F">
        <w:rPr>
          <w:lang w:eastAsia="zh-TW"/>
        </w:rPr>
        <w:t>就居住在大都會人口比例而言，其對於強制性交犯罪發生率之未標準化迴歸係數為＋</w:t>
      </w:r>
      <w:r w:rsidRPr="007D602F">
        <w:rPr>
          <w:lang w:eastAsia="zh-TW"/>
        </w:rPr>
        <w:t>0.366</w:t>
      </w:r>
      <w:r w:rsidRPr="007D602F">
        <w:rPr>
          <w:lang w:eastAsia="zh-TW"/>
        </w:rPr>
        <w:t>，標準誤為＋</w:t>
      </w:r>
      <w:r w:rsidRPr="007D602F">
        <w:rPr>
          <w:lang w:eastAsia="zh-TW"/>
        </w:rPr>
        <w:t>0.039</w:t>
      </w:r>
      <w:r w:rsidRPr="007D602F">
        <w:rPr>
          <w:lang w:eastAsia="zh-TW"/>
        </w:rPr>
        <w:t>，則「居住在大都會人口比例」此一變項迴歸係數之信賴區間，其下限之算法，為迴歸係數＋</w:t>
      </w:r>
      <w:r w:rsidRPr="007D602F">
        <w:rPr>
          <w:lang w:eastAsia="zh-TW"/>
        </w:rPr>
        <w:t>0.366</w:t>
      </w:r>
      <w:r w:rsidRPr="007D602F">
        <w:rPr>
          <w:lang w:eastAsia="zh-TW"/>
        </w:rPr>
        <w:t>減掉標準誤＋</w:t>
      </w:r>
      <w:r w:rsidRPr="007D602F">
        <w:rPr>
          <w:lang w:eastAsia="zh-TW"/>
        </w:rPr>
        <w:t>0.039</w:t>
      </w:r>
      <w:r w:rsidRPr="007D602F">
        <w:rPr>
          <w:lang w:eastAsia="zh-TW"/>
        </w:rPr>
        <w:t>，可得出＋</w:t>
      </w:r>
      <w:r w:rsidRPr="007D602F">
        <w:rPr>
          <w:lang w:eastAsia="zh-TW"/>
        </w:rPr>
        <w:t>0.327</w:t>
      </w:r>
      <w:r w:rsidRPr="007D602F">
        <w:rPr>
          <w:lang w:eastAsia="zh-TW"/>
        </w:rPr>
        <w:t>；其上限之算法，為迴歸係數＋</w:t>
      </w:r>
      <w:r w:rsidRPr="007D602F">
        <w:rPr>
          <w:lang w:eastAsia="zh-TW"/>
        </w:rPr>
        <w:t>0.366</w:t>
      </w:r>
      <w:r w:rsidRPr="007D602F">
        <w:rPr>
          <w:lang w:eastAsia="zh-TW"/>
        </w:rPr>
        <w:t>加上標準誤＋</w:t>
      </w:r>
      <w:r w:rsidRPr="007D602F">
        <w:rPr>
          <w:lang w:eastAsia="zh-TW"/>
        </w:rPr>
        <w:t>0.039</w:t>
      </w:r>
      <w:r w:rsidRPr="007D602F">
        <w:rPr>
          <w:lang w:eastAsia="zh-TW"/>
        </w:rPr>
        <w:t>，可得出＋</w:t>
      </w:r>
      <w:r w:rsidRPr="007D602F">
        <w:rPr>
          <w:lang w:eastAsia="zh-TW"/>
        </w:rPr>
        <w:t>0.405</w:t>
      </w:r>
      <w:r w:rsidRPr="007D602F">
        <w:rPr>
          <w:lang w:eastAsia="zh-TW"/>
        </w:rPr>
        <w:t>，故「大都會人口比例」此一變項迴歸係數之信賴區間，從＋</w:t>
      </w:r>
      <w:r w:rsidRPr="007D602F">
        <w:rPr>
          <w:lang w:eastAsia="zh-TW"/>
        </w:rPr>
        <w:t>0.327</w:t>
      </w:r>
      <w:r w:rsidRPr="007D602F">
        <w:rPr>
          <w:lang w:eastAsia="zh-TW"/>
        </w:rPr>
        <w:t>到＋</w:t>
      </w:r>
      <w:r w:rsidRPr="007D602F">
        <w:rPr>
          <w:lang w:eastAsia="zh-TW"/>
        </w:rPr>
        <w:t>0.405(Larry Baron &amp; Murray A. Straus</w:t>
      </w:r>
      <w:r w:rsidRPr="007D602F">
        <w:rPr>
          <w:lang w:eastAsia="zh-TW"/>
        </w:rPr>
        <w:t>，</w:t>
      </w:r>
      <w:r w:rsidRPr="007D602F">
        <w:rPr>
          <w:lang w:eastAsia="zh-TW"/>
        </w:rPr>
        <w:t>1989)</w:t>
      </w:r>
      <w:r w:rsidRPr="007D602F">
        <w:rPr>
          <w:lang w:eastAsia="zh-TW"/>
        </w:rPr>
        <w:t>。</w:t>
      </w:r>
    </w:p>
  </w:footnote>
  <w:footnote w:id="173">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74">
    <w:p w:rsidR="00657FEF" w:rsidRPr="007D602F" w:rsidRDefault="00657FEF" w:rsidP="00992AB6">
      <w:pPr>
        <w:pStyle w:val="5"/>
        <w:rPr>
          <w:lang w:eastAsia="zh-TW"/>
        </w:rPr>
      </w:pPr>
      <w:r w:rsidRPr="00814432">
        <w:rPr>
          <w:rStyle w:val="af7"/>
          <w:rFonts w:cs="Arial Unicode MS"/>
        </w:rPr>
        <w:footnoteRef/>
      </w:r>
      <w:r w:rsidRPr="007D602F">
        <w:rPr>
          <w:rStyle w:val="af7"/>
          <w:rFonts w:cs="Arial Unicode MS"/>
          <w:color w:val="5F5F5F"/>
        </w:rPr>
        <w:t xml:space="preserve"> </w:t>
      </w:r>
      <w:r w:rsidRPr="007D602F">
        <w:t>「社會文化對於暴力之支持」（</w:t>
      </w:r>
      <w:r w:rsidRPr="007D602F">
        <w:t>cultural support for violence</w:t>
      </w:r>
      <w:r w:rsidRPr="007D602F">
        <w:t>）對於「色情」（</w:t>
      </w:r>
      <w:r w:rsidRPr="007D602F">
        <w:t>pornography</w:t>
      </w:r>
      <w:r w:rsidRPr="007D602F">
        <w:t>）之作用力：此有二派不同的看法，第一派人士主張「正當化暴力無助於色情論」，這類學者</w:t>
      </w:r>
      <w:r w:rsidRPr="007D602F">
        <w:t>Malamuth &amp; Spinner (1980)</w:t>
      </w:r>
      <w:r w:rsidRPr="007D602F">
        <w:t>、</w:t>
      </w:r>
      <w:r w:rsidRPr="007D602F">
        <w:t>Scott (1985)</w:t>
      </w:r>
      <w:r w:rsidRPr="007D602F">
        <w:t>、</w:t>
      </w:r>
      <w:r w:rsidRPr="007D602F">
        <w:t>Scott &amp; Cuvelier (1987)</w:t>
      </w:r>
      <w:r w:rsidRPr="007D602F">
        <w:t>認為，在色情之中，很少會有身體暴力之出現，</w:t>
      </w:r>
      <w:r w:rsidRPr="007D602F">
        <w:t>Larry</w:t>
      </w:r>
      <w:r w:rsidRPr="007D602F">
        <w:t>及</w:t>
      </w:r>
      <w:r w:rsidRPr="007D602F">
        <w:t>Straus (1989)</w:t>
      </w:r>
      <w:r w:rsidRPr="007D602F">
        <w:t>認為，這派主張之可能性，係因為買色情雜誌之消費者，最主要的興趣在於「性」。</w:t>
      </w:r>
      <w:r w:rsidRPr="007D602F">
        <w:rPr>
          <w:lang w:eastAsia="zh-TW"/>
        </w:rPr>
        <w:t>是以，「社會文化對於正當化暴力支持」之變項，對於色情雜誌之流通，就不具有作用力。相反之看法，第二派人士，諸如：</w:t>
      </w:r>
      <w:r w:rsidRPr="007D602F">
        <w:rPr>
          <w:lang w:eastAsia="zh-TW"/>
        </w:rPr>
        <w:t>Barry (1979)</w:t>
      </w:r>
      <w:r w:rsidRPr="007D602F">
        <w:rPr>
          <w:lang w:eastAsia="zh-TW"/>
        </w:rPr>
        <w:t>、</w:t>
      </w:r>
      <w:r w:rsidRPr="007D602F">
        <w:rPr>
          <w:lang w:eastAsia="zh-TW"/>
        </w:rPr>
        <w:t>Dworkin (1979)</w:t>
      </w:r>
      <w:r w:rsidRPr="007D602F">
        <w:rPr>
          <w:lang w:eastAsia="zh-TW"/>
        </w:rPr>
        <w:t>、</w:t>
      </w:r>
      <w:r w:rsidRPr="007D602F">
        <w:rPr>
          <w:lang w:eastAsia="zh-TW"/>
        </w:rPr>
        <w:t>Lederer (1980)</w:t>
      </w:r>
      <w:r w:rsidRPr="007D602F">
        <w:rPr>
          <w:lang w:eastAsia="zh-TW"/>
        </w:rPr>
        <w:t>、</w:t>
      </w:r>
      <w:r w:rsidRPr="007D602F">
        <w:rPr>
          <w:lang w:eastAsia="zh-TW"/>
        </w:rPr>
        <w:t>S.J. McCarthy (1980)</w:t>
      </w:r>
      <w:r w:rsidRPr="007D602F">
        <w:rPr>
          <w:lang w:eastAsia="zh-TW"/>
        </w:rPr>
        <w:t>、</w:t>
      </w:r>
      <w:r w:rsidRPr="007D602F">
        <w:rPr>
          <w:lang w:eastAsia="zh-TW"/>
        </w:rPr>
        <w:t>Stoller (1976)</w:t>
      </w:r>
      <w:r w:rsidRPr="007D602F">
        <w:rPr>
          <w:lang w:eastAsia="zh-TW"/>
        </w:rPr>
        <w:t>認為，在色情雜誌中，無論身體暴力被加以描繪之程度、大小為何﹖色情雜誌對於女性表達一種敵意（</w:t>
      </w:r>
      <w:r w:rsidRPr="007D602F">
        <w:rPr>
          <w:lang w:eastAsia="zh-TW"/>
        </w:rPr>
        <w:t>hostile</w:t>
      </w:r>
      <w:r w:rsidRPr="007D602F">
        <w:rPr>
          <w:lang w:eastAsia="zh-TW"/>
        </w:rPr>
        <w:t>）及輕蔑（</w:t>
      </w:r>
      <w:r w:rsidRPr="007D602F">
        <w:rPr>
          <w:lang w:eastAsia="zh-TW"/>
        </w:rPr>
        <w:t>contemptuous</w:t>
      </w:r>
      <w:r w:rsidRPr="007D602F">
        <w:rPr>
          <w:lang w:eastAsia="zh-TW"/>
        </w:rPr>
        <w:t>）之態度。假若此種論點正確，則增加「社會文化對於暴力之支持」，亦會提升「色情刊物之流通量」</w:t>
      </w:r>
      <w:r w:rsidRPr="007D602F">
        <w:rPr>
          <w:lang w:eastAsia="zh-TW"/>
        </w:rPr>
        <w:t>(Larry Baron &amp; Murray A. Straus</w:t>
      </w:r>
      <w:r w:rsidRPr="007D602F">
        <w:rPr>
          <w:lang w:eastAsia="zh-TW"/>
        </w:rPr>
        <w:t>，</w:t>
      </w:r>
      <w:r w:rsidRPr="007D602F">
        <w:rPr>
          <w:lang w:eastAsia="zh-TW"/>
        </w:rPr>
        <w:t>1989)</w:t>
      </w:r>
      <w:r w:rsidRPr="007D602F">
        <w:rPr>
          <w:lang w:eastAsia="zh-TW"/>
        </w:rPr>
        <w:t>。再者，「社會文化對於暴力之支持與容忍」對於「性別不平等」（</w:t>
      </w:r>
      <w:r w:rsidRPr="007D602F">
        <w:rPr>
          <w:lang w:eastAsia="zh-TW"/>
        </w:rPr>
        <w:t>gender inequality</w:t>
      </w:r>
      <w:r w:rsidRPr="007D602F">
        <w:rPr>
          <w:lang w:eastAsia="zh-TW"/>
        </w:rPr>
        <w:t>）之影響力：人類學方面的實證研究方面，學者</w:t>
      </w:r>
      <w:r w:rsidRPr="007D602F">
        <w:rPr>
          <w:lang w:eastAsia="zh-TW"/>
        </w:rPr>
        <w:t>Chafetz (1984)</w:t>
      </w:r>
      <w:r w:rsidRPr="007D602F">
        <w:rPr>
          <w:lang w:eastAsia="zh-TW"/>
        </w:rPr>
        <w:t>及</w:t>
      </w:r>
      <w:r w:rsidRPr="007D602F">
        <w:rPr>
          <w:lang w:eastAsia="zh-TW"/>
        </w:rPr>
        <w:t>Quinn (1977)</w:t>
      </w:r>
      <w:r w:rsidRPr="007D602F">
        <w:rPr>
          <w:lang w:eastAsia="zh-TW"/>
        </w:rPr>
        <w:t>指出，他們在探究性別不平等之起源議題，發現社會文化對於暴力使用之支持、贊同與接受，對於女性之社會地位是不友善及敵對的（</w:t>
      </w:r>
      <w:r w:rsidRPr="007D602F">
        <w:rPr>
          <w:lang w:eastAsia="zh-TW"/>
        </w:rPr>
        <w:t>inimical</w:t>
      </w:r>
      <w:r w:rsidRPr="007D602F">
        <w:rPr>
          <w:lang w:eastAsia="zh-TW"/>
        </w:rPr>
        <w:t>）。另外，學者</w:t>
      </w:r>
      <w:r w:rsidRPr="007D602F">
        <w:rPr>
          <w:lang w:eastAsia="zh-TW"/>
        </w:rPr>
        <w:t>Divale</w:t>
      </w:r>
      <w:r w:rsidRPr="007D602F">
        <w:rPr>
          <w:lang w:eastAsia="zh-TW"/>
        </w:rPr>
        <w:t>及</w:t>
      </w:r>
      <w:r w:rsidRPr="007D602F">
        <w:rPr>
          <w:lang w:eastAsia="zh-TW"/>
        </w:rPr>
        <w:t>Harris (1976)</w:t>
      </w:r>
      <w:r w:rsidRPr="007D602F">
        <w:rPr>
          <w:lang w:eastAsia="zh-TW"/>
        </w:rPr>
        <w:t>認為，假若一個社會係處在交戰狀況，則戰爭行為（交戰）會促使該社會易有「男性優越（至上）情結」（</w:t>
      </w:r>
      <w:r w:rsidRPr="007D602F">
        <w:rPr>
          <w:lang w:eastAsia="zh-TW"/>
        </w:rPr>
        <w:t>male supremacist complex</w:t>
      </w:r>
      <w:r w:rsidRPr="007D602F">
        <w:rPr>
          <w:lang w:eastAsia="zh-TW"/>
        </w:rPr>
        <w:t>），因為戰爭需要男性打仗，在軍事（戰時）社會之中，男性成為更具有價值之角色，相較之下，女性之社會地位會變成較不重要。另有一位學者，名為</w:t>
      </w:r>
      <w:r w:rsidRPr="007D602F">
        <w:rPr>
          <w:lang w:eastAsia="zh-TW"/>
        </w:rPr>
        <w:t>Sanday (1981)</w:t>
      </w:r>
      <w:r w:rsidRPr="007D602F">
        <w:rPr>
          <w:lang w:eastAsia="zh-TW"/>
        </w:rPr>
        <w:t>，其比較由男性主導與男女平等之部落社會，兩個社會之中，戰爭行為發生之頻次是否有差異存在﹖結果發現，假若此部落社會係由男性主導，其地方性或長期性之交戰行為，計有</w:t>
      </w:r>
      <w:r w:rsidRPr="007D602F">
        <w:rPr>
          <w:lang w:eastAsia="zh-TW"/>
        </w:rPr>
        <w:t>82%</w:t>
      </w:r>
      <w:r w:rsidRPr="007D602F">
        <w:rPr>
          <w:lang w:eastAsia="zh-TW"/>
        </w:rPr>
        <w:t>，反之，在男女平權之部落社會中，交戰行為僅有</w:t>
      </w:r>
      <w:r w:rsidRPr="007D602F">
        <w:rPr>
          <w:lang w:eastAsia="zh-TW"/>
        </w:rPr>
        <w:t>50%</w:t>
      </w:r>
      <w:r w:rsidRPr="007D602F">
        <w:rPr>
          <w:lang w:eastAsia="zh-TW"/>
        </w:rPr>
        <w:t>。</w:t>
      </w:r>
      <w:r w:rsidRPr="007D602F">
        <w:rPr>
          <w:lang w:eastAsia="zh-TW"/>
        </w:rPr>
        <w:t>Reiss (1986)</w:t>
      </w:r>
      <w:r w:rsidRPr="007D602F">
        <w:rPr>
          <w:lang w:eastAsia="zh-TW"/>
        </w:rPr>
        <w:t>亦對部落社會</w:t>
      </w:r>
      <w:r w:rsidRPr="007D602F">
        <w:rPr>
          <w:lang w:eastAsia="zh-TW"/>
        </w:rPr>
        <w:t>(tribal societies)</w:t>
      </w:r>
      <w:r w:rsidRPr="007D602F">
        <w:rPr>
          <w:lang w:eastAsia="zh-TW"/>
        </w:rPr>
        <w:t>加以分析，結果發現，「人際之間的暴力衝突」（</w:t>
      </w:r>
      <w:r w:rsidRPr="007D602F">
        <w:rPr>
          <w:lang w:eastAsia="zh-TW"/>
        </w:rPr>
        <w:t>interpersonal violence</w:t>
      </w:r>
      <w:r w:rsidRPr="007D602F">
        <w:rPr>
          <w:lang w:eastAsia="zh-TW"/>
        </w:rPr>
        <w:t>）與「女性之地位」兩個變項之間，具有負相關（</w:t>
      </w:r>
      <w:r w:rsidRPr="007D602F">
        <w:rPr>
          <w:lang w:eastAsia="zh-TW"/>
        </w:rPr>
        <w:t>inverse relationship</w:t>
      </w:r>
      <w:r w:rsidRPr="007D602F">
        <w:rPr>
          <w:lang w:eastAsia="zh-TW"/>
        </w:rPr>
        <w:t>）</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75">
    <w:p w:rsidR="00657FEF" w:rsidRPr="007D602F" w:rsidRDefault="00657FEF" w:rsidP="00992AB6">
      <w:pPr>
        <w:pStyle w:val="5"/>
      </w:pPr>
      <w:r w:rsidRPr="00814432">
        <w:rPr>
          <w:rStyle w:val="af7"/>
          <w:rFonts w:cs="Arial Unicode MS"/>
        </w:rPr>
        <w:footnoteRef/>
      </w:r>
      <w:r w:rsidRPr="00814432">
        <w:rPr>
          <w:color w:val="FF6600"/>
        </w:rPr>
        <w:t xml:space="preserve"> </w:t>
      </w:r>
      <w:r w:rsidRPr="007D602F">
        <w:t xml:space="preserve">Larry Baron &amp; Murray A. Straus(1989). Four Theories of Rape in American Society: A State-Level Analysis, Yale University Press. </w:t>
      </w:r>
    </w:p>
  </w:footnote>
  <w:footnote w:id="176">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77">
    <w:p w:rsidR="00657FEF" w:rsidRPr="007D602F" w:rsidRDefault="00657FEF" w:rsidP="00992AB6">
      <w:pPr>
        <w:pStyle w:val="5"/>
      </w:pPr>
      <w:r w:rsidRPr="00814432">
        <w:rPr>
          <w:rStyle w:val="af7"/>
          <w:rFonts w:cs="Arial Unicode MS"/>
        </w:rPr>
        <w:footnoteRef/>
      </w:r>
      <w:r w:rsidRPr="00814432">
        <w:rPr>
          <w:color w:val="FF6600"/>
        </w:rPr>
        <w:t xml:space="preserve"> </w:t>
      </w:r>
      <w:r w:rsidRPr="007D602F">
        <w:t xml:space="preserve">Larry Baron &amp; Murray A. Straus(1989). Four Theories of Rape in American Society: A State-Level Analysis, Yale University Press. </w:t>
      </w:r>
    </w:p>
  </w:footnote>
  <w:footnote w:id="178">
    <w:p w:rsidR="00657FEF" w:rsidRPr="007D602F" w:rsidRDefault="00657FEF" w:rsidP="00992AB6">
      <w:pPr>
        <w:pStyle w:val="5"/>
      </w:pPr>
      <w:r w:rsidRPr="00AE32E3">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179">
    <w:p w:rsidR="00657FEF" w:rsidRPr="007D602F" w:rsidRDefault="00657FEF" w:rsidP="00992AB6">
      <w:pPr>
        <w:pStyle w:val="5"/>
      </w:pPr>
      <w:r w:rsidRPr="00AE32E3">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180">
    <w:p w:rsidR="00657FEF" w:rsidRPr="007D602F" w:rsidRDefault="00657FEF" w:rsidP="00992AB6">
      <w:pPr>
        <w:pStyle w:val="5"/>
      </w:pPr>
      <w:r w:rsidRPr="00AE32E3">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181">
    <w:p w:rsidR="00657FEF" w:rsidRPr="007D602F" w:rsidRDefault="00657FEF" w:rsidP="00992AB6">
      <w:pPr>
        <w:pStyle w:val="5"/>
      </w:pPr>
      <w:r w:rsidRPr="00AE32E3">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182">
    <w:p w:rsidR="00657FEF" w:rsidRPr="007D602F" w:rsidRDefault="00657FEF" w:rsidP="00992AB6">
      <w:pPr>
        <w:pStyle w:val="5"/>
      </w:pPr>
      <w:r w:rsidRPr="00AE32E3">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183">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84">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85">
    <w:p w:rsidR="00657FEF" w:rsidRPr="007D602F" w:rsidRDefault="00657FEF" w:rsidP="00992AB6">
      <w:pPr>
        <w:pStyle w:val="5"/>
      </w:pPr>
      <w:r w:rsidRPr="00814432">
        <w:rPr>
          <w:rStyle w:val="af7"/>
          <w:rFonts w:cs="Arial Unicode MS"/>
        </w:rPr>
        <w:footnoteRef/>
      </w:r>
      <w:r w:rsidRPr="007D602F">
        <w:t xml:space="preserve"> Larry Baron &amp; Murray A. Straus(1989)</w:t>
      </w:r>
      <w:r w:rsidRPr="007D602F">
        <w:t>之所以採用路徑分析之方法，其理由為：路徑分析之方法，是用在一個「因果」模式中，以評估相互具有關連性之變項的作用力。路徑分析之技術，若與多元迴歸作比較，路徑分析之優點在於其容許吾人同時評估影響強制性交犯罪之直接及間接效果，相較之下，多元迴歸僅能評估影響強制性交犯罪之直接作用力（</w:t>
      </w:r>
      <w:r w:rsidRPr="007D602F">
        <w:t>direct effects</w:t>
      </w:r>
      <w:r w:rsidRPr="007D602F">
        <w:t>），而無法評估變項對於強制性交犯罪之間接作用力</w:t>
      </w:r>
      <w:r w:rsidRPr="007D602F">
        <w:t>(Larry Baron &amp; Murray A. Straus</w:t>
      </w:r>
      <w:r w:rsidRPr="007D602F">
        <w:t>，</w:t>
      </w:r>
      <w:r w:rsidRPr="007D602F">
        <w:t>1989)</w:t>
      </w:r>
      <w:r w:rsidRPr="007D602F">
        <w:t>。例如，在社會解組（</w:t>
      </w:r>
      <w:r w:rsidRPr="007D602F">
        <w:t>social disorganization</w:t>
      </w:r>
      <w:r w:rsidRPr="007D602F">
        <w:t>）與強制性交犯罪之間，有一個箭頭從左邊指到右邊之強制性交犯罪，其意義代表研究者假設「社會解組」這一個變項，其對於強制性交犯罪之發生機率，具有直接（</w:t>
      </w:r>
      <w:r w:rsidRPr="007D602F">
        <w:t>directly</w:t>
      </w:r>
      <w:r w:rsidRPr="007D602F">
        <w:t>）之作用力。</w:t>
      </w:r>
      <w:r w:rsidRPr="007D602F">
        <w:rPr>
          <w:lang w:eastAsia="zh-TW"/>
        </w:rPr>
        <w:t>同時，吾人亦假設社會解組對於強制性交犯罪，其透由「正當化暴力」（</w:t>
      </w:r>
      <w:r w:rsidRPr="007D602F">
        <w:rPr>
          <w:lang w:eastAsia="zh-TW"/>
        </w:rPr>
        <w:t>legitimate violence</w:t>
      </w:r>
      <w:r w:rsidRPr="007D602F">
        <w:rPr>
          <w:lang w:eastAsia="zh-TW"/>
        </w:rPr>
        <w:t>）、「性雜誌流通率」（</w:t>
      </w:r>
      <w:r w:rsidRPr="007D602F">
        <w:rPr>
          <w:lang w:eastAsia="zh-TW"/>
        </w:rPr>
        <w:t>sex magazine circulation</w:t>
      </w:r>
      <w:r w:rsidRPr="007D602F">
        <w:rPr>
          <w:lang w:eastAsia="zh-TW"/>
        </w:rPr>
        <w:t>）及「性別平等」（</w:t>
      </w:r>
      <w:r w:rsidRPr="007D602F">
        <w:rPr>
          <w:lang w:eastAsia="zh-TW"/>
        </w:rPr>
        <w:t>gender equality</w:t>
      </w:r>
      <w:r w:rsidRPr="007D602F">
        <w:rPr>
          <w:lang w:eastAsia="zh-TW"/>
        </w:rPr>
        <w:t>）等三個中介變項，產生間接（</w:t>
      </w:r>
      <w:r w:rsidRPr="007D602F">
        <w:rPr>
          <w:lang w:eastAsia="zh-TW"/>
        </w:rPr>
        <w:t>indirect</w:t>
      </w:r>
      <w:r w:rsidRPr="007D602F">
        <w:rPr>
          <w:lang w:eastAsia="zh-TW"/>
        </w:rPr>
        <w:t>）之影響力；而其箭頭之表示方式，首先，用箭頭將「社會解組」與「性雜誌流通」、「性別平等」及「正當化暴力」作連結，從「社會解組」開始，用箭頭從左邊劃到上述三個中介變項；之後，再從上述三個變項，用箭頭與強制性交犯罪作直接之連結。從研究架構模式之中，可得到以下四種假設</w:t>
      </w:r>
      <w:r w:rsidRPr="007D602F">
        <w:rPr>
          <w:lang w:eastAsia="zh-TW"/>
        </w:rPr>
        <w:t>(Larry Baron &amp; Murray A. Straus</w:t>
      </w:r>
      <w:r w:rsidRPr="007D602F">
        <w:rPr>
          <w:lang w:eastAsia="zh-TW"/>
        </w:rPr>
        <w:t>，</w:t>
      </w:r>
      <w:r w:rsidRPr="007D602F">
        <w:rPr>
          <w:lang w:eastAsia="zh-TW"/>
        </w:rPr>
        <w:t>1989)</w:t>
      </w:r>
      <w:r w:rsidRPr="007D602F">
        <w:rPr>
          <w:lang w:eastAsia="zh-TW"/>
        </w:rPr>
        <w:t>：</w:t>
      </w:r>
      <w:r w:rsidRPr="007D602F">
        <w:rPr>
          <w:lang w:eastAsia="zh-TW"/>
        </w:rPr>
        <w:t>H1</w:t>
      </w:r>
      <w:r w:rsidRPr="007D602F">
        <w:rPr>
          <w:lang w:eastAsia="zh-TW"/>
        </w:rPr>
        <w:t>：若降低「性別平等」，則會增加強制性交犯罪發生之機率。</w:t>
      </w:r>
      <w:r w:rsidRPr="007D602F">
        <w:rPr>
          <w:lang w:eastAsia="zh-TW"/>
        </w:rPr>
        <w:t>H2</w:t>
      </w:r>
      <w:r w:rsidRPr="007D602F">
        <w:rPr>
          <w:lang w:eastAsia="zh-TW"/>
        </w:rPr>
        <w:t>：若提升色情雜誌之流通率（</w:t>
      </w:r>
      <w:r w:rsidRPr="007D602F">
        <w:rPr>
          <w:lang w:eastAsia="zh-TW"/>
        </w:rPr>
        <w:t>circulation rate of sexually explicit magazines</w:t>
      </w:r>
      <w:r w:rsidRPr="007D602F">
        <w:rPr>
          <w:lang w:eastAsia="zh-TW"/>
        </w:rPr>
        <w:t>），則會增加強制性交犯罪發生之機率。</w:t>
      </w:r>
      <w:r w:rsidRPr="007D602F">
        <w:rPr>
          <w:lang w:eastAsia="zh-TW"/>
        </w:rPr>
        <w:t>H3</w:t>
      </w:r>
      <w:r w:rsidRPr="007D602F">
        <w:rPr>
          <w:lang w:eastAsia="zh-TW"/>
        </w:rPr>
        <w:t>：假若社會解組程度被提升，則會增強強制性交犯罪發生之機率。</w:t>
      </w:r>
      <w:r w:rsidRPr="007D602F">
        <w:rPr>
          <w:lang w:eastAsia="zh-TW"/>
        </w:rPr>
        <w:t>H4</w:t>
      </w:r>
      <w:r w:rsidRPr="007D602F">
        <w:rPr>
          <w:lang w:eastAsia="zh-TW"/>
        </w:rPr>
        <w:t>：提高正當化暴力，則會提升強制性交犯罪發生之機率。</w:t>
      </w:r>
      <w:r w:rsidRPr="007D602F">
        <w:t>(Larry Baron &amp; Murray A. Straus</w:t>
      </w:r>
      <w:r w:rsidRPr="007D602F">
        <w:t>，</w:t>
      </w:r>
      <w:r w:rsidRPr="007D602F">
        <w:t>1989)</w:t>
      </w:r>
      <w:r w:rsidRPr="007D602F">
        <w:t>。</w:t>
      </w:r>
    </w:p>
  </w:footnote>
  <w:footnote w:id="186">
    <w:p w:rsidR="00657FEF" w:rsidRPr="007D602F" w:rsidRDefault="00657FEF" w:rsidP="00992AB6">
      <w:pPr>
        <w:pStyle w:val="5"/>
      </w:pPr>
      <w:r w:rsidRPr="00814432">
        <w:rPr>
          <w:rStyle w:val="af7"/>
          <w:rFonts w:cs="Arial Unicode MS"/>
        </w:rPr>
        <w:footnoteRef/>
      </w:r>
      <w:r w:rsidRPr="00814432">
        <w:t xml:space="preserve"> Larry Baron &amp; Murray A. Straus(1989). Four Theories of Rape in American Society: A State-Level Ana</w:t>
      </w:r>
      <w:r w:rsidRPr="007D602F">
        <w:t xml:space="preserve">lysis, Yale University Press. </w:t>
      </w:r>
    </w:p>
  </w:footnote>
  <w:footnote w:id="187">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88">
    <w:p w:rsidR="00657FEF" w:rsidRPr="007D602F" w:rsidRDefault="00657FEF" w:rsidP="00992AB6">
      <w:pPr>
        <w:pStyle w:val="5"/>
      </w:pPr>
      <w:r w:rsidRPr="00814432">
        <w:rPr>
          <w:rStyle w:val="af7"/>
          <w:rFonts w:cs="Arial Unicode MS"/>
        </w:rPr>
        <w:footnoteRef/>
      </w:r>
      <w:r w:rsidRPr="007D602F">
        <w:t>關於「色情雜誌流通率」之測量，係使用「性雜誌流通指標」（</w:t>
      </w:r>
      <w:r w:rsidRPr="007D602F">
        <w:t>Sex Magazine Circulation Index</w:t>
      </w:r>
      <w:r w:rsidRPr="007D602F">
        <w:t>，簡稱</w:t>
      </w:r>
      <w:r w:rsidRPr="007D602F">
        <w:t>SMCX2</w:t>
      </w:r>
      <w:r w:rsidRPr="007D602F">
        <w:t>）。此部份，係測量在</w:t>
      </w:r>
      <w:r w:rsidRPr="007D602F">
        <w:t>1979</w:t>
      </w:r>
      <w:r w:rsidRPr="007D602F">
        <w:t>年中，八種性雜誌之銷售本數共計為多少﹖此八種雜誌，分別為</w:t>
      </w:r>
      <w:r w:rsidRPr="007D602F">
        <w:t>playboy</w:t>
      </w:r>
      <w:r w:rsidRPr="007D602F">
        <w:t>、</w:t>
      </w:r>
      <w:r w:rsidRPr="007D602F">
        <w:t>Hustler</w:t>
      </w:r>
      <w:r w:rsidRPr="007D602F">
        <w:t>、</w:t>
      </w:r>
      <w:r w:rsidRPr="007D602F">
        <w:t>Penthouse</w:t>
      </w:r>
      <w:r w:rsidRPr="007D602F">
        <w:t>、</w:t>
      </w:r>
      <w:r w:rsidRPr="007D602F">
        <w:t>Chic</w:t>
      </w:r>
      <w:r w:rsidRPr="007D602F">
        <w:t>、</w:t>
      </w:r>
      <w:r w:rsidRPr="007D602F">
        <w:t>Club</w:t>
      </w:r>
      <w:r w:rsidRPr="007D602F">
        <w:t>、</w:t>
      </w:r>
      <w:r w:rsidRPr="007D602F">
        <w:t>Gallery</w:t>
      </w:r>
      <w:r w:rsidRPr="007D602F">
        <w:t>、</w:t>
      </w:r>
      <w:r w:rsidRPr="007D602F">
        <w:t>Genesis</w:t>
      </w:r>
      <w:r w:rsidRPr="007D602F">
        <w:t>及</w:t>
      </w:r>
      <w:r w:rsidRPr="007D602F">
        <w:t>Cui</w:t>
      </w:r>
      <w:r w:rsidRPr="007D602F">
        <w:t>。</w:t>
      </w:r>
    </w:p>
  </w:footnote>
  <w:footnote w:id="189">
    <w:p w:rsidR="00657FEF" w:rsidRPr="007D602F" w:rsidRDefault="00657FEF" w:rsidP="00992AB6">
      <w:pPr>
        <w:pStyle w:val="5"/>
        <w:rPr>
          <w:lang w:eastAsia="zh-TW"/>
        </w:rPr>
      </w:pPr>
      <w:r w:rsidRPr="00814432">
        <w:rPr>
          <w:rStyle w:val="af7"/>
          <w:rFonts w:cs="Arial Unicode MS"/>
        </w:rPr>
        <w:footnoteRef/>
      </w:r>
      <w:r w:rsidRPr="007D602F">
        <w:rPr>
          <w:lang w:eastAsia="zh-TW"/>
        </w:rPr>
        <w:t>對於「色情雜誌之流通」具有作用力之三個變項，其影響力之大小，依據標準化路徑數值之大小，則依序為：社會解組（＋</w:t>
      </w:r>
      <w:r w:rsidRPr="007D602F">
        <w:rPr>
          <w:lang w:eastAsia="zh-TW"/>
        </w:rPr>
        <w:t>0.659</w:t>
      </w:r>
      <w:r w:rsidRPr="007D602F">
        <w:rPr>
          <w:lang w:eastAsia="zh-TW"/>
        </w:rPr>
        <w:t>）、各州人口介乎</w:t>
      </w:r>
      <w:r w:rsidRPr="007D602F">
        <w:rPr>
          <w:lang w:eastAsia="zh-TW"/>
        </w:rPr>
        <w:t>15</w:t>
      </w:r>
      <w:r w:rsidRPr="007D602F">
        <w:rPr>
          <w:lang w:eastAsia="zh-TW"/>
        </w:rPr>
        <w:t>至</w:t>
      </w:r>
      <w:r w:rsidRPr="007D602F">
        <w:rPr>
          <w:lang w:eastAsia="zh-TW"/>
        </w:rPr>
        <w:t>24</w:t>
      </w:r>
      <w:r w:rsidRPr="007D602F">
        <w:rPr>
          <w:lang w:eastAsia="zh-TW"/>
        </w:rPr>
        <w:t>歲之男性百分比（＋</w:t>
      </w:r>
      <w:r w:rsidRPr="007D602F">
        <w:rPr>
          <w:lang w:eastAsia="zh-TW"/>
        </w:rPr>
        <w:t>0.257</w:t>
      </w:r>
      <w:r w:rsidRPr="007D602F">
        <w:rPr>
          <w:lang w:eastAsia="zh-TW"/>
        </w:rPr>
        <w:t>）及「基尼指數」</w:t>
      </w:r>
      <w:r w:rsidRPr="007D602F">
        <w:rPr>
          <w:lang w:eastAsia="zh-TW"/>
        </w:rPr>
        <w:t>(-0.267)</w:t>
      </w:r>
      <w:r w:rsidRPr="007D602F">
        <w:rPr>
          <w:lang w:eastAsia="zh-TW"/>
        </w:rPr>
        <w:t>。因為上述三個變項對於「色情雜誌之流通」具有直接之作用力，而「色情雜誌之流通」依序再對強制性交率產生正向且直接之影響力，故上述三個變項透由「色情雜誌之流通」此一中介變項，對於強制性交率產生間接作用力（</w:t>
      </w:r>
      <w:r w:rsidRPr="007D602F">
        <w:rPr>
          <w:lang w:eastAsia="zh-TW"/>
        </w:rPr>
        <w:t>indirectly</w:t>
      </w:r>
      <w:r w:rsidRPr="007D602F">
        <w:rPr>
          <w:lang w:eastAsia="zh-TW"/>
        </w:rPr>
        <w:t>）。首先，就「社會解組」而言，其對於「色情雜誌流通率」之標準化路徑係數為＋</w:t>
      </w:r>
      <w:r w:rsidRPr="007D602F">
        <w:rPr>
          <w:lang w:eastAsia="zh-TW"/>
        </w:rPr>
        <w:t>0.659</w:t>
      </w:r>
      <w:r w:rsidRPr="007D602F">
        <w:rPr>
          <w:lang w:eastAsia="zh-TW"/>
        </w:rPr>
        <w:t>，其表示當我們控制迴歸方程式中之其他變項後，每增加「社會解組」一個標準差，則會導致「色情雜誌流通率」上升</w:t>
      </w:r>
      <w:r w:rsidRPr="007D602F">
        <w:rPr>
          <w:lang w:eastAsia="zh-TW"/>
        </w:rPr>
        <w:t>0.659</w:t>
      </w:r>
      <w:r w:rsidRPr="007D602F">
        <w:rPr>
          <w:lang w:eastAsia="zh-TW"/>
        </w:rPr>
        <w:t>個標準差，其意味著「社會解組」對於「色情雜誌流通率」具有正向且直接之作用力，並已達統計上之顯著水準。次之，就「</w:t>
      </w:r>
      <w:r w:rsidRPr="007D602F">
        <w:rPr>
          <w:lang w:eastAsia="zh-TW"/>
        </w:rPr>
        <w:t>15</w:t>
      </w:r>
      <w:r w:rsidRPr="007D602F">
        <w:rPr>
          <w:lang w:eastAsia="zh-TW"/>
        </w:rPr>
        <w:t>至</w:t>
      </w:r>
      <w:r w:rsidRPr="007D602F">
        <w:rPr>
          <w:lang w:eastAsia="zh-TW"/>
        </w:rPr>
        <w:t>24</w:t>
      </w:r>
      <w:r w:rsidRPr="007D602F">
        <w:rPr>
          <w:lang w:eastAsia="zh-TW"/>
        </w:rPr>
        <w:t>歲各州男性人口百分比例」而言，其對於「色情雜誌流通率」之標準化路徑數為＋</w:t>
      </w:r>
      <w:r w:rsidRPr="007D602F">
        <w:rPr>
          <w:lang w:eastAsia="zh-TW"/>
        </w:rPr>
        <w:t>0.257</w:t>
      </w:r>
      <w:r w:rsidRPr="007D602F">
        <w:rPr>
          <w:lang w:eastAsia="zh-TW"/>
        </w:rPr>
        <w:t>，其表示當我們控制迴歸方程中之其他變項後，每增加「</w:t>
      </w:r>
      <w:r w:rsidRPr="007D602F">
        <w:rPr>
          <w:lang w:eastAsia="zh-TW"/>
        </w:rPr>
        <w:t>15</w:t>
      </w:r>
      <w:r w:rsidRPr="007D602F">
        <w:rPr>
          <w:lang w:eastAsia="zh-TW"/>
        </w:rPr>
        <w:t>至</w:t>
      </w:r>
      <w:r w:rsidRPr="007D602F">
        <w:rPr>
          <w:lang w:eastAsia="zh-TW"/>
        </w:rPr>
        <w:t>24</w:t>
      </w:r>
      <w:r w:rsidRPr="007D602F">
        <w:rPr>
          <w:lang w:eastAsia="zh-TW"/>
        </w:rPr>
        <w:t>歲男性人口百分比例」一個標準差，則會導致「色情雜誌流通率」上升</w:t>
      </w:r>
      <w:r w:rsidRPr="007D602F">
        <w:rPr>
          <w:lang w:eastAsia="zh-TW"/>
        </w:rPr>
        <w:t>0.257</w:t>
      </w:r>
      <w:r w:rsidRPr="007D602F">
        <w:rPr>
          <w:lang w:eastAsia="zh-TW"/>
        </w:rPr>
        <w:t>個標準差，其意味著「</w:t>
      </w:r>
      <w:r w:rsidRPr="007D602F">
        <w:rPr>
          <w:lang w:eastAsia="zh-TW"/>
        </w:rPr>
        <w:t>15</w:t>
      </w:r>
      <w:r w:rsidRPr="007D602F">
        <w:rPr>
          <w:lang w:eastAsia="zh-TW"/>
        </w:rPr>
        <w:t>至</w:t>
      </w:r>
      <w:r w:rsidRPr="007D602F">
        <w:rPr>
          <w:lang w:eastAsia="zh-TW"/>
        </w:rPr>
        <w:t>24</w:t>
      </w:r>
      <w:r w:rsidRPr="007D602F">
        <w:rPr>
          <w:lang w:eastAsia="zh-TW"/>
        </w:rPr>
        <w:t>歲男性人口百分比例」對於「色情雜誌流通率」具有正向且直接之作用力，並已達統計上之顯著水準。另外，就「基尼指數」而言，其對於「色情雜誌流通率」之標準化路徑係數為</w:t>
      </w:r>
      <w:r w:rsidRPr="007D602F">
        <w:rPr>
          <w:lang w:eastAsia="zh-TW"/>
        </w:rPr>
        <w:t>-0.267</w:t>
      </w:r>
      <w:r w:rsidRPr="007D602F">
        <w:rPr>
          <w:lang w:eastAsia="zh-TW"/>
        </w:rPr>
        <w:t>，其表示當我們控制迴歸方程式中之其他變項後，每增加「基尼指數」一個標準差，則會導致「色情雜誌流通率」下降</w:t>
      </w:r>
      <w:r w:rsidRPr="007D602F">
        <w:rPr>
          <w:lang w:eastAsia="zh-TW"/>
        </w:rPr>
        <w:t>0.267</w:t>
      </w:r>
      <w:r w:rsidRPr="007D602F">
        <w:rPr>
          <w:lang w:eastAsia="zh-TW"/>
        </w:rPr>
        <w:t>個標準差，其意味著「基尼指數」（</w:t>
      </w:r>
      <w:r w:rsidRPr="007D602F">
        <w:rPr>
          <w:lang w:eastAsia="zh-TW"/>
        </w:rPr>
        <w:t>Gini Index</w:t>
      </w:r>
      <w:r w:rsidRPr="007D602F">
        <w:rPr>
          <w:lang w:eastAsia="zh-TW"/>
        </w:rPr>
        <w:t>）對於「色情雜誌流通率」具有負向且直接之作用力，並已達統計上之顯著水準。由上述分別針對三個變項對於「色情雜誌流通率」作用力之分析中可得知，在一個高度面臨解組之社會中，則在這些州中，其色情雜誌之流通率，有偏高之傾向與趨勢，這種現象，與</w:t>
      </w:r>
      <w:r w:rsidRPr="007D602F">
        <w:rPr>
          <w:lang w:eastAsia="zh-TW"/>
        </w:rPr>
        <w:t>Tiryakian (1981)</w:t>
      </w:r>
      <w:r w:rsidRPr="007D602F">
        <w:rPr>
          <w:lang w:eastAsia="zh-TW"/>
        </w:rPr>
        <w:t>之主張互相一致。</w:t>
      </w:r>
      <w:r w:rsidRPr="007D602F">
        <w:rPr>
          <w:lang w:eastAsia="zh-TW"/>
        </w:rPr>
        <w:t>Tiryakian</w:t>
      </w:r>
      <w:r w:rsidRPr="007D602F">
        <w:rPr>
          <w:lang w:eastAsia="zh-TW"/>
        </w:rPr>
        <w:t>認為，在一個社會中，關於性的傳統與保存之規範，假若其面臨崩潰（</w:t>
      </w:r>
      <w:r w:rsidRPr="007D602F">
        <w:rPr>
          <w:lang w:eastAsia="zh-TW"/>
        </w:rPr>
        <w:t>breakdown</w:t>
      </w:r>
      <w:r w:rsidRPr="007D602F">
        <w:rPr>
          <w:lang w:eastAsia="zh-TW"/>
        </w:rPr>
        <w:t>），則會導致整個社會對於性的態度更加地開放與自由，是以，色情雜誌之消費量與需求量就會上揚。另外，假若該州之中，年齡在</w:t>
      </w:r>
      <w:r w:rsidRPr="007D602F">
        <w:rPr>
          <w:lang w:eastAsia="zh-TW"/>
        </w:rPr>
        <w:t>15</w:t>
      </w:r>
      <w:r w:rsidRPr="007D602F">
        <w:rPr>
          <w:lang w:eastAsia="zh-TW"/>
        </w:rPr>
        <w:t>至</w:t>
      </w:r>
      <w:r w:rsidRPr="007D602F">
        <w:rPr>
          <w:lang w:eastAsia="zh-TW"/>
        </w:rPr>
        <w:t>24</w:t>
      </w:r>
      <w:r w:rsidRPr="007D602F">
        <w:rPr>
          <w:lang w:eastAsia="zh-TW"/>
        </w:rPr>
        <w:t>歲男性人口所佔之比例偏高，則色情雜誌之需求量亦會上升，此種結果，並不會令人感到意外，因為幾乎所有之色情雜誌，是以男性為主要之顧客。即使是「花花公子」（</w:t>
      </w:r>
      <w:r w:rsidRPr="007D602F">
        <w:rPr>
          <w:lang w:eastAsia="zh-TW"/>
        </w:rPr>
        <w:t>playboy</w:t>
      </w:r>
      <w:r w:rsidRPr="007D602F">
        <w:rPr>
          <w:lang w:eastAsia="zh-TW"/>
        </w:rPr>
        <w:t>），其目標係設定在最為廣大之男性消費群，在女性讀者部份，亦僅僅佔</w:t>
      </w:r>
      <w:r w:rsidRPr="007D602F">
        <w:rPr>
          <w:lang w:eastAsia="zh-TW"/>
        </w:rPr>
        <w:t>10%</w:t>
      </w:r>
      <w:r w:rsidRPr="007D602F">
        <w:rPr>
          <w:lang w:eastAsia="zh-TW"/>
        </w:rPr>
        <w:t>，其餘</w:t>
      </w:r>
      <w:r w:rsidRPr="007D602F">
        <w:rPr>
          <w:lang w:eastAsia="zh-TW"/>
        </w:rPr>
        <w:t>90%</w:t>
      </w:r>
      <w:r w:rsidRPr="007D602F">
        <w:rPr>
          <w:lang w:eastAsia="zh-TW"/>
        </w:rPr>
        <w:t>之顧客均為男性。最後，就經濟不平等之「基尼指數」而論，為何其對於「色情雜誌流通率」具有負向且直接之作用力呢﹖在那些經濟較不平等之州中，因其經濟力道較為衰弱，故其會降低所有雜誌之消費量（</w:t>
      </w:r>
      <w:r w:rsidRPr="007D602F">
        <w:rPr>
          <w:lang w:eastAsia="zh-TW"/>
        </w:rPr>
        <w:t>impoverishment reduces the consumption of all magazines</w:t>
      </w:r>
      <w:r w:rsidRPr="007D602F">
        <w:rPr>
          <w:lang w:eastAsia="zh-TW"/>
        </w:rPr>
        <w:t>）</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90">
    <w:p w:rsidR="00657FEF" w:rsidRPr="007D602F" w:rsidRDefault="00657FEF" w:rsidP="00992AB6">
      <w:pPr>
        <w:pStyle w:val="5"/>
        <w:rPr>
          <w:lang w:eastAsia="zh-TW"/>
        </w:rPr>
      </w:pPr>
      <w:r w:rsidRPr="00814432">
        <w:rPr>
          <w:rStyle w:val="af7"/>
          <w:rFonts w:cs="Arial Unicode MS"/>
        </w:rPr>
        <w:footnoteRef/>
      </w:r>
      <w:r w:rsidRPr="007D602F">
        <w:rPr>
          <w:lang w:eastAsia="zh-TW"/>
        </w:rPr>
        <w:t>在高度社會解組、低度正當化暴力及低度經濟不平等之州中，存在著較高水平之「性別平等」。上述三個變項，透過對於性別平等產生之直接影響力，再間接地對強制性交率產生作用力，在一個解組之社會中，隨著舊式及傳統規範之衰弱，另外，加上社會中弱勢團體欲爭取其權利，勢必會衝擊傳統之社會規範，造成社會之變革，故社會解組有其建設性之作用力。在傳統之社會中，男女地位不平等、女性附屬於男性，隨著社會愈加開放，在一個開放之社會中，女性運動及女性主義必起而爭取男女平權，此將挑戰傳統之社會規範與價值，導致舊有社會之解組，上述為社會解組造成男女平等之原因</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91">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92">
    <w:p w:rsidR="00657FEF" w:rsidRPr="007D602F" w:rsidRDefault="00657FEF" w:rsidP="00992AB6">
      <w:pPr>
        <w:pStyle w:val="5"/>
        <w:rPr>
          <w:lang w:eastAsia="zh-TW"/>
        </w:rPr>
      </w:pPr>
      <w:r w:rsidRPr="00814432">
        <w:rPr>
          <w:rStyle w:val="af7"/>
          <w:rFonts w:cs="Arial Unicode MS"/>
        </w:rPr>
        <w:footnoteRef/>
      </w:r>
      <w:r w:rsidRPr="007D602F">
        <w:t>關於「社會解組」之測量：此部分，係使用「社會解組指標」（</w:t>
      </w:r>
      <w:r w:rsidRPr="007D602F">
        <w:t>Social Disorganization Index</w:t>
      </w:r>
      <w:r w:rsidRPr="007D602F">
        <w:t>，簡稱</w:t>
      </w:r>
      <w:r w:rsidRPr="007D602F">
        <w:t>SDX</w:t>
      </w:r>
      <w:r w:rsidRPr="007D602F">
        <w:t>），由下列題目組成</w:t>
      </w:r>
      <w:r w:rsidRPr="007D602F">
        <w:t>(Larry Baron &amp; Murray A. Straus</w:t>
      </w:r>
      <w:r w:rsidRPr="007D602F">
        <w:t>，</w:t>
      </w:r>
      <w:r w:rsidRPr="007D602F">
        <w:t>1989)</w:t>
      </w:r>
      <w:r w:rsidRPr="007D602F">
        <w:t>：</w:t>
      </w:r>
      <w:r w:rsidRPr="007D602F">
        <w:cr/>
        <w:t>(1).</w:t>
      </w:r>
      <w:r w:rsidRPr="007D602F">
        <w:t>在</w:t>
      </w:r>
      <w:r w:rsidRPr="007D602F">
        <w:t>1975</w:t>
      </w:r>
      <w:r w:rsidRPr="007D602F">
        <w:t>至</w:t>
      </w:r>
      <w:r w:rsidRPr="007D602F">
        <w:t>1980</w:t>
      </w:r>
      <w:r w:rsidRPr="007D602F">
        <w:t>年間，從他州或國外遷徒至本州之人口百分比例。</w:t>
      </w:r>
      <w:r w:rsidRPr="007D602F">
        <w:cr/>
      </w:r>
      <w:r w:rsidRPr="007D602F">
        <w:rPr>
          <w:lang w:eastAsia="zh-TW"/>
        </w:rPr>
        <w:t>(2).</w:t>
      </w:r>
      <w:r w:rsidRPr="007D602F">
        <w:rPr>
          <w:lang w:eastAsia="zh-TW"/>
        </w:rPr>
        <w:t>在</w:t>
      </w:r>
      <w:r w:rsidRPr="007D602F">
        <w:rPr>
          <w:lang w:eastAsia="zh-TW"/>
        </w:rPr>
        <w:t>1977</w:t>
      </w:r>
      <w:r w:rsidRPr="007D602F">
        <w:rPr>
          <w:lang w:eastAsia="zh-TW"/>
        </w:rPr>
        <w:t>年，屬於「旅行者」（</w:t>
      </w:r>
      <w:r w:rsidRPr="007D602F">
        <w:rPr>
          <w:lang w:eastAsia="zh-TW"/>
        </w:rPr>
        <w:t>tourists</w:t>
      </w:r>
      <w:r w:rsidRPr="007D602F">
        <w:rPr>
          <w:lang w:eastAsia="zh-TW"/>
        </w:rPr>
        <w:t>）型態之居民人口數比例。</w:t>
      </w:r>
      <w:r w:rsidRPr="007D602F">
        <w:rPr>
          <w:lang w:eastAsia="zh-TW"/>
        </w:rPr>
        <w:cr/>
        <w:t>(3).</w:t>
      </w:r>
      <w:r w:rsidRPr="007D602F">
        <w:rPr>
          <w:lang w:eastAsia="zh-TW"/>
        </w:rPr>
        <w:t>離婚者之人口比例。</w:t>
      </w:r>
      <w:r w:rsidRPr="007D602F">
        <w:rPr>
          <w:lang w:eastAsia="zh-TW"/>
        </w:rPr>
        <w:cr/>
        <w:t>(4).</w:t>
      </w:r>
      <w:r w:rsidRPr="007D602F">
        <w:rPr>
          <w:lang w:eastAsia="zh-TW"/>
        </w:rPr>
        <w:t>在家庭之中，小孩年齡為</w:t>
      </w:r>
      <w:r w:rsidRPr="007D602F">
        <w:rPr>
          <w:lang w:eastAsia="zh-TW"/>
        </w:rPr>
        <w:t>18</w:t>
      </w:r>
      <w:r w:rsidRPr="007D602F">
        <w:rPr>
          <w:lang w:eastAsia="zh-TW"/>
        </w:rPr>
        <w:t>歲以下，由單親母親撫養（由單身女性撫育小孩）之百分比例。</w:t>
      </w:r>
      <w:r w:rsidRPr="007D602F">
        <w:rPr>
          <w:lang w:eastAsia="zh-TW"/>
        </w:rPr>
        <w:cr/>
        <w:t>(5).</w:t>
      </w:r>
      <w:r w:rsidRPr="007D602F">
        <w:rPr>
          <w:lang w:eastAsia="zh-TW"/>
        </w:rPr>
        <w:t>無宗教信仰者所佔之人口比例。</w:t>
      </w:r>
      <w:r w:rsidRPr="007D602F">
        <w:rPr>
          <w:lang w:eastAsia="zh-TW"/>
        </w:rPr>
        <w:cr/>
        <w:t>(6).</w:t>
      </w:r>
      <w:r w:rsidRPr="007D602F">
        <w:rPr>
          <w:lang w:eastAsia="zh-TW"/>
        </w:rPr>
        <w:t>每</w:t>
      </w:r>
      <w:r w:rsidRPr="007D602F">
        <w:rPr>
          <w:lang w:eastAsia="zh-TW"/>
        </w:rPr>
        <w:t>1000</w:t>
      </w:r>
      <w:r w:rsidRPr="007D602F">
        <w:rPr>
          <w:lang w:eastAsia="zh-TW"/>
        </w:rPr>
        <w:t>人之中，男性獨居（其不具有家庭型態之戶長身份）之人口百分比例。</w:t>
      </w:r>
    </w:p>
  </w:footnote>
  <w:footnote w:id="193">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94">
    <w:p w:rsidR="00657FEF" w:rsidRPr="007D602F" w:rsidRDefault="00657FEF" w:rsidP="00992AB6">
      <w:pPr>
        <w:pStyle w:val="5"/>
      </w:pPr>
      <w:r w:rsidRPr="00814432">
        <w:rPr>
          <w:rStyle w:val="af7"/>
          <w:rFonts w:cs="Arial Unicode MS"/>
          <w:szCs w:val="20"/>
        </w:rPr>
        <w:footnoteRef/>
      </w:r>
      <w:r w:rsidRPr="007D602F">
        <w:t>關於「正當化暴力」之測量，係使用「正當化暴力指標」（</w:t>
      </w:r>
      <w:r w:rsidRPr="007D602F">
        <w:t>Legitimate Violence Index</w:t>
      </w:r>
      <w:r w:rsidRPr="007D602F">
        <w:t>，簡稱為</w:t>
      </w:r>
      <w:r w:rsidRPr="007D602F">
        <w:t>LVX</w:t>
      </w:r>
      <w:r w:rsidRPr="007D602F">
        <w:t>），由下列題目組成</w:t>
      </w:r>
      <w:r w:rsidRPr="007D602F">
        <w:t>(Larry Baron &amp; Murray A. Straus</w:t>
      </w:r>
      <w:r w:rsidRPr="007D602F">
        <w:t>，</w:t>
      </w:r>
      <w:r w:rsidRPr="007D602F">
        <w:t>1989)</w:t>
      </w:r>
      <w:r w:rsidRPr="007D602F">
        <w:t>：</w:t>
      </w:r>
      <w:r w:rsidRPr="007D602F">
        <w:cr/>
        <w:t>(1).</w:t>
      </w:r>
      <w:r w:rsidRPr="007D602F">
        <w:t>觀看暴力型電視節目指標（每州觀看六種最具有暴力色彩節目之人口數目）。</w:t>
      </w:r>
      <w:r w:rsidRPr="007D602F">
        <w:cr/>
      </w:r>
      <w:r w:rsidRPr="007D602F">
        <w:rPr>
          <w:lang w:eastAsia="zh-TW"/>
        </w:rPr>
        <w:t>(2).</w:t>
      </w:r>
      <w:r w:rsidRPr="007D602F">
        <w:rPr>
          <w:lang w:eastAsia="zh-TW"/>
        </w:rPr>
        <w:t>暴力型雜誌流通指標（每州之中，五種最具有暴力色彩之雜誌，其銷售之數量）。</w:t>
      </w:r>
      <w:r w:rsidRPr="007D602F">
        <w:rPr>
          <w:lang w:eastAsia="zh-TW"/>
        </w:rPr>
        <w:cr/>
        <w:t>(3).</w:t>
      </w:r>
      <w:r w:rsidRPr="007D602F">
        <w:rPr>
          <w:lang w:eastAsia="zh-TW"/>
        </w:rPr>
        <w:t>每</w:t>
      </w:r>
      <w:r w:rsidRPr="007D602F">
        <w:rPr>
          <w:lang w:eastAsia="zh-TW"/>
        </w:rPr>
        <w:t>1000</w:t>
      </w:r>
      <w:r w:rsidRPr="007D602F">
        <w:rPr>
          <w:lang w:eastAsia="zh-TW"/>
        </w:rPr>
        <w:t>人中，擔任「國家警衛」（</w:t>
      </w:r>
      <w:r w:rsidRPr="007D602F">
        <w:rPr>
          <w:lang w:eastAsia="zh-TW"/>
        </w:rPr>
        <w:t>National Guard</w:t>
      </w:r>
      <w:r w:rsidRPr="007D602F">
        <w:rPr>
          <w:lang w:eastAsia="zh-TW"/>
        </w:rPr>
        <w:t>）之人口比例。</w:t>
      </w:r>
      <w:r w:rsidRPr="007D602F">
        <w:rPr>
          <w:lang w:eastAsia="zh-TW"/>
        </w:rPr>
        <w:cr/>
        <w:t>(4).</w:t>
      </w:r>
      <w:r w:rsidRPr="007D602F">
        <w:rPr>
          <w:lang w:eastAsia="zh-TW"/>
        </w:rPr>
        <w:t>「國家警衛」費用之支出。</w:t>
      </w:r>
      <w:r w:rsidRPr="007D602F">
        <w:rPr>
          <w:lang w:eastAsia="zh-TW"/>
        </w:rPr>
        <w:cr/>
        <w:t>(5).</w:t>
      </w:r>
      <w:r w:rsidRPr="007D602F">
        <w:rPr>
          <w:lang w:eastAsia="zh-TW"/>
        </w:rPr>
        <w:t>在每州之中，成為全國校際運動協會足球成員之人口比例（足球被美國人視為是最具暴力色彩之運動）。</w:t>
      </w:r>
      <w:r w:rsidRPr="007D602F">
        <w:rPr>
          <w:lang w:eastAsia="zh-TW"/>
        </w:rPr>
        <w:cr/>
        <w:t>(6).</w:t>
      </w:r>
      <w:r w:rsidRPr="007D602F">
        <w:rPr>
          <w:lang w:eastAsia="zh-TW"/>
        </w:rPr>
        <w:t>每</w:t>
      </w:r>
      <w:r w:rsidRPr="007D602F">
        <w:rPr>
          <w:lang w:eastAsia="zh-TW"/>
        </w:rPr>
        <w:t>10</w:t>
      </w:r>
      <w:r w:rsidRPr="007D602F">
        <w:rPr>
          <w:lang w:eastAsia="zh-TW"/>
        </w:rPr>
        <w:t>萬人口之中，擁有獵槍執照之人口比例。</w:t>
      </w:r>
      <w:r w:rsidRPr="007D602F">
        <w:rPr>
          <w:lang w:eastAsia="zh-TW"/>
        </w:rPr>
        <w:cr/>
        <w:t>(7).</w:t>
      </w:r>
      <w:r w:rsidRPr="007D602F">
        <w:rPr>
          <w:lang w:eastAsia="zh-TW"/>
        </w:rPr>
        <w:t>法律允許教師體罰之情境與條件（假若允許體罰之條件愈多，則體罰分數愈高）。</w:t>
      </w:r>
      <w:r w:rsidRPr="007D602F">
        <w:rPr>
          <w:lang w:eastAsia="zh-TW"/>
        </w:rPr>
        <w:cr/>
      </w:r>
      <w:r w:rsidRPr="007D602F">
        <w:t>(8).</w:t>
      </w:r>
      <w:r w:rsidRPr="007D602F">
        <w:t>每</w:t>
      </w:r>
      <w:r w:rsidRPr="007D602F">
        <w:t>100</w:t>
      </w:r>
      <w:r w:rsidRPr="007D602F">
        <w:t>萬人口中，曾遭受私刑之人數（</w:t>
      </w:r>
      <w:r w:rsidRPr="007D602F">
        <w:t>persons lynched</w:t>
      </w:r>
      <w:r w:rsidRPr="007D602F">
        <w:t>）。</w:t>
      </w:r>
      <w:r w:rsidRPr="007D602F">
        <w:cr/>
        <w:t>(9).</w:t>
      </w:r>
      <w:r w:rsidRPr="007D602F">
        <w:t>每</w:t>
      </w:r>
      <w:r w:rsidRPr="007D602F">
        <w:t>10</w:t>
      </w:r>
      <w:r w:rsidRPr="007D602F">
        <w:t>萬人口中，白人殺人犯被判處死刑之人數（</w:t>
      </w:r>
      <w:r w:rsidRPr="007D602F">
        <w:t>whites sentenced to Death Per 100,000   white Homicide Arrests, 1980</w:t>
      </w:r>
      <w:r w:rsidRPr="007D602F">
        <w:t>）。</w:t>
      </w:r>
      <w:r w:rsidRPr="007D602F">
        <w:cr/>
      </w:r>
      <w:r w:rsidRPr="007D602F">
        <w:rPr>
          <w:lang w:eastAsia="zh-TW"/>
        </w:rPr>
        <w:t>(10).</w:t>
      </w:r>
      <w:r w:rsidRPr="007D602F">
        <w:rPr>
          <w:lang w:eastAsia="zh-TW"/>
        </w:rPr>
        <w:t>每</w:t>
      </w:r>
      <w:r w:rsidRPr="007D602F">
        <w:rPr>
          <w:lang w:eastAsia="zh-TW"/>
        </w:rPr>
        <w:t>10</w:t>
      </w:r>
      <w:r w:rsidRPr="007D602F">
        <w:rPr>
          <w:lang w:eastAsia="zh-TW"/>
        </w:rPr>
        <w:t>萬人口中，黑人殺人犯被判處死刑之人數。</w:t>
      </w:r>
      <w:r w:rsidRPr="007D602F">
        <w:rPr>
          <w:lang w:eastAsia="zh-TW"/>
        </w:rPr>
        <w:cr/>
      </w:r>
      <w:r w:rsidRPr="007D602F">
        <w:t>(11).1940</w:t>
      </w:r>
      <w:r w:rsidRPr="007D602F">
        <w:t>至</w:t>
      </w:r>
      <w:r w:rsidRPr="007D602F">
        <w:t>1959</w:t>
      </w:r>
      <w:r w:rsidRPr="007D602F">
        <w:t>年間，因殺人被執行死刑之比率（</w:t>
      </w:r>
      <w:r w:rsidRPr="007D602F">
        <w:t>Ratio of Execution Rate to Homicide Rate</w:t>
      </w:r>
      <w:r w:rsidRPr="007D602F">
        <w:t>）。</w:t>
      </w:r>
      <w:r w:rsidRPr="007D602F">
        <w:cr/>
        <w:t>(12).1960</w:t>
      </w:r>
      <w:r w:rsidRPr="007D602F">
        <w:t>至</w:t>
      </w:r>
      <w:r w:rsidRPr="007D602F">
        <w:t>1978</w:t>
      </w:r>
      <w:r w:rsidRPr="007D602F">
        <w:t>年間，因殺人被執行死刑之比率。</w:t>
      </w:r>
    </w:p>
  </w:footnote>
  <w:footnote w:id="195">
    <w:p w:rsidR="00657FEF" w:rsidRPr="007D602F" w:rsidRDefault="00657FEF" w:rsidP="00992AB6">
      <w:pPr>
        <w:pStyle w:val="5"/>
        <w:rPr>
          <w:lang w:eastAsia="zh-TW"/>
        </w:rPr>
      </w:pPr>
      <w:r w:rsidRPr="00814432">
        <w:rPr>
          <w:rStyle w:val="af7"/>
          <w:rFonts w:cs="Arial Unicode MS"/>
        </w:rPr>
        <w:footnoteRef/>
      </w:r>
      <w:r w:rsidRPr="00814432">
        <w:rPr>
          <w:color w:val="FF6600"/>
        </w:rPr>
        <w:t xml:space="preserve"> </w:t>
      </w:r>
      <w:r w:rsidRPr="007D602F">
        <w:t>「正當化暴力」對於「強制性交率」之間接作用力，係透過其對於「性別平等」產生負向作用力，之後再由「性別平等」影響強制性交率。</w:t>
      </w:r>
      <w:r w:rsidRPr="007D602F">
        <w:rPr>
          <w:lang w:eastAsia="zh-TW"/>
        </w:rPr>
        <w:t>是以，「正暴化暴力」透過「性別平等」，對強制性交率生成間接作用力。此種結論，與</w:t>
      </w:r>
      <w:r w:rsidRPr="007D602F">
        <w:rPr>
          <w:lang w:eastAsia="zh-TW"/>
        </w:rPr>
        <w:t>Divale &amp; Harris (1976)</w:t>
      </w:r>
      <w:r w:rsidRPr="007D602F">
        <w:rPr>
          <w:lang w:eastAsia="zh-TW"/>
        </w:rPr>
        <w:t>、</w:t>
      </w:r>
      <w:r w:rsidRPr="007D602F">
        <w:rPr>
          <w:lang w:eastAsia="zh-TW"/>
        </w:rPr>
        <w:t>Reiss (1986)</w:t>
      </w:r>
      <w:r w:rsidRPr="007D602F">
        <w:rPr>
          <w:lang w:eastAsia="zh-TW"/>
        </w:rPr>
        <w:t>及</w:t>
      </w:r>
      <w:r w:rsidRPr="007D602F">
        <w:rPr>
          <w:lang w:eastAsia="zh-TW"/>
        </w:rPr>
        <w:t>Sanday (1981)</w:t>
      </w:r>
      <w:r w:rsidRPr="007D602F">
        <w:rPr>
          <w:lang w:eastAsia="zh-TW"/>
        </w:rPr>
        <w:t>之發現，其結果是一致的，即在愈加暴力化之部落中，女性之地位是偏低的。本研究之發現，上述在暴力化部落中女性地位較低之理論，不僅是可適用於部落之中，亦可應用到現代之工業社會</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96">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97">
    <w:p w:rsidR="00657FEF" w:rsidRPr="007D602F" w:rsidRDefault="00657FEF" w:rsidP="00992AB6">
      <w:pPr>
        <w:pStyle w:val="5"/>
        <w:rPr>
          <w:lang w:eastAsia="zh-TW"/>
        </w:rPr>
      </w:pPr>
      <w:r w:rsidRPr="00814432">
        <w:rPr>
          <w:rStyle w:val="af7"/>
          <w:rFonts w:cs="Arial Unicode MS"/>
        </w:rPr>
        <w:footnoteRef/>
      </w:r>
      <w:r w:rsidRPr="007D602F">
        <w:rPr>
          <w:lang w:eastAsia="zh-TW"/>
        </w:rPr>
        <w:t>另外，在之前的研究文獻中，如</w:t>
      </w:r>
      <w:r w:rsidRPr="007D602F">
        <w:rPr>
          <w:lang w:eastAsia="zh-TW"/>
        </w:rPr>
        <w:t>Baron &amp; Straus (1984)</w:t>
      </w:r>
      <w:r w:rsidRPr="007D602F">
        <w:rPr>
          <w:lang w:eastAsia="zh-TW"/>
        </w:rPr>
        <w:t>等人之研究，其結果發現「性別平等」對於強制性交犯罪發生率有正向之作用力，而在</w:t>
      </w:r>
      <w:r w:rsidRPr="007D602F">
        <w:rPr>
          <w:lang w:eastAsia="zh-TW"/>
        </w:rPr>
        <w:t>Larry</w:t>
      </w:r>
      <w:r w:rsidRPr="007D602F">
        <w:rPr>
          <w:lang w:eastAsia="zh-TW"/>
        </w:rPr>
        <w:t>及</w:t>
      </w:r>
      <w:r w:rsidRPr="007D602F">
        <w:rPr>
          <w:lang w:eastAsia="zh-TW"/>
        </w:rPr>
        <w:t>Straus</w:t>
      </w:r>
      <w:r w:rsidRPr="007D602F">
        <w:rPr>
          <w:lang w:eastAsia="zh-TW"/>
        </w:rPr>
        <w:t>之研究模式中，性別平等對於強制性交率則有負向之作用力，兩者出現矛盾之現象。有可能之其中一種解釋，係為研究方法（</w:t>
      </w:r>
      <w:r w:rsidRPr="007D602F">
        <w:rPr>
          <w:lang w:eastAsia="zh-TW"/>
        </w:rPr>
        <w:t>methodological</w:t>
      </w:r>
      <w:r w:rsidRPr="007D602F">
        <w:rPr>
          <w:lang w:eastAsia="zh-TW"/>
        </w:rPr>
        <w:t>）之問題。兩個研究對於「性別平等」之測量，可能因使用不同之變項，故導致結果不一致。在</w:t>
      </w:r>
      <w:r w:rsidRPr="007D602F">
        <w:rPr>
          <w:lang w:eastAsia="zh-TW"/>
        </w:rPr>
        <w:t>Baron</w:t>
      </w:r>
      <w:r w:rsidRPr="007D602F">
        <w:rPr>
          <w:lang w:eastAsia="zh-TW"/>
        </w:rPr>
        <w:t>及</w:t>
      </w:r>
      <w:r w:rsidRPr="007D602F">
        <w:rPr>
          <w:lang w:eastAsia="zh-TW"/>
        </w:rPr>
        <w:t>Straus (1984)</w:t>
      </w:r>
      <w:r w:rsidRPr="007D602F">
        <w:rPr>
          <w:lang w:eastAsia="zh-TW"/>
        </w:rPr>
        <w:t>之研究調查中，其所使用之測量，係為「女性地位指標」（</w:t>
      </w:r>
      <w:r w:rsidRPr="007D602F">
        <w:rPr>
          <w:lang w:eastAsia="zh-TW"/>
        </w:rPr>
        <w:t>the Status of Women Index</w:t>
      </w:r>
      <w:r w:rsidRPr="007D602F">
        <w:rPr>
          <w:lang w:eastAsia="zh-TW"/>
        </w:rPr>
        <w:t>，簡稱為</w:t>
      </w:r>
      <w:r w:rsidRPr="007D602F">
        <w:rPr>
          <w:lang w:eastAsia="zh-TW"/>
        </w:rPr>
        <w:t>SWX</w:t>
      </w:r>
      <w:r w:rsidRPr="007D602F">
        <w:rPr>
          <w:lang w:eastAsia="zh-TW"/>
        </w:rPr>
        <w:t>），</w:t>
      </w:r>
      <w:r w:rsidRPr="007D602F">
        <w:rPr>
          <w:lang w:eastAsia="zh-TW"/>
        </w:rPr>
        <w:t>SWX</w:t>
      </w:r>
      <w:r w:rsidRPr="007D602F">
        <w:rPr>
          <w:lang w:eastAsia="zh-TW"/>
        </w:rPr>
        <w:t>指標由</w:t>
      </w:r>
      <w:r w:rsidRPr="007D602F">
        <w:rPr>
          <w:lang w:eastAsia="zh-TW"/>
        </w:rPr>
        <w:t>22</w:t>
      </w:r>
      <w:r w:rsidRPr="007D602F">
        <w:rPr>
          <w:lang w:eastAsia="zh-TW"/>
        </w:rPr>
        <w:t>個題目組成，其涵蓋四個面向，包括：經濟、政治、法律及教育，即在上述四個面向中男女平等之情形</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198">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199">
    <w:p w:rsidR="00657FEF" w:rsidRPr="007D602F" w:rsidRDefault="00657FEF" w:rsidP="00992AB6">
      <w:pPr>
        <w:pStyle w:val="5"/>
      </w:pPr>
      <w:r w:rsidRPr="00814432">
        <w:rPr>
          <w:rStyle w:val="af7"/>
          <w:rFonts w:cs="Arial Unicode MS"/>
        </w:rPr>
        <w:footnoteRef/>
      </w:r>
      <w:r w:rsidRPr="00814432">
        <w:rPr>
          <w:color w:val="FF6600"/>
        </w:rPr>
        <w:t xml:space="preserve"> </w:t>
      </w:r>
      <w:r w:rsidRPr="007D602F">
        <w:t xml:space="preserve">Larry Baron &amp; Murray A. Straus(1989). Four Theories of Rape in American Society: A State-Level Analysis, Yale University Press. </w:t>
      </w:r>
    </w:p>
  </w:footnote>
  <w:footnote w:id="200">
    <w:p w:rsidR="00657FEF" w:rsidRPr="007D602F" w:rsidRDefault="00657FEF" w:rsidP="00992AB6">
      <w:pPr>
        <w:pStyle w:val="5"/>
        <w:rPr>
          <w:lang w:eastAsia="zh-TW"/>
        </w:rPr>
      </w:pPr>
      <w:r w:rsidRPr="00814432">
        <w:rPr>
          <w:rStyle w:val="af7"/>
          <w:rFonts w:cs="Arial Unicode MS"/>
        </w:rPr>
        <w:footnoteRef/>
      </w:r>
      <w:r w:rsidRPr="007D602F">
        <w:t>相反地，在</w:t>
      </w:r>
      <w:r w:rsidRPr="007D602F">
        <w:t>1979</w:t>
      </w:r>
      <w:r w:rsidRPr="007D602F">
        <w:t>至</w:t>
      </w:r>
      <w:r w:rsidRPr="007D602F">
        <w:t>1983</w:t>
      </w:r>
      <w:r w:rsidRPr="007D602F">
        <w:t>年間，</w:t>
      </w:r>
      <w:r w:rsidRPr="007D602F">
        <w:t>GEX</w:t>
      </w:r>
      <w:r w:rsidRPr="007D602F">
        <w:t>之所以會對強制性交率產生負向關連（</w:t>
      </w:r>
      <w:r w:rsidRPr="007D602F">
        <w:t>negative association</w:t>
      </w:r>
      <w:r w:rsidRPr="007D602F">
        <w:t>），係因為「性別平等」對於強制性交率之負向作用力，是透由男性對於女性低度之評價所造成的（</w:t>
      </w:r>
      <w:r w:rsidRPr="007D602F">
        <w:t>the Low Valuation of women</w:t>
      </w:r>
      <w:r w:rsidRPr="007D602F">
        <w:t>）。在</w:t>
      </w:r>
      <w:r w:rsidRPr="007D602F">
        <w:t>1970</w:t>
      </w:r>
      <w:r w:rsidRPr="007D602F">
        <w:t>至</w:t>
      </w:r>
      <w:r w:rsidRPr="007D602F">
        <w:t>1979</w:t>
      </w:r>
      <w:r w:rsidRPr="007D602F">
        <w:t>年間，強制性交被視為是對「女性運動」的一種「反作用力」，是一種抵制及對抗手法，其目的在於將女性推回她們原來之地方（</w:t>
      </w:r>
      <w:r w:rsidRPr="007D602F">
        <w:t>back in their place</w:t>
      </w:r>
      <w:r w:rsidRPr="007D602F">
        <w:t>）；相較之下，在</w:t>
      </w:r>
      <w:r w:rsidRPr="007D602F">
        <w:t>1979</w:t>
      </w:r>
      <w:r w:rsidRPr="007D602F">
        <w:t>至</w:t>
      </w:r>
      <w:r w:rsidRPr="007D602F">
        <w:t>1983</w:t>
      </w:r>
      <w:r w:rsidRPr="007D602F">
        <w:t>年間，男性對於女性之強制性交，則是一種對於女性低度評價之表現（</w:t>
      </w:r>
      <w:r w:rsidRPr="007D602F">
        <w:t>rape as an expression of the low valuation of women</w:t>
      </w:r>
      <w:r w:rsidRPr="007D602F">
        <w:t>）。</w:t>
      </w:r>
      <w:r w:rsidRPr="007D602F">
        <w:rPr>
          <w:lang w:eastAsia="zh-TW"/>
        </w:rPr>
        <w:t>就現前美國社會之實況而論，「貶抑女性社會價值論」較符合實際現況。故，在</w:t>
      </w:r>
      <w:r w:rsidRPr="007D602F">
        <w:rPr>
          <w:lang w:eastAsia="zh-TW"/>
        </w:rPr>
        <w:t>Larry &amp; Straus</w:t>
      </w:r>
      <w:r w:rsidRPr="007D602F">
        <w:rPr>
          <w:lang w:eastAsia="zh-TW"/>
        </w:rPr>
        <w:t>之研究調查中，性別平等會對強制性交率產生負向且直接之作用力，亦即，當女性之地位被加以提升之後，其會出現一種頗為顯著之趨勢，此種趨勢為強制性交率會下降（</w:t>
      </w:r>
      <w:r w:rsidRPr="007D602F">
        <w:rPr>
          <w:lang w:eastAsia="zh-TW"/>
        </w:rPr>
        <w:t>rape rate to decrease</w:t>
      </w:r>
      <w:r w:rsidRPr="007D602F">
        <w:rPr>
          <w:lang w:eastAsia="zh-TW"/>
        </w:rPr>
        <w:t>）</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201">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202">
    <w:p w:rsidR="00657FEF" w:rsidRPr="007D602F" w:rsidRDefault="00657FEF" w:rsidP="00992AB6">
      <w:pPr>
        <w:pStyle w:val="5"/>
      </w:pPr>
      <w:r w:rsidRPr="00814432">
        <w:rPr>
          <w:rStyle w:val="af7"/>
          <w:rFonts w:cs="Arial Unicode MS"/>
        </w:rPr>
        <w:footnoteRef/>
      </w:r>
      <w:r w:rsidRPr="007D602F">
        <w:t xml:space="preserve"> Larry Baron &amp; Murray A. Straus(1989). Four Theories of Rape in American Society: A State-Level Analysis, Yale University Press. </w:t>
      </w:r>
    </w:p>
  </w:footnote>
  <w:footnote w:id="203">
    <w:p w:rsidR="00657FEF" w:rsidRPr="007D602F" w:rsidRDefault="00657FEF" w:rsidP="00992AB6">
      <w:pPr>
        <w:pStyle w:val="5"/>
        <w:rPr>
          <w:lang w:eastAsia="zh-TW"/>
        </w:rPr>
      </w:pPr>
      <w:r w:rsidRPr="00814432">
        <w:rPr>
          <w:rStyle w:val="af7"/>
          <w:rFonts w:cs="Arial Unicode MS"/>
        </w:rPr>
        <w:footnoteRef/>
      </w:r>
      <w:r w:rsidRPr="007D602F">
        <w:rPr>
          <w:lang w:eastAsia="zh-TW"/>
        </w:rPr>
        <w:t>另就「基尼指數」對強制性交率產生間接影響力而論，其透過對「性別平等」之負向作用力，對強制性交率產生間接影響力。上述之間接作用力，其顯示在高度經濟不平等之州中，會造成女性地位偏低；當女性地位偏低時，強制性交率將會上升</w:t>
      </w:r>
      <w:r w:rsidRPr="007D602F">
        <w:rPr>
          <w:lang w:eastAsia="zh-TW"/>
        </w:rPr>
        <w:t>(Larry Baron &amp; Murray A. Straus</w:t>
      </w:r>
      <w:r w:rsidRPr="007D602F">
        <w:rPr>
          <w:lang w:eastAsia="zh-TW"/>
        </w:rPr>
        <w:t>，</w:t>
      </w:r>
      <w:r w:rsidRPr="007D602F">
        <w:rPr>
          <w:lang w:eastAsia="zh-TW"/>
        </w:rPr>
        <w:t>1989)</w:t>
      </w:r>
      <w:r w:rsidRPr="007D602F">
        <w:rPr>
          <w:lang w:eastAsia="zh-TW"/>
        </w:rPr>
        <w:t>。</w:t>
      </w:r>
    </w:p>
  </w:footnote>
  <w:footnote w:id="204">
    <w:p w:rsidR="00657FEF" w:rsidRPr="007D602F" w:rsidRDefault="00657FEF" w:rsidP="00992AB6">
      <w:pPr>
        <w:pStyle w:val="5"/>
      </w:pPr>
      <w:r w:rsidRPr="003409A9">
        <w:rPr>
          <w:rStyle w:val="af7"/>
          <w:rFonts w:eastAsia="新細明體" w:cs="Arial Unicode MS"/>
          <w:kern w:val="2"/>
        </w:rPr>
        <w:footnoteRef/>
      </w:r>
      <w:r w:rsidRPr="007D602F">
        <w:rPr>
          <w:lang w:eastAsia="zh-TW"/>
        </w:rPr>
        <w:t xml:space="preserve"> Larry Baron &amp; Murray A. Straus(1989). </w:t>
      </w:r>
      <w:r w:rsidRPr="007D602F">
        <w:t xml:space="preserve">Four Theories of Rape in American Society: A State-Level Analysis, Yale University Press. </w:t>
      </w:r>
    </w:p>
  </w:footnote>
  <w:footnote w:id="205">
    <w:p w:rsidR="00657FEF" w:rsidRPr="007D602F" w:rsidRDefault="00657FEF" w:rsidP="00992AB6">
      <w:pPr>
        <w:pStyle w:val="5"/>
      </w:pPr>
      <w:r w:rsidRPr="003409A9">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206">
    <w:p w:rsidR="00657FEF" w:rsidRPr="007D602F" w:rsidRDefault="00657FEF" w:rsidP="00992AB6">
      <w:pPr>
        <w:pStyle w:val="5"/>
      </w:pPr>
      <w:r w:rsidRPr="003409A9">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207">
    <w:p w:rsidR="00657FEF" w:rsidRPr="007D602F" w:rsidRDefault="00657FEF" w:rsidP="00992AB6">
      <w:pPr>
        <w:pStyle w:val="5"/>
      </w:pPr>
      <w:r w:rsidRPr="003409A9">
        <w:rPr>
          <w:rStyle w:val="af7"/>
          <w:rFonts w:eastAsia="新細明體" w:cs="Arial Unicode MS"/>
          <w:kern w:val="2"/>
        </w:rPr>
        <w:footnoteRef/>
      </w:r>
      <w:r w:rsidRPr="007D602F">
        <w:t xml:space="preserve"> Larry Baron &amp; Murray A. Straus(1989). Four Theories of Rape in American Society: A State-Level Analysis, Yale University Press.</w:t>
      </w:r>
      <w:r w:rsidRPr="007D602F">
        <w:cr/>
        <w:t xml:space="preserve"> </w:t>
      </w:r>
    </w:p>
  </w:footnote>
  <w:footnote w:id="208">
    <w:p w:rsidR="00657FEF" w:rsidRPr="007D602F" w:rsidRDefault="00657FEF" w:rsidP="00992AB6">
      <w:pPr>
        <w:pStyle w:val="5"/>
      </w:pPr>
      <w:r w:rsidRPr="003409A9">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209">
    <w:p w:rsidR="00657FEF" w:rsidRPr="007D602F" w:rsidRDefault="00657FEF" w:rsidP="00992AB6">
      <w:pPr>
        <w:pStyle w:val="5"/>
      </w:pPr>
      <w:r w:rsidRPr="003409A9">
        <w:rPr>
          <w:rStyle w:val="af7"/>
          <w:rFonts w:eastAsia="新細明體" w:cs="Arial Unicode MS"/>
          <w:kern w:val="2"/>
        </w:rPr>
        <w:footnoteRef/>
      </w:r>
      <w:r w:rsidRPr="003409A9">
        <w:rPr>
          <w:rFonts w:ascii="Arial Unicode MS" w:eastAsia="新細明體" w:hAnsi="Arial Unicode MS"/>
          <w:color w:val="FF6600"/>
          <w:kern w:val="2"/>
        </w:rPr>
        <w:t xml:space="preserve"> </w:t>
      </w:r>
      <w:r w:rsidRPr="007D602F">
        <w:t xml:space="preserve">Larry Baron &amp; Murray A. Straus(1989). Four Theories of Rape in American Society: A State-Level Analysis, Yale University Press. </w:t>
      </w:r>
    </w:p>
  </w:footnote>
  <w:footnote w:id="210">
    <w:p w:rsidR="00657FEF" w:rsidRPr="007D602F" w:rsidRDefault="00657FEF" w:rsidP="00992AB6">
      <w:pPr>
        <w:pStyle w:val="5"/>
      </w:pPr>
      <w:r w:rsidRPr="00042127">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211">
    <w:p w:rsidR="00657FEF" w:rsidRPr="007D602F" w:rsidRDefault="00657FEF" w:rsidP="00992AB6">
      <w:pPr>
        <w:pStyle w:val="5"/>
      </w:pPr>
      <w:r w:rsidRPr="00042127">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212">
    <w:p w:rsidR="00657FEF" w:rsidRPr="007D602F" w:rsidRDefault="00657FEF" w:rsidP="00992AB6">
      <w:pPr>
        <w:pStyle w:val="5"/>
      </w:pPr>
      <w:r w:rsidRPr="00042127">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213">
    <w:p w:rsidR="00657FEF" w:rsidRPr="007D602F" w:rsidRDefault="00657FEF" w:rsidP="00992AB6">
      <w:pPr>
        <w:pStyle w:val="5"/>
      </w:pPr>
      <w:r w:rsidRPr="00042127">
        <w:rPr>
          <w:rStyle w:val="af7"/>
          <w:rFonts w:eastAsia="新細明體" w:cs="Arial Unicode MS"/>
          <w:kern w:val="2"/>
        </w:rPr>
        <w:footnoteRef/>
      </w:r>
      <w:r w:rsidRPr="00042127">
        <w:rPr>
          <w:rFonts w:ascii="Arial Unicode MS" w:eastAsia="新細明體" w:hAnsi="Arial Unicode MS"/>
          <w:color w:val="FF6600"/>
          <w:kern w:val="2"/>
        </w:rPr>
        <w:t xml:space="preserve"> </w:t>
      </w:r>
      <w:r w:rsidRPr="007D602F">
        <w:t xml:space="preserve">Larry Baron &amp; Murray A. Straus(1989). Four Theories of Rape in American Society: A State-Level Analysis, Yale University Press. </w:t>
      </w:r>
    </w:p>
  </w:footnote>
  <w:footnote w:id="214">
    <w:p w:rsidR="00657FEF" w:rsidRPr="007D602F" w:rsidRDefault="00657FEF" w:rsidP="00992AB6">
      <w:pPr>
        <w:pStyle w:val="5"/>
      </w:pPr>
      <w:r w:rsidRPr="00042127">
        <w:rPr>
          <w:rStyle w:val="af7"/>
          <w:rFonts w:eastAsia="新細明體" w:cs="Arial Unicode MS"/>
          <w:kern w:val="2"/>
        </w:rPr>
        <w:footnoteRef/>
      </w:r>
      <w:r w:rsidRPr="007D602F">
        <w:t xml:space="preserve"> Larry Baron &amp; Murray A. Straus(1989). Four Theories of Rape in American Society: A State-Level Analysis, Yale University Press. </w:t>
      </w:r>
    </w:p>
  </w:footnote>
  <w:footnote w:id="215">
    <w:p w:rsidR="00657FEF" w:rsidRPr="007D602F" w:rsidRDefault="00657FEF" w:rsidP="00992AB6">
      <w:pPr>
        <w:pStyle w:val="5"/>
        <w:rPr>
          <w:lang w:eastAsia="zh-TW"/>
        </w:rPr>
      </w:pPr>
      <w:r w:rsidRPr="00042127">
        <w:rPr>
          <w:rStyle w:val="af7"/>
          <w:rFonts w:eastAsia="新細明體" w:cs="Arial Unicode MS"/>
          <w:kern w:val="2"/>
        </w:rPr>
        <w:footnoteRef/>
      </w:r>
      <w:r w:rsidRPr="007D602F">
        <w:t xml:space="preserve"> Larry Baron &amp; Murray A. Straus(1989)</w:t>
      </w:r>
      <w:r w:rsidRPr="007D602F">
        <w:t>認為，假若社會大眾欲建構一個沒有色情的清淨人間社會，則除了對於色情加以管制之方法外，尚有其他更加重要之措施，而此更加重要之措施，可稱之為「第一級預防」（</w:t>
      </w:r>
      <w:r w:rsidRPr="007D602F">
        <w:t>primary prevention</w:t>
      </w:r>
      <w:r w:rsidRPr="007D602F">
        <w:t>），其方法如下</w:t>
      </w:r>
      <w:r w:rsidRPr="007D602F">
        <w:t>(Larry Baron &amp; Murray A. Straus</w:t>
      </w:r>
      <w:r w:rsidRPr="007D602F">
        <w:t>，</w:t>
      </w:r>
      <w:r w:rsidRPr="007D602F">
        <w:t>1989)</w:t>
      </w:r>
      <w:r w:rsidRPr="007D602F">
        <w:t>：</w:t>
      </w:r>
      <w:r w:rsidRPr="007D602F">
        <w:cr/>
        <w:t>(1).</w:t>
      </w:r>
      <w:r w:rsidRPr="007D602F">
        <w:t>透過修法及立法，建構一個在各個領域及層面中，均落實男女平等之社會。</w:t>
      </w:r>
      <w:r w:rsidRPr="007D602F">
        <w:rPr>
          <w:lang w:eastAsia="zh-TW"/>
        </w:rPr>
        <w:t>尤其重要的，是在「女性工作權」方面，在很多女性從事之工作中，其工作所得偏低，吾人應透由修改相關之工作法規，以落實男女工作權之平等原則。</w:t>
      </w:r>
      <w:r w:rsidRPr="007D602F">
        <w:rPr>
          <w:lang w:eastAsia="zh-TW"/>
        </w:rPr>
        <w:cr/>
        <w:t>(2).</w:t>
      </w:r>
      <w:r w:rsidRPr="007D602F">
        <w:rPr>
          <w:lang w:eastAsia="zh-TW"/>
        </w:rPr>
        <w:t>消除貧窮以及經濟上之不平等（</w:t>
      </w:r>
      <w:r w:rsidRPr="007D602F">
        <w:rPr>
          <w:lang w:eastAsia="zh-TW"/>
        </w:rPr>
        <w:t>poverty and economic inequality can and should be eradicated</w:t>
      </w:r>
      <w:r w:rsidRPr="007D602F">
        <w:rPr>
          <w:lang w:eastAsia="zh-TW"/>
        </w:rPr>
        <w:t>）。</w:t>
      </w:r>
      <w:r w:rsidRPr="007D602F">
        <w:rPr>
          <w:lang w:eastAsia="zh-TW"/>
        </w:rPr>
        <w:cr/>
        <w:t>(3).</w:t>
      </w:r>
      <w:r w:rsidRPr="007D602F">
        <w:rPr>
          <w:lang w:eastAsia="zh-TW"/>
        </w:rPr>
        <w:t>改善大都會生活中「疏遠」（</w:t>
      </w:r>
      <w:r w:rsidRPr="007D602F">
        <w:rPr>
          <w:lang w:eastAsia="zh-TW"/>
        </w:rPr>
        <w:t>alienation</w:t>
      </w:r>
      <w:r w:rsidRPr="007D602F">
        <w:rPr>
          <w:lang w:eastAsia="zh-TW"/>
        </w:rPr>
        <w:t>）及「壓力」，其改進之道為強化家庭及社區的社會鍵，並且，建構一個以鄰里社區為基礎之新的控制機制，以便提供社會網路之支援系統及傳統之社會控制力量。</w:t>
      </w:r>
      <w:r w:rsidRPr="007D602F">
        <w:rPr>
          <w:lang w:eastAsia="zh-TW"/>
        </w:rPr>
        <w:cr/>
        <w:t>(4).</w:t>
      </w:r>
      <w:r w:rsidRPr="007D602F">
        <w:rPr>
          <w:lang w:eastAsia="zh-TW"/>
        </w:rPr>
        <w:t>對於現代社會中，關於男女兩性之關係，可重新建構及定位為：「溫情」（體貼，</w:t>
      </w:r>
      <w:r w:rsidRPr="007D602F">
        <w:rPr>
          <w:lang w:eastAsia="zh-TW"/>
        </w:rPr>
        <w:t>warm</w:t>
      </w:r>
      <w:r w:rsidRPr="007D602F">
        <w:rPr>
          <w:lang w:eastAsia="zh-TW"/>
        </w:rPr>
        <w:t>）、平等及情感上之相互支持，而非「漠不關心」（</w:t>
      </w:r>
      <w:r w:rsidRPr="007D602F">
        <w:rPr>
          <w:lang w:eastAsia="zh-TW"/>
        </w:rPr>
        <w:t>aloofness</w:t>
      </w:r>
      <w:r w:rsidRPr="007D602F">
        <w:rPr>
          <w:lang w:eastAsia="zh-TW"/>
        </w:rPr>
        <w:t>）、支配與暴力。在過去數十年中，這種良性之進展雖是緩慢的，但值得可喜的，它是向前進的，從人類過去對男女兩性平等所作之努力，上述之理想是可加以實現的（</w:t>
      </w:r>
      <w:r w:rsidRPr="007D602F">
        <w:rPr>
          <w:lang w:eastAsia="zh-TW"/>
        </w:rPr>
        <w:t>feasible</w:t>
      </w:r>
      <w:r w:rsidRPr="007D602F">
        <w:rPr>
          <w:lang w:eastAsia="zh-TW"/>
        </w:rPr>
        <w:t>）。</w:t>
      </w:r>
    </w:p>
  </w:footnote>
  <w:footnote w:id="216">
    <w:p w:rsidR="00657FEF" w:rsidRPr="007D602F" w:rsidRDefault="00657FEF" w:rsidP="00992AB6">
      <w:pPr>
        <w:pStyle w:val="5"/>
      </w:pPr>
      <w:r w:rsidRPr="007D602F">
        <w:rPr>
          <w:rStyle w:val="af7"/>
          <w:rFonts w:cs="Arial Unicode MS"/>
          <w:color w:val="5F5F5F"/>
        </w:rPr>
        <w:footnoteRef/>
      </w:r>
      <w:r w:rsidRPr="007D602F">
        <w:t xml:space="preserve"> Larry Baron &amp; Murray A. Straus(1989). Four Theories of Rape in American Society: A State-Level Analysis, Yale University Press. </w:t>
      </w:r>
    </w:p>
  </w:footnote>
  <w:footnote w:id="217">
    <w:p w:rsidR="00657FEF" w:rsidRPr="007D602F" w:rsidRDefault="00657FEF" w:rsidP="00992AB6">
      <w:pPr>
        <w:pStyle w:val="5"/>
        <w:rPr>
          <w:lang w:eastAsia="zh-TW"/>
        </w:rPr>
      </w:pPr>
      <w:r w:rsidRPr="00042127">
        <w:rPr>
          <w:rStyle w:val="af7"/>
          <w:rFonts w:eastAsia="新細明體" w:cs="Arial Unicode MS"/>
          <w:kern w:val="2"/>
        </w:rPr>
        <w:footnoteRef/>
      </w:r>
      <w:r w:rsidRPr="007D602F">
        <w:rPr>
          <w:lang w:eastAsia="zh-TW"/>
        </w:rPr>
        <w:t>許得洋</w:t>
      </w:r>
      <w:r w:rsidRPr="007D602F">
        <w:rPr>
          <w:lang w:eastAsia="zh-TW"/>
        </w:rPr>
        <w:t>(2017)</w:t>
      </w:r>
      <w:r w:rsidRPr="007D602F">
        <w:rPr>
          <w:lang w:eastAsia="zh-TW"/>
        </w:rPr>
        <w:t>，男同志性侵害行為與其被性侵害、強暴迷思、性別偏見的關聯，玄奘大學應用心理學系碩士班碩士論文。</w:t>
      </w:r>
    </w:p>
  </w:footnote>
  <w:footnote w:id="218">
    <w:p w:rsidR="00657FEF" w:rsidRPr="007D602F" w:rsidRDefault="00657FEF" w:rsidP="00992AB6">
      <w:pPr>
        <w:pStyle w:val="5"/>
      </w:pPr>
      <w:r w:rsidRPr="00042127">
        <w:rPr>
          <w:rStyle w:val="af7"/>
          <w:rFonts w:eastAsia="新細明體" w:cs="Arial Unicode MS"/>
          <w:kern w:val="2"/>
        </w:rPr>
        <w:footnoteRef/>
      </w:r>
      <w:r w:rsidRPr="00042127">
        <w:rPr>
          <w:rFonts w:ascii="Arial Unicode MS" w:eastAsia="新細明體" w:hAnsi="Arial Unicode MS"/>
          <w:color w:val="FF6600"/>
          <w:kern w:val="2"/>
        </w:rPr>
        <w:t xml:space="preserve"> </w:t>
      </w:r>
      <w:r w:rsidRPr="007D602F">
        <w:t xml:space="preserve">Larry Baron &amp; Murray A. Straus(1989). Four Theories of Rape in American Society: A State-Level Analysis, Yale University Press. </w:t>
      </w:r>
    </w:p>
  </w:footnote>
  <w:footnote w:id="219">
    <w:p w:rsidR="00657FEF" w:rsidRPr="007D602F" w:rsidRDefault="00657FEF" w:rsidP="00992AB6">
      <w:pPr>
        <w:pStyle w:val="5"/>
        <w:rPr>
          <w:lang w:eastAsia="zh-TW"/>
        </w:rPr>
      </w:pPr>
      <w:r w:rsidRPr="00042127">
        <w:rPr>
          <w:rStyle w:val="af7"/>
          <w:rFonts w:eastAsia="新細明體" w:cs="Arial Unicode MS"/>
          <w:kern w:val="2"/>
        </w:rPr>
        <w:footnoteRef/>
      </w:r>
      <w:r w:rsidRPr="007D602F">
        <w:rPr>
          <w:lang w:eastAsia="zh-TW"/>
        </w:rPr>
        <w:t>陳科維君</w:t>
      </w:r>
      <w:r w:rsidRPr="007D602F">
        <w:rPr>
          <w:lang w:eastAsia="zh-TW"/>
        </w:rPr>
        <w:t>(2016)</w:t>
      </w:r>
      <w:r w:rsidRPr="007D602F">
        <w:rPr>
          <w:lang w:eastAsia="zh-TW"/>
        </w:rPr>
        <w:t>則認為，對於性侵犯之處遇，宜朝以下之</w:t>
      </w:r>
      <w:r w:rsidRPr="007D602F">
        <w:rPr>
          <w:lang w:eastAsia="zh-TW"/>
        </w:rPr>
        <w:t>8</w:t>
      </w:r>
      <w:r w:rsidRPr="007D602F">
        <w:rPr>
          <w:lang w:eastAsia="zh-TW"/>
        </w:rPr>
        <w:t>大方向發展：</w:t>
      </w:r>
      <w:r w:rsidRPr="007D602F">
        <w:rPr>
          <w:lang w:eastAsia="zh-TW"/>
        </w:rPr>
        <w:t>1.</w:t>
      </w:r>
      <w:r w:rsidRPr="007D602F">
        <w:rPr>
          <w:lang w:eastAsia="zh-TW"/>
        </w:rPr>
        <w:t>「提升處遇人員員額」；</w:t>
      </w:r>
      <w:r w:rsidRPr="007D602F">
        <w:rPr>
          <w:lang w:eastAsia="zh-TW"/>
        </w:rPr>
        <w:t>2.</w:t>
      </w:r>
      <w:r w:rsidRPr="007D602F">
        <w:rPr>
          <w:lang w:eastAsia="zh-TW"/>
        </w:rPr>
        <w:t>「測謊技術與時俱進，重視測謊人員之培訓與養成」；</w:t>
      </w:r>
      <w:r w:rsidRPr="007D602F">
        <w:rPr>
          <w:lang w:eastAsia="zh-TW"/>
        </w:rPr>
        <w:t>3.</w:t>
      </w:r>
      <w:r w:rsidRPr="007D602F">
        <w:rPr>
          <w:lang w:eastAsia="zh-TW"/>
        </w:rPr>
        <w:t>「整合少年事件處理法及性侵害犯罪防治法訂立妨害性自主少年案件專用法規，並就性侵害防治法第二十條何謂『有必要』進行說明」；</w:t>
      </w:r>
      <w:r w:rsidRPr="007D602F">
        <w:rPr>
          <w:lang w:eastAsia="zh-TW"/>
        </w:rPr>
        <w:t>4.</w:t>
      </w:r>
      <w:r w:rsidRPr="007D602F">
        <w:rPr>
          <w:lang w:eastAsia="zh-TW"/>
        </w:rPr>
        <w:t>「個案出境問題應解決」；</w:t>
      </w:r>
      <w:r w:rsidRPr="007D602F">
        <w:rPr>
          <w:lang w:eastAsia="zh-TW"/>
        </w:rPr>
        <w:t>5.</w:t>
      </w:r>
      <w:r w:rsidRPr="007D602F">
        <w:rPr>
          <w:lang w:eastAsia="zh-TW"/>
        </w:rPr>
        <w:t>「刑後治療專區盡速設立與社區治療處所盡速改善」；</w:t>
      </w:r>
      <w:r w:rsidRPr="007D602F">
        <w:rPr>
          <w:lang w:eastAsia="zh-TW"/>
        </w:rPr>
        <w:t>6.</w:t>
      </w:r>
      <w:r w:rsidRPr="007D602F">
        <w:rPr>
          <w:lang w:eastAsia="zh-TW"/>
        </w:rPr>
        <w:t>「持續建置本土化量表」；</w:t>
      </w:r>
      <w:r w:rsidRPr="007D602F">
        <w:rPr>
          <w:lang w:eastAsia="zh-TW"/>
        </w:rPr>
        <w:t>7.</w:t>
      </w:r>
      <w:r w:rsidRPr="007D602F">
        <w:rPr>
          <w:lang w:eastAsia="zh-TW"/>
        </w:rPr>
        <w:t>「風險情境測試機制與中途之家之建設」；</w:t>
      </w:r>
      <w:r w:rsidRPr="007D602F">
        <w:rPr>
          <w:lang w:eastAsia="zh-TW"/>
        </w:rPr>
        <w:t>8.</w:t>
      </w:r>
      <w:r w:rsidRPr="007D602F">
        <w:rPr>
          <w:lang w:eastAsia="zh-TW"/>
        </w:rPr>
        <w:t>「協助個案順利復歸社會，減少標籤化效應」等。以上，請參閱：陳科維</w:t>
      </w:r>
      <w:r w:rsidRPr="007D602F">
        <w:rPr>
          <w:lang w:eastAsia="zh-TW"/>
        </w:rPr>
        <w:t>(2016)</w:t>
      </w:r>
      <w:r w:rsidRPr="007D602F">
        <w:rPr>
          <w:lang w:eastAsia="zh-TW"/>
        </w:rPr>
        <w:t>，我國性侵害犯治療處遇問題之探究，國立中正大學犯罪防治研究所碩士論文。</w:t>
      </w:r>
    </w:p>
  </w:footnote>
  <w:footnote w:id="220">
    <w:p w:rsidR="00657FEF" w:rsidRPr="007D602F" w:rsidRDefault="00657FEF" w:rsidP="00992AB6">
      <w:pPr>
        <w:pStyle w:val="5"/>
        <w:rPr>
          <w:lang w:eastAsia="zh-TW"/>
        </w:rPr>
      </w:pPr>
      <w:r w:rsidRPr="00042127">
        <w:rPr>
          <w:rStyle w:val="af7"/>
          <w:rFonts w:eastAsia="新細明體" w:cs="Arial Unicode MS"/>
          <w:kern w:val="2"/>
        </w:rPr>
        <w:footnoteRef/>
      </w:r>
      <w:r w:rsidRPr="007D602F">
        <w:rPr>
          <w:lang w:eastAsia="zh-TW"/>
        </w:rPr>
        <w:t xml:space="preserve"> </w:t>
      </w:r>
      <w:r w:rsidRPr="007D602F">
        <w:rPr>
          <w:lang w:eastAsia="zh-TW"/>
        </w:rPr>
        <w:t>林山田</w:t>
      </w:r>
      <w:r w:rsidRPr="007D602F">
        <w:rPr>
          <w:lang w:eastAsia="zh-TW"/>
        </w:rPr>
        <w:t>(1999)</w:t>
      </w:r>
      <w:r w:rsidRPr="007D602F">
        <w:rPr>
          <w:lang w:eastAsia="zh-TW"/>
        </w:rPr>
        <w:t>，刑法各罪論（下冊），台北：台大法學院圖書部，增訂二版。</w:t>
      </w:r>
    </w:p>
  </w:footnote>
  <w:footnote w:id="221">
    <w:p w:rsidR="00657FEF" w:rsidRPr="007D602F" w:rsidRDefault="00657FEF" w:rsidP="00992AB6">
      <w:pPr>
        <w:pStyle w:val="5"/>
        <w:rPr>
          <w:rStyle w:val="af7"/>
          <w:rFonts w:cs="Arial Unicode MS"/>
          <w:color w:val="5F5F5F"/>
          <w:lang w:eastAsia="zh-TW"/>
        </w:rPr>
      </w:pPr>
      <w:r w:rsidRPr="00042127">
        <w:rPr>
          <w:rStyle w:val="af7"/>
          <w:rFonts w:eastAsia="新細明體" w:cs="Arial Unicode MS"/>
          <w:kern w:val="2"/>
        </w:rPr>
        <w:footnoteRef/>
      </w:r>
      <w:r w:rsidRPr="007D602F">
        <w:rPr>
          <w:lang w:eastAsia="zh-TW"/>
        </w:rPr>
        <w:t>聶雲台</w:t>
      </w:r>
      <w:r w:rsidRPr="007D602F">
        <w:rPr>
          <w:lang w:eastAsia="zh-TW"/>
        </w:rPr>
        <w:t>(1943)</w:t>
      </w:r>
      <w:r w:rsidRPr="007D602F">
        <w:rPr>
          <w:lang w:eastAsia="zh-TW"/>
        </w:rPr>
        <w:t>，保富法，台中巿：慈光圖書館，</w:t>
      </w:r>
      <w:r w:rsidRPr="007D602F">
        <w:rPr>
          <w:lang w:eastAsia="zh-TW"/>
        </w:rPr>
        <w:t>1999</w:t>
      </w:r>
      <w:r w:rsidRPr="007D602F">
        <w:rPr>
          <w:lang w:eastAsia="zh-TW"/>
        </w:rPr>
        <w:t>翻印，頁</w:t>
      </w:r>
      <w:r w:rsidRPr="007D602F">
        <w:rPr>
          <w:lang w:eastAsia="zh-TW"/>
        </w:rPr>
        <w:t>33-34</w:t>
      </w:r>
      <w:r w:rsidRPr="007D602F">
        <w:rPr>
          <w:lang w:eastAsia="zh-TW"/>
        </w:rPr>
        <w:t>。</w:t>
      </w:r>
    </w:p>
    <w:p w:rsidR="00657FEF" w:rsidRPr="007D602F" w:rsidRDefault="00657FEF" w:rsidP="00992AB6">
      <w:pPr>
        <w:pStyle w:val="5"/>
        <w:rPr>
          <w:lang w:eastAsia="zh-TW"/>
        </w:rPr>
      </w:pPr>
      <w:r w:rsidRPr="007D602F">
        <w:rPr>
          <w:lang w:eastAsia="zh-TW"/>
        </w:rPr>
        <w:t>「印光法師文鈔三篇</w:t>
      </w:r>
      <w:r w:rsidRPr="007D602F">
        <w:rPr>
          <w:lang w:eastAsia="zh-TW"/>
        </w:rPr>
        <w:t>(2)</w:t>
      </w:r>
      <w:r w:rsidRPr="007D602F">
        <w:rPr>
          <w:lang w:eastAsia="zh-TW"/>
        </w:rPr>
        <w:t>」，南投：蓮因寺，頁</w:t>
      </w:r>
      <w:r w:rsidRPr="007D602F">
        <w:rPr>
          <w:lang w:eastAsia="zh-TW"/>
        </w:rPr>
        <w:t>347</w:t>
      </w:r>
      <w:r w:rsidRPr="007D602F">
        <w:rPr>
          <w:lang w:eastAsia="zh-TW"/>
        </w:rPr>
        <w:t>。</w:t>
      </w:r>
    </w:p>
  </w:footnote>
  <w:footnote w:id="222">
    <w:p w:rsidR="00657FEF" w:rsidRPr="007D602F" w:rsidRDefault="00657FEF" w:rsidP="00992AB6">
      <w:pPr>
        <w:pStyle w:val="5"/>
        <w:rPr>
          <w:lang w:eastAsia="zh-TW"/>
        </w:rPr>
      </w:pPr>
      <w:r w:rsidRPr="003409A9">
        <w:rPr>
          <w:rStyle w:val="af7"/>
          <w:rFonts w:eastAsia="新細明體" w:cs="Arial Unicode MS"/>
          <w:kern w:val="2"/>
        </w:rPr>
        <w:footnoteRef/>
      </w:r>
      <w:r w:rsidRPr="003409A9">
        <w:rPr>
          <w:rFonts w:ascii="Arial Unicode MS" w:eastAsia="新細明體" w:hAnsi="Arial Unicode MS"/>
          <w:color w:val="FF6600"/>
          <w:kern w:val="2"/>
          <w:lang w:eastAsia="zh-TW"/>
        </w:rPr>
        <w:t xml:space="preserve"> </w:t>
      </w:r>
      <w:r w:rsidRPr="007D602F">
        <w:rPr>
          <w:lang w:eastAsia="zh-TW"/>
        </w:rPr>
        <w:t>「印光法師文鈔三篇</w:t>
      </w:r>
      <w:r w:rsidRPr="007D602F">
        <w:rPr>
          <w:lang w:eastAsia="zh-TW"/>
        </w:rPr>
        <w:t>(2)</w:t>
      </w:r>
      <w:r w:rsidRPr="007D602F">
        <w:rPr>
          <w:lang w:eastAsia="zh-TW"/>
        </w:rPr>
        <w:t>」，南投：蓮因寺，頁</w:t>
      </w:r>
      <w:r w:rsidRPr="007D602F">
        <w:rPr>
          <w:lang w:eastAsia="zh-TW"/>
        </w:rPr>
        <w:t>347</w:t>
      </w:r>
      <w:r w:rsidRPr="007D602F">
        <w:rPr>
          <w:lang w:eastAsia="zh-TW"/>
        </w:rPr>
        <w:t>。</w:t>
      </w:r>
    </w:p>
  </w:footnote>
  <w:footnote w:id="223">
    <w:p w:rsidR="00657FEF" w:rsidRPr="007D602F" w:rsidRDefault="00657FEF" w:rsidP="00992AB6">
      <w:pPr>
        <w:pStyle w:val="5"/>
        <w:rPr>
          <w:lang w:eastAsia="zh-TW"/>
        </w:rPr>
      </w:pPr>
      <w:r w:rsidRPr="003409A9">
        <w:rPr>
          <w:rStyle w:val="af7"/>
          <w:rFonts w:eastAsia="新細明體" w:cs="Arial Unicode MS"/>
          <w:kern w:val="2"/>
        </w:rPr>
        <w:footnoteRef/>
      </w:r>
      <w:r w:rsidRPr="007D602F">
        <w:t xml:space="preserve"> Larry Baron &amp; Murray A. Straus(1989). Four Theories of Rape in American Society: A State-Level Analysis, Yale University Press.</w:t>
      </w:r>
      <w:r w:rsidRPr="007D602F">
        <w:cr/>
      </w:r>
      <w:r w:rsidRPr="007D602F">
        <w:t>黃富源</w:t>
      </w:r>
      <w:r w:rsidRPr="007D602F">
        <w:t>(1995)</w:t>
      </w:r>
      <w:r w:rsidRPr="007D602F">
        <w:t>，情色傳媒與性暴力研究之文獻探討，警學叢刊第</w:t>
      </w:r>
      <w:r w:rsidRPr="007D602F">
        <w:t>25</w:t>
      </w:r>
      <w:r w:rsidRPr="007D602F">
        <w:t>卷第</w:t>
      </w:r>
      <w:r w:rsidRPr="007D602F">
        <w:t>4</w:t>
      </w:r>
      <w:r w:rsidRPr="007D602F">
        <w:t>期。</w:t>
      </w:r>
      <w:r w:rsidRPr="007D602F">
        <w:cr/>
      </w:r>
      <w:r w:rsidRPr="007D602F">
        <w:rPr>
          <w:lang w:eastAsia="zh-TW"/>
        </w:rPr>
        <w:t>黃富源著</w:t>
      </w:r>
      <w:r w:rsidRPr="007D602F">
        <w:rPr>
          <w:lang w:eastAsia="zh-TW"/>
        </w:rPr>
        <w:t>(1999)</w:t>
      </w:r>
      <w:r w:rsidRPr="007D602F">
        <w:rPr>
          <w:lang w:eastAsia="zh-TW"/>
        </w:rPr>
        <w:t>，台灣省國民學校教師研習會印行，青少年犯罪與輔導</w:t>
      </w:r>
      <w:r>
        <w:rPr>
          <w:lang w:eastAsia="zh-TW"/>
        </w:rPr>
        <w:t>。</w:t>
      </w:r>
    </w:p>
  </w:footnote>
  <w:footnote w:id="224">
    <w:p w:rsidR="00657FEF" w:rsidRPr="007D602F" w:rsidRDefault="00657FEF" w:rsidP="00992AB6">
      <w:pPr>
        <w:pStyle w:val="5"/>
        <w:rPr>
          <w:lang w:eastAsia="zh-TW"/>
        </w:rPr>
      </w:pPr>
      <w:r w:rsidRPr="003409A9">
        <w:rPr>
          <w:rStyle w:val="af7"/>
          <w:rFonts w:eastAsia="新細明體" w:cs="Arial Unicode MS"/>
          <w:kern w:val="2"/>
        </w:rPr>
        <w:footnoteRef/>
      </w:r>
      <w:r w:rsidRPr="007D602F">
        <w:rPr>
          <w:lang w:eastAsia="zh-TW"/>
        </w:rPr>
        <w:t>聶雲台</w:t>
      </w:r>
      <w:r w:rsidRPr="007D602F">
        <w:rPr>
          <w:lang w:eastAsia="zh-TW"/>
        </w:rPr>
        <w:t>(1943)</w:t>
      </w:r>
      <w:r w:rsidRPr="007D602F">
        <w:rPr>
          <w:lang w:eastAsia="zh-TW"/>
        </w:rPr>
        <w:t>，保富法，台中巿：慈光圖書館，</w:t>
      </w:r>
      <w:r w:rsidRPr="007D602F">
        <w:rPr>
          <w:lang w:eastAsia="zh-TW"/>
        </w:rPr>
        <w:t>1999</w:t>
      </w:r>
      <w:r w:rsidRPr="007D602F">
        <w:rPr>
          <w:lang w:eastAsia="zh-TW"/>
        </w:rPr>
        <w:t>翻印，頁</w:t>
      </w:r>
      <w:r w:rsidRPr="007D602F">
        <w:rPr>
          <w:lang w:eastAsia="zh-TW"/>
        </w:rPr>
        <w:t>33-34</w:t>
      </w:r>
      <w:r w:rsidRPr="007D602F">
        <w:rPr>
          <w:lang w:eastAsia="zh-TW"/>
        </w:rPr>
        <w:t>。</w:t>
      </w:r>
      <w:r w:rsidRPr="007D602F">
        <w:rPr>
          <w:lang w:eastAsia="zh-TW"/>
        </w:rPr>
        <w:cr/>
      </w:r>
      <w:r w:rsidRPr="007D602F">
        <w:rPr>
          <w:lang w:eastAsia="zh-TW"/>
        </w:rPr>
        <w:t>「印光法師文鈔三篇</w:t>
      </w:r>
      <w:r w:rsidRPr="007D602F">
        <w:rPr>
          <w:lang w:eastAsia="zh-TW"/>
        </w:rPr>
        <w:t>(2)</w:t>
      </w:r>
      <w:r w:rsidRPr="007D602F">
        <w:rPr>
          <w:lang w:eastAsia="zh-TW"/>
        </w:rPr>
        <w:t>」，南投：蓮因寺，頁</w:t>
      </w:r>
      <w:r w:rsidRPr="007D602F">
        <w:rPr>
          <w:lang w:eastAsia="zh-TW"/>
        </w:rPr>
        <w:t>347</w:t>
      </w:r>
      <w:r w:rsidRPr="007D602F">
        <w:rPr>
          <w:lang w:eastAsia="zh-TW"/>
        </w:rPr>
        <w:t>。</w:t>
      </w:r>
    </w:p>
  </w:footnote>
  <w:footnote w:id="225">
    <w:p w:rsidR="00657FEF" w:rsidRPr="007D602F" w:rsidRDefault="00657FEF" w:rsidP="00992AB6">
      <w:pPr>
        <w:pStyle w:val="5"/>
        <w:rPr>
          <w:lang w:eastAsia="zh-TW"/>
        </w:rPr>
      </w:pPr>
      <w:r w:rsidRPr="003409A9">
        <w:rPr>
          <w:rStyle w:val="af7"/>
          <w:rFonts w:eastAsia="新細明體" w:cs="Arial Unicode MS"/>
          <w:kern w:val="2"/>
        </w:rPr>
        <w:footnoteRef/>
      </w:r>
      <w:r w:rsidRPr="007D602F">
        <w:rPr>
          <w:lang w:eastAsia="zh-TW"/>
        </w:rPr>
        <w:t>聶雲台</w:t>
      </w:r>
      <w:r w:rsidRPr="007D602F">
        <w:rPr>
          <w:lang w:eastAsia="zh-TW"/>
        </w:rPr>
        <w:t>(1943)</w:t>
      </w:r>
      <w:r w:rsidRPr="007D602F">
        <w:rPr>
          <w:lang w:eastAsia="zh-TW"/>
        </w:rPr>
        <w:t>，保富法，台中巿：慈光圖書館，</w:t>
      </w:r>
      <w:r w:rsidRPr="007D602F">
        <w:rPr>
          <w:lang w:eastAsia="zh-TW"/>
        </w:rPr>
        <w:t>1999</w:t>
      </w:r>
      <w:r w:rsidRPr="007D602F">
        <w:rPr>
          <w:lang w:eastAsia="zh-TW"/>
        </w:rPr>
        <w:t>翻印，頁</w:t>
      </w:r>
      <w:r w:rsidRPr="007D602F">
        <w:rPr>
          <w:lang w:eastAsia="zh-TW"/>
        </w:rPr>
        <w:t>33-34</w:t>
      </w:r>
      <w:r w:rsidRPr="007D602F">
        <w:rPr>
          <w:lang w:eastAsia="zh-TW"/>
        </w:rPr>
        <w:t>。</w:t>
      </w:r>
    </w:p>
  </w:footnote>
  <w:footnote w:id="226">
    <w:p w:rsidR="00657FEF" w:rsidRPr="007D602F" w:rsidRDefault="00657FEF" w:rsidP="00992AB6">
      <w:pPr>
        <w:pStyle w:val="5"/>
        <w:rPr>
          <w:lang w:eastAsia="zh-TW"/>
        </w:rPr>
      </w:pPr>
      <w:r w:rsidRPr="00042127">
        <w:rPr>
          <w:rStyle w:val="af7"/>
          <w:rFonts w:eastAsia="新細明體" w:cs="Arial Unicode MS"/>
          <w:kern w:val="2"/>
        </w:rPr>
        <w:footnoteRef/>
      </w:r>
      <w:r w:rsidRPr="00042127">
        <w:rPr>
          <w:rFonts w:ascii="Arial Unicode MS" w:eastAsia="新細明體" w:hAnsi="Arial Unicode MS"/>
          <w:color w:val="FF6600"/>
          <w:kern w:val="2"/>
        </w:rPr>
        <w:t xml:space="preserve"> </w:t>
      </w:r>
      <w:r w:rsidRPr="007D602F">
        <w:t>Larry Baron &amp; Murray A. Straus(1989). Four Theories of Rape in American Society: A State-Level Analysis, Yale University Press.</w:t>
      </w:r>
      <w:r w:rsidRPr="007D602F">
        <w:cr/>
      </w:r>
      <w:r w:rsidRPr="007D602F">
        <w:t>黃富源</w:t>
      </w:r>
      <w:r w:rsidRPr="007D602F">
        <w:t>(1995)</w:t>
      </w:r>
      <w:r w:rsidRPr="007D602F">
        <w:t>，情色傳媒與性暴力研究之文獻探討，警學叢刊第</w:t>
      </w:r>
      <w:r w:rsidRPr="007D602F">
        <w:t>25</w:t>
      </w:r>
      <w:r w:rsidRPr="007D602F">
        <w:t>卷第</w:t>
      </w:r>
      <w:r w:rsidRPr="007D602F">
        <w:t>4</w:t>
      </w:r>
      <w:r w:rsidRPr="007D602F">
        <w:t>期。</w:t>
      </w:r>
      <w:r w:rsidRPr="007D602F">
        <w:cr/>
      </w:r>
      <w:r w:rsidRPr="007D602F">
        <w:rPr>
          <w:lang w:eastAsia="zh-TW"/>
        </w:rPr>
        <w:t>黃富源著</w:t>
      </w:r>
      <w:r w:rsidRPr="007D602F">
        <w:rPr>
          <w:lang w:eastAsia="zh-TW"/>
        </w:rPr>
        <w:t>(1999)</w:t>
      </w:r>
      <w:r w:rsidRPr="007D602F">
        <w:rPr>
          <w:lang w:eastAsia="zh-TW"/>
        </w:rPr>
        <w:t>，台灣省國民學校教師研習會印行，青少年犯罪與輔導。</w:t>
      </w:r>
      <w:r w:rsidRPr="007D602F">
        <w:rPr>
          <w:lang w:eastAsia="zh-TW"/>
        </w:rPr>
        <w:cr/>
      </w:r>
      <w:r w:rsidRPr="007D602F">
        <w:rPr>
          <w:lang w:eastAsia="zh-TW"/>
        </w:rPr>
        <w:t>林山田</w:t>
      </w:r>
      <w:r w:rsidRPr="007D602F">
        <w:rPr>
          <w:lang w:eastAsia="zh-TW"/>
        </w:rPr>
        <w:t>(1999)</w:t>
      </w:r>
      <w:r w:rsidRPr="007D602F">
        <w:rPr>
          <w:lang w:eastAsia="zh-TW"/>
        </w:rPr>
        <w:t>，刑法各罪論（下冊），台北：台大法學院圖書部，增訂二版。</w:t>
      </w:r>
    </w:p>
  </w:footnote>
  <w:footnote w:id="227">
    <w:p w:rsidR="00657FEF" w:rsidRPr="007D602F" w:rsidRDefault="00657FEF" w:rsidP="00992AB6">
      <w:pPr>
        <w:pStyle w:val="5"/>
        <w:rPr>
          <w:lang w:eastAsia="zh-TW"/>
        </w:rPr>
      </w:pPr>
      <w:r w:rsidRPr="00042127">
        <w:rPr>
          <w:rStyle w:val="af7"/>
          <w:rFonts w:eastAsia="新細明體" w:cs="Arial Unicode MS"/>
          <w:kern w:val="2"/>
        </w:rPr>
        <w:footnoteRef/>
      </w:r>
      <w:r w:rsidRPr="00042127">
        <w:rPr>
          <w:rFonts w:ascii="Arial Unicode MS" w:eastAsia="新細明體" w:hAnsi="Arial Unicode MS"/>
          <w:color w:val="FF6600"/>
          <w:kern w:val="2"/>
        </w:rPr>
        <w:t xml:space="preserve"> </w:t>
      </w:r>
      <w:r w:rsidRPr="007D602F">
        <w:t>Larry Baron &amp; Murray A. Straus(1989). Four Theories of Rape in American Society: A State-Level Analysis, Yale University Press.</w:t>
      </w:r>
      <w:r w:rsidRPr="007D602F">
        <w:cr/>
      </w:r>
      <w:r w:rsidRPr="007D602F">
        <w:t>黃富源</w:t>
      </w:r>
      <w:r w:rsidRPr="007D602F">
        <w:t>(1995)</w:t>
      </w:r>
      <w:r w:rsidRPr="007D602F">
        <w:t>，情色傳媒與性暴力研究之文獻探討，警學叢刊第</w:t>
      </w:r>
      <w:r w:rsidRPr="007D602F">
        <w:t>25</w:t>
      </w:r>
      <w:r w:rsidRPr="007D602F">
        <w:t>卷第</w:t>
      </w:r>
      <w:r w:rsidRPr="007D602F">
        <w:t>4</w:t>
      </w:r>
      <w:r w:rsidRPr="007D602F">
        <w:t>期。</w:t>
      </w:r>
      <w:r w:rsidRPr="007D602F">
        <w:cr/>
      </w:r>
      <w:r w:rsidRPr="007D602F">
        <w:rPr>
          <w:lang w:eastAsia="zh-TW"/>
        </w:rPr>
        <w:t>黃富源著</w:t>
      </w:r>
      <w:r w:rsidRPr="007D602F">
        <w:rPr>
          <w:lang w:eastAsia="zh-TW"/>
        </w:rPr>
        <w:t>(1999)</w:t>
      </w:r>
      <w:r w:rsidRPr="007D602F">
        <w:rPr>
          <w:lang w:eastAsia="zh-TW"/>
        </w:rPr>
        <w:t>，台灣省國民學校教師研習會印行，青少年犯罪與輔導。</w:t>
      </w:r>
      <w:r w:rsidRPr="007D602F">
        <w:rPr>
          <w:lang w:eastAsia="zh-TW"/>
        </w:rPr>
        <w:cr/>
      </w:r>
      <w:r w:rsidRPr="007D602F">
        <w:rPr>
          <w:lang w:eastAsia="zh-TW"/>
        </w:rPr>
        <w:t>林山田</w:t>
      </w:r>
      <w:r w:rsidRPr="007D602F">
        <w:rPr>
          <w:lang w:eastAsia="zh-TW"/>
        </w:rPr>
        <w:t>(1999)</w:t>
      </w:r>
      <w:r w:rsidRPr="007D602F">
        <w:rPr>
          <w:lang w:eastAsia="zh-TW"/>
        </w:rPr>
        <w:t>，刑法各罪論（下冊），台北：台大法學院圖書部，增訂二版。</w:t>
      </w:r>
    </w:p>
  </w:footnote>
  <w:footnote w:id="228">
    <w:p w:rsidR="00657FEF" w:rsidRPr="007D602F" w:rsidRDefault="00657FEF" w:rsidP="00992AB6">
      <w:pPr>
        <w:pStyle w:val="5"/>
        <w:rPr>
          <w:lang w:eastAsia="zh-TW"/>
        </w:rPr>
      </w:pPr>
      <w:r w:rsidRPr="00042127">
        <w:rPr>
          <w:rStyle w:val="af7"/>
          <w:rFonts w:eastAsia="新細明體" w:cs="Arial Unicode MS"/>
          <w:kern w:val="2"/>
          <w:szCs w:val="20"/>
        </w:rPr>
        <w:footnoteRef/>
      </w:r>
      <w:r w:rsidRPr="00042127">
        <w:rPr>
          <w:rFonts w:ascii="Arial Unicode MS" w:eastAsia="新細明體" w:hAnsi="Arial Unicode MS"/>
          <w:color w:val="FF6600"/>
          <w:kern w:val="2"/>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rapenext</w:t>
      </w:r>
    </w:p>
    <w:p w:rsidR="00657FEF" w:rsidRPr="007D602F" w:rsidRDefault="00657FEF" w:rsidP="00992AB6">
      <w:pPr>
        <w:pStyle w:val="5"/>
      </w:pPr>
      <w:r w:rsidRPr="007D602F">
        <w:t xml:space="preserve">  /METHOD=ENTER unemploymentrate divorcerate</w:t>
      </w:r>
    </w:p>
    <w:p w:rsidR="00657FEF" w:rsidRPr="007D602F" w:rsidRDefault="00657FEF" w:rsidP="00992AB6">
      <w:pPr>
        <w:pStyle w:val="5"/>
      </w:pPr>
      <w:r w:rsidRPr="007D602F">
        <w:t xml:space="preserve">  /CASEWISE PLOT(ZRESID) ALL.</w:t>
      </w:r>
    </w:p>
  </w:footnote>
  <w:footnote w:id="229">
    <w:p w:rsidR="00657FEF" w:rsidRPr="007D602F" w:rsidRDefault="00657FEF" w:rsidP="00992AB6">
      <w:pPr>
        <w:pStyle w:val="5"/>
        <w:rPr>
          <w:lang w:eastAsia="zh-TW"/>
        </w:rPr>
      </w:pPr>
      <w:r w:rsidRPr="00042127">
        <w:rPr>
          <w:rStyle w:val="af7"/>
          <w:rFonts w:eastAsia="新細明體" w:cs="Arial Unicode MS"/>
          <w:kern w:val="2"/>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230">
    <w:p w:rsidR="00657FEF" w:rsidRPr="007D602F" w:rsidRDefault="00657FEF" w:rsidP="00992AB6">
      <w:pPr>
        <w:pStyle w:val="5"/>
        <w:rPr>
          <w:lang w:eastAsia="zh-TW"/>
        </w:rPr>
      </w:pPr>
      <w:r w:rsidRPr="007D602F">
        <w:rPr>
          <w:rStyle w:val="af7"/>
          <w:rFonts w:cs="Arial Unicode MS"/>
          <w:color w:val="5F5F5F"/>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rapenext</w:t>
      </w:r>
    </w:p>
    <w:p w:rsidR="00657FEF" w:rsidRPr="007D602F" w:rsidRDefault="00657FEF" w:rsidP="00992AB6">
      <w:pPr>
        <w:pStyle w:val="5"/>
      </w:pPr>
      <w:r w:rsidRPr="007D602F">
        <w:t xml:space="preserve">  /METHOD=STEPWISE lowincomesupplement</w:t>
      </w:r>
    </w:p>
    <w:p w:rsidR="00657FEF" w:rsidRPr="007D602F" w:rsidRDefault="00657FEF" w:rsidP="00992AB6">
      <w:pPr>
        <w:pStyle w:val="5"/>
      </w:pPr>
      <w:r w:rsidRPr="007D602F">
        <w:t xml:space="preserve">  /CASEWISE PLOT(ZRESID) ALL.</w:t>
      </w:r>
    </w:p>
  </w:footnote>
  <w:footnote w:id="231">
    <w:p w:rsidR="00657FEF" w:rsidRPr="007D602F" w:rsidRDefault="00657FEF" w:rsidP="00992AB6">
      <w:pPr>
        <w:pStyle w:val="5"/>
        <w:rPr>
          <w:lang w:eastAsia="zh-TW"/>
        </w:rPr>
      </w:pPr>
      <w:r w:rsidRPr="007D602F">
        <w:rPr>
          <w:rStyle w:val="af7"/>
          <w:rFonts w:cs="Arial Unicode MS"/>
          <w:color w:val="5F5F5F"/>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232">
    <w:p w:rsidR="00657FEF" w:rsidRPr="007D602F" w:rsidRDefault="00657FEF" w:rsidP="00992AB6">
      <w:pPr>
        <w:pStyle w:val="5"/>
        <w:rPr>
          <w:lang w:eastAsia="zh-TW"/>
        </w:rPr>
      </w:pPr>
      <w:r w:rsidRPr="00042127">
        <w:rPr>
          <w:rStyle w:val="af7"/>
          <w:rFonts w:eastAsia="新細明體" w:cs="Arial Unicode MS"/>
          <w:kern w:val="2"/>
          <w:szCs w:val="20"/>
        </w:rPr>
        <w:footnoteRef/>
      </w:r>
      <w:r w:rsidRPr="007D602F">
        <w:rPr>
          <w:rStyle w:val="af7"/>
          <w:rFonts w:cs="Arial Unicode MS"/>
          <w:color w:val="5F5F5F"/>
          <w:szCs w:val="20"/>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theft</w:t>
      </w:r>
      <w:r w:rsidRPr="007D602F">
        <w:t>警察受理窃盜</w:t>
      </w:r>
      <w:r w:rsidRPr="007D602F">
        <w:t xml:space="preserve">  </w:t>
      </w:r>
    </w:p>
    <w:p w:rsidR="00657FEF" w:rsidRPr="007D602F" w:rsidRDefault="00657FEF" w:rsidP="00992AB6">
      <w:pPr>
        <w:pStyle w:val="5"/>
      </w:pPr>
      <w:r w:rsidRPr="007D602F">
        <w:t xml:space="preserve">  /METHOD=ENTER GNI</w:t>
      </w:r>
    </w:p>
    <w:p w:rsidR="00657FEF" w:rsidRPr="007D602F" w:rsidRDefault="00657FEF" w:rsidP="00992AB6">
      <w:pPr>
        <w:pStyle w:val="5"/>
      </w:pPr>
      <w:r w:rsidRPr="007D602F">
        <w:t xml:space="preserve">  /CASEWISE PLOT(ZRESID) ALL.</w:t>
      </w:r>
    </w:p>
  </w:footnote>
  <w:footnote w:id="233">
    <w:p w:rsidR="00657FEF" w:rsidRPr="007D602F" w:rsidRDefault="00657FEF" w:rsidP="00992AB6">
      <w:pPr>
        <w:pStyle w:val="5"/>
        <w:rPr>
          <w:lang w:eastAsia="zh-TW"/>
        </w:rPr>
      </w:pPr>
      <w:r w:rsidRPr="00042127">
        <w:rPr>
          <w:rStyle w:val="af7"/>
          <w:rFonts w:eastAsia="新細明體" w:cs="Arial Unicode MS"/>
          <w:kern w:val="2"/>
        </w:rPr>
        <w:footnoteRef/>
      </w:r>
      <w:r w:rsidRPr="00042127">
        <w:rPr>
          <w:rFonts w:ascii="Arial Unicode MS" w:eastAsia="新細明體" w:hAnsi="Arial Unicode MS"/>
          <w:color w:val="FF6600"/>
          <w:kern w:val="2"/>
          <w:lang w:eastAsia="zh-TW"/>
        </w:rPr>
        <w:t>低</w:t>
      </w:r>
      <w:r w:rsidRPr="007D602F">
        <w:rPr>
          <w:lang w:eastAsia="zh-TW"/>
        </w:rPr>
        <w:t>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234">
    <w:p w:rsidR="00657FEF" w:rsidRPr="007D602F" w:rsidRDefault="00657FEF" w:rsidP="00992AB6">
      <w:pPr>
        <w:pStyle w:val="5"/>
        <w:rPr>
          <w:lang w:eastAsia="zh-TW"/>
        </w:rPr>
      </w:pPr>
      <w:r w:rsidRPr="00042127">
        <w:rPr>
          <w:rStyle w:val="af7"/>
          <w:rFonts w:eastAsia="新細明體" w:cs="Arial Unicode MS"/>
          <w:kern w:val="2"/>
          <w:szCs w:val="20"/>
        </w:rPr>
        <w:footnoteRef/>
      </w:r>
      <w:r w:rsidRPr="00042127">
        <w:rPr>
          <w:rFonts w:ascii="Arial Unicode MS" w:eastAsia="新細明體" w:hAnsi="Arial Unicode MS"/>
          <w:color w:val="FF6600"/>
          <w:kern w:val="2"/>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theft</w:t>
      </w:r>
      <w:r w:rsidRPr="007D602F">
        <w:t>警察受理窃盜</w:t>
      </w:r>
    </w:p>
    <w:p w:rsidR="00657FEF" w:rsidRPr="007D602F" w:rsidRDefault="00657FEF" w:rsidP="00992AB6">
      <w:pPr>
        <w:pStyle w:val="5"/>
      </w:pPr>
      <w:r w:rsidRPr="007D602F">
        <w:t xml:space="preserve">  /METHOD=STEPWISE lowincomesupplement clearrate</w:t>
      </w:r>
    </w:p>
    <w:p w:rsidR="00657FEF" w:rsidRPr="007D602F" w:rsidRDefault="00657FEF" w:rsidP="00992AB6">
      <w:pPr>
        <w:pStyle w:val="5"/>
      </w:pPr>
      <w:r w:rsidRPr="007D602F">
        <w:t xml:space="preserve">  /CASEWISE PLOT(ZRESID) ALL.</w:t>
      </w:r>
    </w:p>
  </w:footnote>
  <w:footnote w:id="235">
    <w:p w:rsidR="00657FEF" w:rsidRPr="007D602F" w:rsidRDefault="00657FEF" w:rsidP="00992AB6">
      <w:pPr>
        <w:pStyle w:val="5"/>
        <w:rPr>
          <w:lang w:eastAsia="zh-TW"/>
        </w:rPr>
      </w:pPr>
      <w:r w:rsidRPr="00042127">
        <w:rPr>
          <w:rStyle w:val="af7"/>
          <w:rFonts w:eastAsia="新細明體" w:cs="Arial Unicode MS"/>
          <w:kern w:val="2"/>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236">
    <w:p w:rsidR="00657FEF" w:rsidRPr="007D602F" w:rsidRDefault="00657FEF" w:rsidP="00992AB6">
      <w:pPr>
        <w:pStyle w:val="5"/>
        <w:rPr>
          <w:lang w:eastAsia="zh-TW"/>
        </w:rPr>
      </w:pPr>
      <w:r w:rsidRPr="00042127">
        <w:rPr>
          <w:rStyle w:val="af7"/>
          <w:rFonts w:eastAsia="新細明體" w:cs="Arial Unicode MS"/>
          <w:kern w:val="2"/>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theftnext</w:t>
      </w:r>
    </w:p>
    <w:p w:rsidR="00657FEF" w:rsidRPr="007D602F" w:rsidRDefault="00657FEF" w:rsidP="00992AB6">
      <w:pPr>
        <w:pStyle w:val="5"/>
      </w:pPr>
      <w:r w:rsidRPr="007D602F">
        <w:t xml:space="preserve">  /METHOD=STEPWISE lowincomepersonrate clearrate</w:t>
      </w:r>
    </w:p>
    <w:p w:rsidR="00657FEF" w:rsidRPr="007D602F" w:rsidRDefault="00657FEF" w:rsidP="00992AB6">
      <w:pPr>
        <w:pStyle w:val="5"/>
      </w:pPr>
      <w:r w:rsidRPr="007D602F">
        <w:t xml:space="preserve">  /CASEWISE PLOT(ZRESID) ALL.</w:t>
      </w:r>
    </w:p>
  </w:footnote>
  <w:footnote w:id="237">
    <w:p w:rsidR="00657FEF" w:rsidRPr="007D602F" w:rsidRDefault="00657FEF" w:rsidP="00992AB6">
      <w:pPr>
        <w:pStyle w:val="5"/>
        <w:rPr>
          <w:lang w:eastAsia="zh-TW"/>
        </w:rPr>
      </w:pPr>
      <w:r w:rsidRPr="00B3048A">
        <w:rPr>
          <w:rStyle w:val="af7"/>
          <w:rFonts w:eastAsia="新細明體" w:cs="Arial Unicode MS"/>
          <w:kern w:val="2"/>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238">
    <w:p w:rsidR="00657FEF" w:rsidRPr="007D602F" w:rsidRDefault="00657FEF" w:rsidP="00992AB6">
      <w:pPr>
        <w:pStyle w:val="5"/>
        <w:rPr>
          <w:lang w:eastAsia="zh-TW"/>
        </w:rPr>
      </w:pPr>
      <w:r w:rsidRPr="00042127">
        <w:rPr>
          <w:rStyle w:val="af7"/>
          <w:rFonts w:eastAsia="新細明體" w:cs="Arial Unicode MS"/>
          <w:kern w:val="2"/>
          <w:szCs w:val="20"/>
        </w:rPr>
        <w:footnoteRef/>
      </w:r>
      <w:r w:rsidRPr="00042127">
        <w:rPr>
          <w:rFonts w:ascii="Arial Unicode MS" w:eastAsia="新細明體" w:hAnsi="Arial Unicode MS"/>
          <w:color w:val="FF6600"/>
          <w:kern w:val="2"/>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theftnext</w:t>
      </w:r>
    </w:p>
    <w:p w:rsidR="00657FEF" w:rsidRPr="007D602F" w:rsidRDefault="00657FEF" w:rsidP="00992AB6">
      <w:pPr>
        <w:pStyle w:val="5"/>
      </w:pPr>
      <w:r w:rsidRPr="007D602F">
        <w:t xml:space="preserve">  /METHOD=ENTER over35manunmarryrate</w:t>
      </w:r>
    </w:p>
    <w:p w:rsidR="00657FEF" w:rsidRPr="007D602F" w:rsidRDefault="00657FEF" w:rsidP="00992AB6">
      <w:pPr>
        <w:pStyle w:val="5"/>
      </w:pPr>
      <w:r w:rsidRPr="007D602F">
        <w:t xml:space="preserve">  /CASEWISE PLOT(ZRESID) ALL.</w:t>
      </w:r>
    </w:p>
  </w:footnote>
  <w:footnote w:id="239">
    <w:p w:rsidR="00657FEF" w:rsidRPr="007D602F" w:rsidRDefault="00657FEF" w:rsidP="00992AB6">
      <w:pPr>
        <w:pStyle w:val="5"/>
        <w:rPr>
          <w:lang w:eastAsia="zh-TW"/>
        </w:rPr>
      </w:pPr>
      <w:r w:rsidRPr="00042127">
        <w:rPr>
          <w:rStyle w:val="af7"/>
          <w:rFonts w:eastAsia="新細明體" w:cs="Arial Unicode MS"/>
          <w:kern w:val="2"/>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240">
    <w:p w:rsidR="00657FEF" w:rsidRPr="007D602F" w:rsidRDefault="00657FEF" w:rsidP="00992AB6">
      <w:pPr>
        <w:pStyle w:val="5"/>
      </w:pPr>
      <w:r w:rsidRPr="00B3048A">
        <w:rPr>
          <w:rStyle w:val="af7"/>
          <w:rFonts w:eastAsia="新細明體" w:cs="Arial Unicode MS"/>
          <w:kern w:val="2"/>
          <w:szCs w:val="20"/>
        </w:rPr>
        <w:footnoteRef/>
      </w:r>
      <w:r w:rsidRPr="007D602F">
        <w:t>正德慈善醫療文教機構</w:t>
      </w:r>
      <w:r w:rsidRPr="007D602F">
        <w:t>(2018)</w:t>
      </w:r>
      <w:r w:rsidRPr="007D602F">
        <w:t>，常律法師簡介，</w:t>
      </w:r>
      <w:hyperlink r:id="rId87" w:history="1">
        <w:r w:rsidRPr="002F385B">
          <w:rPr>
            <w:rStyle w:val="a7"/>
            <w:rFonts w:ascii="Arial Unicode MS" w:eastAsia="新細明體" w:hAnsi="Arial Unicode MS" w:cs="Calibri"/>
            <w:color w:val="5F5F5F"/>
            <w:kern w:val="2"/>
            <w:sz w:val="18"/>
          </w:rPr>
          <w:t>https://www.chengte.org.tw/01/Introduction3.aspx</w:t>
        </w:r>
      </w:hyperlink>
      <w:r w:rsidRPr="007D602F">
        <w:t>。</w:t>
      </w:r>
    </w:p>
    <w:p w:rsidR="00657FEF" w:rsidRPr="007D602F" w:rsidRDefault="00657FEF" w:rsidP="00992AB6">
      <w:pPr>
        <w:pStyle w:val="5"/>
        <w:rPr>
          <w:lang w:eastAsia="zh-TW"/>
        </w:rPr>
      </w:pPr>
      <w:r w:rsidRPr="007D602F">
        <w:rPr>
          <w:lang w:eastAsia="zh-TW"/>
        </w:rPr>
        <w:t>常律法師</w:t>
      </w:r>
      <w:r w:rsidRPr="007D602F">
        <w:rPr>
          <w:lang w:eastAsia="zh-TW"/>
        </w:rPr>
        <w:t>(2001)</w:t>
      </w:r>
      <w:r w:rsidRPr="007D602F">
        <w:rPr>
          <w:lang w:eastAsia="zh-TW"/>
        </w:rPr>
        <w:t>，清涼法語，宇河文化出版有限公司</w:t>
      </w:r>
      <w:r>
        <w:rPr>
          <w:lang w:eastAsia="zh-TW"/>
        </w:rPr>
        <w:t>。</w:t>
      </w:r>
      <w:r w:rsidRPr="007D602F">
        <w:rPr>
          <w:lang w:eastAsia="zh-TW"/>
        </w:rPr>
        <w:t xml:space="preserve"> </w:t>
      </w:r>
    </w:p>
  </w:footnote>
  <w:footnote w:id="241">
    <w:p w:rsidR="00657FEF" w:rsidRPr="007D602F" w:rsidRDefault="00657FEF" w:rsidP="00992AB6">
      <w:pPr>
        <w:pStyle w:val="5"/>
        <w:rPr>
          <w:lang w:eastAsia="zh-TW"/>
        </w:rPr>
      </w:pPr>
      <w:r w:rsidRPr="00B3048A">
        <w:rPr>
          <w:rStyle w:val="af7"/>
          <w:rFonts w:eastAsia="新細明體" w:cs="Arial Unicode MS"/>
          <w:kern w:val="2"/>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offenses</w:t>
      </w:r>
    </w:p>
    <w:p w:rsidR="00657FEF" w:rsidRPr="007D602F" w:rsidRDefault="00657FEF" w:rsidP="00992AB6">
      <w:pPr>
        <w:pStyle w:val="5"/>
      </w:pPr>
      <w:r w:rsidRPr="007D602F">
        <w:t xml:space="preserve">  /METHOD=STEPWISE divorcerate lowincomesupplement over35manunmarryrate</w:t>
      </w:r>
    </w:p>
    <w:p w:rsidR="00657FEF" w:rsidRPr="007D602F" w:rsidRDefault="00657FEF" w:rsidP="00992AB6">
      <w:pPr>
        <w:pStyle w:val="5"/>
      </w:pPr>
      <w:r w:rsidRPr="007D602F">
        <w:t xml:space="preserve">  /CASEWISE PLOT(ZRESID) ALL.</w:t>
      </w:r>
    </w:p>
  </w:footnote>
  <w:footnote w:id="242">
    <w:p w:rsidR="00657FEF" w:rsidRPr="007D602F" w:rsidRDefault="00657FEF" w:rsidP="00992AB6">
      <w:pPr>
        <w:pStyle w:val="5"/>
        <w:rPr>
          <w:lang w:eastAsia="zh-TW"/>
        </w:rPr>
      </w:pPr>
      <w:r w:rsidRPr="00241667">
        <w:rPr>
          <w:rStyle w:val="af7"/>
          <w:rFonts w:eastAsia="新細明體" w:cs="Arial Unicode MS"/>
          <w:kern w:val="2"/>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243">
    <w:p w:rsidR="00657FEF" w:rsidRPr="007D602F" w:rsidRDefault="00657FEF" w:rsidP="00992AB6">
      <w:pPr>
        <w:pStyle w:val="5"/>
        <w:rPr>
          <w:lang w:eastAsia="zh-TW"/>
        </w:rPr>
      </w:pPr>
      <w:r w:rsidRPr="00042127">
        <w:rPr>
          <w:rStyle w:val="af7"/>
          <w:rFonts w:eastAsia="新細明體" w:cs="Arial Unicode MS"/>
          <w:kern w:val="2"/>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offenses</w:t>
      </w:r>
    </w:p>
    <w:p w:rsidR="00657FEF" w:rsidRPr="007D602F" w:rsidRDefault="00657FEF" w:rsidP="00992AB6">
      <w:pPr>
        <w:pStyle w:val="5"/>
      </w:pPr>
      <w:r w:rsidRPr="007D602F">
        <w:t xml:space="preserve">  /METHOD=ENTER divorcerate lowincomesupplement</w:t>
      </w:r>
    </w:p>
    <w:p w:rsidR="00657FEF" w:rsidRPr="007D602F" w:rsidRDefault="00657FEF" w:rsidP="00992AB6">
      <w:pPr>
        <w:pStyle w:val="5"/>
      </w:pPr>
      <w:r w:rsidRPr="007D602F">
        <w:t xml:space="preserve">  /CASEWISE PLOT(ZRESID) ALL.</w:t>
      </w:r>
    </w:p>
  </w:footnote>
  <w:footnote w:id="244">
    <w:p w:rsidR="00657FEF" w:rsidRPr="007D602F" w:rsidRDefault="00657FEF" w:rsidP="00992AB6">
      <w:pPr>
        <w:pStyle w:val="5"/>
        <w:rPr>
          <w:lang w:eastAsia="zh-TW"/>
        </w:rPr>
      </w:pPr>
      <w:r w:rsidRPr="002031B1">
        <w:rPr>
          <w:rStyle w:val="af7"/>
          <w:rFonts w:eastAsia="新細明體" w:cs="Arial Unicode MS"/>
          <w:kern w:val="2"/>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245">
    <w:p w:rsidR="00657FEF" w:rsidRPr="007D602F" w:rsidRDefault="00657FEF" w:rsidP="00992AB6">
      <w:pPr>
        <w:pStyle w:val="5"/>
        <w:rPr>
          <w:lang w:eastAsia="zh-TW"/>
        </w:rPr>
      </w:pPr>
      <w:r w:rsidRPr="00042127">
        <w:rPr>
          <w:rStyle w:val="af7"/>
          <w:rFonts w:eastAsia="新細明體" w:cs="Arial Unicode MS"/>
          <w:kern w:val="2"/>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totalsentenceperson</w:t>
      </w:r>
    </w:p>
    <w:p w:rsidR="00657FEF" w:rsidRPr="007D602F" w:rsidRDefault="00657FEF" w:rsidP="00992AB6">
      <w:pPr>
        <w:pStyle w:val="5"/>
      </w:pPr>
      <w:r w:rsidRPr="007D602F">
        <w:t xml:space="preserve">  /METHOD=STEPWISE over35manunmarryrate GNI policenumberrate CJbudgetrate sentenserate lowincomepersonrate lowincomesupplement</w:t>
      </w:r>
    </w:p>
    <w:p w:rsidR="00657FEF" w:rsidRPr="007D602F" w:rsidRDefault="00657FEF" w:rsidP="00992AB6">
      <w:pPr>
        <w:pStyle w:val="5"/>
      </w:pPr>
      <w:r w:rsidRPr="007D602F">
        <w:t xml:space="preserve">    artparticipatipn probationrate nonderterminsentence </w:t>
      </w:r>
      <w:r w:rsidRPr="007D602F">
        <w:t>死刑執行人數</w:t>
      </w:r>
      <w:r w:rsidRPr="007D602F">
        <w:t xml:space="preserve"> clearrate</w:t>
      </w:r>
    </w:p>
    <w:p w:rsidR="00657FEF" w:rsidRPr="007D602F" w:rsidRDefault="00657FEF" w:rsidP="00992AB6">
      <w:pPr>
        <w:pStyle w:val="5"/>
      </w:pPr>
      <w:r w:rsidRPr="007D602F">
        <w:t xml:space="preserve">  /CASEWISE PLOT(ZRESID) ALL.</w:t>
      </w:r>
    </w:p>
  </w:footnote>
  <w:footnote w:id="246">
    <w:p w:rsidR="00657FEF" w:rsidRPr="007D602F" w:rsidRDefault="00657FEF" w:rsidP="00992AB6">
      <w:pPr>
        <w:pStyle w:val="5"/>
        <w:rPr>
          <w:lang w:eastAsia="zh-TW"/>
        </w:rPr>
      </w:pPr>
      <w:r w:rsidRPr="00042127">
        <w:rPr>
          <w:rStyle w:val="af7"/>
          <w:rFonts w:eastAsia="新細明體" w:cs="Arial Unicode MS"/>
          <w:kern w:val="2"/>
        </w:rPr>
        <w:footnoteRef/>
      </w:r>
      <w:r w:rsidRPr="007D602F">
        <w:rPr>
          <w:lang w:eastAsia="zh-TW"/>
        </w:rPr>
        <w:t>低收入戶之家庭及就學生活補助金額</w:t>
      </w:r>
      <w:r w:rsidRPr="007D602F">
        <w:rPr>
          <w:lang w:eastAsia="zh-TW"/>
        </w:rPr>
        <w:t>(1992-2016)</w:t>
      </w:r>
      <w:r w:rsidRPr="007D602F">
        <w:rPr>
          <w:lang w:eastAsia="zh-TW"/>
        </w:rPr>
        <w:t>方面，以</w:t>
      </w:r>
      <w:r w:rsidRPr="007D602F">
        <w:rPr>
          <w:lang w:eastAsia="zh-TW"/>
        </w:rPr>
        <w:t>2013</w:t>
      </w:r>
      <w:r w:rsidRPr="007D602F">
        <w:rPr>
          <w:lang w:eastAsia="zh-TW"/>
        </w:rPr>
        <w:t>年為例，政府補助低收入戶之家庭及就學生活補助金額為新台幣</w:t>
      </w:r>
      <w:r w:rsidRPr="007D602F">
        <w:rPr>
          <w:lang w:eastAsia="zh-TW"/>
        </w:rPr>
        <w:t>105.87</w:t>
      </w:r>
      <w:r w:rsidRPr="007D602F">
        <w:rPr>
          <w:lang w:eastAsia="zh-TW"/>
        </w:rPr>
        <w:t>億元。</w:t>
      </w:r>
    </w:p>
  </w:footnote>
  <w:footnote w:id="247">
    <w:p w:rsidR="00657FEF" w:rsidRPr="007D602F" w:rsidRDefault="00657FEF" w:rsidP="00992AB6">
      <w:pPr>
        <w:pStyle w:val="5"/>
        <w:rPr>
          <w:lang w:eastAsia="zh-TW"/>
        </w:rPr>
      </w:pPr>
      <w:r w:rsidRPr="00042127">
        <w:rPr>
          <w:rStyle w:val="af7"/>
          <w:rFonts w:eastAsia="新細明體" w:cs="Arial Unicode MS"/>
          <w:kern w:val="2"/>
          <w:szCs w:val="20"/>
        </w:rPr>
        <w:footnoteRef/>
      </w:r>
      <w:r w:rsidRPr="00042127">
        <w:rPr>
          <w:rFonts w:ascii="Arial Unicode MS" w:eastAsia="新細明體" w:hAnsi="Arial Unicode MS"/>
          <w:color w:val="FF6600"/>
          <w:kern w:val="2"/>
          <w:lang w:eastAsia="zh-TW"/>
        </w:rPr>
        <w:t xml:space="preserve"> </w:t>
      </w:r>
      <w:r w:rsidRPr="007D602F">
        <w:rPr>
          <w:lang w:eastAsia="zh-TW"/>
        </w:rPr>
        <w:t>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drugnumber</w:t>
      </w:r>
    </w:p>
    <w:p w:rsidR="00657FEF" w:rsidRPr="007D602F" w:rsidRDefault="00657FEF" w:rsidP="00992AB6">
      <w:pPr>
        <w:pStyle w:val="5"/>
      </w:pPr>
      <w:r w:rsidRPr="007D602F">
        <w:t xml:space="preserve">  /METHOD=ENTER marrypair GNI</w:t>
      </w:r>
    </w:p>
    <w:p w:rsidR="00657FEF" w:rsidRPr="007D602F" w:rsidRDefault="00657FEF" w:rsidP="00992AB6">
      <w:pPr>
        <w:pStyle w:val="5"/>
      </w:pPr>
      <w:r w:rsidRPr="007D602F">
        <w:t xml:space="preserve">  /CASEWISE PLOT(ZRESID) ALL.</w:t>
      </w:r>
    </w:p>
  </w:footnote>
  <w:footnote w:id="248">
    <w:p w:rsidR="00657FEF" w:rsidRPr="007D602F" w:rsidRDefault="00657FEF" w:rsidP="00992AB6">
      <w:pPr>
        <w:pStyle w:val="5"/>
        <w:rPr>
          <w:lang w:eastAsia="zh-TW"/>
        </w:rPr>
      </w:pPr>
      <w:r w:rsidRPr="00614D5B">
        <w:rPr>
          <w:rStyle w:val="af7"/>
          <w:rFonts w:eastAsia="新細明體" w:cs="Arial Unicode MS"/>
          <w:kern w:val="2"/>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drugsentenceagainrate</w:t>
      </w:r>
    </w:p>
    <w:p w:rsidR="00657FEF" w:rsidRPr="007D602F" w:rsidRDefault="00657FEF" w:rsidP="00992AB6">
      <w:pPr>
        <w:pStyle w:val="5"/>
      </w:pPr>
      <w:r w:rsidRPr="007D602F">
        <w:t xml:space="preserve">  /METHOD=STEPWISE GNI sentenserate probationrate nonderterminsentence </w:t>
      </w:r>
      <w:r w:rsidRPr="007D602F">
        <w:t>死刑執行人數</w:t>
      </w:r>
      <w:r w:rsidRPr="007D602F">
        <w:t xml:space="preserve"> clearrate</w:t>
      </w:r>
    </w:p>
    <w:p w:rsidR="00657FEF" w:rsidRPr="007D602F" w:rsidRDefault="00657FEF" w:rsidP="00992AB6">
      <w:pPr>
        <w:pStyle w:val="5"/>
      </w:pPr>
      <w:r w:rsidRPr="007D602F">
        <w:t xml:space="preserve">  /CASEWISE PLOT(ZRESID) ALL.</w:t>
      </w:r>
    </w:p>
  </w:footnote>
  <w:footnote w:id="249">
    <w:p w:rsidR="00657FEF" w:rsidRPr="007D602F" w:rsidRDefault="00657FEF" w:rsidP="00992AB6">
      <w:pPr>
        <w:pStyle w:val="5"/>
      </w:pPr>
      <w:r w:rsidRPr="002031B1">
        <w:rPr>
          <w:rStyle w:val="af7"/>
          <w:rFonts w:eastAsia="新細明體" w:cs="Arial Unicode MS"/>
          <w:kern w:val="2"/>
          <w:szCs w:val="20"/>
        </w:rPr>
        <w:footnoteRef/>
      </w:r>
      <w:r w:rsidRPr="007D602F">
        <w:t xml:space="preserve"> SPSS</w:t>
      </w:r>
      <w:r w:rsidRPr="007D602F">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drugsentenceagainrate</w:t>
      </w:r>
    </w:p>
    <w:p w:rsidR="00657FEF" w:rsidRPr="007D602F" w:rsidRDefault="00657FEF" w:rsidP="00992AB6">
      <w:pPr>
        <w:pStyle w:val="5"/>
      </w:pPr>
      <w:r w:rsidRPr="007D602F">
        <w:t xml:space="preserve">  /METHOD=ENTER GNI</w:t>
      </w:r>
    </w:p>
    <w:p w:rsidR="00657FEF" w:rsidRPr="007D602F" w:rsidRDefault="00657FEF" w:rsidP="00992AB6">
      <w:pPr>
        <w:pStyle w:val="5"/>
      </w:pPr>
      <w:r w:rsidRPr="007D602F">
        <w:t xml:space="preserve">  /CASEWISE PLOT(ZRESID) ALL.</w:t>
      </w:r>
    </w:p>
  </w:footnote>
  <w:footnote w:id="250">
    <w:p w:rsidR="00657FEF" w:rsidRPr="007D602F" w:rsidRDefault="00657FEF" w:rsidP="00992AB6">
      <w:pPr>
        <w:pStyle w:val="5"/>
        <w:rPr>
          <w:lang w:eastAsia="zh-TW"/>
        </w:rPr>
      </w:pPr>
      <w:r w:rsidRPr="00614D5B">
        <w:rPr>
          <w:rStyle w:val="af7"/>
          <w:rFonts w:eastAsia="新細明體" w:cs="Arial Unicode MS"/>
          <w:kern w:val="2"/>
          <w:szCs w:val="20"/>
        </w:rPr>
        <w:footnoteRef/>
      </w:r>
      <w:r w:rsidRPr="007D602F">
        <w:rPr>
          <w:lang w:eastAsia="zh-TW"/>
        </w:rPr>
        <w:t xml:space="preserve"> SPSS</w:t>
      </w:r>
      <w:r w:rsidRPr="007D602F">
        <w:rPr>
          <w:lang w:eastAsia="zh-TW"/>
        </w:rPr>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theftsentense</w:t>
      </w:r>
    </w:p>
    <w:p w:rsidR="00657FEF" w:rsidRPr="007D602F" w:rsidRDefault="00657FEF" w:rsidP="00992AB6">
      <w:pPr>
        <w:pStyle w:val="5"/>
      </w:pPr>
      <w:r w:rsidRPr="007D602F">
        <w:t xml:space="preserve">  /METHOD=ENTER GNI </w:t>
      </w:r>
      <w:r w:rsidRPr="007D602F">
        <w:t>死刑執行人數</w:t>
      </w:r>
    </w:p>
    <w:p w:rsidR="00657FEF" w:rsidRPr="007D602F" w:rsidRDefault="00657FEF" w:rsidP="00992AB6">
      <w:pPr>
        <w:pStyle w:val="5"/>
      </w:pPr>
      <w:r w:rsidRPr="007D602F">
        <w:t xml:space="preserve">  /CASEWISE PLOT(ZRESID) ALL.</w:t>
      </w:r>
    </w:p>
  </w:footnote>
  <w:footnote w:id="251">
    <w:p w:rsidR="00657FEF" w:rsidRPr="007D602F" w:rsidRDefault="00657FEF" w:rsidP="00992AB6">
      <w:pPr>
        <w:pStyle w:val="5"/>
      </w:pPr>
      <w:r w:rsidRPr="00042127">
        <w:rPr>
          <w:rStyle w:val="af7"/>
          <w:rFonts w:eastAsia="新細明體" w:cs="Arial Unicode MS"/>
          <w:kern w:val="2"/>
          <w:szCs w:val="20"/>
        </w:rPr>
        <w:footnoteRef/>
      </w:r>
      <w:r w:rsidRPr="007D602F">
        <w:t xml:space="preserve"> SPSS</w:t>
      </w:r>
      <w:r w:rsidRPr="007D602F">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fraudsentense</w:t>
      </w:r>
    </w:p>
    <w:p w:rsidR="00657FEF" w:rsidRPr="007D602F" w:rsidRDefault="00657FEF" w:rsidP="00992AB6">
      <w:pPr>
        <w:pStyle w:val="5"/>
      </w:pPr>
      <w:r w:rsidRPr="007D602F">
        <w:t xml:space="preserve">  /METHOD=ENTER marrypair GNI </w:t>
      </w:r>
      <w:r w:rsidRPr="007D602F">
        <w:t>死刑執行人數</w:t>
      </w:r>
    </w:p>
    <w:p w:rsidR="00657FEF" w:rsidRPr="007D602F" w:rsidRDefault="00657FEF" w:rsidP="00992AB6">
      <w:pPr>
        <w:pStyle w:val="5"/>
      </w:pPr>
      <w:r w:rsidRPr="007D602F">
        <w:t xml:space="preserve">  /CASEWISE PLOT(ZRESID) ALL.</w:t>
      </w:r>
    </w:p>
  </w:footnote>
  <w:footnote w:id="252">
    <w:p w:rsidR="00657FEF" w:rsidRPr="007D602F" w:rsidRDefault="00657FEF" w:rsidP="00992AB6">
      <w:pPr>
        <w:pStyle w:val="5"/>
      </w:pPr>
      <w:r w:rsidRPr="00042127">
        <w:rPr>
          <w:rStyle w:val="af7"/>
          <w:rFonts w:eastAsia="新細明體" w:cs="Arial Unicode MS"/>
          <w:kern w:val="2"/>
          <w:szCs w:val="20"/>
        </w:rPr>
        <w:footnoteRef/>
      </w:r>
      <w:r w:rsidRPr="007D602F">
        <w:t xml:space="preserve"> SPSS</w:t>
      </w:r>
      <w:r w:rsidRPr="007D602F">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publicdangersentence</w:t>
      </w:r>
    </w:p>
    <w:p w:rsidR="00657FEF" w:rsidRPr="007D602F" w:rsidRDefault="00657FEF" w:rsidP="00992AB6">
      <w:pPr>
        <w:pStyle w:val="5"/>
      </w:pPr>
      <w:r w:rsidRPr="007D602F">
        <w:t xml:space="preserve">  /METHOD=ENTER GNI </w:t>
      </w:r>
      <w:r w:rsidRPr="007D602F">
        <w:t>死刑執行人數</w:t>
      </w:r>
      <w:r w:rsidRPr="007D602F">
        <w:t xml:space="preserve"> unemploymentrate</w:t>
      </w:r>
    </w:p>
    <w:p w:rsidR="00657FEF" w:rsidRPr="007D602F" w:rsidRDefault="00657FEF" w:rsidP="00992AB6">
      <w:pPr>
        <w:pStyle w:val="5"/>
      </w:pPr>
      <w:r w:rsidRPr="007D602F">
        <w:t xml:space="preserve">  /CASEWISE PLOT(ZRESID) ALL.</w:t>
      </w:r>
    </w:p>
  </w:footnote>
  <w:footnote w:id="253">
    <w:p w:rsidR="00657FEF" w:rsidRPr="007D602F" w:rsidRDefault="00657FEF" w:rsidP="00992AB6">
      <w:pPr>
        <w:pStyle w:val="5"/>
      </w:pPr>
      <w:r w:rsidRPr="00042127">
        <w:rPr>
          <w:rStyle w:val="af7"/>
          <w:rFonts w:eastAsia="新細明體" w:cs="Arial Unicode MS"/>
          <w:kern w:val="2"/>
          <w:szCs w:val="20"/>
        </w:rPr>
        <w:footnoteRef/>
      </w:r>
      <w:r w:rsidRPr="00042127">
        <w:rPr>
          <w:rFonts w:ascii="Arial Unicode MS" w:eastAsia="新細明體" w:hAnsi="Arial Unicode MS"/>
          <w:color w:val="FF6600"/>
          <w:kern w:val="2"/>
        </w:rPr>
        <w:t xml:space="preserve"> </w:t>
      </w:r>
      <w:r w:rsidRPr="007D602F">
        <w:t>SPSS</w:t>
      </w:r>
      <w:r w:rsidRPr="007D602F">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publicdangersentence</w:t>
      </w:r>
    </w:p>
    <w:p w:rsidR="00657FEF" w:rsidRPr="007D602F" w:rsidRDefault="00657FEF" w:rsidP="00992AB6">
      <w:pPr>
        <w:pStyle w:val="5"/>
      </w:pPr>
      <w:r w:rsidRPr="007D602F">
        <w:t xml:space="preserve">  /METHOD=STEPWISE unemploymentrate GNI </w:t>
      </w:r>
      <w:r w:rsidRPr="007D602F">
        <w:t>死刑執行人數</w:t>
      </w:r>
      <w:r w:rsidRPr="007D602F">
        <w:t xml:space="preserve"> nonderterminsentence</w:t>
      </w:r>
    </w:p>
    <w:p w:rsidR="00657FEF" w:rsidRPr="007D602F" w:rsidRDefault="00657FEF" w:rsidP="00992AB6">
      <w:pPr>
        <w:pStyle w:val="5"/>
      </w:pPr>
      <w:r w:rsidRPr="007D602F">
        <w:t xml:space="preserve">  /CASEWISE PLOT(ZRESID) ALL.</w:t>
      </w:r>
    </w:p>
  </w:footnote>
  <w:footnote w:id="254">
    <w:p w:rsidR="00657FEF" w:rsidRPr="007D602F" w:rsidRDefault="00657FEF" w:rsidP="00992AB6">
      <w:pPr>
        <w:pStyle w:val="5"/>
      </w:pPr>
      <w:r w:rsidRPr="00042127">
        <w:rPr>
          <w:rStyle w:val="af7"/>
          <w:rFonts w:eastAsia="新細明體" w:cs="Arial Unicode MS"/>
          <w:kern w:val="2"/>
          <w:szCs w:val="20"/>
        </w:rPr>
        <w:footnoteRef/>
      </w:r>
      <w:r w:rsidRPr="007D602F">
        <w:t xml:space="preserve"> SPSS</w:t>
      </w:r>
      <w:r w:rsidRPr="007D602F">
        <w:t>軟體之多元迴歸分析之程式語法如下：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BCOV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injurysentense</w:t>
      </w:r>
    </w:p>
    <w:p w:rsidR="00657FEF" w:rsidRPr="007D602F" w:rsidRDefault="00657FEF" w:rsidP="00992AB6">
      <w:pPr>
        <w:pStyle w:val="5"/>
      </w:pPr>
      <w:r w:rsidRPr="007D602F">
        <w:t xml:space="preserve">  /METHOD=ENTER </w:t>
      </w:r>
      <w:r w:rsidRPr="007D602F">
        <w:t>死刑執行人數</w:t>
      </w:r>
      <w:r w:rsidRPr="007D602F">
        <w:t xml:space="preserve"> unemploymentrate GNI over35manunmarryrate</w:t>
      </w:r>
    </w:p>
    <w:p w:rsidR="00657FEF" w:rsidRPr="007D602F" w:rsidRDefault="00657FEF" w:rsidP="00992AB6">
      <w:pPr>
        <w:pStyle w:val="5"/>
      </w:pPr>
      <w:r w:rsidRPr="007D602F">
        <w:t xml:space="preserve">  /CASEWISE PLOT(ZRESID) ALL.</w:t>
      </w:r>
    </w:p>
  </w:footnote>
  <w:footnote w:id="255">
    <w:p w:rsidR="00657FEF" w:rsidRPr="007D602F" w:rsidRDefault="00657FEF" w:rsidP="00992AB6">
      <w:pPr>
        <w:pStyle w:val="5"/>
      </w:pPr>
      <w:r w:rsidRPr="00614D5B">
        <w:rPr>
          <w:rStyle w:val="af7"/>
          <w:rFonts w:eastAsia="新細明體" w:cs="Arial Unicode MS"/>
          <w:kern w:val="2"/>
        </w:rPr>
        <w:footnoteRef/>
      </w:r>
      <w:r w:rsidRPr="007D602F">
        <w:t>重大指標犯罪</w:t>
      </w:r>
      <w:r w:rsidRPr="007D602F">
        <w:t>(</w:t>
      </w:r>
      <w:r w:rsidRPr="007D602F">
        <w:t>重大暴力犯罪</w:t>
      </w:r>
      <w:r w:rsidRPr="007D602F">
        <w:t>)=</w:t>
      </w:r>
      <w:r w:rsidRPr="007D602F">
        <w:t>故意殺人犯罪</w:t>
      </w:r>
      <w:r w:rsidRPr="007D602F">
        <w:t>+</w:t>
      </w:r>
      <w:r w:rsidRPr="007D602F">
        <w:t>重傷犯罪</w:t>
      </w:r>
      <w:r w:rsidRPr="007D602F">
        <w:t>+</w:t>
      </w:r>
      <w:r w:rsidRPr="007D602F">
        <w:t>重大恐嚇取財犯罪</w:t>
      </w:r>
      <w:r w:rsidRPr="007D602F">
        <w:t>+</w:t>
      </w:r>
      <w:r w:rsidRPr="007D602F">
        <w:t>擄人勒贖犯罪</w:t>
      </w:r>
      <w:r w:rsidRPr="007D602F">
        <w:t>+</w:t>
      </w:r>
      <w:r w:rsidRPr="007D602F">
        <w:t>強盜搶奪犯罪</w:t>
      </w:r>
      <w:r w:rsidRPr="007D602F">
        <w:t>+</w:t>
      </w:r>
      <w:r w:rsidRPr="007D602F">
        <w:t>強制性交犯罪。</w:t>
      </w:r>
    </w:p>
  </w:footnote>
  <w:footnote w:id="256">
    <w:p w:rsidR="00657FEF" w:rsidRPr="007D602F" w:rsidRDefault="00657FEF" w:rsidP="00992AB6">
      <w:pPr>
        <w:pStyle w:val="5"/>
      </w:pPr>
      <w:r w:rsidRPr="00614D5B">
        <w:rPr>
          <w:rStyle w:val="af7"/>
          <w:rFonts w:eastAsia="新細明體" w:cs="Arial Unicode MS"/>
          <w:kern w:val="2"/>
          <w:szCs w:val="20"/>
        </w:rPr>
        <w:footnoteRef/>
      </w:r>
      <w:r w:rsidRPr="007D602F">
        <w:t xml:space="preserve"> SPSS</w:t>
      </w:r>
      <w:r w:rsidRPr="007D602F">
        <w:t>之程式語法如下：</w:t>
      </w:r>
    </w:p>
    <w:p w:rsidR="00657FEF" w:rsidRPr="007D602F" w:rsidRDefault="00657FEF" w:rsidP="00992AB6">
      <w:pPr>
        <w:pStyle w:val="5"/>
      </w:pPr>
      <w:r w:rsidRPr="007D602F">
        <w:t>REGRESSION</w:t>
      </w:r>
    </w:p>
    <w:p w:rsidR="00657FEF" w:rsidRPr="007D602F" w:rsidRDefault="00657FEF" w:rsidP="00992AB6">
      <w:pPr>
        <w:pStyle w:val="5"/>
      </w:pPr>
      <w:r w:rsidRPr="007D602F">
        <w:t xml:space="preserve">  /DESCRIPTIVES MEAN STDDEV CORR SIG N</w:t>
      </w:r>
    </w:p>
    <w:p w:rsidR="00657FEF" w:rsidRPr="007D602F" w:rsidRDefault="00657FEF" w:rsidP="00992AB6">
      <w:pPr>
        <w:pStyle w:val="5"/>
      </w:pPr>
      <w:r w:rsidRPr="007D602F">
        <w:t xml:space="preserve">  /MISSING PAIRWISE</w:t>
      </w:r>
    </w:p>
    <w:p w:rsidR="00657FEF" w:rsidRPr="007D602F" w:rsidRDefault="00657FEF" w:rsidP="00992AB6">
      <w:pPr>
        <w:pStyle w:val="5"/>
      </w:pPr>
      <w:r w:rsidRPr="007D602F">
        <w:t xml:space="preserve">  /STATISTICS COEFF OUTS R ANOVA COLLIN TOL CHANGE ZPP</w:t>
      </w:r>
    </w:p>
    <w:p w:rsidR="00657FEF" w:rsidRPr="007D602F" w:rsidRDefault="00657FEF" w:rsidP="00992AB6">
      <w:pPr>
        <w:pStyle w:val="5"/>
      </w:pPr>
      <w:r w:rsidRPr="007D602F">
        <w:t xml:space="preserve">  /CRITERIA=PIN(.05) POUT(.10)</w:t>
      </w:r>
    </w:p>
    <w:p w:rsidR="00657FEF" w:rsidRPr="007D602F" w:rsidRDefault="00657FEF" w:rsidP="00992AB6">
      <w:pPr>
        <w:pStyle w:val="5"/>
      </w:pPr>
      <w:r w:rsidRPr="007D602F">
        <w:t xml:space="preserve">  /NOORIGIN</w:t>
      </w:r>
    </w:p>
    <w:p w:rsidR="00657FEF" w:rsidRPr="007D602F" w:rsidRDefault="00657FEF" w:rsidP="00992AB6">
      <w:pPr>
        <w:pStyle w:val="5"/>
      </w:pPr>
      <w:r w:rsidRPr="007D602F">
        <w:t xml:space="preserve">  /DEPENDENT Bigcrime</w:t>
      </w:r>
    </w:p>
    <w:p w:rsidR="00657FEF" w:rsidRPr="007D602F" w:rsidRDefault="00657FEF" w:rsidP="00992AB6">
      <w:pPr>
        <w:pStyle w:val="5"/>
      </w:pPr>
      <w:r w:rsidRPr="007D602F">
        <w:t xml:space="preserve">  /METHOD=ENTER over35manunmarryrate</w:t>
      </w:r>
    </w:p>
    <w:p w:rsidR="00657FEF" w:rsidRPr="007D602F" w:rsidRDefault="00657FEF" w:rsidP="00992AB6">
      <w:pPr>
        <w:pStyle w:val="5"/>
      </w:pPr>
      <w:r w:rsidRPr="007D602F">
        <w:t xml:space="preserve">  /CASEWISE PLOT(ZRESID) ALL.</w:t>
      </w:r>
    </w:p>
  </w:footnote>
  <w:footnote w:id="257">
    <w:p w:rsidR="00657FEF" w:rsidRPr="007D602F" w:rsidRDefault="00657FEF" w:rsidP="00992AB6">
      <w:pPr>
        <w:pStyle w:val="5"/>
        <w:rPr>
          <w:lang w:eastAsia="zh-TW"/>
        </w:rPr>
      </w:pPr>
      <w:r w:rsidRPr="00614D5B">
        <w:rPr>
          <w:rStyle w:val="af7"/>
          <w:rFonts w:eastAsia="新細明體" w:cs="Arial Unicode MS"/>
          <w:kern w:val="2"/>
        </w:rPr>
        <w:footnoteRef/>
      </w:r>
      <w:r w:rsidRPr="007D602F">
        <w:rPr>
          <w:lang w:eastAsia="zh-TW"/>
        </w:rPr>
        <w:t>本文認為，上述兩個理論具有高度的一致性與共容性，吾人可將自我控制理論強調個體行為之穩定性，視為解釋各種犯行之一般性原理原則，而「逐級年齡非正式社會控制理論」所倡之「改變性」（變化性，</w:t>
      </w:r>
      <w:r w:rsidRPr="007D602F">
        <w:rPr>
          <w:lang w:eastAsia="zh-TW"/>
        </w:rPr>
        <w:t>change</w:t>
      </w:r>
      <w:r w:rsidRPr="007D602F">
        <w:rPr>
          <w:lang w:eastAsia="zh-TW"/>
        </w:rPr>
        <w:t>），則是一種「例外」。綜上，個體行為應具有穩定及持續之特性，當其發展至成人階段，在例外情形，原先早年之非行少年，若此時擁有強而有力之「成人社會鍵」，則其將例外地不去從事成人犯罪。反之，原先早年之一般正常少年，理論上，其行為應具有穩定及持續之一貫性，當其發展至成人階段，在「例外情形」，若此時其具有微弱之「成人社會鍵」，則其將例外地增高從事成人犯行之機率。據上，本文主張，上述兩個理論是互相併容的，在邏輯上，是互相一致的。另一個高度共通性，是兩個理論皆指出少年非行之成因，端視於少年對於家庭附著之程度而定，當家庭附著鍵微弱時，少年易從事非行，故上述兩個理論，均認為在因果歷程中，家庭附著鍵是因，少年非行是果，均駁斥蘇哲蘭之不同接觸理論</w:t>
      </w:r>
      <w:r w:rsidRPr="007D602F">
        <w:rPr>
          <w:lang w:eastAsia="zh-TW"/>
        </w:rPr>
        <w:t>(Sampson., &amp; Laub. 1993)</w:t>
      </w:r>
      <w:r w:rsidRPr="007D602F">
        <w:rPr>
          <w:lang w:eastAsia="zh-TW"/>
        </w:rPr>
        <w:t>。</w:t>
      </w:r>
    </w:p>
  </w:footnote>
  <w:footnote w:id="258">
    <w:p w:rsidR="00657FEF" w:rsidRPr="007D602F" w:rsidRDefault="00657FEF" w:rsidP="00992AB6">
      <w:pPr>
        <w:pStyle w:val="5"/>
        <w:rPr>
          <w:lang w:eastAsia="zh-TW"/>
        </w:rPr>
      </w:pPr>
      <w:r w:rsidRPr="004B4ED9">
        <w:rPr>
          <w:rStyle w:val="af7"/>
          <w:rFonts w:eastAsia="新細明體" w:cs="Arial Unicode MS"/>
          <w:kern w:val="2"/>
        </w:rPr>
        <w:footnoteRef/>
      </w:r>
      <w:r w:rsidRPr="007D602F">
        <w:t xml:space="preserve"> Glueck</w:t>
      </w:r>
      <w:r w:rsidRPr="007D602F">
        <w:t>本人在</w:t>
      </w:r>
      <w:r w:rsidRPr="007D602F">
        <w:t>1920</w:t>
      </w:r>
      <w:r w:rsidRPr="007D602F">
        <w:t>年畢業於喬治．華盛頓大學（</w:t>
      </w:r>
      <w:r w:rsidRPr="007D602F">
        <w:t>George Washington University</w:t>
      </w:r>
      <w:r w:rsidRPr="007D602F">
        <w:t>），得到人文科學之學士學位。在同年，其進入「國立大學法學院」（</w:t>
      </w:r>
      <w:r w:rsidRPr="007D602F">
        <w:t>National University Law School</w:t>
      </w:r>
      <w:r w:rsidRPr="007D602F">
        <w:t>），得到</w:t>
      </w:r>
      <w:r w:rsidRPr="007D602F">
        <w:t>L.L.B.</w:t>
      </w:r>
      <w:r w:rsidRPr="007D602F">
        <w:t>及</w:t>
      </w:r>
      <w:r w:rsidRPr="007D602F">
        <w:t>L.L.M.</w:t>
      </w:r>
      <w:r w:rsidRPr="007D602F">
        <w:t>的法學位。</w:t>
      </w:r>
      <w:r w:rsidRPr="007D602F">
        <w:rPr>
          <w:lang w:eastAsia="zh-TW"/>
        </w:rPr>
        <w:t>之後，向哈佛大學申請進入法學院就讀，很不幸地，他被法學院拒絕。其遂轉向哈佛大學社會倫理學系申請入學，結果獲准入學，在</w:t>
      </w:r>
      <w:r w:rsidRPr="007D602F">
        <w:rPr>
          <w:lang w:eastAsia="zh-TW"/>
        </w:rPr>
        <w:t>1924</w:t>
      </w:r>
      <w:r w:rsidRPr="007D602F">
        <w:rPr>
          <w:lang w:eastAsia="zh-TW"/>
        </w:rPr>
        <w:t>年，其獲得博士學位。上開學系，其學風是強調以學科整合的研究方法，探討社會學相關問題。</w:t>
      </w:r>
      <w:r w:rsidRPr="007D602F">
        <w:rPr>
          <w:lang w:eastAsia="zh-TW"/>
        </w:rPr>
        <w:t xml:space="preserve">Glueck </w:t>
      </w:r>
      <w:r w:rsidRPr="007D602F">
        <w:rPr>
          <w:lang w:eastAsia="zh-TW"/>
        </w:rPr>
        <w:t>之太太為</w:t>
      </w:r>
      <w:r w:rsidRPr="007D602F">
        <w:rPr>
          <w:lang w:eastAsia="zh-TW"/>
        </w:rPr>
        <w:t>Eleanor Glueck</w:t>
      </w:r>
      <w:r w:rsidRPr="007D602F">
        <w:rPr>
          <w:lang w:eastAsia="zh-TW"/>
        </w:rPr>
        <w:t>，於</w:t>
      </w:r>
      <w:r w:rsidRPr="007D602F">
        <w:rPr>
          <w:lang w:eastAsia="zh-TW"/>
        </w:rPr>
        <w:t>1925</w:t>
      </w:r>
      <w:r w:rsidRPr="007D602F">
        <w:rPr>
          <w:lang w:eastAsia="zh-TW"/>
        </w:rPr>
        <w:t>年，在哈佛大學獲得教育學博士學位。因為</w:t>
      </w:r>
      <w:r w:rsidRPr="007D602F">
        <w:rPr>
          <w:lang w:eastAsia="zh-TW"/>
        </w:rPr>
        <w:t>Glueck</w:t>
      </w:r>
      <w:r w:rsidRPr="007D602F">
        <w:rPr>
          <w:lang w:eastAsia="zh-TW"/>
        </w:rPr>
        <w:t>受其所就讀學系之影響，再加上其太太具有教育學背景，故</w:t>
      </w:r>
      <w:r w:rsidRPr="007D602F">
        <w:rPr>
          <w:lang w:eastAsia="zh-TW"/>
        </w:rPr>
        <w:t>Glueck</w:t>
      </w:r>
      <w:r w:rsidRPr="007D602F">
        <w:rPr>
          <w:lang w:eastAsia="zh-TW"/>
        </w:rPr>
        <w:t>夫婦之學術領域專長，並不受限於任何之單一領域。相反地，他們廣泛地在犯罪學、社會工作、心理學、社會學、教育學、法學及精神醫學之一流頂尖學術期刊之上，發表相關之學術論文（</w:t>
      </w:r>
      <w:r w:rsidRPr="007D602F">
        <w:rPr>
          <w:lang w:eastAsia="zh-TW"/>
        </w:rPr>
        <w:t>Sampson &amp; Laub, 1993</w:t>
      </w:r>
      <w:r w:rsidRPr="007D602F">
        <w:rPr>
          <w:lang w:eastAsia="zh-TW"/>
        </w:rPr>
        <w:t>：</w:t>
      </w:r>
      <w:r w:rsidRPr="007D602F">
        <w:rPr>
          <w:lang w:eastAsia="zh-TW"/>
        </w:rPr>
        <w:t xml:space="preserve"> 31-32; Laub</w:t>
      </w:r>
      <w:r w:rsidRPr="007D602F">
        <w:rPr>
          <w:lang w:eastAsia="zh-TW"/>
        </w:rPr>
        <w:t>及</w:t>
      </w:r>
      <w:r w:rsidRPr="007D602F">
        <w:rPr>
          <w:lang w:eastAsia="zh-TW"/>
        </w:rPr>
        <w:t>Sampson, 1991</w:t>
      </w:r>
      <w:r w:rsidRPr="007D602F">
        <w:rPr>
          <w:lang w:eastAsia="zh-TW"/>
        </w:rPr>
        <w:t>）。</w:t>
      </w:r>
      <w:r w:rsidRPr="007D602F">
        <w:rPr>
          <w:lang w:eastAsia="zh-TW"/>
        </w:rPr>
        <w:t>Glueck</w:t>
      </w:r>
      <w:r w:rsidRPr="007D602F">
        <w:rPr>
          <w:lang w:eastAsia="zh-TW"/>
        </w:rPr>
        <w:t>本人在當時之社會科學界，是相當地傑出，</w:t>
      </w:r>
      <w:r w:rsidRPr="007D602F">
        <w:rPr>
          <w:lang w:eastAsia="zh-TW"/>
        </w:rPr>
        <w:t>1929</w:t>
      </w:r>
      <w:r w:rsidRPr="007D602F">
        <w:rPr>
          <w:lang w:eastAsia="zh-TW"/>
        </w:rPr>
        <w:t>年，他被哈佛大學法學院甄聘為具有犯罪學專長之助理教授，在</w:t>
      </w:r>
      <w:r w:rsidRPr="007D602F">
        <w:rPr>
          <w:lang w:eastAsia="zh-TW"/>
        </w:rPr>
        <w:t>1932</w:t>
      </w:r>
      <w:r w:rsidRPr="007D602F">
        <w:rPr>
          <w:lang w:eastAsia="zh-TW"/>
        </w:rPr>
        <w:t>年，他成為一名「正教授」（</w:t>
      </w:r>
      <w:r w:rsidRPr="007D602F">
        <w:rPr>
          <w:lang w:eastAsia="zh-TW"/>
        </w:rPr>
        <w:t>a full professor</w:t>
      </w:r>
      <w:r w:rsidRPr="007D602F">
        <w:rPr>
          <w:lang w:eastAsia="zh-TW"/>
        </w:rPr>
        <w:t>）。在哈佛大學法學院之中，主流是法學之研究，但他卻是一名犯罪學教授，造成他多多少少有被孤立之感覺。另一種限制，在哈佛法學院中，師生從事社會科學調查之機會較少，同時，</w:t>
      </w:r>
      <w:r w:rsidRPr="007D602F">
        <w:rPr>
          <w:lang w:eastAsia="zh-TW"/>
        </w:rPr>
        <w:t>Glueck</w:t>
      </w:r>
      <w:r w:rsidRPr="007D602F">
        <w:rPr>
          <w:lang w:eastAsia="zh-TW"/>
        </w:rPr>
        <w:t>沒有機會教導法學院博士班之學生，去執行他的量化研究調查，這是他較受到限制之部分。另就其太太</w:t>
      </w:r>
      <w:r w:rsidRPr="007D602F">
        <w:rPr>
          <w:lang w:eastAsia="zh-TW"/>
        </w:rPr>
        <w:t>Eleanor Glueck</w:t>
      </w:r>
      <w:r w:rsidRPr="007D602F">
        <w:rPr>
          <w:lang w:eastAsia="zh-TW"/>
        </w:rPr>
        <w:t>而言，雖然她擁有教育學博士之高學位，並發表多篇學術文章，終其一生，均未被哈佛大學獲聘為一名正式之教職人員，從</w:t>
      </w:r>
      <w:r w:rsidRPr="007D602F">
        <w:rPr>
          <w:lang w:eastAsia="zh-TW"/>
        </w:rPr>
        <w:t>1929</w:t>
      </w:r>
      <w:r w:rsidRPr="007D602F">
        <w:rPr>
          <w:lang w:eastAsia="zh-TW"/>
        </w:rPr>
        <w:t>年到</w:t>
      </w:r>
      <w:r w:rsidRPr="007D602F">
        <w:rPr>
          <w:lang w:eastAsia="zh-TW"/>
        </w:rPr>
        <w:t>1964</w:t>
      </w:r>
      <w:r w:rsidRPr="007D602F">
        <w:rPr>
          <w:lang w:eastAsia="zh-TW"/>
        </w:rPr>
        <w:t>年（退休），其在哈佛大學始終扮演「研究助理」一職（</w:t>
      </w:r>
      <w:r w:rsidRPr="007D602F">
        <w:rPr>
          <w:lang w:eastAsia="zh-TW"/>
        </w:rPr>
        <w:t>Sampson &amp; Laub, 1993</w:t>
      </w:r>
      <w:r w:rsidRPr="007D602F">
        <w:rPr>
          <w:lang w:eastAsia="zh-TW"/>
        </w:rPr>
        <w:t>：</w:t>
      </w:r>
      <w:r w:rsidRPr="007D602F">
        <w:rPr>
          <w:lang w:eastAsia="zh-TW"/>
        </w:rPr>
        <w:t>32</w:t>
      </w:r>
      <w:r w:rsidRPr="007D602F">
        <w:rPr>
          <w:lang w:eastAsia="zh-TW"/>
        </w:rPr>
        <w:t>）。</w:t>
      </w:r>
    </w:p>
  </w:footnote>
  <w:footnote w:id="259">
    <w:p w:rsidR="00657FEF" w:rsidRPr="007D602F" w:rsidRDefault="00657FEF" w:rsidP="00992AB6">
      <w:pPr>
        <w:pStyle w:val="5"/>
        <w:rPr>
          <w:lang w:eastAsia="zh-TW"/>
        </w:rPr>
      </w:pPr>
      <w:r w:rsidRPr="004B4ED9">
        <w:rPr>
          <w:rStyle w:val="af7"/>
          <w:rFonts w:eastAsia="新細明體" w:cs="Arial Unicode MS"/>
          <w:kern w:val="2"/>
          <w:szCs w:val="20"/>
        </w:rPr>
        <w:footnoteRef/>
      </w:r>
      <w:r w:rsidRPr="007D602F">
        <w:t xml:space="preserve"> Gluecks</w:t>
      </w:r>
      <w:r w:rsidRPr="007D602F">
        <w:t>夫婦在哈佛大學法學院</w:t>
      </w:r>
      <w:r w:rsidRPr="007D602F">
        <w:t>40</w:t>
      </w:r>
      <w:r w:rsidRPr="007D602F">
        <w:t>年之服務生涯中，其最有名之研究調查成果，係為</w:t>
      </w:r>
      <w:r w:rsidRPr="007D602F">
        <w:t>1950</w:t>
      </w:r>
      <w:r w:rsidRPr="007D602F">
        <w:t>年出版之「破解少年非行」（</w:t>
      </w:r>
      <w:r w:rsidRPr="007D602F">
        <w:t>Unraveling Juvenile Delinquency</w:t>
      </w:r>
      <w:r w:rsidRPr="007D602F">
        <w:t>），他們在犯罪學之研究方法取向上，其研究設計具有以下之特性：</w:t>
      </w:r>
      <w:r w:rsidRPr="007D602F">
        <w:t>(1).</w:t>
      </w:r>
      <w:r w:rsidRPr="007D602F">
        <w:t>儘可能地使用控制組與比較組，並強調縱貫性及後續追蹤之研究。</w:t>
      </w:r>
      <w:r w:rsidRPr="007D602F">
        <w:rPr>
          <w:lang w:eastAsia="zh-TW"/>
        </w:rPr>
        <w:t>坦白而言，本文認為，他們的毅力著實令人欽佩，現代之犯罪學家，大都視「縱貫性」研究為「畏途」，因其花費之人力、精力及時間，較橫切面之研究為大；</w:t>
      </w:r>
      <w:r w:rsidRPr="007D602F">
        <w:rPr>
          <w:lang w:eastAsia="zh-TW"/>
        </w:rPr>
        <w:t>(2).Gluecks</w:t>
      </w:r>
      <w:r w:rsidRPr="007D602F">
        <w:rPr>
          <w:lang w:eastAsia="zh-TW"/>
        </w:rPr>
        <w:t>夫婦對於犯罪人之研究，強調從犯罪人生命發展歷程之觀點，以探討、追蹤與分析犯行之成因、發展歷程、變化及犯罪生涯之終止。</w:t>
      </w:r>
      <w:r w:rsidRPr="007D602F">
        <w:rPr>
          <w:lang w:eastAsia="zh-TW"/>
        </w:rPr>
        <w:t>Gluecks</w:t>
      </w:r>
      <w:r w:rsidRPr="007D602F">
        <w:rPr>
          <w:lang w:eastAsia="zh-TW"/>
        </w:rPr>
        <w:t>夫婦並強調，第一次犯行之成因，與持續犯行之成因及其發展過程中犯行之停止，彼此成因是不同的，故須用生命歷程發展之角度來研究；</w:t>
      </w:r>
      <w:r w:rsidRPr="007D602F">
        <w:rPr>
          <w:lang w:eastAsia="zh-TW"/>
        </w:rPr>
        <w:t>(3).Gluecks</w:t>
      </w:r>
      <w:r w:rsidRPr="007D602F">
        <w:rPr>
          <w:lang w:eastAsia="zh-TW"/>
        </w:rPr>
        <w:t>夫婦對於研究調查之資料來源，其特別強調要從多元及各種不同之途徑加以蒐集，例如，少年自陳報告、老師、父母報告，以及犯行之正式官方犯罪刑事紀錄（</w:t>
      </w:r>
      <w:r w:rsidRPr="007D602F">
        <w:rPr>
          <w:lang w:eastAsia="zh-TW"/>
        </w:rPr>
        <w:t>Sampson &amp; Laub, 1993</w:t>
      </w:r>
      <w:r w:rsidRPr="007D602F">
        <w:rPr>
          <w:lang w:eastAsia="zh-TW"/>
        </w:rPr>
        <w:t>：</w:t>
      </w:r>
      <w:r w:rsidRPr="007D602F">
        <w:rPr>
          <w:lang w:eastAsia="zh-TW"/>
        </w:rPr>
        <w:t xml:space="preserve"> 35</w:t>
      </w:r>
      <w:r w:rsidRPr="007D602F">
        <w:rPr>
          <w:lang w:eastAsia="zh-TW"/>
        </w:rPr>
        <w:t>）。</w:t>
      </w:r>
    </w:p>
  </w:footnote>
  <w:footnote w:id="260">
    <w:p w:rsidR="00657FEF" w:rsidRPr="008147DC" w:rsidRDefault="00657FEF" w:rsidP="00992AB6">
      <w:pPr>
        <w:pStyle w:val="5"/>
        <w:rPr>
          <w:lang w:eastAsia="zh-TW"/>
        </w:rPr>
      </w:pPr>
      <w:r w:rsidRPr="004B4ED9">
        <w:rPr>
          <w:rStyle w:val="af7"/>
          <w:rFonts w:eastAsia="新細明體" w:cs="Arial Unicode MS"/>
          <w:kern w:val="2"/>
          <w:szCs w:val="20"/>
        </w:rPr>
        <w:footnoteRef/>
      </w:r>
      <w:r w:rsidRPr="007D602F">
        <w:rPr>
          <w:lang w:eastAsia="zh-TW"/>
        </w:rPr>
        <w:t>根據</w:t>
      </w:r>
      <w:r w:rsidRPr="007D602F">
        <w:rPr>
          <w:lang w:eastAsia="zh-TW"/>
        </w:rPr>
        <w:t>Coleman (1990</w:t>
      </w:r>
      <w:r w:rsidRPr="007D602F">
        <w:rPr>
          <w:lang w:eastAsia="zh-TW"/>
        </w:rPr>
        <w:t>：</w:t>
      </w:r>
      <w:r w:rsidRPr="007D602F">
        <w:rPr>
          <w:lang w:eastAsia="zh-TW"/>
        </w:rPr>
        <w:t>318-320)</w:t>
      </w:r>
      <w:r w:rsidRPr="007D602F">
        <w:rPr>
          <w:lang w:eastAsia="zh-TW"/>
        </w:rPr>
        <w:t>之看法，最重要的因素之一，是在一個社會系統之中的成員們，其彼此之間網路的封閉性，亦即是連結性（</w:t>
      </w:r>
      <w:r w:rsidRPr="007D602F">
        <w:rPr>
          <w:lang w:eastAsia="zh-TW"/>
        </w:rPr>
        <w:t>closure, that is connectedness</w:t>
      </w:r>
      <w:r w:rsidRPr="007D602F">
        <w:rPr>
          <w:lang w:eastAsia="zh-TW"/>
        </w:rPr>
        <w:t>）。舉例來說，在涉及工作聘僱關係之中，假若勞資雙方之關係，它是以一種廣泛之義務、期待及社會網路之相互依存來展現，則與純粹地以功利目標為導向，且非互相緊密地依存之社會網路相較結果，前者（高度地結合之社會網路）較能促進（發）社會控制。同樣地，成人社會之單純制度，諸如婚姻制度本身，婚姻之出現並不足以產生社會資本，因此，社會資本之概念，是超越單純的婚姻架構。社會資本所強調的，並非社會機構或制度本身，而是人與人間之連結、機構（制）之間的連結（</w:t>
      </w:r>
      <w:r w:rsidRPr="007D602F">
        <w:rPr>
          <w:lang w:eastAsia="zh-TW"/>
        </w:rPr>
        <w:t>institutional linkages</w:t>
      </w:r>
      <w:r w:rsidRPr="007D602F">
        <w:rPr>
          <w:lang w:eastAsia="zh-TW"/>
        </w:rPr>
        <w:t>），以及個體與社會機構間之連結。因此，成人的社會鍵，其不同於青少年時期之社會控制。在青少年時期，社會控制係指對於青少年直接及外部之監督，諸如監視，對於活動及行為之監督等。成人的社會鍵，係指義務與拘束，是彼此互相依賴之系統。</w:t>
      </w:r>
      <w:r w:rsidRPr="007D602F">
        <w:rPr>
          <w:lang w:eastAsia="zh-TW"/>
        </w:rPr>
        <w:t>Sampson &amp; Laub</w:t>
      </w:r>
      <w:r w:rsidRPr="007D602F">
        <w:rPr>
          <w:lang w:eastAsia="zh-TW"/>
        </w:rPr>
        <w:t>指出，</w:t>
      </w:r>
      <w:r w:rsidRPr="008147DC">
        <w:rPr>
          <w:lang w:eastAsia="zh-TW"/>
        </w:rPr>
        <w:t>不論青少年是否具有非行背景，當其發展到成人階段時，其之所以被抑制不去從事犯行，端視這些成人在其工作及家庭生活之中，投注「社會資本」的程度而定。由雇主（資方）以及配偶所投注的社會資本，其具有回報性（報酬性，</w:t>
      </w:r>
      <w:r w:rsidRPr="008147DC">
        <w:rPr>
          <w:lang w:eastAsia="zh-TW"/>
        </w:rPr>
        <w:t>reciprocal</w:t>
      </w:r>
      <w:r w:rsidRPr="008147DC">
        <w:rPr>
          <w:lang w:eastAsia="zh-TW"/>
        </w:rPr>
        <w:t>）。諸如，雇主藉諸聘僱勞工之機會，其利用此聘僱手段，期望勞工們努力工作，以便他們（資方）之投資能產生好的回報。是以，由雇主以及妻子（配偶）主動所投入之投資，回過頭來，其可促發（引起，</w:t>
      </w:r>
      <w:r w:rsidRPr="008147DC">
        <w:rPr>
          <w:lang w:eastAsia="zh-TW"/>
        </w:rPr>
        <w:t>trigger</w:t>
      </w:r>
      <w:r w:rsidRPr="008147DC">
        <w:rPr>
          <w:lang w:eastAsia="zh-TW"/>
        </w:rPr>
        <w:t>）被聘雇者或丈夫對於「社會資本」之投資。故，</w:t>
      </w:r>
      <w:r w:rsidRPr="008147DC">
        <w:rPr>
          <w:lang w:eastAsia="zh-TW"/>
        </w:rPr>
        <w:t>Sampson</w:t>
      </w:r>
      <w:r w:rsidRPr="008147DC">
        <w:rPr>
          <w:lang w:eastAsia="zh-TW"/>
        </w:rPr>
        <w:t>之理論關鍵點，是社會資本以及人們之間的互相依賴，具有交互作用，具有回報性。同時，上述之社會資本以及互賴，是被嵌入於連結個體與社會機構（制）間的「社會鍵」之中（</w:t>
      </w:r>
      <w:r w:rsidRPr="008147DC">
        <w:rPr>
          <w:lang w:eastAsia="zh-TW"/>
        </w:rPr>
        <w:t>embedded in the social ties</w:t>
      </w:r>
      <w:r w:rsidRPr="008147DC">
        <w:rPr>
          <w:lang w:eastAsia="zh-TW"/>
        </w:rPr>
        <w:t>）﹙</w:t>
      </w:r>
      <w:r w:rsidRPr="008147DC">
        <w:rPr>
          <w:lang w:eastAsia="zh-TW"/>
        </w:rPr>
        <w:t>Sampson &amp; Laub, 1993: 140-142</w:t>
      </w:r>
      <w:r w:rsidRPr="008147DC">
        <w:rPr>
          <w:lang w:eastAsia="zh-TW"/>
        </w:rPr>
        <w:t>﹚。另外，關於行為的持續性（</w:t>
      </w:r>
      <w:r w:rsidRPr="008147DC">
        <w:rPr>
          <w:lang w:eastAsia="zh-TW"/>
        </w:rPr>
        <w:t>continuity</w:t>
      </w:r>
      <w:r w:rsidRPr="008147DC">
        <w:rPr>
          <w:lang w:eastAsia="zh-TW"/>
        </w:rPr>
        <w:t>）方面，其可區分為同種及異種行為之持續性，而所謂之「異種持續性」（</w:t>
      </w:r>
      <w:r w:rsidRPr="008147DC">
        <w:rPr>
          <w:lang w:eastAsia="zh-TW"/>
        </w:rPr>
        <w:t>heterotypic continuigy</w:t>
      </w:r>
      <w:r w:rsidRPr="008147DC">
        <w:rPr>
          <w:lang w:eastAsia="zh-TW"/>
        </w:rPr>
        <w:t>），係指兒童的偏差行為發展到成人犯罪之歷程，兒童時期的特徵，諸如脾氣暴躁等，不僅在整個人生歷程中會持續出現，且在成人階段，於各種不同情境中，會將其原有早期之反社會行為展現出來。亦即，兒童早期之偏差行為，具有持續性，並以不同風貌及形態，在不同人生階段中展現出來。證據顯示：少年非行在人生發展過程中，具有相當的穩定性（</w:t>
      </w:r>
      <w:r w:rsidRPr="008147DC">
        <w:rPr>
          <w:lang w:eastAsia="zh-TW"/>
        </w:rPr>
        <w:t>relatively stable</w:t>
      </w:r>
      <w:r w:rsidRPr="008147DC">
        <w:rPr>
          <w:lang w:eastAsia="zh-TW"/>
        </w:rPr>
        <w:t>），並且，早期的反社會行為可以預測到成人階段廣泛的偏差及犯罪行為﹙</w:t>
      </w:r>
      <w:r w:rsidRPr="008147DC">
        <w:rPr>
          <w:lang w:eastAsia="zh-TW"/>
        </w:rPr>
        <w:t>Sampson &amp; Laub, 1993: 123-124</w:t>
      </w:r>
      <w:r w:rsidRPr="008147DC">
        <w:rPr>
          <w:lang w:eastAsia="zh-TW"/>
        </w:rPr>
        <w:t>﹚。兒童時期的反社會行為與晚後成人的各種不同之偏差行為，諸如在當兵服役時被控訴（告）酗酒、官方犯罪行為及一般的偏差行為等，兩者具有關連性。據上所述，</w:t>
      </w:r>
      <w:r w:rsidRPr="008147DC">
        <w:rPr>
          <w:lang w:eastAsia="zh-TW"/>
        </w:rPr>
        <w:t>Sampson &amp; Laub</w:t>
      </w:r>
      <w:r w:rsidRPr="008147DC">
        <w:rPr>
          <w:lang w:eastAsia="zh-TW"/>
        </w:rPr>
        <w:t>主張：孩童時期之非行行為，與「成人社會鍵」亦有關連性，而上述之「成人社會鍵」係指：經濟依賴性，教育之成就（</w:t>
      </w:r>
      <w:r w:rsidRPr="008147DC">
        <w:rPr>
          <w:lang w:eastAsia="zh-TW"/>
        </w:rPr>
        <w:t>educational attainment</w:t>
      </w:r>
      <w:r w:rsidRPr="008147DC">
        <w:rPr>
          <w:lang w:eastAsia="zh-TW"/>
        </w:rPr>
        <w:t>）、依附於工作、婚姻生活之品質等。這些結果，與傳統之社會學及心理學之變項是不同的，亦即，是不同於傳統所探討之社會背景變項、種族、</w:t>
      </w:r>
      <w:r w:rsidRPr="008147DC">
        <w:rPr>
          <w:lang w:eastAsia="zh-TW"/>
        </w:rPr>
        <w:t>IQ</w:t>
      </w:r>
      <w:r w:rsidRPr="008147DC">
        <w:rPr>
          <w:lang w:eastAsia="zh-TW"/>
        </w:rPr>
        <w:t>，甚至是「家庭</w:t>
      </w:r>
      <w:r w:rsidRPr="008147DC">
        <w:rPr>
          <w:lang w:eastAsia="zh-TW"/>
        </w:rPr>
        <w:t>∕</w:t>
      </w:r>
      <w:r w:rsidRPr="008147DC">
        <w:rPr>
          <w:lang w:eastAsia="zh-TW"/>
        </w:rPr>
        <w:t>學校」因素，而上述這些變項，是被用來預測少年非行之起始點，因此，我們假設：犯罪、偏差行為以及「非正式社會控制」（</w:t>
      </w:r>
      <w:r w:rsidRPr="008147DC">
        <w:rPr>
          <w:lang w:eastAsia="zh-TW"/>
        </w:rPr>
        <w:t>informal social control</w:t>
      </w:r>
      <w:r w:rsidRPr="008147DC">
        <w:rPr>
          <w:lang w:eastAsia="zh-TW"/>
        </w:rPr>
        <w:t>）三者在整個人生過程之中，其是緊密地連結在一起（</w:t>
      </w:r>
      <w:r w:rsidRPr="008147DC">
        <w:rPr>
          <w:lang w:eastAsia="zh-TW"/>
        </w:rPr>
        <w:t>intimately linked</w:t>
      </w:r>
      <w:r w:rsidRPr="008147DC">
        <w:rPr>
          <w:lang w:eastAsia="zh-TW"/>
        </w:rPr>
        <w:t>）﹙</w:t>
      </w:r>
      <w:r w:rsidRPr="008147DC">
        <w:rPr>
          <w:lang w:eastAsia="zh-TW"/>
        </w:rPr>
        <w:t>Sampson &amp; Laub, 1993: 125</w:t>
      </w:r>
      <w:r w:rsidRPr="008147DC">
        <w:rPr>
          <w:lang w:eastAsia="zh-TW"/>
        </w:rPr>
        <w:t>﹚。</w:t>
      </w:r>
    </w:p>
  </w:footnote>
  <w:footnote w:id="261">
    <w:p w:rsidR="00657FEF" w:rsidRPr="008147DC" w:rsidRDefault="00657FEF" w:rsidP="00992AB6">
      <w:pPr>
        <w:pStyle w:val="5"/>
        <w:rPr>
          <w:lang w:eastAsia="zh-TW"/>
        </w:rPr>
      </w:pPr>
      <w:r w:rsidRPr="00893AB9">
        <w:rPr>
          <w:rStyle w:val="af7"/>
          <w:szCs w:val="20"/>
        </w:rPr>
        <w:footnoteRef/>
      </w:r>
      <w:r w:rsidRPr="008147DC">
        <w:rPr>
          <w:lang w:eastAsia="zh-TW"/>
        </w:rPr>
        <w:t>亦即，社會資本是具生產力的，其使得特定目標的達成變為可能。就物理化資本（物體化資本，</w:t>
      </w:r>
      <w:r w:rsidRPr="008147DC">
        <w:rPr>
          <w:lang w:eastAsia="zh-TW"/>
        </w:rPr>
        <w:t>physical capital</w:t>
      </w:r>
      <w:r w:rsidRPr="008147DC">
        <w:rPr>
          <w:lang w:eastAsia="zh-TW"/>
        </w:rPr>
        <w:t>）而言，它是可觸知的，是實體的，是被涵括於可觀察到之物質（體）之中。最後，就人類資本（</w:t>
      </w:r>
      <w:r w:rsidRPr="008147DC">
        <w:rPr>
          <w:lang w:eastAsia="zh-TW"/>
        </w:rPr>
        <w:t>human capital</w:t>
      </w:r>
      <w:r w:rsidRPr="008147DC">
        <w:rPr>
          <w:lang w:eastAsia="zh-TW"/>
        </w:rPr>
        <w:t>）而言，它是被涵括於（</w:t>
      </w:r>
      <w:r w:rsidRPr="008147DC">
        <w:rPr>
          <w:lang w:eastAsia="zh-TW"/>
        </w:rPr>
        <w:t>embodied in</w:t>
      </w:r>
      <w:r w:rsidRPr="008147DC">
        <w:rPr>
          <w:lang w:eastAsia="zh-TW"/>
        </w:rPr>
        <w:t>）個體所學習而來之技能與知識之中。在社會資本、物理化資本及人類資本之中，社會資本是較無法被人們所觸摸的，因其是被具體化（被賦予形體，</w:t>
      </w:r>
      <w:r w:rsidRPr="008147DC">
        <w:rPr>
          <w:lang w:eastAsia="zh-TW"/>
        </w:rPr>
        <w:t>embodied</w:t>
      </w:r>
      <w:r w:rsidRPr="008147DC">
        <w:rPr>
          <w:lang w:eastAsia="zh-TW"/>
        </w:rPr>
        <w:t>）於人與人之間的關係之中（</w:t>
      </w:r>
      <w:r w:rsidRPr="008147DC">
        <w:rPr>
          <w:lang w:eastAsia="zh-TW"/>
        </w:rPr>
        <w:t>relations among persons</w:t>
      </w:r>
      <w:r w:rsidRPr="008147DC">
        <w:rPr>
          <w:lang w:eastAsia="zh-TW"/>
        </w:rPr>
        <w:t>）。其核心的概念，它是不同於物理化</w:t>
      </w:r>
      <w:r w:rsidRPr="008147DC">
        <w:rPr>
          <w:lang w:eastAsia="zh-TW"/>
        </w:rPr>
        <w:t>(</w:t>
      </w:r>
      <w:r w:rsidRPr="008147DC">
        <w:rPr>
          <w:lang w:eastAsia="zh-TW"/>
        </w:rPr>
        <w:t>物體化</w:t>
      </w:r>
      <w:r w:rsidRPr="008147DC">
        <w:rPr>
          <w:lang w:eastAsia="zh-TW"/>
        </w:rPr>
        <w:t>)</w:t>
      </w:r>
      <w:r w:rsidRPr="008147DC">
        <w:rPr>
          <w:lang w:eastAsia="zh-TW"/>
        </w:rPr>
        <w:t>與人類資本，因後面兩者對個體而言，具有可利用性，諸如，物理資本中的個人收入；人類資本中之職業技能</w:t>
      </w:r>
      <w:r w:rsidRPr="008147DC">
        <w:rPr>
          <w:lang w:eastAsia="zh-TW"/>
        </w:rPr>
        <w:t>(Sampson., &amp; Laub. 1993)</w:t>
      </w:r>
      <w:r w:rsidRPr="008147DC">
        <w:rPr>
          <w:lang w:eastAsia="zh-TW"/>
        </w:rPr>
        <w:t>。</w:t>
      </w:r>
    </w:p>
  </w:footnote>
  <w:footnote w:id="262">
    <w:p w:rsidR="00657FEF" w:rsidRPr="008147DC" w:rsidRDefault="00657FEF" w:rsidP="00992AB6">
      <w:pPr>
        <w:pStyle w:val="5"/>
        <w:rPr>
          <w:lang w:eastAsia="zh-TW"/>
        </w:rPr>
      </w:pPr>
      <w:r w:rsidRPr="00893AB9">
        <w:rPr>
          <w:rStyle w:val="af7"/>
          <w:szCs w:val="20"/>
        </w:rPr>
        <w:footnoteRef/>
      </w:r>
      <w:r w:rsidRPr="008147DC">
        <w:rPr>
          <w:lang w:eastAsia="zh-TW"/>
        </w:rPr>
        <w:t>在個體的生涯中，犯罪行為是具有持續性的，是頗為穩定的；另一方面，從實證資料，結果顯示成人的社會鍵與青少年非行兩者是負相關的。綜合上述兩者，</w:t>
      </w:r>
      <w:r w:rsidRPr="008147DC">
        <w:rPr>
          <w:lang w:eastAsia="zh-TW"/>
        </w:rPr>
        <w:t>Sampson</w:t>
      </w:r>
      <w:r w:rsidRPr="008147DC">
        <w:rPr>
          <w:lang w:eastAsia="zh-TW"/>
        </w:rPr>
        <w:t>的理論架構，儘管個體犯行具有穩定性及持續性</w:t>
      </w:r>
      <w:r w:rsidRPr="008147DC">
        <w:rPr>
          <w:lang w:eastAsia="zh-TW"/>
        </w:rPr>
        <w:t>(</w:t>
      </w:r>
      <w:r w:rsidRPr="008147DC">
        <w:rPr>
          <w:lang w:eastAsia="zh-TW"/>
        </w:rPr>
        <w:t>連續性</w:t>
      </w:r>
      <w:r w:rsidRPr="008147DC">
        <w:rPr>
          <w:lang w:eastAsia="zh-TW"/>
        </w:rPr>
        <w:t>)</w:t>
      </w:r>
      <w:r w:rsidRPr="008147DC">
        <w:rPr>
          <w:lang w:eastAsia="zh-TW"/>
        </w:rPr>
        <w:t>，然而，成人的社會鍵能夠修正（</w:t>
      </w:r>
      <w:r w:rsidRPr="008147DC">
        <w:rPr>
          <w:lang w:eastAsia="zh-TW"/>
        </w:rPr>
        <w:t>modify</w:t>
      </w:r>
      <w:r w:rsidRPr="008147DC">
        <w:rPr>
          <w:lang w:eastAsia="zh-TW"/>
        </w:rPr>
        <w:t>）孩童時期的犯罪歷程。成人社會鍵它可以作為一個中介變項，它是一種具有連續性連結之性質，亦即，其中介以及連結早期少年非行與成人犯罪行為。</w:t>
      </w:r>
      <w:r w:rsidRPr="008147DC">
        <w:rPr>
          <w:lang w:eastAsia="zh-TW"/>
        </w:rPr>
        <w:t>Sampson &amp; Laub</w:t>
      </w:r>
      <w:r w:rsidRPr="008147DC">
        <w:rPr>
          <w:lang w:eastAsia="zh-TW"/>
        </w:rPr>
        <w:t>的理論，其整合個體犯罪行為之中的兩種屬性：穩定性及變化性。就其理論模式而言，其核心的概念是「變化」（改變，變革，</w:t>
      </w:r>
      <w:r w:rsidRPr="008147DC">
        <w:rPr>
          <w:lang w:eastAsia="zh-TW"/>
        </w:rPr>
        <w:t>change</w:t>
      </w:r>
      <w:r w:rsidRPr="008147DC">
        <w:rPr>
          <w:lang w:eastAsia="zh-TW"/>
        </w:rPr>
        <w:t>），其理論認為：在成人犯罪的變化率之上，此種變化，無法被個體孩童時期的行為單獨解釋。</w:t>
      </w:r>
      <w:r w:rsidRPr="008147DC">
        <w:rPr>
          <w:lang w:eastAsia="zh-TW"/>
        </w:rPr>
        <w:t>Sampson</w:t>
      </w:r>
      <w:r w:rsidRPr="008147DC">
        <w:rPr>
          <w:lang w:eastAsia="zh-TW"/>
        </w:rPr>
        <w:t>認為，當控制少年非行之後，成人社會鍵的強度對成人刑事犯行而論，具有直接的負向效果。</w:t>
      </w:r>
      <w:r w:rsidRPr="008147DC">
        <w:rPr>
          <w:lang w:eastAsia="zh-TW"/>
        </w:rPr>
        <w:t>Sampson</w:t>
      </w:r>
      <w:r w:rsidRPr="008147DC">
        <w:rPr>
          <w:lang w:eastAsia="zh-TW"/>
        </w:rPr>
        <w:t>的理論，將孩童的少年非行（</w:t>
      </w:r>
      <w:r w:rsidRPr="008147DC">
        <w:rPr>
          <w:lang w:eastAsia="zh-TW"/>
        </w:rPr>
        <w:t>childhood delinquency</w:t>
      </w:r>
      <w:r w:rsidRPr="008147DC">
        <w:rPr>
          <w:lang w:eastAsia="zh-TW"/>
        </w:rPr>
        <w:t>）與成人的行為結果（</w:t>
      </w:r>
      <w:r w:rsidRPr="008147DC">
        <w:rPr>
          <w:lang w:eastAsia="zh-TW"/>
        </w:rPr>
        <w:t>adult ontcomes</w:t>
      </w:r>
      <w:r w:rsidRPr="008147DC">
        <w:rPr>
          <w:lang w:eastAsia="zh-TW"/>
        </w:rPr>
        <w:t>）之間，作一種連結，此種連結過程，是一種累積性的及發展性的過程；在上述連結中，少年非行將會減弱（</w:t>
      </w:r>
      <w:r w:rsidRPr="008147DC">
        <w:rPr>
          <w:lang w:eastAsia="zh-TW"/>
        </w:rPr>
        <w:t>attenuate</w:t>
      </w:r>
      <w:r w:rsidRPr="008147DC">
        <w:rPr>
          <w:lang w:eastAsia="zh-TW"/>
        </w:rPr>
        <w:t>）成人個體與社會連結之社會及機構鍵﹙</w:t>
      </w:r>
      <w:r w:rsidRPr="008147DC">
        <w:rPr>
          <w:lang w:eastAsia="zh-TW"/>
        </w:rPr>
        <w:t>Sampson &amp; Laub, 1993: 140-142</w:t>
      </w:r>
      <w:r w:rsidRPr="008147DC">
        <w:rPr>
          <w:lang w:eastAsia="zh-TW"/>
        </w:rPr>
        <w:t>﹚。</w:t>
      </w:r>
    </w:p>
  </w:footnote>
  <w:footnote w:id="263">
    <w:p w:rsidR="00657FEF" w:rsidRPr="008147DC" w:rsidRDefault="00657FEF" w:rsidP="00992AB6">
      <w:pPr>
        <w:pStyle w:val="5"/>
        <w:rPr>
          <w:lang w:eastAsia="zh-TW"/>
        </w:rPr>
      </w:pPr>
      <w:r w:rsidRPr="00893AB9">
        <w:rPr>
          <w:rStyle w:val="af7"/>
        </w:rPr>
        <w:footnoteRef/>
      </w:r>
      <w:r w:rsidRPr="008147DC">
        <w:rPr>
          <w:lang w:eastAsia="zh-TW"/>
        </w:rPr>
        <w:t xml:space="preserve"> Sampson &amp; Laub</w:t>
      </w:r>
      <w:r w:rsidRPr="008147DC">
        <w:rPr>
          <w:lang w:eastAsia="zh-TW"/>
        </w:rPr>
        <w:t>的研究架構，簡而言之，計有</w:t>
      </w:r>
      <w:r w:rsidRPr="008147DC">
        <w:rPr>
          <w:lang w:eastAsia="zh-TW"/>
        </w:rPr>
        <w:t>3</w:t>
      </w:r>
      <w:r w:rsidRPr="008147DC">
        <w:rPr>
          <w:lang w:eastAsia="zh-TW"/>
        </w:rPr>
        <w:t>個主要構成要件所組成：首先，第</w:t>
      </w:r>
      <w:r w:rsidRPr="008147DC">
        <w:rPr>
          <w:lang w:eastAsia="zh-TW"/>
        </w:rPr>
        <w:t>1</w:t>
      </w:r>
      <w:r w:rsidRPr="008147DC">
        <w:rPr>
          <w:lang w:eastAsia="zh-TW"/>
        </w:rPr>
        <w:t>個理論之構成要件，結構背景變項（諸如家庭的社經地位</w:t>
      </w:r>
      <w:r w:rsidRPr="008147DC">
        <w:rPr>
          <w:lang w:eastAsia="zh-TW"/>
        </w:rPr>
        <w:t>SES</w:t>
      </w:r>
      <w:r w:rsidRPr="008147DC">
        <w:rPr>
          <w:lang w:eastAsia="zh-TW"/>
        </w:rPr>
        <w:t>、家庭大小、破碎的家庭、搬家次數、父母偏差行為、家庭之擁擠、外國移民、母親就業情形）對於少年非行之作用力，係被「非正式的家庭及學校控制」所中介，而中介變項（非正式的家庭及學校控制）則對少年非行會產生影響力。</w:t>
      </w:r>
      <w:r w:rsidRPr="008147DC">
        <w:rPr>
          <w:lang w:eastAsia="zh-TW"/>
        </w:rPr>
        <w:t>.</w:t>
      </w:r>
      <w:r w:rsidRPr="008147DC">
        <w:rPr>
          <w:lang w:eastAsia="zh-TW"/>
        </w:rPr>
        <w:t>第</w:t>
      </w:r>
      <w:r w:rsidRPr="008147DC">
        <w:rPr>
          <w:lang w:eastAsia="zh-TW"/>
        </w:rPr>
        <w:t>2</w:t>
      </w:r>
      <w:r w:rsidRPr="008147DC">
        <w:rPr>
          <w:lang w:eastAsia="zh-TW"/>
        </w:rPr>
        <w:t>個理論構成要件，則是從孩童時期（</w:t>
      </w:r>
      <w:r w:rsidRPr="008147DC">
        <w:rPr>
          <w:lang w:eastAsia="zh-TW"/>
        </w:rPr>
        <w:t>0-10</w:t>
      </w:r>
      <w:r w:rsidRPr="008147DC">
        <w:rPr>
          <w:lang w:eastAsia="zh-TW"/>
        </w:rPr>
        <w:t>歲）到成人（</w:t>
      </w:r>
      <w:r w:rsidRPr="008147DC">
        <w:rPr>
          <w:lang w:eastAsia="zh-TW"/>
        </w:rPr>
        <w:t>17-25</w:t>
      </w:r>
      <w:r w:rsidRPr="008147DC">
        <w:rPr>
          <w:lang w:eastAsia="zh-TW"/>
        </w:rPr>
        <w:t>，</w:t>
      </w:r>
      <w:r w:rsidRPr="008147DC">
        <w:rPr>
          <w:lang w:eastAsia="zh-TW"/>
        </w:rPr>
        <w:t>25-32</w:t>
      </w:r>
      <w:r w:rsidRPr="008147DC">
        <w:rPr>
          <w:lang w:eastAsia="zh-TW"/>
        </w:rPr>
        <w:t>，</w:t>
      </w:r>
      <w:r w:rsidRPr="008147DC">
        <w:rPr>
          <w:lang w:eastAsia="zh-TW"/>
        </w:rPr>
        <w:t>32-45</w:t>
      </w:r>
      <w:r w:rsidRPr="008147DC">
        <w:rPr>
          <w:lang w:eastAsia="zh-TW"/>
        </w:rPr>
        <w:t>歲）階段，在整個過程中，個體之反社會性行為，其具有很強的持續性。第</w:t>
      </w:r>
      <w:r w:rsidRPr="008147DC">
        <w:rPr>
          <w:lang w:eastAsia="zh-TW"/>
        </w:rPr>
        <w:t>3</w:t>
      </w:r>
      <w:r w:rsidRPr="008147DC">
        <w:rPr>
          <w:lang w:eastAsia="zh-TW"/>
        </w:rPr>
        <w:t>個理論構成要件，儘管個體在早期的生活中，其在刑事犯罪紀錄上存在著差異，其在成人階段，仍有改變犯行之可能性，而個體之所以會脫離犯罪，主要關鍵是成人時期的「非正式社會資本」（</w:t>
      </w:r>
      <w:r w:rsidRPr="008147DC">
        <w:rPr>
          <w:lang w:eastAsia="zh-TW"/>
        </w:rPr>
        <w:t>informal social capital</w:t>
      </w:r>
      <w:r w:rsidRPr="008147DC">
        <w:rPr>
          <w:lang w:eastAsia="zh-TW"/>
        </w:rPr>
        <w:t>）。</w:t>
      </w:r>
      <w:r w:rsidRPr="008147DC">
        <w:rPr>
          <w:lang w:eastAsia="zh-TW"/>
        </w:rPr>
        <w:t>Sampson &amp; Laub</w:t>
      </w:r>
      <w:r w:rsidRPr="008147DC">
        <w:rPr>
          <w:lang w:eastAsia="zh-TW"/>
        </w:rPr>
        <w:t>認為，孩童（</w:t>
      </w:r>
      <w:r w:rsidRPr="008147DC">
        <w:rPr>
          <w:lang w:eastAsia="zh-TW"/>
        </w:rPr>
        <w:t>0-10</w:t>
      </w:r>
      <w:r w:rsidRPr="008147DC">
        <w:rPr>
          <w:lang w:eastAsia="zh-TW"/>
        </w:rPr>
        <w:t>歲）在生命歷程的發展階段中，後來其會演變成為犯罪人或守法之公民，很重要的一項影響力，則是「成人社會鍵」（</w:t>
      </w:r>
      <w:r w:rsidRPr="008147DC">
        <w:rPr>
          <w:lang w:eastAsia="zh-TW"/>
        </w:rPr>
        <w:t>adult social bonds</w:t>
      </w:r>
      <w:r w:rsidRPr="008147DC">
        <w:rPr>
          <w:lang w:eastAsia="zh-TW"/>
        </w:rPr>
        <w:t>）﹙</w:t>
      </w:r>
      <w:r w:rsidRPr="008147DC">
        <w:rPr>
          <w:lang w:eastAsia="zh-TW"/>
        </w:rPr>
        <w:t>Sampson &amp; Laub, 1993: 243-246</w:t>
      </w:r>
      <w:r w:rsidRPr="008147DC">
        <w:rPr>
          <w:lang w:eastAsia="zh-TW"/>
        </w:rPr>
        <w:t>﹚。究竟青少年非行是否可以就「家庭非正式社會控制」</w:t>
      </w:r>
      <w:r w:rsidRPr="008147DC">
        <w:rPr>
          <w:lang w:eastAsia="zh-TW"/>
        </w:rPr>
        <w:t>(</w:t>
      </w:r>
      <w:r w:rsidRPr="008147DC">
        <w:rPr>
          <w:lang w:eastAsia="zh-TW"/>
        </w:rPr>
        <w:t>自變項</w:t>
      </w:r>
      <w:r w:rsidRPr="008147DC">
        <w:rPr>
          <w:lang w:eastAsia="zh-TW"/>
        </w:rPr>
        <w:t>)</w:t>
      </w:r>
      <w:r w:rsidRPr="008147DC">
        <w:rPr>
          <w:lang w:eastAsia="zh-TW"/>
        </w:rPr>
        <w:t>對「成人犯罪」</w:t>
      </w:r>
      <w:r w:rsidRPr="008147DC">
        <w:rPr>
          <w:lang w:eastAsia="zh-TW"/>
        </w:rPr>
        <w:t>(</w:t>
      </w:r>
      <w:r w:rsidRPr="008147DC">
        <w:rPr>
          <w:lang w:eastAsia="zh-TW"/>
        </w:rPr>
        <w:t>依變項</w:t>
      </w:r>
      <w:r w:rsidRPr="008147DC">
        <w:rPr>
          <w:lang w:eastAsia="zh-TW"/>
        </w:rPr>
        <w:t>)</w:t>
      </w:r>
      <w:r w:rsidRPr="008147DC">
        <w:rPr>
          <w:lang w:eastAsia="zh-TW"/>
        </w:rPr>
        <w:t>的作用，進行「中介」呢﹖假若少年非行完全地中介家庭變項對成人犯罪之效應，則家庭因素對於成人犯罪將無任何之作用（</w:t>
      </w:r>
      <w:r w:rsidRPr="008147DC">
        <w:rPr>
          <w:lang w:eastAsia="zh-TW"/>
        </w:rPr>
        <w:t>should have no effects on adult crime</w:t>
      </w:r>
      <w:r w:rsidRPr="008147DC">
        <w:rPr>
          <w:lang w:eastAsia="zh-TW"/>
        </w:rPr>
        <w:t>）。如何進行上述之分析﹖</w:t>
      </w:r>
      <w:r w:rsidRPr="008147DC">
        <w:rPr>
          <w:lang w:eastAsia="zh-TW"/>
        </w:rPr>
        <w:t>Sampson</w:t>
      </w:r>
      <w:r w:rsidRPr="008147DC">
        <w:rPr>
          <w:lang w:eastAsia="zh-TW"/>
        </w:rPr>
        <w:t>等人則是將少年非行進行控制（</w:t>
      </w:r>
      <w:r w:rsidRPr="008147DC">
        <w:rPr>
          <w:lang w:eastAsia="zh-TW"/>
        </w:rPr>
        <w:t>delinquency is controlled</w:t>
      </w:r>
      <w:r w:rsidRPr="008147DC">
        <w:rPr>
          <w:lang w:eastAsia="zh-TW"/>
        </w:rPr>
        <w:t>），為了使架構更加完整，整個模式中，在自變項部分，再加上個體早期之差異，諸如兒童時期之反社會行為、暴躁脾氣、適應不良等。其結果為：少年非行（最大到</w:t>
      </w:r>
      <w:r w:rsidRPr="008147DC">
        <w:rPr>
          <w:lang w:eastAsia="zh-TW"/>
        </w:rPr>
        <w:t>14</w:t>
      </w:r>
      <w:r w:rsidRPr="008147DC">
        <w:rPr>
          <w:lang w:eastAsia="zh-TW"/>
        </w:rPr>
        <w:t>歲）對於成人犯罪具有正向統計上之預測力，亦即，增加少年之非行，則成人之犯罪亦會上升。相反地，家庭因素及個體差異對於成人犯罪則沒有作用力（</w:t>
      </w:r>
      <w:r w:rsidRPr="008147DC">
        <w:rPr>
          <w:lang w:eastAsia="zh-TW"/>
        </w:rPr>
        <w:t>no effect on adult crime</w:t>
      </w:r>
      <w:r w:rsidRPr="008147DC">
        <w:rPr>
          <w:lang w:eastAsia="zh-TW"/>
        </w:rPr>
        <w:t>）。是以，個體早期之家庭因素及個體差異，其對於成人犯罪之作用力，業已被個體在少年非行上之差異（變化）所解釋與中介﹙</w:t>
      </w:r>
      <w:r w:rsidRPr="008147DC">
        <w:rPr>
          <w:lang w:eastAsia="zh-TW"/>
        </w:rPr>
        <w:t>Sampson &amp; Laub, 1993: 127-138</w:t>
      </w:r>
      <w:r w:rsidRPr="008147DC">
        <w:rPr>
          <w:lang w:eastAsia="zh-TW"/>
        </w:rPr>
        <w:t>﹚。</w:t>
      </w:r>
    </w:p>
  </w:footnote>
  <w:footnote w:id="264">
    <w:p w:rsidR="00657FEF" w:rsidRPr="008147DC" w:rsidRDefault="00657FEF" w:rsidP="00992AB6">
      <w:pPr>
        <w:pStyle w:val="5"/>
        <w:rPr>
          <w:lang w:eastAsia="zh-TW"/>
        </w:rPr>
      </w:pPr>
      <w:r w:rsidRPr="00893AB9">
        <w:rPr>
          <w:rStyle w:val="af7"/>
          <w:szCs w:val="20"/>
        </w:rPr>
        <w:footnoteRef/>
      </w:r>
      <w:r w:rsidRPr="008147DC">
        <w:t xml:space="preserve"> Sampson &amp; Laub</w:t>
      </w:r>
      <w:r w:rsidRPr="008147DC">
        <w:t>逐級年齡非正式社會控制理論在研究假設方面，非正式社會控制中的「家庭及學校過程」，對於孩童及青少年（</w:t>
      </w:r>
      <w:r w:rsidRPr="008147DC">
        <w:t>10-17</w:t>
      </w:r>
      <w:r w:rsidRPr="008147DC">
        <w:t>歲）的非行行為，提供關鍵性之因果解釋（</w:t>
      </w:r>
      <w:r w:rsidRPr="008147DC">
        <w:t>the key causal explanation</w:t>
      </w:r>
      <w:r w:rsidRPr="008147DC">
        <w:t>）。結構背景特徵變項（結構背景因素、結構背景變項）對於「非正式之家庭及學校過程」，具有重要的影響力；但是，這些相同的結構背景特徵變項，其對於少年非行而言，卻是具有微弱（或微小）的直接作用力（</w:t>
      </w:r>
      <w:r w:rsidRPr="008147DC">
        <w:t>these same characteristics have little direct influence on delinqnency</w:t>
      </w:r>
      <w:r w:rsidRPr="008147DC">
        <w:t>）。</w:t>
      </w:r>
      <w:r w:rsidRPr="008147DC">
        <w:rPr>
          <w:lang w:eastAsia="zh-TW"/>
        </w:rPr>
        <w:t>另外一個重要之研究議題，則為個體在孩童時期（</w:t>
      </w:r>
      <w:r w:rsidRPr="008147DC">
        <w:rPr>
          <w:lang w:eastAsia="zh-TW"/>
        </w:rPr>
        <w:t>0-10</w:t>
      </w:r>
      <w:r w:rsidRPr="008147DC">
        <w:rPr>
          <w:lang w:eastAsia="zh-TW"/>
        </w:rPr>
        <w:t>歲）的特徵，諸如：個體之特質（氣質，</w:t>
      </w:r>
      <w:r w:rsidRPr="008147DC">
        <w:rPr>
          <w:lang w:eastAsia="zh-TW"/>
        </w:rPr>
        <w:t>temperament</w:t>
      </w:r>
      <w:r w:rsidRPr="008147DC">
        <w:rPr>
          <w:lang w:eastAsia="zh-TW"/>
        </w:rPr>
        <w:t>）以及早期的失序作為，對於「非正式家庭及學校社會控制過程」與少年非行兩者而言，具有關連性。但是，這些個體孩童時期之特質及失序行為，並沒有顯著地降低（</w:t>
      </w:r>
      <w:r w:rsidRPr="008147DC">
        <w:rPr>
          <w:lang w:eastAsia="zh-TW"/>
        </w:rPr>
        <w:t>do not significantly diminish</w:t>
      </w:r>
      <w:r w:rsidRPr="008147DC">
        <w:rPr>
          <w:lang w:eastAsia="zh-TW"/>
        </w:rPr>
        <w:t>）家庭及學校非正式社會鍵對於少年非行之作用影響力。個體早年的少年非行（</w:t>
      </w:r>
      <w:r w:rsidRPr="008147DC">
        <w:rPr>
          <w:lang w:eastAsia="zh-TW"/>
        </w:rPr>
        <w:t>10-17</w:t>
      </w:r>
      <w:r w:rsidRPr="008147DC">
        <w:rPr>
          <w:lang w:eastAsia="zh-TW"/>
        </w:rPr>
        <w:t>歲），其可預測「微弱的成人社會鍵」，而「微弱的成人社會鍵」，其可預測「同時」及「未來」的成人犯罪及偏差行為﹙</w:t>
      </w:r>
      <w:r w:rsidRPr="008147DC">
        <w:rPr>
          <w:lang w:eastAsia="zh-TW"/>
        </w:rPr>
        <w:t>Sampson &amp; Laub, 1993: 243-246</w:t>
      </w:r>
      <w:r w:rsidRPr="008147DC">
        <w:rPr>
          <w:lang w:eastAsia="zh-TW"/>
        </w:rPr>
        <w:t>﹚。孩童時期的反社會行為（早期失序行為，</w:t>
      </w:r>
      <w:r w:rsidRPr="008147DC">
        <w:rPr>
          <w:lang w:eastAsia="zh-TW"/>
        </w:rPr>
        <w:t>0-10</w:t>
      </w:r>
      <w:r w:rsidRPr="008147DC">
        <w:rPr>
          <w:lang w:eastAsia="zh-TW"/>
        </w:rPr>
        <w:t>歲）以及青少年時期（</w:t>
      </w:r>
      <w:r w:rsidRPr="008147DC">
        <w:rPr>
          <w:lang w:eastAsia="zh-TW"/>
        </w:rPr>
        <w:t>10-17</w:t>
      </w:r>
      <w:r w:rsidRPr="008147DC">
        <w:rPr>
          <w:lang w:eastAsia="zh-TW"/>
        </w:rPr>
        <w:t>歲）的少年非行，上述兩者其與成人犯罪及偏差行為的連結，有若干部分，係透過微弱的成人社會鍵產生連結作用。個體在生命發展歷程之中，顯著（重要）的生命事件（</w:t>
      </w:r>
      <w:r w:rsidRPr="008147DC">
        <w:rPr>
          <w:lang w:eastAsia="zh-TW"/>
        </w:rPr>
        <w:t>salient life events</w:t>
      </w:r>
      <w:r w:rsidRPr="008147DC">
        <w:rPr>
          <w:lang w:eastAsia="zh-TW"/>
        </w:rPr>
        <w:t>）以及成人時期的社會化經驗，對於個體早期生命的影響，則可以產生一種「反作用力」（或稱反動作用力，</w:t>
      </w:r>
      <w:r w:rsidRPr="008147DC">
        <w:rPr>
          <w:lang w:eastAsia="zh-TW"/>
        </w:rPr>
        <w:t>counteract</w:t>
      </w:r>
      <w:r w:rsidRPr="008147DC">
        <w:rPr>
          <w:lang w:eastAsia="zh-TW"/>
        </w:rPr>
        <w:t>）。至少，亦可產生某種程度之反作用力（反動力）。儘管個體的早期孩童背景，是沒有犯罪紀錄，其在較晚的成人生命歷程中，所發生（或從事）的刑事犯行，此種犯行，可被成人時期微弱的社會鍵（</w:t>
      </w:r>
      <w:r w:rsidRPr="008147DC">
        <w:rPr>
          <w:lang w:eastAsia="zh-TW"/>
        </w:rPr>
        <w:t>weak social bonds</w:t>
      </w:r>
      <w:r w:rsidRPr="008147DC">
        <w:rPr>
          <w:lang w:eastAsia="zh-TW"/>
        </w:rPr>
        <w:t>）加以解釋。另一種情形，儘管個體的早期孩童背景，是具有少年非行之紀錄，其在成人階段中的犯行中止行為，此種中止，可被成人時期強而有力的社會鍵（</w:t>
      </w:r>
      <w:r w:rsidRPr="008147DC">
        <w:rPr>
          <w:lang w:eastAsia="zh-TW"/>
        </w:rPr>
        <w:t>strong social bonds in adulthood</w:t>
      </w:r>
      <w:r w:rsidRPr="008147DC">
        <w:rPr>
          <w:lang w:eastAsia="zh-TW"/>
        </w:rPr>
        <w:t>）加以解釋。</w:t>
      </w:r>
      <w:r w:rsidRPr="008147DC">
        <w:rPr>
          <w:lang w:eastAsia="zh-TW"/>
        </w:rPr>
        <w:t>Sampson &amp; Laub</w:t>
      </w:r>
      <w:r w:rsidRPr="008147DC">
        <w:rPr>
          <w:lang w:eastAsia="zh-TW"/>
        </w:rPr>
        <w:t>的理論架構與很多其他生命歷程研究模式的相異點，係在於</w:t>
      </w:r>
      <w:r w:rsidRPr="008147DC">
        <w:rPr>
          <w:lang w:eastAsia="zh-TW"/>
        </w:rPr>
        <w:t>Sampson</w:t>
      </w:r>
      <w:r w:rsidRPr="008147DC">
        <w:rPr>
          <w:lang w:eastAsia="zh-TW"/>
        </w:rPr>
        <w:t>等人的理論，其對於社會鍵的品質或強度之重視程度，遠超過於對於生命事件的發生或時機。在個體整個生命歷程中，就犯罪及偏差的歷程而言，關於其中的「穩定性」及「改變性」，</w:t>
      </w:r>
      <w:r w:rsidRPr="008147DC">
        <w:rPr>
          <w:lang w:eastAsia="zh-TW"/>
        </w:rPr>
        <w:t>Sampson</w:t>
      </w:r>
      <w:r w:rsidRPr="008147DC">
        <w:rPr>
          <w:lang w:eastAsia="zh-TW"/>
        </w:rPr>
        <w:t>等人之理論架構，提供社會學角度之解釋方式；同時，該理論明確地聚焦於個體於從事犯行與偏差行為，有關於個體內在之變化課題（</w:t>
      </w:r>
      <w:r w:rsidRPr="008147DC">
        <w:rPr>
          <w:lang w:eastAsia="zh-TW"/>
        </w:rPr>
        <w:t>within-individual changes in offending and deviance</w:t>
      </w:r>
      <w:r w:rsidRPr="008147DC">
        <w:rPr>
          <w:lang w:eastAsia="zh-TW"/>
        </w:rPr>
        <w:t>）﹙</w:t>
      </w:r>
      <w:r w:rsidRPr="008147DC">
        <w:rPr>
          <w:lang w:eastAsia="zh-TW"/>
        </w:rPr>
        <w:t>Sampson &amp; Laub, 1993: 243-246</w:t>
      </w:r>
      <w:r w:rsidRPr="008147DC">
        <w:rPr>
          <w:lang w:eastAsia="zh-TW"/>
        </w:rPr>
        <w:t>﹚。</w:t>
      </w:r>
    </w:p>
  </w:footnote>
  <w:footnote w:id="265">
    <w:p w:rsidR="00657FEF" w:rsidRPr="008147DC" w:rsidRDefault="00657FEF" w:rsidP="00992AB6">
      <w:pPr>
        <w:pStyle w:val="5"/>
        <w:rPr>
          <w:lang w:eastAsia="zh-TW"/>
        </w:rPr>
      </w:pPr>
      <w:r w:rsidRPr="00893AB9">
        <w:rPr>
          <w:rStyle w:val="af7"/>
          <w:szCs w:val="20"/>
        </w:rPr>
        <w:footnoteRef/>
      </w:r>
      <w:r w:rsidRPr="008147DC">
        <w:rPr>
          <w:lang w:eastAsia="zh-TW"/>
        </w:rPr>
        <w:t xml:space="preserve"> Lytton(1990)</w:t>
      </w:r>
      <w:r w:rsidRPr="008147DC">
        <w:rPr>
          <w:lang w:eastAsia="zh-TW"/>
        </w:rPr>
        <w:t>指出，在其所主張之「控制系統理論」中，「父母教養型態」與「小孩行為」是具有相互作用（</w:t>
      </w:r>
      <w:r w:rsidRPr="008147DC">
        <w:rPr>
          <w:lang w:eastAsia="zh-TW"/>
        </w:rPr>
        <w:t>reciprocal</w:t>
      </w:r>
      <w:r w:rsidRPr="008147DC">
        <w:rPr>
          <w:lang w:eastAsia="zh-TW"/>
        </w:rPr>
        <w:t>）之適應特色。</w:t>
      </w:r>
      <w:r w:rsidRPr="008147DC">
        <w:rPr>
          <w:lang w:eastAsia="zh-TW"/>
        </w:rPr>
        <w:t>Lytton</w:t>
      </w:r>
      <w:r w:rsidRPr="008147DC">
        <w:rPr>
          <w:lang w:eastAsia="zh-TW"/>
        </w:rPr>
        <w:t>認為，兒童之行為方式，會對父母產生「孩童效應」（</w:t>
      </w:r>
      <w:r w:rsidRPr="008147DC">
        <w:rPr>
          <w:lang w:eastAsia="zh-TW"/>
        </w:rPr>
        <w:t>child effects on parents</w:t>
      </w:r>
      <w:r w:rsidRPr="008147DC">
        <w:rPr>
          <w:lang w:eastAsia="zh-TW"/>
        </w:rPr>
        <w:t>）。而所謂之「孩童效應」，係指這些麻煩、行為失序之兒童，對於父母傳統上之「增強」效果，不具感應性，亦即對於父母傳統教養方式中之增強效應、懲罰及威嚇，具有低度感應性（</w:t>
      </w:r>
      <w:r w:rsidRPr="008147DC">
        <w:rPr>
          <w:lang w:eastAsia="zh-TW"/>
        </w:rPr>
        <w:t>underresponsive</w:t>
      </w:r>
      <w:r w:rsidRPr="008147DC">
        <w:rPr>
          <w:lang w:eastAsia="zh-TW"/>
        </w:rPr>
        <w:t>）。父母因傳統上之正常教養方式及懲罰失效，遂產生教養上的破裂（</w:t>
      </w:r>
      <w:r w:rsidRPr="008147DC">
        <w:rPr>
          <w:lang w:eastAsia="zh-TW"/>
        </w:rPr>
        <w:t>disruption</w:t>
      </w:r>
      <w:r w:rsidRPr="008147DC">
        <w:rPr>
          <w:lang w:eastAsia="zh-TW"/>
        </w:rPr>
        <w:t>）。亦即，是兒童（孩童，</w:t>
      </w:r>
      <w:r w:rsidRPr="008147DC">
        <w:rPr>
          <w:lang w:eastAsia="zh-TW"/>
        </w:rPr>
        <w:t>children</w:t>
      </w:r>
      <w:r w:rsidRPr="008147DC">
        <w:rPr>
          <w:lang w:eastAsia="zh-TW"/>
        </w:rPr>
        <w:t>）他們自己本身差別地引發（導致，</w:t>
      </w:r>
      <w:r w:rsidRPr="008147DC">
        <w:rPr>
          <w:lang w:eastAsia="zh-TW"/>
        </w:rPr>
        <w:t>engender</w:t>
      </w:r>
      <w:r w:rsidRPr="008147DC">
        <w:rPr>
          <w:lang w:eastAsia="zh-TW"/>
        </w:rPr>
        <w:t>）父母之教養型態，並很有可能加劇（</w:t>
      </w:r>
      <w:r w:rsidRPr="008147DC">
        <w:rPr>
          <w:lang w:eastAsia="zh-TW"/>
        </w:rPr>
        <w:t>exacerbate</w:t>
      </w:r>
      <w:r w:rsidRPr="008147DC">
        <w:rPr>
          <w:lang w:eastAsia="zh-TW"/>
        </w:rPr>
        <w:t>）兒童之反社會失序行為。另外，</w:t>
      </w:r>
      <w:r w:rsidRPr="008147DC">
        <w:rPr>
          <w:lang w:eastAsia="zh-TW"/>
        </w:rPr>
        <w:t>Lytton (1990)</w:t>
      </w:r>
      <w:r w:rsidRPr="008147DC">
        <w:rPr>
          <w:lang w:eastAsia="zh-TW"/>
        </w:rPr>
        <w:t>指出，麻煩小孩（</w:t>
      </w:r>
      <w:r w:rsidRPr="008147DC">
        <w:rPr>
          <w:lang w:eastAsia="zh-TW"/>
        </w:rPr>
        <w:t>difficult children</w:t>
      </w:r>
      <w:r w:rsidRPr="008147DC">
        <w:rPr>
          <w:lang w:eastAsia="zh-TW"/>
        </w:rPr>
        <w:t>）之行為，除攻擊及非行（失序）外，諸如哀鳴哭泣（</w:t>
      </w:r>
      <w:r w:rsidRPr="008147DC">
        <w:rPr>
          <w:lang w:eastAsia="zh-TW"/>
        </w:rPr>
        <w:t>whining</w:t>
      </w:r>
      <w:r w:rsidRPr="008147DC">
        <w:rPr>
          <w:lang w:eastAsia="zh-TW"/>
        </w:rPr>
        <w:t>），過動、適應不良及具叛逆性，會促發（激起</w:t>
      </w:r>
      <w:r w:rsidRPr="008147DC">
        <w:rPr>
          <w:lang w:eastAsia="zh-TW"/>
        </w:rPr>
        <w:t>prompt</w:t>
      </w:r>
      <w:r w:rsidRPr="008147DC">
        <w:rPr>
          <w:lang w:eastAsia="zh-TW"/>
        </w:rPr>
        <w:t>）父母教養之挫折感。兒童早期之麻煩行為，會引起（誘發，</w:t>
      </w:r>
      <w:r w:rsidRPr="008147DC">
        <w:rPr>
          <w:lang w:eastAsia="zh-TW"/>
        </w:rPr>
        <w:t>provoke</w:t>
      </w:r>
      <w:r w:rsidRPr="008147DC">
        <w:rPr>
          <w:lang w:eastAsia="zh-TW"/>
        </w:rPr>
        <w:t>）後來父母之拒絕。學齡前之麻煩小孩與其後來之少年非行，兩者存在一種關連性。且此種關連性，獨立於（</w:t>
      </w:r>
      <w:r w:rsidRPr="008147DC">
        <w:rPr>
          <w:lang w:eastAsia="zh-TW"/>
        </w:rPr>
        <w:t>independent of</w:t>
      </w:r>
      <w:r w:rsidRPr="008147DC">
        <w:rPr>
          <w:lang w:eastAsia="zh-TW"/>
        </w:rPr>
        <w:t>）父母對小孩之教養方式。此外，</w:t>
      </w:r>
      <w:r w:rsidRPr="008147DC">
        <w:rPr>
          <w:lang w:eastAsia="zh-TW"/>
        </w:rPr>
        <w:t>West and Farrington</w:t>
      </w:r>
      <w:r w:rsidRPr="008147DC">
        <w:rPr>
          <w:lang w:eastAsia="zh-TW"/>
        </w:rPr>
        <w:t>指出</w:t>
      </w:r>
      <w:r w:rsidRPr="008147DC">
        <w:rPr>
          <w:lang w:eastAsia="zh-TW"/>
        </w:rPr>
        <w:t>(1973)</w:t>
      </w:r>
      <w:r w:rsidRPr="008147DC">
        <w:rPr>
          <w:lang w:eastAsia="zh-TW"/>
        </w:rPr>
        <w:t>，要預測少年非行，一個顯著性之因素，即為</w:t>
      </w:r>
      <w:r w:rsidRPr="008147DC">
        <w:rPr>
          <w:lang w:eastAsia="zh-TW"/>
        </w:rPr>
        <w:t>8</w:t>
      </w:r>
      <w:r w:rsidRPr="008147DC">
        <w:rPr>
          <w:lang w:eastAsia="zh-TW"/>
        </w:rPr>
        <w:t>歲到</w:t>
      </w:r>
      <w:r w:rsidRPr="008147DC">
        <w:rPr>
          <w:lang w:eastAsia="zh-TW"/>
        </w:rPr>
        <w:t>10</w:t>
      </w:r>
      <w:r w:rsidRPr="008147DC">
        <w:rPr>
          <w:lang w:eastAsia="zh-TW"/>
        </w:rPr>
        <w:t>歲間，兒童是否具有「愛招惹麻煩」特性﹖而上述「愛惹麻煩」之變項，係獨立於（</w:t>
      </w:r>
      <w:r w:rsidRPr="008147DC">
        <w:rPr>
          <w:lang w:eastAsia="zh-TW"/>
        </w:rPr>
        <w:t>independent of</w:t>
      </w:r>
      <w:r w:rsidRPr="008147DC">
        <w:rPr>
          <w:lang w:eastAsia="zh-TW"/>
        </w:rPr>
        <w:t>）於父母監督、父母犯罪性及家庭大小之外。反之，就不為真。亦即，當兒童早期「愛惹麻煩」變項列入考量之後，父母對於少年非行之效應就不見了（</w:t>
      </w:r>
      <w:r w:rsidRPr="008147DC">
        <w:rPr>
          <w:lang w:eastAsia="zh-TW"/>
        </w:rPr>
        <w:t>disappear</w:t>
      </w:r>
      <w:r w:rsidRPr="008147DC">
        <w:rPr>
          <w:lang w:eastAsia="zh-TW"/>
        </w:rPr>
        <w:t>）﹙</w:t>
      </w:r>
      <w:r w:rsidRPr="008147DC">
        <w:rPr>
          <w:lang w:eastAsia="zh-TW"/>
        </w:rPr>
        <w:t>Sampson &amp; Laub, 1993: 85-88</w:t>
      </w:r>
      <w:r w:rsidRPr="008147DC">
        <w:rPr>
          <w:lang w:eastAsia="zh-TW"/>
        </w:rPr>
        <w:t>﹚。</w:t>
      </w:r>
    </w:p>
  </w:footnote>
  <w:footnote w:id="266">
    <w:p w:rsidR="00657FEF" w:rsidRPr="008147DC" w:rsidRDefault="00657FEF" w:rsidP="00992AB6">
      <w:pPr>
        <w:pStyle w:val="5"/>
        <w:rPr>
          <w:lang w:eastAsia="zh-TW"/>
        </w:rPr>
      </w:pPr>
      <w:r w:rsidRPr="004B4ED9">
        <w:rPr>
          <w:rStyle w:val="af7"/>
          <w:rFonts w:eastAsia="新細明體"/>
          <w:kern w:val="2"/>
          <w:szCs w:val="20"/>
        </w:rPr>
        <w:footnoteRef/>
      </w:r>
      <w:r w:rsidRPr="008147DC">
        <w:rPr>
          <w:lang w:eastAsia="zh-TW"/>
        </w:rPr>
        <w:t>在研究工具部分（</w:t>
      </w:r>
      <w:r w:rsidRPr="008147DC">
        <w:rPr>
          <w:lang w:eastAsia="zh-TW"/>
        </w:rPr>
        <w:t>Sampson &amp; Laub, 1993: 27-29</w:t>
      </w:r>
      <w:r w:rsidRPr="008147DC">
        <w:rPr>
          <w:lang w:eastAsia="zh-TW"/>
        </w:rPr>
        <w:t>）：</w:t>
      </w:r>
      <w:r w:rsidRPr="008147DC">
        <w:rPr>
          <w:lang w:eastAsia="zh-TW"/>
        </w:rPr>
        <w:t>1.</w:t>
      </w:r>
      <w:r w:rsidRPr="008147DC">
        <w:rPr>
          <w:lang w:eastAsia="zh-TW"/>
        </w:rPr>
        <w:t>兒童及青少年時期反社會行為的測量﹙</w:t>
      </w:r>
      <w:r w:rsidRPr="008147DC">
        <w:rPr>
          <w:lang w:eastAsia="zh-TW"/>
        </w:rPr>
        <w:t>Sampson &amp; Laub, 1993: 125-126</w:t>
      </w:r>
      <w:r w:rsidRPr="008147DC">
        <w:rPr>
          <w:lang w:eastAsia="zh-TW"/>
        </w:rPr>
        <w:t>﹚：</w:t>
      </w:r>
      <w:r w:rsidRPr="008147DC">
        <w:rPr>
          <w:lang w:eastAsia="zh-TW"/>
        </w:rPr>
        <w:t>(1)</w:t>
      </w:r>
      <w:r w:rsidRPr="008147DC">
        <w:rPr>
          <w:lang w:eastAsia="zh-TW"/>
        </w:rPr>
        <w:t>官方少年非行身份（</w:t>
      </w:r>
      <w:r w:rsidRPr="008147DC">
        <w:rPr>
          <w:lang w:eastAsia="zh-TW"/>
        </w:rPr>
        <w:t>official delinquency status</w:t>
      </w:r>
      <w:r w:rsidRPr="008147DC">
        <w:rPr>
          <w:lang w:eastAsia="zh-TW"/>
        </w:rPr>
        <w:t>）之確認。</w:t>
      </w:r>
      <w:r w:rsidRPr="008147DC">
        <w:rPr>
          <w:lang w:eastAsia="zh-TW"/>
        </w:rPr>
        <w:t>(2)</w:t>
      </w:r>
      <w:r w:rsidRPr="008147DC">
        <w:rPr>
          <w:lang w:eastAsia="zh-TW"/>
        </w:rPr>
        <w:t>非官方少年非行：係結合自陳偏差行為報告、父母及老師就該名少年所作之少年非行報告，以及其他每位樣本之偏差行為報告（</w:t>
      </w:r>
      <w:r w:rsidRPr="008147DC">
        <w:rPr>
          <w:lang w:eastAsia="zh-TW"/>
        </w:rPr>
        <w:t>misconduct</w:t>
      </w:r>
      <w:r w:rsidRPr="008147DC">
        <w:rPr>
          <w:lang w:eastAsia="zh-TW"/>
        </w:rPr>
        <w:t>）。</w:t>
      </w:r>
      <w:r w:rsidRPr="008147DC">
        <w:rPr>
          <w:lang w:eastAsia="zh-TW"/>
        </w:rPr>
        <w:t>(3)</w:t>
      </w:r>
      <w:r w:rsidRPr="008147DC">
        <w:rPr>
          <w:lang w:eastAsia="zh-TW"/>
        </w:rPr>
        <w:t>兒童早期暴力性發脾氣之次數（程度）。</w:t>
      </w:r>
      <w:r w:rsidRPr="008147DC">
        <w:rPr>
          <w:lang w:eastAsia="zh-TW"/>
        </w:rPr>
        <w:t>2</w:t>
      </w:r>
      <w:r w:rsidRPr="008147DC">
        <w:rPr>
          <w:lang w:eastAsia="zh-TW"/>
        </w:rPr>
        <w:t>、在少年非行之測量工具方面，</w:t>
      </w:r>
      <w:r w:rsidRPr="008147DC">
        <w:rPr>
          <w:lang w:eastAsia="zh-TW"/>
        </w:rPr>
        <w:t>Glueck</w:t>
      </w:r>
      <w:r w:rsidRPr="008147DC">
        <w:rPr>
          <w:lang w:eastAsia="zh-TW"/>
        </w:rPr>
        <w:t>樣本資料的蒐集途徑是多元的，如下所述：﹙</w:t>
      </w:r>
      <w:r w:rsidRPr="008147DC">
        <w:rPr>
          <w:lang w:eastAsia="zh-TW"/>
        </w:rPr>
        <w:t>Sampson &amp; Laub, 1993: 48-52</w:t>
      </w:r>
      <w:r w:rsidRPr="008147DC">
        <w:rPr>
          <w:lang w:eastAsia="zh-TW"/>
        </w:rPr>
        <w:t>﹚：</w:t>
      </w:r>
      <w:r w:rsidRPr="008147DC">
        <w:rPr>
          <w:lang w:eastAsia="zh-TW"/>
        </w:rPr>
        <w:t>(1)</w:t>
      </w:r>
      <w:r w:rsidRPr="008147DC">
        <w:rPr>
          <w:lang w:eastAsia="zh-TW"/>
        </w:rPr>
        <w:t>自陳報告資料（</w:t>
      </w:r>
      <w:r w:rsidRPr="008147DC">
        <w:rPr>
          <w:lang w:eastAsia="zh-TW"/>
        </w:rPr>
        <w:t>self-reported data</w:t>
      </w:r>
      <w:r w:rsidRPr="008147DC">
        <w:rPr>
          <w:lang w:eastAsia="zh-TW"/>
        </w:rPr>
        <w:t>）：在第一波調查時，針對研究中之每一位樣本，調查其精神狀態，此包括樣本之人格及行為，這些精神狀態資料，係用以補充樣本家庭環境調查及其他調查（諸如</w:t>
      </w:r>
      <w:r w:rsidRPr="008147DC">
        <w:rPr>
          <w:lang w:eastAsia="zh-TW"/>
        </w:rPr>
        <w:t>Rorschach</w:t>
      </w:r>
      <w:r w:rsidRPr="008147DC">
        <w:rPr>
          <w:lang w:eastAsia="zh-TW"/>
        </w:rPr>
        <w:t>測驗）之不足。自陳報告之調查題目，計調查以下之問題：抽煙、喝酒、逃學、逃家、賭博、上課遲到、曠課、偷腳踏車、乞食、破壞性之惡作劇、偷汽車、衝動性之偷竊、縱火</w:t>
      </w:r>
      <w:r w:rsidRPr="008147DC">
        <w:rPr>
          <w:lang w:eastAsia="zh-TW"/>
        </w:rPr>
        <w:t>(Sampson., &amp; Laub. 1993)</w:t>
      </w:r>
      <w:r w:rsidRPr="008147DC">
        <w:rPr>
          <w:lang w:eastAsia="zh-TW"/>
        </w:rPr>
        <w:t>。</w:t>
      </w:r>
      <w:r w:rsidRPr="008147DC">
        <w:rPr>
          <w:lang w:eastAsia="zh-TW"/>
        </w:rPr>
        <w:t>(2)</w:t>
      </w:r>
      <w:r w:rsidRPr="008147DC">
        <w:rPr>
          <w:lang w:eastAsia="zh-TW"/>
        </w:rPr>
        <w:t>父母陳述之資料（</w:t>
      </w:r>
      <w:r w:rsidRPr="008147DC">
        <w:rPr>
          <w:lang w:eastAsia="zh-TW"/>
        </w:rPr>
        <w:t>parent-reported data</w:t>
      </w:r>
      <w:r w:rsidRPr="008147DC">
        <w:rPr>
          <w:lang w:eastAsia="zh-TW"/>
        </w:rPr>
        <w:t>）：</w:t>
      </w:r>
      <w:r w:rsidRPr="008147DC">
        <w:rPr>
          <w:lang w:eastAsia="zh-TW"/>
        </w:rPr>
        <w:t>Glueck</w:t>
      </w:r>
      <w:r w:rsidRPr="008147DC">
        <w:rPr>
          <w:lang w:eastAsia="zh-TW"/>
        </w:rPr>
        <w:t>的研究小組成員針對每一位樣本，訪問其父母，以便取得該樣本家庭中下列之資料：家庭氣芬與生活環境、家庭經濟、家庭背景、宗譜、健康歷史及休閒嗜好。在訪談中，亦會調查樣本失序行為。父母陳述之調查資料題目，計調查以下之問題：抽煙、喝酒、逃學、逃家、賭博、上課遲到、偷腳踏車、打小報告（告密）、乞食、破壞性之惡作劇、偷汽車、衝動性之偷竊、縱火、欺騙、頑固性、說髒話、好爭吵性（好鬥性）、好發脾氣</w:t>
      </w:r>
      <w:r w:rsidRPr="008147DC">
        <w:rPr>
          <w:lang w:eastAsia="zh-TW"/>
        </w:rPr>
        <w:t>(Sampson., &amp; Laub. 1993)</w:t>
      </w:r>
      <w:r w:rsidRPr="008147DC">
        <w:rPr>
          <w:lang w:eastAsia="zh-TW"/>
        </w:rPr>
        <w:t>。</w:t>
      </w:r>
      <w:r w:rsidRPr="008147DC">
        <w:rPr>
          <w:lang w:eastAsia="zh-TW"/>
        </w:rPr>
        <w:t>(3)</w:t>
      </w:r>
      <w:r w:rsidRPr="008147DC">
        <w:rPr>
          <w:lang w:eastAsia="zh-TW"/>
        </w:rPr>
        <w:t>老師陳述之資料（</w:t>
      </w:r>
      <w:r w:rsidRPr="008147DC">
        <w:rPr>
          <w:lang w:eastAsia="zh-TW"/>
        </w:rPr>
        <w:t>teacher-reported data</w:t>
      </w:r>
      <w:r w:rsidRPr="008147DC">
        <w:rPr>
          <w:lang w:eastAsia="zh-TW"/>
        </w:rPr>
        <w:t>）：在有關於樣本學校資料的取得方面，</w:t>
      </w:r>
      <w:r w:rsidRPr="008147DC">
        <w:rPr>
          <w:lang w:eastAsia="zh-TW"/>
        </w:rPr>
        <w:t>Glueck</w:t>
      </w:r>
      <w:r w:rsidRPr="008147DC">
        <w:rPr>
          <w:lang w:eastAsia="zh-TW"/>
        </w:rPr>
        <w:t>研究小組人員就樣本於學校中之相關資料加以蒐集，諸如：樣本之年齡、逃學、曠課及其他可能的失序行為。除了上述學校資料之蒐集外，另外，</w:t>
      </w:r>
      <w:r w:rsidRPr="008147DC">
        <w:rPr>
          <w:lang w:eastAsia="zh-TW"/>
        </w:rPr>
        <w:t>Glueck</w:t>
      </w:r>
      <w:r w:rsidRPr="008147DC">
        <w:rPr>
          <w:lang w:eastAsia="zh-TW"/>
        </w:rPr>
        <w:t>的訪談調查人員亦同時訪問該名男孩最親近的老師，訪談之焦點，係訪問其過去一年中，樣本在學校中所表現之正常與失序行為，其內容包括：樣本對於學校生活適應情形、課程參與及表現、課外活動之參與及其失序行為。老師陳述之調查題目，計調查以下之問題：抽煙、說謊、頑固性（剛愎自用性）、不尊敬師長、好爭吵性（好鬥性）、欺騙、逃學、反抗性、魯莽性、失序性（</w:t>
      </w:r>
      <w:r w:rsidRPr="008147DC">
        <w:rPr>
          <w:lang w:eastAsia="zh-TW"/>
        </w:rPr>
        <w:t>disorderliness</w:t>
      </w:r>
      <w:r w:rsidRPr="008147DC">
        <w:rPr>
          <w:lang w:eastAsia="zh-TW"/>
        </w:rPr>
        <w:t>）、破壞學校器材、偷竊、威脅恐嚇、發脾氣、反抗性等題目</w:t>
      </w:r>
      <w:r w:rsidRPr="008147DC">
        <w:rPr>
          <w:lang w:eastAsia="zh-TW"/>
        </w:rPr>
        <w:t>(Sampson., &amp; Laub. 1993)</w:t>
      </w:r>
      <w:r w:rsidRPr="008147DC">
        <w:rPr>
          <w:lang w:eastAsia="zh-TW"/>
        </w:rPr>
        <w:t>。因為上述</w:t>
      </w:r>
      <w:r w:rsidRPr="008147DC">
        <w:rPr>
          <w:lang w:eastAsia="zh-TW"/>
        </w:rPr>
        <w:t>3</w:t>
      </w:r>
      <w:r w:rsidRPr="008147DC">
        <w:rPr>
          <w:lang w:eastAsia="zh-TW"/>
        </w:rPr>
        <w:t>種不同之蒐集途徑，其題目大抵相近，但亦有若干之不同，故</w:t>
      </w:r>
      <w:r w:rsidRPr="008147DC">
        <w:rPr>
          <w:lang w:eastAsia="zh-TW"/>
        </w:rPr>
        <w:t>Glueck</w:t>
      </w:r>
      <w:r w:rsidRPr="008147DC">
        <w:rPr>
          <w:lang w:eastAsia="zh-TW"/>
        </w:rPr>
        <w:t>研究調查人員針對自陳、父母及老師進行調查蒐集所得到之樣本資料（非官方的少年非行），加以整合在一起，亦即，針對每一種之非正式官方非行，整合在一起；另外，亦調查樣本正式之官方犯罪行為﹙</w:t>
      </w:r>
      <w:r w:rsidRPr="008147DC">
        <w:rPr>
          <w:lang w:eastAsia="zh-TW"/>
        </w:rPr>
        <w:t>Sampson &amp; Laub, 1993: 48-52</w:t>
      </w:r>
      <w:r w:rsidRPr="008147DC">
        <w:rPr>
          <w:lang w:eastAsia="zh-TW"/>
        </w:rPr>
        <w:t>﹚。</w:t>
      </w:r>
    </w:p>
  </w:footnote>
  <w:footnote w:id="267">
    <w:p w:rsidR="00657FEF" w:rsidRPr="008147DC" w:rsidRDefault="00657FEF" w:rsidP="00992AB6">
      <w:pPr>
        <w:pStyle w:val="5"/>
        <w:rPr>
          <w:lang w:eastAsia="zh-TW"/>
        </w:rPr>
      </w:pPr>
      <w:r w:rsidRPr="004B4ED9">
        <w:rPr>
          <w:rStyle w:val="af7"/>
          <w:rFonts w:eastAsia="新細明體"/>
          <w:kern w:val="2"/>
          <w:szCs w:val="20"/>
        </w:rPr>
        <w:footnoteRef/>
      </w:r>
      <w:r w:rsidRPr="004B4ED9">
        <w:rPr>
          <w:rFonts w:ascii="Arial Unicode MS" w:eastAsia="新細明體" w:hAnsi="Arial Unicode MS"/>
          <w:color w:val="FF6600"/>
          <w:kern w:val="2"/>
          <w:lang w:eastAsia="zh-TW"/>
        </w:rPr>
        <w:t xml:space="preserve"> </w:t>
      </w:r>
      <w:r w:rsidRPr="008147DC">
        <w:rPr>
          <w:lang w:eastAsia="zh-TW"/>
        </w:rPr>
        <w:t>Gluecks</w:t>
      </w:r>
      <w:r w:rsidRPr="008147DC">
        <w:rPr>
          <w:lang w:eastAsia="zh-TW"/>
        </w:rPr>
        <w:t>夫婦之所以就上述二組少年，針對傳統上會影響少年非行之關鍵性犯罪學變項逐一進行配對，其最終目的，係欲證明少年非行及成人犯罪之成因，無法歸責於上述配對之項目，諸如：大都會中的貧民窟、年齡差異、種族或智力等。因本研究係屬縱貫性研究，故在樣本年齡為</w:t>
      </w:r>
      <w:r w:rsidRPr="008147DC">
        <w:rPr>
          <w:lang w:eastAsia="zh-TW"/>
        </w:rPr>
        <w:t>25</w:t>
      </w:r>
      <w:r w:rsidRPr="008147DC">
        <w:rPr>
          <w:lang w:eastAsia="zh-TW"/>
        </w:rPr>
        <w:t>及</w:t>
      </w:r>
      <w:r w:rsidRPr="008147DC">
        <w:rPr>
          <w:lang w:eastAsia="zh-TW"/>
        </w:rPr>
        <w:t>32</w:t>
      </w:r>
      <w:r w:rsidRPr="008147DC">
        <w:rPr>
          <w:lang w:eastAsia="zh-TW"/>
        </w:rPr>
        <w:t>歲時，另進行第二波及第三波之調查，以了解樣本成人社會鍵與成人犯行間之關連性（</w:t>
      </w:r>
      <w:r w:rsidRPr="008147DC">
        <w:rPr>
          <w:lang w:eastAsia="zh-TW"/>
        </w:rPr>
        <w:t>Sampson &amp; Laub, 1993: 27-29</w:t>
      </w:r>
      <w:r w:rsidRPr="008147DC">
        <w:rPr>
          <w:lang w:eastAsia="zh-TW"/>
        </w:rPr>
        <w:t>）。</w:t>
      </w:r>
    </w:p>
  </w:footnote>
  <w:footnote w:id="268">
    <w:p w:rsidR="00657FEF" w:rsidRPr="008147DC" w:rsidRDefault="00657FEF" w:rsidP="00992AB6">
      <w:pPr>
        <w:pStyle w:val="5"/>
        <w:rPr>
          <w:lang w:eastAsia="zh-TW"/>
        </w:rPr>
      </w:pPr>
      <w:r w:rsidRPr="004B4ED9">
        <w:rPr>
          <w:rStyle w:val="af7"/>
          <w:rFonts w:eastAsia="新細明體"/>
          <w:kern w:val="2"/>
          <w:szCs w:val="20"/>
        </w:rPr>
        <w:footnoteRef/>
      </w:r>
      <w:r w:rsidRPr="008147DC">
        <w:rPr>
          <w:lang w:eastAsia="zh-TW"/>
        </w:rPr>
        <w:t>對於</w:t>
      </w:r>
      <w:r w:rsidRPr="008147DC">
        <w:rPr>
          <w:lang w:eastAsia="zh-TW"/>
        </w:rPr>
        <w:t>32</w:t>
      </w:r>
      <w:r w:rsidRPr="008147DC">
        <w:rPr>
          <w:lang w:eastAsia="zh-TW"/>
        </w:rPr>
        <w:t>歲到</w:t>
      </w:r>
      <w:r w:rsidRPr="008147DC">
        <w:rPr>
          <w:lang w:eastAsia="zh-TW"/>
        </w:rPr>
        <w:t>45</w:t>
      </w:r>
      <w:r w:rsidRPr="008147DC">
        <w:rPr>
          <w:lang w:eastAsia="zh-TW"/>
        </w:rPr>
        <w:t>歲這個人生階段，</w:t>
      </w:r>
      <w:r w:rsidRPr="008147DC">
        <w:rPr>
          <w:lang w:eastAsia="zh-TW"/>
        </w:rPr>
        <w:t>Sampson &amp; Laub</w:t>
      </w:r>
      <w:r w:rsidRPr="008147DC">
        <w:rPr>
          <w:lang w:eastAsia="zh-TW"/>
        </w:rPr>
        <w:t>亦對每位樣本之刑事犯行紀錄加以編碼（</w:t>
      </w:r>
      <w:r w:rsidRPr="008147DC">
        <w:rPr>
          <w:lang w:eastAsia="zh-TW"/>
        </w:rPr>
        <w:t>code the criminal histories</w:t>
      </w:r>
      <w:r w:rsidRPr="008147DC">
        <w:rPr>
          <w:lang w:eastAsia="zh-TW"/>
        </w:rPr>
        <w:t>）。其方法為新創設一個</w:t>
      </w:r>
      <w:r w:rsidRPr="008147DC">
        <w:rPr>
          <w:lang w:eastAsia="zh-TW"/>
        </w:rPr>
        <w:t>2</w:t>
      </w:r>
      <w:r w:rsidRPr="008147DC">
        <w:rPr>
          <w:lang w:eastAsia="zh-TW"/>
        </w:rPr>
        <w:t>分變項，</w:t>
      </w:r>
      <w:r w:rsidRPr="008147DC">
        <w:rPr>
          <w:lang w:eastAsia="zh-TW"/>
        </w:rPr>
        <w:t>1</w:t>
      </w:r>
      <w:r w:rsidRPr="008147DC">
        <w:rPr>
          <w:lang w:eastAsia="zh-TW"/>
        </w:rPr>
        <w:t>代表在</w:t>
      </w:r>
      <w:r w:rsidRPr="008147DC">
        <w:rPr>
          <w:lang w:eastAsia="zh-TW"/>
        </w:rPr>
        <w:t>32</w:t>
      </w:r>
      <w:r w:rsidRPr="008147DC">
        <w:rPr>
          <w:lang w:eastAsia="zh-TW"/>
        </w:rPr>
        <w:t>至</w:t>
      </w:r>
      <w:r w:rsidRPr="008147DC">
        <w:rPr>
          <w:lang w:eastAsia="zh-TW"/>
        </w:rPr>
        <w:t>45</w:t>
      </w:r>
      <w:r w:rsidRPr="008147DC">
        <w:rPr>
          <w:lang w:eastAsia="zh-TW"/>
        </w:rPr>
        <w:t>歲時期，具有被逮捕之紀錄，而此時期之犯罪紀錄（被逮捕紀錄），則排除輕微之犯行，如輕微之交通違規行為</w:t>
      </w:r>
      <w:r w:rsidRPr="008147DC">
        <w:rPr>
          <w:lang w:eastAsia="zh-TW"/>
        </w:rPr>
        <w:t>(</w:t>
      </w:r>
      <w:r w:rsidRPr="008147DC">
        <w:rPr>
          <w:lang w:eastAsia="zh-TW"/>
        </w:rPr>
        <w:t>如逾期未換行、駕照</w:t>
      </w:r>
      <w:r w:rsidRPr="008147DC">
        <w:rPr>
          <w:lang w:eastAsia="zh-TW"/>
        </w:rPr>
        <w:t>)</w:t>
      </w:r>
      <w:r w:rsidRPr="008147DC">
        <w:rPr>
          <w:lang w:eastAsia="zh-TW"/>
        </w:rPr>
        <w:t>等，</w:t>
      </w:r>
      <w:r w:rsidRPr="008147DC">
        <w:rPr>
          <w:lang w:eastAsia="zh-TW"/>
        </w:rPr>
        <w:t>0</w:t>
      </w:r>
      <w:r w:rsidRPr="008147DC">
        <w:rPr>
          <w:lang w:eastAsia="zh-TW"/>
        </w:rPr>
        <w:t>則代表沒有被逮捕之紀錄。關於原始之資料，則係來自於由</w:t>
      </w:r>
      <w:r w:rsidRPr="008147DC">
        <w:rPr>
          <w:lang w:eastAsia="zh-TW"/>
        </w:rPr>
        <w:t>George Vaillant at Dartmouth College</w:t>
      </w:r>
      <w:r w:rsidRPr="008147DC">
        <w:rPr>
          <w:lang w:eastAsia="zh-TW"/>
        </w:rPr>
        <w:t>所保有之檔案，以及在</w:t>
      </w:r>
      <w:r w:rsidRPr="008147DC">
        <w:rPr>
          <w:lang w:eastAsia="zh-TW"/>
        </w:rPr>
        <w:t>Massachusetts</w:t>
      </w:r>
      <w:r w:rsidRPr="008147DC">
        <w:rPr>
          <w:lang w:eastAsia="zh-TW"/>
        </w:rPr>
        <w:t>州之官方刑事紀錄</w:t>
      </w:r>
      <w:r w:rsidRPr="008147DC">
        <w:rPr>
          <w:lang w:eastAsia="zh-TW"/>
        </w:rPr>
        <w:t xml:space="preserve"> (Sampson., &amp; Laub. 1993)</w:t>
      </w:r>
      <w:r w:rsidRPr="008147DC">
        <w:rPr>
          <w:lang w:eastAsia="zh-TW"/>
        </w:rPr>
        <w:t>。</w:t>
      </w:r>
    </w:p>
  </w:footnote>
  <w:footnote w:id="269">
    <w:p w:rsidR="00657FEF" w:rsidRPr="008147DC" w:rsidRDefault="00657FEF" w:rsidP="00992AB6">
      <w:pPr>
        <w:pStyle w:val="5"/>
        <w:rPr>
          <w:lang w:eastAsia="zh-TW"/>
        </w:rPr>
      </w:pPr>
      <w:r w:rsidRPr="002031B1">
        <w:rPr>
          <w:rStyle w:val="af7"/>
          <w:rFonts w:eastAsia="新細明體"/>
          <w:kern w:val="2"/>
          <w:szCs w:val="20"/>
        </w:rPr>
        <w:footnoteRef/>
      </w:r>
      <w:r w:rsidRPr="008147DC">
        <w:rPr>
          <w:lang w:eastAsia="zh-TW"/>
        </w:rPr>
        <w:t xml:space="preserve"> 1.</w:t>
      </w:r>
      <w:r w:rsidRPr="008147DC">
        <w:rPr>
          <w:lang w:eastAsia="zh-TW"/>
        </w:rPr>
        <w:t>關於</w:t>
      </w:r>
      <w:r w:rsidRPr="008147DC">
        <w:rPr>
          <w:lang w:eastAsia="zh-TW"/>
        </w:rPr>
        <w:t>Glueck UJD</w:t>
      </w:r>
      <w:r w:rsidRPr="008147DC">
        <w:rPr>
          <w:lang w:eastAsia="zh-TW"/>
        </w:rPr>
        <w:t>資料的回復（</w:t>
      </w:r>
      <w:r w:rsidRPr="008147DC">
        <w:rPr>
          <w:lang w:eastAsia="zh-TW"/>
        </w:rPr>
        <w:t>restore</w:t>
      </w:r>
      <w:r w:rsidRPr="008147DC">
        <w:rPr>
          <w:lang w:eastAsia="zh-TW"/>
        </w:rPr>
        <w:t>）﹙</w:t>
      </w:r>
      <w:r w:rsidRPr="008147DC">
        <w:rPr>
          <w:lang w:eastAsia="zh-TW"/>
        </w:rPr>
        <w:t>Sampson &amp; Laub, 1993: 47-48</w:t>
      </w:r>
      <w:r w:rsidRPr="008147DC">
        <w:rPr>
          <w:lang w:eastAsia="zh-TW"/>
        </w:rPr>
        <w:t>﹚：</w:t>
      </w:r>
      <w:r w:rsidRPr="008147DC">
        <w:rPr>
          <w:lang w:eastAsia="zh-TW"/>
        </w:rPr>
        <w:t>Sampson &amp; Laub</w:t>
      </w:r>
      <w:r w:rsidRPr="008147DC">
        <w:rPr>
          <w:lang w:eastAsia="zh-TW"/>
        </w:rPr>
        <w:t>在</w:t>
      </w:r>
      <w:r w:rsidRPr="008147DC">
        <w:rPr>
          <w:lang w:eastAsia="zh-TW"/>
        </w:rPr>
        <w:t>UJD</w:t>
      </w:r>
      <w:r w:rsidRPr="008147DC">
        <w:rPr>
          <w:lang w:eastAsia="zh-TW"/>
        </w:rPr>
        <w:t>及其後續研究中，首先，其發現有好幾箱的電腦卡片。在進行資料回復之際，要面對的，就是「編碼」的問題，</w:t>
      </w:r>
      <w:r w:rsidRPr="008147DC">
        <w:rPr>
          <w:lang w:eastAsia="zh-TW"/>
        </w:rPr>
        <w:t>Sampson</w:t>
      </w:r>
      <w:r w:rsidRPr="008147DC">
        <w:rPr>
          <w:lang w:eastAsia="zh-TW"/>
        </w:rPr>
        <w:t>等人先利用</w:t>
      </w:r>
      <w:r w:rsidRPr="008147DC">
        <w:rPr>
          <w:lang w:eastAsia="zh-TW"/>
        </w:rPr>
        <w:t>Glueck</w:t>
      </w:r>
      <w:r w:rsidRPr="008147DC">
        <w:rPr>
          <w:lang w:eastAsia="zh-TW"/>
        </w:rPr>
        <w:t>的電腦卡片，建立一個電腦的資料庫。不過，</w:t>
      </w:r>
      <w:r w:rsidRPr="008147DC">
        <w:rPr>
          <w:lang w:eastAsia="zh-TW"/>
        </w:rPr>
        <w:t xml:space="preserve">Sampson &amp; Laub </w:t>
      </w:r>
      <w:r w:rsidRPr="008147DC">
        <w:rPr>
          <w:lang w:eastAsia="zh-TW"/>
        </w:rPr>
        <w:t>面臨之困境，係</w:t>
      </w:r>
      <w:r w:rsidRPr="008147DC">
        <w:rPr>
          <w:lang w:eastAsia="zh-TW"/>
        </w:rPr>
        <w:t>Glueck</w:t>
      </w:r>
      <w:r w:rsidRPr="008147DC">
        <w:rPr>
          <w:lang w:eastAsia="zh-TW"/>
        </w:rPr>
        <w:t>時代的電腦卡片，是非常的老舊，且在電腦卡片之中，是有「多孔」（</w:t>
      </w:r>
      <w:r w:rsidRPr="008147DC">
        <w:rPr>
          <w:lang w:eastAsia="zh-TW"/>
        </w:rPr>
        <w:t>multiple punches</w:t>
      </w:r>
      <w:r w:rsidRPr="008147DC">
        <w:rPr>
          <w:lang w:eastAsia="zh-TW"/>
        </w:rPr>
        <w:t>）之設計，而現代化的電腦卡片讀取機卻是無法讀取舊式的多孔電腦卡片。面對此一難題，</w:t>
      </w:r>
      <w:r w:rsidRPr="008147DC">
        <w:rPr>
          <w:lang w:eastAsia="zh-TW"/>
        </w:rPr>
        <w:t>Sampson</w:t>
      </w:r>
      <w:r w:rsidRPr="008147DC">
        <w:rPr>
          <w:lang w:eastAsia="zh-TW"/>
        </w:rPr>
        <w:t>等人採用一種策略，即將這些以前的資料加以「電腦化」。最後，他們總計讀取了</w:t>
      </w:r>
      <w:r w:rsidRPr="008147DC">
        <w:rPr>
          <w:lang w:eastAsia="zh-TW"/>
        </w:rPr>
        <w:t>15000</w:t>
      </w:r>
      <w:r w:rsidRPr="008147DC">
        <w:rPr>
          <w:lang w:eastAsia="zh-TW"/>
        </w:rPr>
        <w:t>張</w:t>
      </w:r>
      <w:r w:rsidRPr="008147DC">
        <w:rPr>
          <w:lang w:eastAsia="zh-TW"/>
        </w:rPr>
        <w:t>Glueck</w:t>
      </w:r>
      <w:r w:rsidRPr="008147DC">
        <w:rPr>
          <w:lang w:eastAsia="zh-TW"/>
        </w:rPr>
        <w:t>的多孔電腦卡片，其所花費的時間，約在</w:t>
      </w:r>
      <w:r w:rsidRPr="008147DC">
        <w:rPr>
          <w:lang w:eastAsia="zh-TW"/>
        </w:rPr>
        <w:t>1</w:t>
      </w:r>
      <w:r w:rsidRPr="008147DC">
        <w:rPr>
          <w:lang w:eastAsia="zh-TW"/>
        </w:rPr>
        <w:t>年左右。透過上述的策略，</w:t>
      </w:r>
      <w:r w:rsidRPr="008147DC">
        <w:rPr>
          <w:lang w:eastAsia="zh-TW"/>
        </w:rPr>
        <w:t>Sampson &amp; Laub</w:t>
      </w:r>
      <w:r w:rsidRPr="008147DC">
        <w:rPr>
          <w:lang w:eastAsia="zh-TW"/>
        </w:rPr>
        <w:t>等人終於取得廣泛的資料，其變項超過</w:t>
      </w:r>
      <w:r w:rsidRPr="008147DC">
        <w:rPr>
          <w:lang w:eastAsia="zh-TW"/>
        </w:rPr>
        <w:t>2500</w:t>
      </w:r>
      <w:r w:rsidRPr="008147DC">
        <w:rPr>
          <w:lang w:eastAsia="zh-TW"/>
        </w:rPr>
        <w:t>個</w:t>
      </w:r>
      <w:r w:rsidRPr="008147DC">
        <w:rPr>
          <w:lang w:eastAsia="zh-TW"/>
        </w:rPr>
        <w:t>(Sampson., &amp; Laub. 1993)</w:t>
      </w:r>
      <w:r w:rsidRPr="008147DC">
        <w:rPr>
          <w:lang w:eastAsia="zh-TW"/>
        </w:rPr>
        <w:t>。</w:t>
      </w:r>
      <w:r w:rsidRPr="008147DC">
        <w:rPr>
          <w:lang w:eastAsia="zh-TW"/>
        </w:rPr>
        <w:t>2.</w:t>
      </w:r>
      <w:r w:rsidRPr="008147DC">
        <w:rPr>
          <w:lang w:eastAsia="zh-TW"/>
        </w:rPr>
        <w:t>關於</w:t>
      </w:r>
      <w:r w:rsidRPr="008147DC">
        <w:rPr>
          <w:lang w:eastAsia="zh-TW"/>
        </w:rPr>
        <w:t>UJD</w:t>
      </w:r>
      <w:r w:rsidRPr="008147DC">
        <w:rPr>
          <w:lang w:eastAsia="zh-TW"/>
        </w:rPr>
        <w:t>的效度（</w:t>
      </w:r>
      <w:r w:rsidRPr="008147DC">
        <w:rPr>
          <w:lang w:eastAsia="zh-TW"/>
        </w:rPr>
        <w:t>validation</w:t>
      </w:r>
      <w:r w:rsidRPr="008147DC">
        <w:rPr>
          <w:lang w:eastAsia="zh-TW"/>
        </w:rPr>
        <w:t>）﹙</w:t>
      </w:r>
      <w:r w:rsidRPr="008147DC">
        <w:rPr>
          <w:lang w:eastAsia="zh-TW"/>
        </w:rPr>
        <w:t>Sampson &amp; Laub, 1993: 47-48</w:t>
      </w:r>
      <w:r w:rsidRPr="008147DC">
        <w:rPr>
          <w:lang w:eastAsia="zh-TW"/>
        </w:rPr>
        <w:t>﹚：</w:t>
      </w:r>
      <w:r w:rsidRPr="008147DC">
        <w:rPr>
          <w:lang w:eastAsia="zh-TW"/>
        </w:rPr>
        <w:t>Sampson</w:t>
      </w:r>
      <w:r w:rsidRPr="008147DC">
        <w:rPr>
          <w:lang w:eastAsia="zh-TW"/>
        </w:rPr>
        <w:t>等人將超過</w:t>
      </w:r>
      <w:r w:rsidRPr="008147DC">
        <w:rPr>
          <w:lang w:eastAsia="zh-TW"/>
        </w:rPr>
        <w:t>2500</w:t>
      </w:r>
      <w:r w:rsidRPr="008147DC">
        <w:rPr>
          <w:lang w:eastAsia="zh-TW"/>
        </w:rPr>
        <w:t>個的變項，假若可能的話，就將上述變項進行「百分比」（</w:t>
      </w:r>
      <w:r w:rsidRPr="008147DC">
        <w:rPr>
          <w:lang w:eastAsia="zh-TW"/>
        </w:rPr>
        <w:t>frequencies</w:t>
      </w:r>
      <w:r w:rsidRPr="008147DC">
        <w:rPr>
          <w:lang w:eastAsia="zh-TW"/>
        </w:rPr>
        <w:t>）之分析，之後，將上述百分比，與</w:t>
      </w:r>
      <w:r w:rsidRPr="008147DC">
        <w:rPr>
          <w:lang w:eastAsia="zh-TW"/>
        </w:rPr>
        <w:t>Glueck</w:t>
      </w:r>
      <w:r w:rsidRPr="008147DC">
        <w:rPr>
          <w:lang w:eastAsia="zh-TW"/>
        </w:rPr>
        <w:t>已經出版之數據進行比對。之後，將上述超過</w:t>
      </w:r>
      <w:r w:rsidRPr="008147DC">
        <w:rPr>
          <w:lang w:eastAsia="zh-TW"/>
        </w:rPr>
        <w:t>2500</w:t>
      </w:r>
      <w:r w:rsidRPr="008147DC">
        <w:rPr>
          <w:lang w:eastAsia="zh-TW"/>
        </w:rPr>
        <w:t>個變項的百分比分析，逐個變項（逐欄位）與哈佛法學院中所保有的最原始</w:t>
      </w:r>
      <w:r w:rsidRPr="008147DC">
        <w:rPr>
          <w:lang w:eastAsia="zh-TW"/>
        </w:rPr>
        <w:t>IBM</w:t>
      </w:r>
      <w:r w:rsidRPr="008147DC">
        <w:rPr>
          <w:lang w:eastAsia="zh-TW"/>
        </w:rPr>
        <w:t>電腦報表作比對。這些原始的</w:t>
      </w:r>
      <w:r w:rsidRPr="008147DC">
        <w:rPr>
          <w:lang w:eastAsia="zh-TW"/>
        </w:rPr>
        <w:t>IBM</w:t>
      </w:r>
      <w:r w:rsidRPr="008147DC">
        <w:rPr>
          <w:lang w:eastAsia="zh-TW"/>
        </w:rPr>
        <w:t>電腦報表，其包含原始變項（逐欄）的次數分配，而且，這些原始的次數分配，係用親筆寫的（</w:t>
      </w:r>
      <w:r w:rsidRPr="008147DC">
        <w:rPr>
          <w:lang w:eastAsia="zh-TW"/>
        </w:rPr>
        <w:t>handwritten</w:t>
      </w:r>
      <w:r w:rsidRPr="008147DC">
        <w:rPr>
          <w:lang w:eastAsia="zh-TW"/>
        </w:rPr>
        <w:t>）。同時，並從樣本之中，隨機抽取</w:t>
      </w:r>
      <w:r w:rsidRPr="008147DC">
        <w:rPr>
          <w:lang w:eastAsia="zh-TW"/>
        </w:rPr>
        <w:t>10%</w:t>
      </w:r>
      <w:r w:rsidRPr="008147DC">
        <w:rPr>
          <w:lang w:eastAsia="zh-TW"/>
        </w:rPr>
        <w:t>的樣本，再與</w:t>
      </w:r>
      <w:r w:rsidRPr="008147DC">
        <w:rPr>
          <w:lang w:eastAsia="zh-TW"/>
        </w:rPr>
        <w:t>Glueck</w:t>
      </w:r>
      <w:r w:rsidRPr="008147DC">
        <w:rPr>
          <w:lang w:eastAsia="zh-TW"/>
        </w:rPr>
        <w:t>原始訪談檔案作比對，檢視每一個變項的數值（</w:t>
      </w:r>
      <w:r w:rsidRPr="008147DC">
        <w:rPr>
          <w:lang w:eastAsia="zh-TW"/>
        </w:rPr>
        <w:t>the value for each variable</w:t>
      </w:r>
      <w:r w:rsidRPr="008147DC">
        <w:rPr>
          <w:lang w:eastAsia="zh-TW"/>
        </w:rPr>
        <w:t>）是否一致﹖在效度的建構方面，</w:t>
      </w:r>
      <w:r w:rsidRPr="008147DC">
        <w:rPr>
          <w:lang w:eastAsia="zh-TW"/>
        </w:rPr>
        <w:t>Sampson</w:t>
      </w:r>
      <w:r w:rsidRPr="008147DC">
        <w:rPr>
          <w:lang w:eastAsia="zh-TW"/>
        </w:rPr>
        <w:t>等人對於資料效度之建構，係針對「非行少年」組而作的，結果發現，其用現代電腦成功地讀取</w:t>
      </w:r>
      <w:r w:rsidRPr="008147DC">
        <w:rPr>
          <w:lang w:eastAsia="zh-TW"/>
        </w:rPr>
        <w:t>15000</w:t>
      </w:r>
      <w:r w:rsidRPr="008147DC">
        <w:rPr>
          <w:lang w:eastAsia="zh-TW"/>
        </w:rPr>
        <w:t>張卡片，而其所建構超過</w:t>
      </w:r>
      <w:r w:rsidRPr="008147DC">
        <w:rPr>
          <w:lang w:eastAsia="zh-TW"/>
        </w:rPr>
        <w:t>2600</w:t>
      </w:r>
      <w:r w:rsidRPr="008147DC">
        <w:rPr>
          <w:lang w:eastAsia="zh-TW"/>
        </w:rPr>
        <w:t>個之變項，與原始資料相比較之結果，一致性是異常地高，其有超過</w:t>
      </w:r>
      <w:r w:rsidRPr="008147DC">
        <w:rPr>
          <w:lang w:eastAsia="zh-TW"/>
        </w:rPr>
        <w:t>98%</w:t>
      </w:r>
      <w:r w:rsidRPr="008147DC">
        <w:rPr>
          <w:lang w:eastAsia="zh-TW"/>
        </w:rPr>
        <w:t>的一致性（</w:t>
      </w:r>
      <w:r w:rsidRPr="008147DC">
        <w:rPr>
          <w:lang w:eastAsia="zh-TW"/>
        </w:rPr>
        <w:t>98% or higher for the 2600 variables we examined</w:t>
      </w:r>
      <w:r w:rsidRPr="008147DC">
        <w:rPr>
          <w:lang w:eastAsia="zh-TW"/>
        </w:rPr>
        <w:t>）。因為</w:t>
      </w:r>
      <w:r w:rsidRPr="008147DC">
        <w:rPr>
          <w:lang w:eastAsia="zh-TW"/>
        </w:rPr>
        <w:t>Gluecks</w:t>
      </w:r>
      <w:r w:rsidRPr="008147DC">
        <w:rPr>
          <w:lang w:eastAsia="zh-TW"/>
        </w:rPr>
        <w:t>從父母、老師及樣本本身自陳報告蒐集少年之非行，故，</w:t>
      </w:r>
      <w:r w:rsidRPr="008147DC">
        <w:rPr>
          <w:lang w:eastAsia="zh-TW"/>
        </w:rPr>
        <w:t xml:space="preserve">Sampson </w:t>
      </w:r>
      <w:r w:rsidRPr="008147DC">
        <w:rPr>
          <w:lang w:eastAsia="zh-TW"/>
        </w:rPr>
        <w:t>等人可對上述</w:t>
      </w:r>
      <w:r w:rsidRPr="008147DC">
        <w:rPr>
          <w:lang w:eastAsia="zh-TW"/>
        </w:rPr>
        <w:t>3</w:t>
      </w:r>
      <w:r w:rsidRPr="008147DC">
        <w:rPr>
          <w:lang w:eastAsia="zh-TW"/>
        </w:rPr>
        <w:t>種的資料，進行相關分析，以確保資料之一致性。</w:t>
      </w:r>
      <w:r w:rsidRPr="008147DC">
        <w:rPr>
          <w:lang w:eastAsia="zh-TW"/>
        </w:rPr>
        <w:t>Kiecolt</w:t>
      </w:r>
      <w:r w:rsidRPr="008147DC">
        <w:rPr>
          <w:lang w:eastAsia="zh-TW"/>
        </w:rPr>
        <w:t>及</w:t>
      </w:r>
      <w:r w:rsidRPr="008147DC">
        <w:rPr>
          <w:lang w:eastAsia="zh-TW"/>
        </w:rPr>
        <w:t>Nathan</w:t>
      </w:r>
      <w:r w:rsidRPr="008147DC">
        <w:rPr>
          <w:lang w:eastAsia="zh-TW"/>
        </w:rPr>
        <w:t>（</w:t>
      </w:r>
      <w:r w:rsidRPr="008147DC">
        <w:rPr>
          <w:lang w:eastAsia="zh-TW"/>
        </w:rPr>
        <w:t>1985</w:t>
      </w:r>
      <w:r w:rsidRPr="008147DC">
        <w:rPr>
          <w:lang w:eastAsia="zh-TW"/>
        </w:rPr>
        <w:t>）指出，假若研究人員能對不同、獨立的資料蒐集來源（在</w:t>
      </w:r>
      <w:r w:rsidRPr="008147DC">
        <w:rPr>
          <w:lang w:eastAsia="zh-TW"/>
        </w:rPr>
        <w:t>Glueck</w:t>
      </w:r>
      <w:r w:rsidRPr="008147DC">
        <w:rPr>
          <w:lang w:eastAsia="zh-TW"/>
        </w:rPr>
        <w:t>之</w:t>
      </w:r>
      <w:r w:rsidRPr="008147DC">
        <w:rPr>
          <w:lang w:eastAsia="zh-TW"/>
        </w:rPr>
        <w:t>UJD</w:t>
      </w:r>
      <w:r w:rsidRPr="008147DC">
        <w:rPr>
          <w:lang w:eastAsia="zh-TW"/>
        </w:rPr>
        <w:t>中係為父母、老師、少年自陳報告、警察局紀錄、法院判決）進行評估，當上述不同來源之資料，其結果若是相似時，則研究人員對於資料效度（</w:t>
      </w:r>
      <w:r w:rsidRPr="008147DC">
        <w:rPr>
          <w:lang w:eastAsia="zh-TW"/>
        </w:rPr>
        <w:t>validity</w:t>
      </w:r>
      <w:r w:rsidRPr="008147DC">
        <w:rPr>
          <w:lang w:eastAsia="zh-TW"/>
        </w:rPr>
        <w:t>）的自信心就會自然地提升（</w:t>
      </w:r>
      <w:r w:rsidRPr="008147DC">
        <w:rPr>
          <w:lang w:eastAsia="zh-TW"/>
        </w:rPr>
        <w:t>increase</w:t>
      </w:r>
      <w:r w:rsidRPr="008147DC">
        <w:rPr>
          <w:lang w:eastAsia="zh-TW"/>
        </w:rPr>
        <w:t>）</w:t>
      </w:r>
      <w:r w:rsidRPr="008147DC">
        <w:rPr>
          <w:lang w:eastAsia="zh-TW"/>
        </w:rPr>
        <w:t>(Sampson., &amp; Laub. 1993)</w:t>
      </w:r>
      <w:r w:rsidRPr="008147DC">
        <w:rPr>
          <w:lang w:eastAsia="zh-TW"/>
        </w:rPr>
        <w:t>。</w:t>
      </w:r>
      <w:r w:rsidRPr="008147DC">
        <w:rPr>
          <w:lang w:eastAsia="zh-TW"/>
        </w:rPr>
        <w:t>3.</w:t>
      </w:r>
      <w:r w:rsidRPr="008147DC">
        <w:rPr>
          <w:lang w:eastAsia="zh-TW"/>
        </w:rPr>
        <w:t>樣本刑事紀錄之重新建構與補充﹙</w:t>
      </w:r>
      <w:r w:rsidRPr="008147DC">
        <w:rPr>
          <w:lang w:eastAsia="zh-TW"/>
        </w:rPr>
        <w:t>Sampson &amp; Laub, 1993: 55-57</w:t>
      </w:r>
      <w:r w:rsidRPr="008147DC">
        <w:rPr>
          <w:lang w:eastAsia="zh-TW"/>
        </w:rPr>
        <w:t>﹚：關於每位樣本刑事紀錄的蒐集，係來自於警察局、法院及矯治機構的刑事紀錄檔，其涵蓋之時程範圍，從樣本第一次被逮補至</w:t>
      </w:r>
      <w:r w:rsidRPr="008147DC">
        <w:rPr>
          <w:lang w:eastAsia="zh-TW"/>
        </w:rPr>
        <w:t>32</w:t>
      </w:r>
      <w:r w:rsidRPr="008147DC">
        <w:rPr>
          <w:lang w:eastAsia="zh-TW"/>
        </w:rPr>
        <w:t>歲。不過，很不幸地，</w:t>
      </w:r>
      <w:r w:rsidRPr="008147DC">
        <w:rPr>
          <w:lang w:eastAsia="zh-TW"/>
        </w:rPr>
        <w:t>Gluecks</w:t>
      </w:r>
      <w:r w:rsidRPr="008147DC">
        <w:rPr>
          <w:lang w:eastAsia="zh-TW"/>
        </w:rPr>
        <w:t>夫婦研究樣本之刑事歷史資料，結果發現其編碼模式無法被現代</w:t>
      </w:r>
      <w:r w:rsidRPr="008147DC">
        <w:rPr>
          <w:lang w:eastAsia="zh-TW"/>
        </w:rPr>
        <w:t>20</w:t>
      </w:r>
      <w:r w:rsidRPr="008147DC">
        <w:rPr>
          <w:lang w:eastAsia="zh-TW"/>
        </w:rPr>
        <w:t>世紀之統計電腦軟體直接加以讀取。例如，</w:t>
      </w:r>
      <w:r w:rsidRPr="008147DC">
        <w:rPr>
          <w:lang w:eastAsia="zh-TW"/>
        </w:rPr>
        <w:t>Glueck</w:t>
      </w:r>
      <w:r w:rsidRPr="008147DC">
        <w:rPr>
          <w:lang w:eastAsia="zh-TW"/>
        </w:rPr>
        <w:t>夫婦對於樣本因特殊犯罪類型而遭受逮捕的詳細次數，其並未加以編碼。更甚者，又對樣本所從事之犯行次數，</w:t>
      </w:r>
      <w:r w:rsidRPr="008147DC">
        <w:rPr>
          <w:lang w:eastAsia="zh-TW"/>
        </w:rPr>
        <w:t>Glueck</w:t>
      </w:r>
      <w:r w:rsidRPr="008147DC">
        <w:rPr>
          <w:lang w:eastAsia="zh-TW"/>
        </w:rPr>
        <w:t>夫婦利用「類別」（</w:t>
      </w:r>
      <w:r w:rsidRPr="008147DC">
        <w:rPr>
          <w:lang w:eastAsia="zh-TW"/>
        </w:rPr>
        <w:t>Category</w:t>
      </w:r>
      <w:r w:rsidRPr="008147DC">
        <w:rPr>
          <w:lang w:eastAsia="zh-TW"/>
        </w:rPr>
        <w:t>）來代表犯行之次數，並且，關於被逮捕次數最大值之輸入，亦限制至</w:t>
      </w:r>
      <w:r w:rsidRPr="008147DC">
        <w:rPr>
          <w:lang w:eastAsia="zh-TW"/>
        </w:rPr>
        <w:t>13</w:t>
      </w:r>
      <w:r w:rsidRPr="008147DC">
        <w:rPr>
          <w:lang w:eastAsia="zh-TW"/>
        </w:rPr>
        <w:t>次止。若超過</w:t>
      </w:r>
      <w:r w:rsidRPr="008147DC">
        <w:rPr>
          <w:lang w:eastAsia="zh-TW"/>
        </w:rPr>
        <w:t>13</w:t>
      </w:r>
      <w:r w:rsidRPr="008147DC">
        <w:rPr>
          <w:lang w:eastAsia="zh-TW"/>
        </w:rPr>
        <w:t>次，則未輸入。另外之缺點，他們亦未輸入樣本被逮捕之日期，亦即，關於被逮捕之日期，未進行編碼，亦未輸入電腦。關於樣本被監禁之日期，亦未編碼與輸入電腦統計軟體之內。雖然</w:t>
      </w:r>
      <w:r w:rsidRPr="008147DC">
        <w:rPr>
          <w:lang w:eastAsia="zh-TW"/>
        </w:rPr>
        <w:t>Glueck</w:t>
      </w:r>
      <w:r w:rsidRPr="008147DC">
        <w:rPr>
          <w:lang w:eastAsia="zh-TW"/>
        </w:rPr>
        <w:t>之資料具有上述的缺點，不過，上述的所有資料，卻可在樣本原始檔案紀錄中找到，</w:t>
      </w:r>
      <w:r w:rsidRPr="008147DC">
        <w:rPr>
          <w:lang w:eastAsia="zh-TW"/>
        </w:rPr>
        <w:t>Sampson &amp; Laub</w:t>
      </w:r>
      <w:r w:rsidRPr="008147DC">
        <w:rPr>
          <w:lang w:eastAsia="zh-TW"/>
        </w:rPr>
        <w:t>為了能順利地進行再次分析，因此，便利用</w:t>
      </w:r>
      <w:r w:rsidRPr="008147DC">
        <w:rPr>
          <w:lang w:eastAsia="zh-TW"/>
        </w:rPr>
        <w:t>Glueck</w:t>
      </w:r>
      <w:r w:rsidRPr="008147DC">
        <w:rPr>
          <w:lang w:eastAsia="zh-TW"/>
        </w:rPr>
        <w:t>之原始資料，重新再一次加以編碼（</w:t>
      </w:r>
      <w:r w:rsidRPr="008147DC">
        <w:rPr>
          <w:lang w:eastAsia="zh-TW"/>
        </w:rPr>
        <w:t>recoding of raw date</w:t>
      </w:r>
      <w:r w:rsidRPr="008147DC">
        <w:rPr>
          <w:lang w:eastAsia="zh-TW"/>
        </w:rPr>
        <w:t>），使其成為現代統計軟體能讀取之格式。</w:t>
      </w:r>
      <w:r w:rsidRPr="008147DC">
        <w:rPr>
          <w:lang w:eastAsia="zh-TW"/>
        </w:rPr>
        <w:t>Sampson &amp; Laub</w:t>
      </w:r>
      <w:r w:rsidRPr="008147DC">
        <w:rPr>
          <w:lang w:eastAsia="zh-TW"/>
        </w:rPr>
        <w:t>利用</w:t>
      </w:r>
      <w:r w:rsidRPr="008147DC">
        <w:rPr>
          <w:lang w:eastAsia="zh-TW"/>
        </w:rPr>
        <w:t>2</w:t>
      </w:r>
      <w:r w:rsidRPr="008147DC">
        <w:rPr>
          <w:lang w:eastAsia="zh-TW"/>
        </w:rPr>
        <w:t>年的時間，針對</w:t>
      </w:r>
      <w:r w:rsidRPr="008147DC">
        <w:rPr>
          <w:lang w:eastAsia="zh-TW"/>
        </w:rPr>
        <w:t>480</w:t>
      </w:r>
      <w:r w:rsidRPr="008147DC">
        <w:rPr>
          <w:lang w:eastAsia="zh-TW"/>
        </w:rPr>
        <w:t>位原始非行少年從其第一次逮捕年齡至</w:t>
      </w:r>
      <w:r w:rsidRPr="008147DC">
        <w:rPr>
          <w:lang w:eastAsia="zh-TW"/>
        </w:rPr>
        <w:t>32</w:t>
      </w:r>
      <w:r w:rsidRPr="008147DC">
        <w:rPr>
          <w:lang w:eastAsia="zh-TW"/>
        </w:rPr>
        <w:t>歲之完整刑案紀錄檔案，重新編錄。在</w:t>
      </w:r>
      <w:r w:rsidRPr="008147DC">
        <w:rPr>
          <w:lang w:eastAsia="zh-TW"/>
        </w:rPr>
        <w:t>2</w:t>
      </w:r>
      <w:r w:rsidRPr="008147DC">
        <w:rPr>
          <w:lang w:eastAsia="zh-TW"/>
        </w:rPr>
        <w:t>年時間內，</w:t>
      </w:r>
      <w:r w:rsidRPr="008147DC">
        <w:rPr>
          <w:lang w:eastAsia="zh-TW"/>
        </w:rPr>
        <w:t>Sampson</w:t>
      </w:r>
      <w:r w:rsidRPr="008147DC">
        <w:rPr>
          <w:lang w:eastAsia="zh-TW"/>
        </w:rPr>
        <w:t>等人從</w:t>
      </w:r>
      <w:r w:rsidRPr="008147DC">
        <w:rPr>
          <w:lang w:eastAsia="zh-TW"/>
        </w:rPr>
        <w:t>Glueck</w:t>
      </w:r>
      <w:r w:rsidRPr="008147DC">
        <w:rPr>
          <w:lang w:eastAsia="zh-TW"/>
        </w:rPr>
        <w:t>之樣本資料中，重新整理後，計歸整</w:t>
      </w:r>
      <w:r w:rsidRPr="008147DC">
        <w:rPr>
          <w:lang w:eastAsia="zh-TW"/>
        </w:rPr>
        <w:t>6300</w:t>
      </w:r>
      <w:r w:rsidRPr="008147DC">
        <w:rPr>
          <w:lang w:eastAsia="zh-TW"/>
        </w:rPr>
        <w:t>次之逮捕罪行，針對每一個逮捕事件，重新編碼以下之資料：逮捕日期、犯行種類、被逮捕時間之順序、所有刑事司法介入處遇的日期及種類，以及監禁之正確日期。經過</w:t>
      </w:r>
      <w:r w:rsidRPr="008147DC">
        <w:rPr>
          <w:lang w:eastAsia="zh-TW"/>
        </w:rPr>
        <w:t>2</w:t>
      </w:r>
      <w:r w:rsidRPr="008147DC">
        <w:rPr>
          <w:lang w:eastAsia="zh-TW"/>
        </w:rPr>
        <w:t>年的重新編碼，計重新分類近</w:t>
      </w:r>
      <w:r w:rsidRPr="008147DC">
        <w:rPr>
          <w:lang w:eastAsia="zh-TW"/>
        </w:rPr>
        <w:t>60</w:t>
      </w:r>
      <w:r w:rsidRPr="008147DC">
        <w:rPr>
          <w:lang w:eastAsia="zh-TW"/>
        </w:rPr>
        <w:t>種不同之犯行及超過</w:t>
      </w:r>
      <w:r w:rsidRPr="008147DC">
        <w:rPr>
          <w:lang w:eastAsia="zh-TW"/>
        </w:rPr>
        <w:t>20</w:t>
      </w:r>
      <w:r w:rsidRPr="008147DC">
        <w:rPr>
          <w:lang w:eastAsia="zh-TW"/>
        </w:rPr>
        <w:t>種不同的處置﹙</w:t>
      </w:r>
      <w:r w:rsidRPr="008147DC">
        <w:rPr>
          <w:lang w:eastAsia="zh-TW"/>
        </w:rPr>
        <w:t>Sampson &amp; Laub, 1993: 55-57</w:t>
      </w:r>
      <w:r w:rsidRPr="008147DC">
        <w:rPr>
          <w:lang w:eastAsia="zh-TW"/>
        </w:rPr>
        <w:t>﹚。</w:t>
      </w:r>
    </w:p>
  </w:footnote>
  <w:footnote w:id="270">
    <w:p w:rsidR="00657FEF" w:rsidRPr="008147DC" w:rsidRDefault="00657FEF" w:rsidP="00992AB6">
      <w:pPr>
        <w:pStyle w:val="5"/>
        <w:rPr>
          <w:lang w:eastAsia="zh-TW"/>
        </w:rPr>
      </w:pPr>
      <w:r w:rsidRPr="002031B1">
        <w:rPr>
          <w:rStyle w:val="af7"/>
          <w:rFonts w:eastAsia="新細明體"/>
          <w:kern w:val="2"/>
          <w:szCs w:val="20"/>
        </w:rPr>
        <w:footnoteRef/>
      </w:r>
      <w:r w:rsidRPr="008147DC">
        <w:rPr>
          <w:lang w:eastAsia="zh-TW"/>
        </w:rPr>
        <w:t>對於街頭流浪漢，此處係指原先之樣本，長大後成為流浪街頭者，亦無法施測其工作穩定及夫妻附著情形。對於無法測量成人社會鍵的樣本，諸如長期服徒刑之受刑人，軍人或是流浪漢，因其遺漏一個或更多個的關鍵測量變項，故有必要排除（</w:t>
      </w:r>
      <w:r w:rsidRPr="008147DC">
        <w:rPr>
          <w:lang w:eastAsia="zh-TW"/>
        </w:rPr>
        <w:t>exclude cases</w:t>
      </w:r>
      <w:r w:rsidRPr="008147DC">
        <w:rPr>
          <w:lang w:eastAsia="zh-TW"/>
        </w:rPr>
        <w:t>）。但因所排除之樣本，其大多具有刑事犯行，此種排除，並不是隨機排除。另外，軍人之特性，是否同於非軍人之樣本呢﹖易造成選樣之偏差。為了解決樣本之選取偏誤問題，</w:t>
      </w:r>
      <w:r w:rsidRPr="008147DC">
        <w:rPr>
          <w:lang w:eastAsia="zh-TW"/>
        </w:rPr>
        <w:t>Sampson</w:t>
      </w:r>
      <w:r w:rsidRPr="008147DC">
        <w:rPr>
          <w:lang w:eastAsia="zh-TW"/>
        </w:rPr>
        <w:t>首先新創設一個</w:t>
      </w:r>
      <w:r w:rsidRPr="008147DC">
        <w:rPr>
          <w:lang w:eastAsia="zh-TW"/>
        </w:rPr>
        <w:t>2</w:t>
      </w:r>
      <w:r w:rsidRPr="008147DC">
        <w:rPr>
          <w:lang w:eastAsia="zh-TW"/>
        </w:rPr>
        <w:t>分變項，假若樣本在</w:t>
      </w:r>
      <w:r w:rsidRPr="008147DC">
        <w:rPr>
          <w:lang w:eastAsia="zh-TW"/>
        </w:rPr>
        <w:t>25</w:t>
      </w:r>
      <w:r w:rsidRPr="008147DC">
        <w:rPr>
          <w:lang w:eastAsia="zh-TW"/>
        </w:rPr>
        <w:t>及</w:t>
      </w:r>
      <w:r w:rsidRPr="008147DC">
        <w:rPr>
          <w:lang w:eastAsia="zh-TW"/>
        </w:rPr>
        <w:t>35</w:t>
      </w:r>
      <w:r w:rsidRPr="008147DC">
        <w:rPr>
          <w:lang w:eastAsia="zh-TW"/>
        </w:rPr>
        <w:t>歲之調查時，其外衍變項（</w:t>
      </w:r>
      <w:r w:rsidRPr="008147DC">
        <w:rPr>
          <w:lang w:eastAsia="zh-TW"/>
        </w:rPr>
        <w:t>exogenous variable</w:t>
      </w:r>
      <w:r w:rsidRPr="008147DC">
        <w:rPr>
          <w:lang w:eastAsia="zh-TW"/>
        </w:rPr>
        <w:t>）有出現任何遺漏現象，給予數值</w:t>
      </w:r>
      <w:r w:rsidRPr="008147DC">
        <w:rPr>
          <w:lang w:eastAsia="zh-TW"/>
        </w:rPr>
        <w:t>1</w:t>
      </w:r>
      <w:r w:rsidRPr="008147DC">
        <w:rPr>
          <w:lang w:eastAsia="zh-TW"/>
        </w:rPr>
        <w:t>，之後使用對數迴歸，在</w:t>
      </w:r>
      <w:r w:rsidRPr="008147DC">
        <w:rPr>
          <w:lang w:eastAsia="zh-TW"/>
        </w:rPr>
        <w:t>25</w:t>
      </w:r>
      <w:r w:rsidRPr="008147DC">
        <w:rPr>
          <w:lang w:eastAsia="zh-TW"/>
        </w:rPr>
        <w:t>及</w:t>
      </w:r>
      <w:r w:rsidRPr="008147DC">
        <w:rPr>
          <w:lang w:eastAsia="zh-TW"/>
        </w:rPr>
        <w:t>32</w:t>
      </w:r>
      <w:r w:rsidRPr="008147DC">
        <w:rPr>
          <w:lang w:eastAsia="zh-TW"/>
        </w:rPr>
        <w:t>歲不同之模型之中，預測排除之風險（</w:t>
      </w:r>
      <w:r w:rsidRPr="008147DC">
        <w:rPr>
          <w:lang w:eastAsia="zh-TW"/>
        </w:rPr>
        <w:t>predicting the risk of exclusion</w:t>
      </w:r>
      <w:r w:rsidRPr="008147DC">
        <w:rPr>
          <w:lang w:eastAsia="zh-TW"/>
        </w:rPr>
        <w:t>），而其預測變項有：被監禁及服役時間長短、是否在海外當兵，先行犯行等。結果顯示，並未出現選樣偏差之問題﹙</w:t>
      </w:r>
      <w:r w:rsidRPr="008147DC">
        <w:rPr>
          <w:lang w:eastAsia="zh-TW"/>
        </w:rPr>
        <w:t>Sampson &amp; Laub, 1993: 149-153</w:t>
      </w:r>
      <w:r w:rsidRPr="008147DC">
        <w:rPr>
          <w:lang w:eastAsia="zh-TW"/>
        </w:rPr>
        <w:t>﹚。</w:t>
      </w:r>
    </w:p>
  </w:footnote>
  <w:footnote w:id="271">
    <w:p w:rsidR="00657FEF" w:rsidRPr="008147DC" w:rsidRDefault="00657FEF" w:rsidP="00992AB6">
      <w:pPr>
        <w:pStyle w:val="5"/>
        <w:rPr>
          <w:lang w:eastAsia="zh-TW"/>
        </w:rPr>
      </w:pPr>
      <w:r w:rsidRPr="002031B1">
        <w:rPr>
          <w:rStyle w:val="af7"/>
          <w:rFonts w:eastAsia="新細明體"/>
          <w:kern w:val="2"/>
        </w:rPr>
        <w:footnoteRef/>
      </w:r>
      <w:r w:rsidRPr="008147DC">
        <w:rPr>
          <w:lang w:eastAsia="zh-TW"/>
        </w:rPr>
        <w:t>除了採用採用量化研究方法外，</w:t>
      </w:r>
      <w:r w:rsidRPr="008147DC">
        <w:rPr>
          <w:lang w:eastAsia="zh-TW"/>
        </w:rPr>
        <w:t>Sampson &amp; Laub</w:t>
      </w:r>
      <w:r w:rsidRPr="008147DC">
        <w:rPr>
          <w:lang w:eastAsia="zh-TW"/>
        </w:rPr>
        <w:t>對於</w:t>
      </w:r>
      <w:r w:rsidRPr="008147DC">
        <w:rPr>
          <w:lang w:eastAsia="zh-TW"/>
        </w:rPr>
        <w:t>Glueck</w:t>
      </w:r>
      <w:r w:rsidRPr="008147DC">
        <w:rPr>
          <w:lang w:eastAsia="zh-TW"/>
        </w:rPr>
        <w:t>研究小組所保留之樣本書面訪談資料，同時亦使用質化之分析方法，其質化研究之焦點如下：</w:t>
      </w:r>
      <w:r w:rsidRPr="008147DC">
        <w:rPr>
          <w:lang w:eastAsia="zh-TW"/>
        </w:rPr>
        <w:t>(1)</w:t>
      </w:r>
      <w:r w:rsidRPr="008147DC">
        <w:rPr>
          <w:lang w:eastAsia="zh-TW"/>
        </w:rPr>
        <w:t>、配偶關係，係指樣本與配偶兩人之間的附著鍵</w:t>
      </w:r>
      <w:r w:rsidRPr="008147DC">
        <w:rPr>
          <w:lang w:eastAsia="zh-TW"/>
        </w:rPr>
        <w:t>----</w:t>
      </w:r>
      <w:r w:rsidRPr="008147DC">
        <w:rPr>
          <w:lang w:eastAsia="zh-TW"/>
        </w:rPr>
        <w:t>亦即，夫妻之間的關係。同時，亦了解研究樣本對於其配偶，提供物質、經濟及情感支持之情形。</w:t>
      </w:r>
      <w:r w:rsidRPr="008147DC">
        <w:rPr>
          <w:lang w:eastAsia="zh-TW"/>
        </w:rPr>
        <w:t>(2)</w:t>
      </w:r>
      <w:r w:rsidRPr="008147DC">
        <w:rPr>
          <w:lang w:eastAsia="zh-TW"/>
        </w:rPr>
        <w:t>、樣本之工作</w:t>
      </w:r>
      <w:r w:rsidRPr="008147DC">
        <w:rPr>
          <w:lang w:eastAsia="zh-TW"/>
        </w:rPr>
        <w:t>(</w:t>
      </w:r>
      <w:r w:rsidRPr="008147DC">
        <w:rPr>
          <w:lang w:eastAsia="zh-TW"/>
        </w:rPr>
        <w:t>就業</w:t>
      </w:r>
      <w:r w:rsidRPr="008147DC">
        <w:rPr>
          <w:lang w:eastAsia="zh-TW"/>
        </w:rPr>
        <w:t>)</w:t>
      </w:r>
      <w:r w:rsidRPr="008147DC">
        <w:rPr>
          <w:lang w:eastAsia="zh-TW"/>
        </w:rPr>
        <w:t>史。透過使用質化之分析方法，以了解樣本是全職或兼職、評估其工作之習性、失業或未就業之原因，特別是其被雇主解聘之原因為何？</w:t>
      </w:r>
      <w:r w:rsidRPr="008147DC">
        <w:rPr>
          <w:lang w:eastAsia="zh-TW"/>
        </w:rPr>
        <w:t>(3)</w:t>
      </w:r>
      <w:r w:rsidRPr="008147DC">
        <w:rPr>
          <w:lang w:eastAsia="zh-TW"/>
        </w:rPr>
        <w:t>、成人之犯行：雖然在非年少年組</w:t>
      </w:r>
      <w:r w:rsidRPr="008147DC">
        <w:rPr>
          <w:lang w:eastAsia="zh-TW"/>
        </w:rPr>
        <w:t>(</w:t>
      </w:r>
      <w:r w:rsidRPr="008147DC">
        <w:rPr>
          <w:lang w:eastAsia="zh-TW"/>
        </w:rPr>
        <w:t>實驗組</w:t>
      </w:r>
      <w:r w:rsidRPr="008147DC">
        <w:rPr>
          <w:lang w:eastAsia="zh-TW"/>
        </w:rPr>
        <w:t>)</w:t>
      </w:r>
      <w:r w:rsidRPr="008147DC">
        <w:rPr>
          <w:lang w:eastAsia="zh-TW"/>
        </w:rPr>
        <w:t>之中，所有之樣本，在少年時期，均有較為廣泛之非行紀錄，但，在成人時期，就成人刑事犯行而言，然有變化存在。透過使用質化之方法，更深入地了解樣本於成人時期，累犯及未再犯之犯罪情形。採用量化與質化並重之分析方法，其有何效益呢？</w:t>
      </w:r>
      <w:r w:rsidRPr="008147DC">
        <w:rPr>
          <w:lang w:eastAsia="zh-TW"/>
        </w:rPr>
        <w:t>(1)</w:t>
      </w:r>
      <w:r w:rsidRPr="008147DC">
        <w:rPr>
          <w:lang w:eastAsia="zh-TW"/>
        </w:rPr>
        <w:t>、量化之研究結果，可被質化研究結果之一致性，而提升量化分析之品質。透由不同之研究方法，假若均得到相運結果，則使研究人員更有信心。</w:t>
      </w:r>
      <w:r w:rsidRPr="008147DC">
        <w:rPr>
          <w:lang w:eastAsia="zh-TW"/>
        </w:rPr>
        <w:t>(2)</w:t>
      </w:r>
      <w:r w:rsidRPr="008147DC">
        <w:rPr>
          <w:lang w:eastAsia="zh-TW"/>
        </w:rPr>
        <w:t>、</w:t>
      </w:r>
      <w:r w:rsidRPr="008147DC">
        <w:rPr>
          <w:lang w:eastAsia="zh-TW"/>
        </w:rPr>
        <w:t>Giordano(1989)</w:t>
      </w:r>
      <w:r w:rsidRPr="008147DC">
        <w:rPr>
          <w:lang w:eastAsia="zh-TW"/>
        </w:rPr>
        <w:t>指出，假若吾人針對那些未與量化研究相呼應之樣本，加以深入地分析，則可對於先前量化研究所勾勒之理論架構之中，未加以分析之路徑，再加以進一步地確認。事實上，質化研究所獲得之不同結果，正可作為強化及修正量化研究所勾勒之理論架構之參考</w:t>
      </w:r>
      <w:r w:rsidRPr="008147DC">
        <w:rPr>
          <w:lang w:eastAsia="zh-TW"/>
        </w:rPr>
        <w:t>(Sampson., &amp; Laub. 1993)</w:t>
      </w:r>
      <w:r w:rsidRPr="008147DC">
        <w:rPr>
          <w:lang w:eastAsia="zh-TW"/>
        </w:rPr>
        <w:t>。</w:t>
      </w:r>
    </w:p>
  </w:footnote>
  <w:footnote w:id="272">
    <w:p w:rsidR="00657FEF" w:rsidRPr="008147DC" w:rsidRDefault="00657FEF" w:rsidP="00992AB6">
      <w:pPr>
        <w:pStyle w:val="5"/>
        <w:rPr>
          <w:lang w:eastAsia="zh-TW"/>
        </w:rPr>
      </w:pPr>
      <w:r w:rsidRPr="002031B1">
        <w:rPr>
          <w:rStyle w:val="af7"/>
          <w:rFonts w:eastAsia="新細明體"/>
          <w:kern w:val="2"/>
        </w:rPr>
        <w:footnoteRef/>
      </w:r>
      <w:r w:rsidRPr="002031B1">
        <w:rPr>
          <w:rFonts w:ascii="Arial Unicode MS" w:eastAsia="新細明體" w:hAnsi="Arial Unicode MS"/>
          <w:color w:val="FF6600"/>
          <w:kern w:val="2"/>
          <w:lang w:eastAsia="zh-TW"/>
        </w:rPr>
        <w:t xml:space="preserve"> </w:t>
      </w:r>
      <w:r w:rsidRPr="008147DC">
        <w:rPr>
          <w:lang w:eastAsia="zh-TW"/>
        </w:rPr>
        <w:t>Hirschi</w:t>
      </w:r>
      <w:r w:rsidRPr="008147DC">
        <w:rPr>
          <w:lang w:eastAsia="zh-TW"/>
        </w:rPr>
        <w:t>及</w:t>
      </w:r>
      <w:r w:rsidRPr="008147DC">
        <w:rPr>
          <w:lang w:eastAsia="zh-TW"/>
        </w:rPr>
        <w:t>Selvin</w:t>
      </w:r>
      <w:r w:rsidRPr="008147DC">
        <w:rPr>
          <w:lang w:eastAsia="zh-TW"/>
        </w:rPr>
        <w:t>認為，假若資料是被研究人員用來「詳細敘述」（</w:t>
      </w:r>
      <w:r w:rsidRPr="008147DC">
        <w:rPr>
          <w:lang w:eastAsia="zh-TW"/>
        </w:rPr>
        <w:t>explicate</w:t>
      </w:r>
      <w:r w:rsidRPr="008147DC">
        <w:rPr>
          <w:lang w:eastAsia="zh-TW"/>
        </w:rPr>
        <w:t>）與非行少年或正常少年（正常人口）相關之一系列因素時，則</w:t>
      </w:r>
      <w:r w:rsidRPr="008147DC">
        <w:rPr>
          <w:lang w:eastAsia="zh-TW"/>
        </w:rPr>
        <w:t>50%</w:t>
      </w:r>
      <w:r w:rsidRPr="008147DC">
        <w:rPr>
          <w:lang w:eastAsia="zh-TW"/>
        </w:rPr>
        <w:t>非行少年及</w:t>
      </w:r>
      <w:r w:rsidRPr="008147DC">
        <w:rPr>
          <w:lang w:eastAsia="zh-TW"/>
        </w:rPr>
        <w:t>50%</w:t>
      </w:r>
      <w:r w:rsidRPr="008147DC">
        <w:rPr>
          <w:lang w:eastAsia="zh-TW"/>
        </w:rPr>
        <w:t>正常少年之比例是沒有問題的。但假若用一系列之因素，來預測少年非行時，則他們表示反對，亦即，可作「相關」之探討，不可用作「預測」之分析。</w:t>
      </w:r>
      <w:r w:rsidRPr="008147DC">
        <w:rPr>
          <w:lang w:eastAsia="zh-TW"/>
        </w:rPr>
        <w:t>Hirschi</w:t>
      </w:r>
      <w:r w:rsidRPr="008147DC">
        <w:rPr>
          <w:lang w:eastAsia="zh-TW"/>
        </w:rPr>
        <w:t>及</w:t>
      </w:r>
      <w:r w:rsidRPr="008147DC">
        <w:rPr>
          <w:lang w:eastAsia="zh-TW"/>
        </w:rPr>
        <w:t>Selvin</w:t>
      </w:r>
      <w:r w:rsidRPr="008147DC">
        <w:rPr>
          <w:lang w:eastAsia="zh-TW"/>
        </w:rPr>
        <w:t>主張：假若研究人員想從其所調查之樣本中，嘗試就全美人口作推論及描述，則其選樣之比例，必須是按照一般人口比例之分配（佈）。</w:t>
      </w:r>
      <w:r w:rsidRPr="008147DC">
        <w:rPr>
          <w:lang w:eastAsia="zh-TW"/>
        </w:rPr>
        <w:t>Gluecks</w:t>
      </w:r>
      <w:r w:rsidRPr="008147DC">
        <w:rPr>
          <w:lang w:eastAsia="zh-TW"/>
        </w:rPr>
        <w:t>可以針對其所選樣之</w:t>
      </w:r>
      <w:r w:rsidRPr="008147DC">
        <w:rPr>
          <w:lang w:eastAsia="zh-TW"/>
        </w:rPr>
        <w:t>500</w:t>
      </w:r>
      <w:r w:rsidRPr="008147DC">
        <w:rPr>
          <w:lang w:eastAsia="zh-TW"/>
        </w:rPr>
        <w:t>名非行少年與</w:t>
      </w:r>
      <w:r w:rsidRPr="008147DC">
        <w:rPr>
          <w:lang w:eastAsia="zh-TW"/>
        </w:rPr>
        <w:t>500</w:t>
      </w:r>
      <w:r w:rsidRPr="008147DC">
        <w:rPr>
          <w:lang w:eastAsia="zh-TW"/>
        </w:rPr>
        <w:t>名正常少年之中，詳細而精確地分析在此</w:t>
      </w:r>
      <w:r w:rsidRPr="008147DC">
        <w:rPr>
          <w:lang w:eastAsia="zh-TW"/>
        </w:rPr>
        <w:t>1000</w:t>
      </w:r>
      <w:r w:rsidRPr="008147DC">
        <w:rPr>
          <w:lang w:eastAsia="zh-TW"/>
        </w:rPr>
        <w:t>名樣本中，其獨立變項之分類為何？但是，假若</w:t>
      </w:r>
      <w:r w:rsidRPr="008147DC">
        <w:rPr>
          <w:lang w:eastAsia="zh-TW"/>
        </w:rPr>
        <w:t>Gluecks</w:t>
      </w:r>
      <w:r w:rsidRPr="008147DC">
        <w:rPr>
          <w:lang w:eastAsia="zh-TW"/>
        </w:rPr>
        <w:t>所分析之對象，是更大的人口樣本時，他們就無法在他們的獨立變項範疇之內，詳細探討少年非行之分佈（</w:t>
      </w:r>
      <w:r w:rsidRPr="008147DC">
        <w:rPr>
          <w:lang w:eastAsia="zh-TW"/>
        </w:rPr>
        <w:t>the distribution of delinquency within categories of their independent variables</w:t>
      </w:r>
      <w:r w:rsidRPr="008147DC">
        <w:rPr>
          <w:lang w:eastAsia="zh-TW"/>
        </w:rPr>
        <w:t>）</w:t>
      </w:r>
      <w:r w:rsidRPr="008147DC">
        <w:rPr>
          <w:lang w:eastAsia="zh-TW"/>
        </w:rPr>
        <w:t>(Sampson., &amp; Laub. 1993)</w:t>
      </w:r>
      <w:r w:rsidRPr="008147DC">
        <w:rPr>
          <w:lang w:eastAsia="zh-TW"/>
        </w:rPr>
        <w:t>。</w:t>
      </w:r>
    </w:p>
  </w:footnote>
  <w:footnote w:id="273">
    <w:p w:rsidR="00657FEF" w:rsidRPr="008147DC" w:rsidRDefault="00657FEF" w:rsidP="00992AB6">
      <w:pPr>
        <w:pStyle w:val="5"/>
        <w:rPr>
          <w:lang w:eastAsia="zh-TW"/>
        </w:rPr>
      </w:pPr>
      <w:r w:rsidRPr="002031B1">
        <w:rPr>
          <w:rStyle w:val="af7"/>
          <w:rFonts w:eastAsia="新細明體"/>
          <w:kern w:val="2"/>
        </w:rPr>
        <w:footnoteRef/>
      </w:r>
      <w:r w:rsidRPr="002031B1">
        <w:rPr>
          <w:rFonts w:ascii="Arial Unicode MS" w:eastAsia="新細明體" w:hAnsi="Arial Unicode MS"/>
          <w:color w:val="FF6600"/>
          <w:kern w:val="2"/>
        </w:rPr>
        <w:t xml:space="preserve"> </w:t>
      </w:r>
      <w:r w:rsidRPr="008147DC">
        <w:t>Hirschi</w:t>
      </w:r>
      <w:r w:rsidRPr="008147DC">
        <w:t>及</w:t>
      </w:r>
      <w:r w:rsidRPr="008147DC">
        <w:t>Selvin</w:t>
      </w:r>
      <w:r w:rsidRPr="008147DC">
        <w:t>指出：假如機構化（</w:t>
      </w:r>
      <w:r w:rsidRPr="008147DC">
        <w:t>institutionalization</w:t>
      </w:r>
      <w:r w:rsidRPr="008147DC">
        <w:t>）對於非行少年之人格或生理特徵有影響力，則上述影響力之強度（</w:t>
      </w:r>
      <w:r w:rsidRPr="008147DC">
        <w:t>strength</w:t>
      </w:r>
      <w:r w:rsidRPr="008147DC">
        <w:t>），會隨著非行少年在矯治機構停留時間之長度而作變化，很可惜地，</w:t>
      </w:r>
      <w:r w:rsidRPr="008147DC">
        <w:t>Gluecks</w:t>
      </w:r>
      <w:r w:rsidRPr="008147DC">
        <w:t>未加以探討。在</w:t>
      </w:r>
      <w:r w:rsidRPr="008147DC">
        <w:t>Gluecks</w:t>
      </w:r>
      <w:r w:rsidRPr="008147DC">
        <w:t>夫婦的研究中，就關鍵性之獨立變項（</w:t>
      </w:r>
      <w:r w:rsidRPr="008147DC">
        <w:t>key independent variables</w:t>
      </w:r>
      <w:r w:rsidRPr="008147DC">
        <w:t>）而言，他們並未檢驗變項之間的關係，亦即，變項之間未作相關檢定，此易呈現變項間「虛假不實」（</w:t>
      </w:r>
      <w:r w:rsidRPr="008147DC">
        <w:t>spurious</w:t>
      </w:r>
      <w:r w:rsidRPr="008147DC">
        <w:t>）之關係。</w:t>
      </w:r>
      <w:r w:rsidRPr="008147DC">
        <w:rPr>
          <w:lang w:eastAsia="zh-TW"/>
        </w:rPr>
        <w:t>Sampson</w:t>
      </w:r>
      <w:r w:rsidRPr="008147DC">
        <w:rPr>
          <w:lang w:eastAsia="zh-TW"/>
        </w:rPr>
        <w:t>則認為，在社會科學中，因果順序（</w:t>
      </w:r>
      <w:r w:rsidRPr="008147DC">
        <w:rPr>
          <w:lang w:eastAsia="zh-TW"/>
        </w:rPr>
        <w:t>causal order</w:t>
      </w:r>
      <w:r w:rsidRPr="008147DC">
        <w:rPr>
          <w:lang w:eastAsia="zh-TW"/>
        </w:rPr>
        <w:t>）一直是一個令人困擾之問題，尤其是在橫切面之研究設計之中，此問題更易令人感到困擾，就像測量誤差一樣，永遠也無法獲得完全的解決。就誠如</w:t>
      </w:r>
      <w:r w:rsidRPr="008147DC">
        <w:rPr>
          <w:lang w:eastAsia="zh-TW"/>
        </w:rPr>
        <w:t>Hirschi</w:t>
      </w:r>
      <w:r w:rsidRPr="008147DC">
        <w:rPr>
          <w:lang w:eastAsia="zh-TW"/>
        </w:rPr>
        <w:t>及</w:t>
      </w:r>
      <w:r w:rsidRPr="008147DC">
        <w:rPr>
          <w:lang w:eastAsia="zh-TW"/>
        </w:rPr>
        <w:t>Selvin</w:t>
      </w:r>
      <w:r w:rsidRPr="008147DC">
        <w:rPr>
          <w:lang w:eastAsia="zh-TW"/>
        </w:rPr>
        <w:t>主張的：「它是錯誤的</w:t>
      </w:r>
      <w:r w:rsidRPr="008147DC">
        <w:rPr>
          <w:lang w:eastAsia="zh-TW"/>
        </w:rPr>
        <w:t>……</w:t>
      </w:r>
      <w:r w:rsidRPr="008147DC">
        <w:rPr>
          <w:lang w:eastAsia="zh-TW"/>
        </w:rPr>
        <w:t>讓因果順序的不確定性妨礙（排除、阻止，</w:t>
      </w:r>
      <w:r w:rsidRPr="008147DC">
        <w:rPr>
          <w:lang w:eastAsia="zh-TW"/>
        </w:rPr>
        <w:t>preclude</w:t>
      </w:r>
      <w:r w:rsidRPr="008147DC">
        <w:rPr>
          <w:lang w:eastAsia="zh-TW"/>
        </w:rPr>
        <w:t>）了因果之推論（</w:t>
      </w:r>
      <w:r w:rsidRPr="008147DC">
        <w:rPr>
          <w:lang w:eastAsia="zh-TW"/>
        </w:rPr>
        <w:t>causal inferences</w:t>
      </w:r>
      <w:r w:rsidRPr="008147DC">
        <w:rPr>
          <w:lang w:eastAsia="zh-TW"/>
        </w:rPr>
        <w:t>）。」</w:t>
      </w:r>
      <w:r w:rsidRPr="008147DC">
        <w:rPr>
          <w:lang w:eastAsia="zh-TW"/>
        </w:rPr>
        <w:t>(Sampson., &amp; Laub. 1993)</w:t>
      </w:r>
      <w:r w:rsidRPr="008147DC">
        <w:rPr>
          <w:lang w:eastAsia="zh-TW"/>
        </w:rPr>
        <w:t>。</w:t>
      </w:r>
    </w:p>
  </w:footnote>
  <w:footnote w:id="274">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支持</w:t>
      </w:r>
      <w:r w:rsidRPr="008147DC">
        <w:rPr>
          <w:lang w:eastAsia="zh-TW"/>
        </w:rPr>
        <w:t>Gluecks</w:t>
      </w:r>
      <w:r w:rsidRPr="008147DC">
        <w:rPr>
          <w:lang w:eastAsia="zh-TW"/>
        </w:rPr>
        <w:t>之人士指出，他們對樣本所進行之配對，這些樣本間之差異性，是最可以被加以忽視的（</w:t>
      </w:r>
      <w:r w:rsidRPr="008147DC">
        <w:rPr>
          <w:lang w:eastAsia="zh-TW"/>
        </w:rPr>
        <w:t>the most part negligible</w:t>
      </w:r>
      <w:r w:rsidRPr="008147DC">
        <w:rPr>
          <w:lang w:eastAsia="zh-TW"/>
        </w:rPr>
        <w:t>）因素。有關於「地區之年齡差異」（</w:t>
      </w:r>
      <w:r w:rsidRPr="008147DC">
        <w:rPr>
          <w:lang w:eastAsia="zh-TW"/>
        </w:rPr>
        <w:t>residual age differences</w:t>
      </w:r>
      <w:r w:rsidRPr="008147DC">
        <w:rPr>
          <w:lang w:eastAsia="zh-TW"/>
        </w:rPr>
        <w:t>）問題，看人可透由控制年齡變項之後，檢視其結果，此種作法，可解決配對所出現之年齡問題</w:t>
      </w:r>
      <w:r w:rsidRPr="008147DC">
        <w:rPr>
          <w:lang w:eastAsia="zh-TW"/>
        </w:rPr>
        <w:t>(Sampson., &amp; Laub. 1993)</w:t>
      </w:r>
      <w:r w:rsidRPr="008147DC">
        <w:rPr>
          <w:lang w:eastAsia="zh-TW"/>
        </w:rPr>
        <w:t>。</w:t>
      </w:r>
    </w:p>
  </w:footnote>
  <w:footnote w:id="275">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理論上，</w:t>
      </w:r>
      <w:r w:rsidRPr="008147DC">
        <w:rPr>
          <w:lang w:eastAsia="zh-TW"/>
        </w:rPr>
        <w:t>Gluecks</w:t>
      </w:r>
      <w:r w:rsidRPr="008147DC">
        <w:rPr>
          <w:lang w:eastAsia="zh-TW"/>
        </w:rPr>
        <w:t>可使用不同之理論，作不同犯罪理論間之檢驗，從「理論競爭」之角度出發，檢視究竟是社會、精神（心理）及生物之因素，那一種理論對少年非行最具解釋力﹖事實上，</w:t>
      </w:r>
      <w:r w:rsidRPr="008147DC">
        <w:rPr>
          <w:lang w:eastAsia="zh-TW"/>
        </w:rPr>
        <w:t>Gluecks</w:t>
      </w:r>
      <w:r w:rsidRPr="008147DC">
        <w:rPr>
          <w:lang w:eastAsia="zh-TW"/>
        </w:rPr>
        <w:t>並未就其資料檢視相關理論對於少年非行之解釋力差異程度為何。基本上，</w:t>
      </w:r>
      <w:r w:rsidRPr="008147DC">
        <w:rPr>
          <w:lang w:eastAsia="zh-TW"/>
        </w:rPr>
        <w:t>Gluecks</w:t>
      </w:r>
      <w:r w:rsidRPr="008147DC">
        <w:rPr>
          <w:lang w:eastAsia="zh-TW"/>
        </w:rPr>
        <w:t>只相信其實證上之發現結果，他們並不重視任何的犯罪理論，以致被人批評是毫無任何犯罪學的理論架構可言，其所作之研究，均是比較正常少年與非行少年不同之差異何在﹖故陷入「見樹不見林」之缺陷中</w:t>
      </w:r>
      <w:r w:rsidRPr="008147DC">
        <w:rPr>
          <w:lang w:eastAsia="zh-TW"/>
        </w:rPr>
        <w:t>(Sampson., &amp; Laub. 1993)</w:t>
      </w:r>
      <w:r w:rsidRPr="008147DC">
        <w:rPr>
          <w:lang w:eastAsia="zh-TW"/>
        </w:rPr>
        <w:t>。</w:t>
      </w:r>
    </w:p>
  </w:footnote>
  <w:footnote w:id="276">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如</w:t>
      </w:r>
      <w:r w:rsidRPr="008147DC">
        <w:rPr>
          <w:lang w:eastAsia="zh-TW"/>
        </w:rPr>
        <w:t>Sutherland</w:t>
      </w:r>
      <w:r w:rsidRPr="008147DC">
        <w:rPr>
          <w:lang w:eastAsia="zh-TW"/>
        </w:rPr>
        <w:t>是從社會學之角度看犯罪學，他就非常反對</w:t>
      </w:r>
      <w:r w:rsidRPr="008147DC">
        <w:rPr>
          <w:lang w:eastAsia="zh-TW"/>
        </w:rPr>
        <w:t>Gluecks</w:t>
      </w:r>
      <w:r w:rsidRPr="008147DC">
        <w:rPr>
          <w:lang w:eastAsia="zh-TW"/>
        </w:rPr>
        <w:t>從生物學之觀點探討少年非行之成因。</w:t>
      </w:r>
      <w:r w:rsidRPr="008147DC">
        <w:rPr>
          <w:lang w:eastAsia="zh-TW"/>
        </w:rPr>
        <w:t>Gluecks</w:t>
      </w:r>
      <w:r w:rsidRPr="008147DC">
        <w:rPr>
          <w:lang w:eastAsia="zh-TW"/>
        </w:rPr>
        <w:t>之研究中，研究結果發現，在少年早年生活之中，能區別非行少年與一般少年的最重要因素（</w:t>
      </w:r>
      <w:r w:rsidRPr="008147DC">
        <w:rPr>
          <w:lang w:eastAsia="zh-TW"/>
        </w:rPr>
        <w:t>the most important fact</w:t>
      </w:r>
      <w:r w:rsidRPr="008147DC">
        <w:rPr>
          <w:lang w:eastAsia="zh-TW"/>
        </w:rPr>
        <w:t>）是家庭。在</w:t>
      </w:r>
      <w:r w:rsidRPr="008147DC">
        <w:rPr>
          <w:lang w:eastAsia="zh-TW"/>
        </w:rPr>
        <w:t>UJD</w:t>
      </w:r>
      <w:r w:rsidRPr="008147DC">
        <w:rPr>
          <w:lang w:eastAsia="zh-TW"/>
        </w:rPr>
        <w:t>研究中，</w:t>
      </w:r>
      <w:r w:rsidRPr="008147DC">
        <w:rPr>
          <w:lang w:eastAsia="zh-TW"/>
        </w:rPr>
        <w:t>Gluecks</w:t>
      </w:r>
      <w:r w:rsidRPr="008147DC">
        <w:rPr>
          <w:lang w:eastAsia="zh-TW"/>
        </w:rPr>
        <w:t>集中於家庭變項之測量，諸如父母教養之紀律（</w:t>
      </w:r>
      <w:r w:rsidRPr="008147DC">
        <w:rPr>
          <w:lang w:eastAsia="zh-TW"/>
        </w:rPr>
        <w:t>discipline</w:t>
      </w:r>
      <w:r w:rsidRPr="008147DC">
        <w:rPr>
          <w:lang w:eastAsia="zh-TW"/>
        </w:rPr>
        <w:t>）、父母監督（</w:t>
      </w:r>
      <w:r w:rsidRPr="008147DC">
        <w:rPr>
          <w:lang w:eastAsia="zh-TW"/>
        </w:rPr>
        <w:t>supervision</w:t>
      </w:r>
      <w:r w:rsidRPr="008147DC">
        <w:rPr>
          <w:lang w:eastAsia="zh-TW"/>
        </w:rPr>
        <w:t>）、親子附著等。假若在家庭中父母管教之紀律鬆鬆散散（</w:t>
      </w:r>
      <w:r w:rsidRPr="008147DC">
        <w:rPr>
          <w:lang w:eastAsia="zh-TW"/>
        </w:rPr>
        <w:t>lax</w:t>
      </w:r>
      <w:r w:rsidRPr="008147DC">
        <w:rPr>
          <w:lang w:eastAsia="zh-TW"/>
        </w:rPr>
        <w:t>）、用不確定（</w:t>
      </w:r>
      <w:r w:rsidRPr="008147DC">
        <w:rPr>
          <w:lang w:eastAsia="zh-TW"/>
        </w:rPr>
        <w:t>erratic</w:t>
      </w:r>
      <w:r w:rsidRPr="008147DC">
        <w:rPr>
          <w:lang w:eastAsia="zh-TW"/>
        </w:rPr>
        <w:t>）及威脅方式（</w:t>
      </w:r>
      <w:r w:rsidRPr="008147DC">
        <w:rPr>
          <w:lang w:eastAsia="zh-TW"/>
        </w:rPr>
        <w:t>threatening</w:t>
      </w:r>
      <w:r w:rsidRPr="008147DC">
        <w:rPr>
          <w:lang w:eastAsia="zh-TW"/>
        </w:rPr>
        <w:t>）懲罰小孩、很差勁的監督（父母監督不週）、親子情感鍵薄弱（</w:t>
      </w:r>
      <w:r w:rsidRPr="008147DC">
        <w:rPr>
          <w:lang w:eastAsia="zh-TW"/>
        </w:rPr>
        <w:t>weak emotional ties</w:t>
      </w:r>
      <w:r w:rsidRPr="008147DC">
        <w:rPr>
          <w:lang w:eastAsia="zh-TW"/>
        </w:rPr>
        <w:t>），這些家庭有最高之機率（可能性）會產生少年非行（</w:t>
      </w:r>
      <w:r w:rsidRPr="008147DC">
        <w:rPr>
          <w:lang w:eastAsia="zh-TW"/>
        </w:rPr>
        <w:t>generate the highest probability of delinquency</w:t>
      </w:r>
      <w:r w:rsidRPr="008147DC">
        <w:rPr>
          <w:lang w:eastAsia="zh-TW"/>
        </w:rPr>
        <w:t>）</w:t>
      </w:r>
      <w:r w:rsidRPr="008147DC">
        <w:rPr>
          <w:lang w:eastAsia="zh-TW"/>
        </w:rPr>
        <w:t>(Sampson., &amp; Laub. 1993)</w:t>
      </w:r>
      <w:r w:rsidRPr="008147DC">
        <w:rPr>
          <w:lang w:eastAsia="zh-TW"/>
        </w:rPr>
        <w:t>。</w:t>
      </w:r>
    </w:p>
  </w:footnote>
  <w:footnote w:id="277">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之所以不在學校，係因其已被矯正機構加以收容，且已有數個月不在老師觀察之內。上述之事實，會產生回溯性偏見之可能性（</w:t>
      </w:r>
      <w:r w:rsidRPr="008147DC">
        <w:rPr>
          <w:lang w:eastAsia="zh-TW"/>
        </w:rPr>
        <w:t>the possibility of retrospective bias</w:t>
      </w:r>
      <w:r w:rsidRPr="008147DC">
        <w:rPr>
          <w:lang w:eastAsia="zh-TW"/>
        </w:rPr>
        <w:t>），同時，亦會產生「哈囉效應」（</w:t>
      </w:r>
      <w:r w:rsidRPr="008147DC">
        <w:rPr>
          <w:lang w:eastAsia="zh-TW"/>
        </w:rPr>
        <w:t>halo effect</w:t>
      </w:r>
      <w:r w:rsidRPr="008147DC">
        <w:rPr>
          <w:lang w:eastAsia="zh-TW"/>
        </w:rPr>
        <w:t>）。</w:t>
      </w:r>
      <w:r w:rsidRPr="008147DC">
        <w:rPr>
          <w:lang w:eastAsia="zh-TW"/>
        </w:rPr>
        <w:t>Kerlinger (1973: 54a)</w:t>
      </w:r>
      <w:r w:rsidRPr="008147DC">
        <w:rPr>
          <w:lang w:eastAsia="zh-TW"/>
        </w:rPr>
        <w:t>曾就「哈囉效應」加以定義，亦即，「當吾人對於某一種特質加以等級評定之際，其會影響吾人對其他特質之等級評定的一種傾向」。假如受訪的老師們知曉其正在討論中之小孩，現正被監禁之中，則老師們在回顧樣本於學校之表現時，是否會受到影響﹖則不無疑義。相反地，假若老師們知道</w:t>
      </w:r>
      <w:r w:rsidRPr="008147DC">
        <w:rPr>
          <w:lang w:eastAsia="zh-TW"/>
        </w:rPr>
        <w:t>Glueck</w:t>
      </w:r>
      <w:r w:rsidRPr="008147DC">
        <w:rPr>
          <w:lang w:eastAsia="zh-TW"/>
        </w:rPr>
        <w:t>研究小組人員所調查之樣本，是一位正常少年，則這樣的背景資料，究竟是否會影響老師們之陳述呢﹖則不無疑義。面對上述之質疑，</w:t>
      </w:r>
      <w:r w:rsidRPr="008147DC">
        <w:rPr>
          <w:lang w:eastAsia="zh-TW"/>
        </w:rPr>
        <w:t>Sampson &amp; Laub</w:t>
      </w:r>
      <w:r w:rsidRPr="008147DC">
        <w:rPr>
          <w:lang w:eastAsia="zh-TW"/>
        </w:rPr>
        <w:t>則有不同的看法，根據他們之見解，</w:t>
      </w:r>
      <w:r w:rsidRPr="008147DC">
        <w:rPr>
          <w:lang w:eastAsia="zh-TW"/>
        </w:rPr>
        <w:t>Glueck</w:t>
      </w:r>
      <w:r w:rsidRPr="008147DC">
        <w:rPr>
          <w:lang w:eastAsia="zh-TW"/>
        </w:rPr>
        <w:t>對於樣本資料之取得，係採用多元途徑。例如，在第</w:t>
      </w:r>
      <w:r w:rsidRPr="008147DC">
        <w:rPr>
          <w:lang w:eastAsia="zh-TW"/>
        </w:rPr>
        <w:t>1</w:t>
      </w:r>
      <w:r w:rsidRPr="008147DC">
        <w:rPr>
          <w:lang w:eastAsia="zh-TW"/>
        </w:rPr>
        <w:t>波之調查時，對於樣本之資料，</w:t>
      </w:r>
      <w:r w:rsidRPr="008147DC">
        <w:rPr>
          <w:lang w:eastAsia="zh-TW"/>
        </w:rPr>
        <w:t>Gluecks</w:t>
      </w:r>
      <w:r w:rsidRPr="008147DC">
        <w:rPr>
          <w:lang w:eastAsia="zh-TW"/>
        </w:rPr>
        <w:t>夫婦則進行詳盡地訪談。被訪談之對象，包括：樣本本身、父母及老師。除了上述</w:t>
      </w:r>
      <w:r w:rsidRPr="008147DC">
        <w:rPr>
          <w:lang w:eastAsia="zh-TW"/>
        </w:rPr>
        <w:t>3</w:t>
      </w:r>
      <w:r w:rsidRPr="008147DC">
        <w:rPr>
          <w:lang w:eastAsia="zh-TW"/>
        </w:rPr>
        <w:t>種不同來源途徑之外，</w:t>
      </w:r>
      <w:r w:rsidRPr="008147DC">
        <w:rPr>
          <w:lang w:eastAsia="zh-TW"/>
        </w:rPr>
        <w:t>Glueck</w:t>
      </w:r>
      <w:r w:rsidRPr="008147DC">
        <w:rPr>
          <w:lang w:eastAsia="zh-TW"/>
        </w:rPr>
        <w:t>研究小組成員小心翼翼地透過公立及私人部門，調查與蒐集凡與該樣本家庭有所牽涉之任何資料。此種相同的資料蒐集策略，在第</w:t>
      </w:r>
      <w:r w:rsidRPr="008147DC">
        <w:rPr>
          <w:lang w:eastAsia="zh-TW"/>
        </w:rPr>
        <w:t>2</w:t>
      </w:r>
      <w:r w:rsidRPr="008147DC">
        <w:rPr>
          <w:lang w:eastAsia="zh-TW"/>
        </w:rPr>
        <w:t>及第</w:t>
      </w:r>
      <w:r w:rsidRPr="008147DC">
        <w:rPr>
          <w:lang w:eastAsia="zh-TW"/>
        </w:rPr>
        <w:t>3</w:t>
      </w:r>
      <w:r w:rsidRPr="008147DC">
        <w:rPr>
          <w:lang w:eastAsia="zh-TW"/>
        </w:rPr>
        <w:t>波調查時亦被採用，故，</w:t>
      </w:r>
      <w:r w:rsidRPr="008147DC">
        <w:rPr>
          <w:lang w:eastAsia="zh-TW"/>
        </w:rPr>
        <w:t>Sampson &amp; Laub</w:t>
      </w:r>
      <w:r w:rsidRPr="008147DC">
        <w:rPr>
          <w:lang w:eastAsia="zh-TW"/>
        </w:rPr>
        <w:t>認為，關於</w:t>
      </w:r>
      <w:r w:rsidRPr="008147DC">
        <w:rPr>
          <w:lang w:eastAsia="zh-TW"/>
        </w:rPr>
        <w:t>Glueck</w:t>
      </w:r>
      <w:r w:rsidRPr="008147DC">
        <w:rPr>
          <w:lang w:eastAsia="zh-TW"/>
        </w:rPr>
        <w:t>的資料，其代表上述多元途徑所蒐集到之資料，具有可比較性、一致性（</w:t>
      </w:r>
      <w:r w:rsidRPr="008147DC">
        <w:rPr>
          <w:lang w:eastAsia="zh-TW"/>
        </w:rPr>
        <w:t>reconciliation</w:t>
      </w:r>
      <w:r w:rsidRPr="008147DC">
        <w:rPr>
          <w:lang w:eastAsia="zh-TW"/>
        </w:rPr>
        <w:t>）及整合性（</w:t>
      </w:r>
      <w:r w:rsidRPr="008147DC">
        <w:rPr>
          <w:lang w:eastAsia="zh-TW"/>
        </w:rPr>
        <w:t>integration</w:t>
      </w:r>
      <w:r w:rsidRPr="008147DC">
        <w:rPr>
          <w:lang w:eastAsia="zh-TW"/>
        </w:rPr>
        <w:t>），故應不至於有回溯性偏見及哈囉效應之產生﹙</w:t>
      </w:r>
      <w:r w:rsidRPr="008147DC">
        <w:rPr>
          <w:lang w:eastAsia="zh-TW"/>
        </w:rPr>
        <w:t>Sampson &amp; Laub, 1993: 53-54</w:t>
      </w:r>
      <w:r w:rsidRPr="008147DC">
        <w:rPr>
          <w:lang w:eastAsia="zh-TW"/>
        </w:rPr>
        <w:t>﹚。</w:t>
      </w:r>
    </w:p>
  </w:footnote>
  <w:footnote w:id="278">
    <w:p w:rsidR="00657FEF" w:rsidRPr="008147DC" w:rsidRDefault="00657FEF" w:rsidP="00992AB6">
      <w:pPr>
        <w:pStyle w:val="5"/>
        <w:rPr>
          <w:lang w:eastAsia="zh-TW"/>
        </w:rPr>
      </w:pPr>
      <w:r w:rsidRPr="004B4ED9">
        <w:rPr>
          <w:rStyle w:val="af7"/>
          <w:rFonts w:eastAsia="新細明體"/>
          <w:kern w:val="2"/>
        </w:rPr>
        <w:footnoteRef/>
      </w:r>
      <w:r w:rsidRPr="008147DC">
        <w:t>在質化分析中，</w:t>
      </w:r>
      <w:r w:rsidRPr="008147DC">
        <w:t>Sampson &amp; Laub</w:t>
      </w:r>
      <w:r w:rsidRPr="008147DC">
        <w:t>亦同時觀察發現，有一些樣本個案，其存在一種「相互」之因果順序作用（</w:t>
      </w:r>
      <w:r w:rsidRPr="008147DC">
        <w:t>a reciprocal causal order</w:t>
      </w:r>
      <w:r w:rsidRPr="008147DC">
        <w:t>），亦即，犯罪本身會導致不良之工作穩定性及微弱的婚姻附著。</w:t>
      </w:r>
      <w:r w:rsidRPr="008147DC">
        <w:rPr>
          <w:lang w:eastAsia="zh-TW"/>
        </w:rPr>
        <w:t>而微弱之工作穩定性及婚姻附著又會導致更多的犯罪。</w:t>
      </w:r>
      <w:r w:rsidRPr="008147DC">
        <w:rPr>
          <w:lang w:eastAsia="zh-TW"/>
        </w:rPr>
        <w:t>Sampson &amp; Laub</w:t>
      </w:r>
      <w:r w:rsidRPr="008147DC">
        <w:rPr>
          <w:lang w:eastAsia="zh-TW"/>
        </w:rPr>
        <w:t>之質化研究發現，與</w:t>
      </w:r>
      <w:r w:rsidRPr="008147DC">
        <w:rPr>
          <w:lang w:eastAsia="zh-TW"/>
        </w:rPr>
        <w:t>Vaillant</w:t>
      </w:r>
      <w:r w:rsidRPr="008147DC">
        <w:rPr>
          <w:lang w:eastAsia="zh-TW"/>
        </w:rPr>
        <w:t>之研究，頗具一致性。</w:t>
      </w:r>
      <w:r w:rsidRPr="008147DC">
        <w:rPr>
          <w:lang w:eastAsia="zh-TW"/>
        </w:rPr>
        <w:t>Vaillant(1983</w:t>
      </w:r>
      <w:r w:rsidRPr="008147DC">
        <w:rPr>
          <w:lang w:eastAsia="zh-TW"/>
        </w:rPr>
        <w:t>：</w:t>
      </w:r>
      <w:r w:rsidRPr="008147DC">
        <w:rPr>
          <w:lang w:eastAsia="zh-TW"/>
        </w:rPr>
        <w:t>97)</w:t>
      </w:r>
      <w:r w:rsidRPr="008147DC">
        <w:rPr>
          <w:lang w:eastAsia="zh-TW"/>
        </w:rPr>
        <w:t>之研究指出，酗酒所導致不良之婚姻機率，是經常遠遠地超越於（</w:t>
      </w:r>
      <w:r w:rsidRPr="008147DC">
        <w:rPr>
          <w:lang w:eastAsia="zh-TW"/>
        </w:rPr>
        <w:t>for more often than</w:t>
      </w:r>
      <w:r w:rsidRPr="008147DC">
        <w:rPr>
          <w:lang w:eastAsia="zh-TW"/>
        </w:rPr>
        <w:t>）不良之婚姻引發酗酒之機率。</w:t>
      </w:r>
      <w:r w:rsidRPr="008147DC">
        <w:rPr>
          <w:lang w:eastAsia="zh-TW"/>
        </w:rPr>
        <w:t>Vaillant(1983)</w:t>
      </w:r>
      <w:r w:rsidRPr="008147DC">
        <w:rPr>
          <w:lang w:eastAsia="zh-TW"/>
        </w:rPr>
        <w:t>研究先前之實證調查，諸如</w:t>
      </w:r>
      <w:r w:rsidRPr="008147DC">
        <w:rPr>
          <w:lang w:eastAsia="zh-TW"/>
        </w:rPr>
        <w:t>Robin(1966)</w:t>
      </w:r>
      <w:r w:rsidRPr="008147DC">
        <w:rPr>
          <w:lang w:eastAsia="zh-TW"/>
        </w:rPr>
        <w:t>、</w:t>
      </w:r>
      <w:r w:rsidRPr="008147DC">
        <w:rPr>
          <w:lang w:eastAsia="zh-TW"/>
        </w:rPr>
        <w:t>McCord</w:t>
      </w:r>
      <w:r w:rsidRPr="008147DC">
        <w:rPr>
          <w:lang w:eastAsia="zh-TW"/>
        </w:rPr>
        <w:t>及</w:t>
      </w:r>
      <w:r w:rsidRPr="008147DC">
        <w:rPr>
          <w:lang w:eastAsia="zh-TW"/>
        </w:rPr>
        <w:t>McCord(1960)</w:t>
      </w:r>
      <w:r w:rsidRPr="008147DC">
        <w:rPr>
          <w:lang w:eastAsia="zh-TW"/>
        </w:rPr>
        <w:t>、</w:t>
      </w:r>
      <w:r w:rsidRPr="008147DC">
        <w:rPr>
          <w:lang w:eastAsia="zh-TW"/>
        </w:rPr>
        <w:t>Glueck</w:t>
      </w:r>
      <w:r w:rsidRPr="008147DC">
        <w:rPr>
          <w:lang w:eastAsia="zh-TW"/>
        </w:rPr>
        <w:t>及</w:t>
      </w:r>
      <w:r w:rsidRPr="008147DC">
        <w:rPr>
          <w:lang w:eastAsia="zh-TW"/>
        </w:rPr>
        <w:t>Glucek(1968)</w:t>
      </w:r>
      <w:r w:rsidRPr="008147DC">
        <w:rPr>
          <w:lang w:eastAsia="zh-TW"/>
        </w:rPr>
        <w:t>的研究發現，個體先前不健全的反社會行為（</w:t>
      </w:r>
      <w:r w:rsidRPr="008147DC">
        <w:rPr>
          <w:lang w:eastAsia="zh-TW"/>
        </w:rPr>
        <w:t>premorbid antisocial behavior</w:t>
      </w:r>
      <w:r w:rsidRPr="008147DC">
        <w:rPr>
          <w:lang w:eastAsia="zh-TW"/>
        </w:rPr>
        <w:t>），其與後續的酒精濫用，具有關連性。綜合上述</w:t>
      </w:r>
      <w:r w:rsidRPr="008147DC">
        <w:rPr>
          <w:lang w:eastAsia="zh-TW"/>
        </w:rPr>
        <w:t>Vaillant</w:t>
      </w:r>
      <w:r w:rsidRPr="008147DC">
        <w:rPr>
          <w:lang w:eastAsia="zh-TW"/>
        </w:rPr>
        <w:t>之研究，可得到以下之結論：個體先前不建全之反社會行為，「可能」會導致其後續之酗酒行為；而酗酒行為則引發不良之婚姻。</w:t>
      </w:r>
      <w:r w:rsidRPr="008147DC">
        <w:rPr>
          <w:lang w:eastAsia="zh-TW"/>
        </w:rPr>
        <w:t>Sampson &amp; Laub</w:t>
      </w:r>
      <w:r w:rsidRPr="008147DC">
        <w:rPr>
          <w:lang w:eastAsia="zh-TW"/>
        </w:rPr>
        <w:t>根據</w:t>
      </w:r>
      <w:r w:rsidRPr="008147DC">
        <w:rPr>
          <w:lang w:eastAsia="zh-TW"/>
        </w:rPr>
        <w:t>Glueck</w:t>
      </w:r>
      <w:r w:rsidRPr="008147DC">
        <w:rPr>
          <w:lang w:eastAsia="zh-TW"/>
        </w:rPr>
        <w:t>樣本檔案之原始資料所作之質化分析，很不幸地，其排除（</w:t>
      </w:r>
      <w:r w:rsidRPr="008147DC">
        <w:rPr>
          <w:lang w:eastAsia="zh-TW"/>
        </w:rPr>
        <w:t>preclude</w:t>
      </w:r>
      <w:r w:rsidRPr="008147DC">
        <w:rPr>
          <w:lang w:eastAsia="zh-TW"/>
        </w:rPr>
        <w:t>）以下之推論：酗酒、社會鍵及犯罪之間，具有交互作用之關連性（</w:t>
      </w:r>
      <w:r w:rsidRPr="008147DC">
        <w:rPr>
          <w:lang w:eastAsia="zh-TW"/>
        </w:rPr>
        <w:t>the reciprocal linkage among drinking, social bonds, and crime</w:t>
      </w:r>
      <w:r w:rsidRPr="008147DC">
        <w:rPr>
          <w:lang w:eastAsia="zh-TW"/>
        </w:rPr>
        <w:t>）。</w:t>
      </w:r>
      <w:r w:rsidRPr="008147DC">
        <w:rPr>
          <w:lang w:eastAsia="zh-TW"/>
        </w:rPr>
        <w:t>Vaillant(1983)</w:t>
      </w:r>
      <w:r w:rsidRPr="008147DC">
        <w:rPr>
          <w:lang w:eastAsia="zh-TW"/>
        </w:rPr>
        <w:t>指出，為何會出現此種情況呢﹖根據</w:t>
      </w:r>
      <w:r w:rsidRPr="008147DC">
        <w:rPr>
          <w:lang w:eastAsia="zh-TW"/>
        </w:rPr>
        <w:t>Vaillant(1983)</w:t>
      </w:r>
      <w:r w:rsidRPr="008147DC">
        <w:rPr>
          <w:lang w:eastAsia="zh-TW"/>
        </w:rPr>
        <w:t>之看法，問題是出在於在</w:t>
      </w:r>
      <w:r w:rsidRPr="008147DC">
        <w:rPr>
          <w:lang w:eastAsia="zh-TW"/>
        </w:rPr>
        <w:t>Glueck</w:t>
      </w:r>
      <w:r w:rsidRPr="008147DC">
        <w:rPr>
          <w:lang w:eastAsia="zh-TW"/>
        </w:rPr>
        <w:t>的研究樣本中，有關樣本反社會行為之測量，使得要將酗酒此一先行行為與反社會行為加以分割，變得較為困難（</w:t>
      </w:r>
      <w:r w:rsidRPr="008147DC">
        <w:rPr>
          <w:lang w:eastAsia="zh-TW"/>
        </w:rPr>
        <w:t>difficult to separate out the ante cedents of alcoholism and antisocial behavior</w:t>
      </w:r>
      <w:r w:rsidRPr="008147DC">
        <w:rPr>
          <w:lang w:eastAsia="zh-TW"/>
        </w:rPr>
        <w:t>）。話雖如此，</w:t>
      </w:r>
      <w:r w:rsidRPr="008147DC">
        <w:rPr>
          <w:lang w:eastAsia="zh-TW"/>
        </w:rPr>
        <w:t>Vaillant</w:t>
      </w:r>
      <w:r w:rsidRPr="008147DC">
        <w:rPr>
          <w:lang w:eastAsia="zh-TW"/>
        </w:rPr>
        <w:t>認為酗酒者雖易於喪失工作、配偶或朋友，但其有最佳之機會進行復原。假若酗酒者其具有對於工作、婚姻或其他親密關係之社會鍵，則此上述之社會鍵，是其社會支持之基礎，並且，其是處在繼續接受監督及監視之狀態下，亦即，酗酒者因有社會鍵之支持，使得其酗酒行為繼續受到有效之監督。在量化分析的詳細探討之中，喝酒行為似乎是會助長婚姻之破碎及工作之不穩定，但是，此種關係並無法解釋「破碎婚姻」及「不穩定工作」此兩種因素，其會促發犯罪之發生。當控制犯罪行為本身之交互影響作用（</w:t>
      </w:r>
      <w:r w:rsidRPr="008147DC">
        <w:rPr>
          <w:lang w:eastAsia="zh-TW"/>
        </w:rPr>
        <w:t>when the reciprocal effect of crime itself was controlled</w:t>
      </w:r>
      <w:r w:rsidRPr="008147DC">
        <w:rPr>
          <w:lang w:eastAsia="zh-TW"/>
        </w:rPr>
        <w:t>），從同時性之方程模式分析中，可發現成人社會鍵對於成人犯行之影響力，仍是存在的。雖然，在成人社會鍵與飲酒行為之間，其間複雜性之交互影響作用有值得作更多深入探討之價值，但，逐級年齡非正式社會控制理論之基本構成要素，仍是具有強而有力的解釋力﹙</w:t>
      </w:r>
      <w:r w:rsidRPr="008147DC">
        <w:rPr>
          <w:lang w:eastAsia="zh-TW"/>
        </w:rPr>
        <w:t>Sampson &amp; Laub, 1993: 249-250</w:t>
      </w:r>
      <w:r w:rsidRPr="008147DC">
        <w:rPr>
          <w:lang w:eastAsia="zh-TW"/>
        </w:rPr>
        <w:t>﹚。</w:t>
      </w:r>
    </w:p>
  </w:footnote>
  <w:footnote w:id="279">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在上述之社會化過程中，低密度（低層次，</w:t>
      </w:r>
      <w:r w:rsidRPr="008147DC">
        <w:rPr>
          <w:lang w:eastAsia="zh-TW"/>
        </w:rPr>
        <w:t>low levels</w:t>
      </w:r>
      <w:r w:rsidRPr="008147DC">
        <w:rPr>
          <w:lang w:eastAsia="zh-TW"/>
        </w:rPr>
        <w:t>）的父母監視（監督）、反覆無常、威脅恐嚇、過於嚴厲的管教紀律（</w:t>
      </w:r>
      <w:r w:rsidRPr="008147DC">
        <w:rPr>
          <w:lang w:eastAsia="zh-TW"/>
        </w:rPr>
        <w:t>discipline</w:t>
      </w:r>
      <w:r w:rsidRPr="008147DC">
        <w:rPr>
          <w:lang w:eastAsia="zh-TW"/>
        </w:rPr>
        <w:t>）與微弱的父母附著，上述之因素，均與少年非行有很強以及直接的相關性。獨立於家庭過程（不論及家庭過程），學校附著對於少年非行而言，有很大的負向作用力。如係在不討論家庭及學校社會化過程情況之下，個體對於非行同儕之附著，其對少年非行具有重大的正向作用力（</w:t>
      </w:r>
      <w:r w:rsidRPr="008147DC">
        <w:rPr>
          <w:lang w:eastAsia="zh-TW"/>
        </w:rPr>
        <w:t>a significant positive effect on delinquency regardless of family and school process</w:t>
      </w:r>
      <w:r w:rsidRPr="008147DC">
        <w:rPr>
          <w:lang w:eastAsia="zh-TW"/>
        </w:rPr>
        <w:t>）。儘管個體對於同儕之附著，其對於少年非行具有重大正向作用力，當</w:t>
      </w:r>
      <w:r w:rsidRPr="008147DC">
        <w:rPr>
          <w:lang w:eastAsia="zh-TW"/>
        </w:rPr>
        <w:t>Sampson &amp; Laub</w:t>
      </w:r>
      <w:r w:rsidRPr="008147DC">
        <w:rPr>
          <w:lang w:eastAsia="zh-TW"/>
        </w:rPr>
        <w:t>兩人進一步分析個體附著於非行之兄弟姐妹（</w:t>
      </w:r>
      <w:r w:rsidRPr="008147DC">
        <w:rPr>
          <w:lang w:eastAsia="zh-TW"/>
        </w:rPr>
        <w:t>delinquent siblings</w:t>
      </w:r>
      <w:r w:rsidRPr="008147DC">
        <w:rPr>
          <w:lang w:eastAsia="zh-TW"/>
        </w:rPr>
        <w:t>），以及附著於同儕，其兩者對於少年非行之影響力，結果發現，在因果過程鍵之中，對於少年非行具有非常重要之作用因素（變項）者，係為家庭及學校之過程（</w:t>
      </w:r>
      <w:r w:rsidRPr="008147DC">
        <w:rPr>
          <w:lang w:eastAsia="zh-TW"/>
        </w:rPr>
        <w:t>family and school processes appear most important in the causal chain</w:t>
      </w:r>
      <w:r w:rsidRPr="008147DC">
        <w:rPr>
          <w:lang w:eastAsia="zh-TW"/>
        </w:rPr>
        <w:t>）。在此同時，</w:t>
      </w:r>
      <w:r w:rsidRPr="008147DC">
        <w:rPr>
          <w:lang w:eastAsia="zh-TW"/>
        </w:rPr>
        <w:t>Sampson &amp; Laub</w:t>
      </w:r>
      <w:r w:rsidRPr="008147DC">
        <w:rPr>
          <w:lang w:eastAsia="zh-TW"/>
        </w:rPr>
        <w:t>兩人發現，結構變項（結構背景因素）對於少年非行之作用力，僅呈現出微弱直接的影響力（</w:t>
      </w:r>
      <w:r w:rsidRPr="008147DC">
        <w:rPr>
          <w:lang w:eastAsia="zh-TW"/>
        </w:rPr>
        <w:t>little direct effect</w:t>
      </w:r>
      <w:r w:rsidRPr="008147DC">
        <w:rPr>
          <w:lang w:eastAsia="zh-TW"/>
        </w:rPr>
        <w:t>）。結構變項對於少年非行之作用力，係被「非正式的社會控制」（</w:t>
      </w:r>
      <w:r w:rsidRPr="008147DC">
        <w:rPr>
          <w:lang w:eastAsia="zh-TW"/>
        </w:rPr>
        <w:t>informal social control</w:t>
      </w:r>
      <w:r w:rsidRPr="008147DC">
        <w:rPr>
          <w:lang w:eastAsia="zh-TW"/>
        </w:rPr>
        <w:t>）之變項加以中介（</w:t>
      </w:r>
      <w:r w:rsidRPr="008147DC">
        <w:rPr>
          <w:lang w:eastAsia="zh-TW"/>
        </w:rPr>
        <w:t>mediated</w:t>
      </w:r>
      <w:r w:rsidRPr="008147DC">
        <w:rPr>
          <w:lang w:eastAsia="zh-TW"/>
        </w:rPr>
        <w:t>）。另外，適應較為困難的小孩，其在孩童時期（</w:t>
      </w:r>
      <w:r w:rsidRPr="008147DC">
        <w:rPr>
          <w:lang w:eastAsia="zh-TW"/>
        </w:rPr>
        <w:t>0-10</w:t>
      </w:r>
      <w:r w:rsidRPr="008147DC">
        <w:rPr>
          <w:lang w:eastAsia="zh-TW"/>
        </w:rPr>
        <w:t>歲）已呈現出早期的反社會傾向，這些早期之反社會傾向，包括：脾氣暴躁（</w:t>
      </w:r>
      <w:r w:rsidRPr="008147DC">
        <w:rPr>
          <w:lang w:eastAsia="zh-TW"/>
        </w:rPr>
        <w:t>violent temperament</w:t>
      </w:r>
      <w:r w:rsidRPr="008147DC">
        <w:rPr>
          <w:lang w:eastAsia="zh-TW"/>
        </w:rPr>
        <w:t>）、失序之行為、不良之特質（</w:t>
      </w:r>
      <w:r w:rsidRPr="008147DC">
        <w:rPr>
          <w:lang w:eastAsia="zh-TW"/>
        </w:rPr>
        <w:t>difficult temperament</w:t>
      </w:r>
      <w:r w:rsidRPr="008147DC">
        <w:rPr>
          <w:lang w:eastAsia="zh-TW"/>
        </w:rPr>
        <w:t>）等，上述之孩童，儘管對於後來的少年非行具有「自我選擇」</w:t>
      </w:r>
      <w:r w:rsidRPr="008147DC">
        <w:rPr>
          <w:lang w:eastAsia="zh-TW"/>
        </w:rPr>
        <w:t>(</w:t>
      </w:r>
      <w:r w:rsidRPr="008147DC">
        <w:rPr>
          <w:lang w:eastAsia="zh-TW"/>
        </w:rPr>
        <w:t>自我挑選</w:t>
      </w:r>
      <w:r w:rsidRPr="008147DC">
        <w:rPr>
          <w:lang w:eastAsia="zh-TW"/>
        </w:rPr>
        <w:t>)</w:t>
      </w:r>
      <w:r w:rsidRPr="008147DC">
        <w:rPr>
          <w:lang w:eastAsia="zh-TW"/>
        </w:rPr>
        <w:t>之解釋力（</w:t>
      </w:r>
      <w:r w:rsidRPr="008147DC">
        <w:rPr>
          <w:lang w:eastAsia="zh-TW"/>
        </w:rPr>
        <w:t>sort themselves into later stages of delinquency</w:t>
      </w:r>
      <w:r w:rsidRPr="008147DC">
        <w:rPr>
          <w:lang w:eastAsia="zh-TW"/>
        </w:rPr>
        <w:t>），然而，事實上，「非正式社會控制之過程」對於青少年非行之變異解釋量，具有最大的解釋力（</w:t>
      </w:r>
      <w:r w:rsidRPr="008147DC">
        <w:rPr>
          <w:lang w:eastAsia="zh-TW"/>
        </w:rPr>
        <w:t>explain the largest share of variance in adolescent delinquency</w:t>
      </w:r>
      <w:r w:rsidRPr="008147DC">
        <w:rPr>
          <w:lang w:eastAsia="zh-TW"/>
        </w:rPr>
        <w:t>）。縱觀來看，理論之實證結果，支持社會控制之整合性觀點，亦即，承認「結構」（</w:t>
      </w:r>
      <w:r w:rsidRPr="008147DC">
        <w:rPr>
          <w:lang w:eastAsia="zh-TW"/>
        </w:rPr>
        <w:t>structure</w:t>
      </w:r>
      <w:r w:rsidRPr="008147DC">
        <w:rPr>
          <w:lang w:eastAsia="zh-TW"/>
        </w:rPr>
        <w:t>）與「過程」（</w:t>
      </w:r>
      <w:r w:rsidRPr="008147DC">
        <w:rPr>
          <w:lang w:eastAsia="zh-TW"/>
        </w:rPr>
        <w:t>process</w:t>
      </w:r>
      <w:r w:rsidRPr="008147DC">
        <w:rPr>
          <w:lang w:eastAsia="zh-TW"/>
        </w:rPr>
        <w:t>）之重要性。當連接青少年與社會之間的連結鍵（社會鍵），不論其是透過家庭或是學校，若連結鍵變為微弱時，青少年從事少年非行之機率就會增加。值得注意的，是個體負面之結構變項條件，諸如貧窮、家庭破碎等等，雖然，這些負面之結構變項對於少年非行仍然具有作用力，但是，大部分影響少年非行之變項，係為透過家庭及學校過程之非正式社會控制變項</w:t>
      </w:r>
      <w:r w:rsidRPr="008147DC">
        <w:rPr>
          <w:lang w:eastAsia="zh-TW"/>
        </w:rPr>
        <w:t>(Sampson., &amp; Laub. 1993)</w:t>
      </w:r>
      <w:r w:rsidRPr="008147DC">
        <w:rPr>
          <w:lang w:eastAsia="zh-TW"/>
        </w:rPr>
        <w:t>。</w:t>
      </w:r>
    </w:p>
  </w:footnote>
  <w:footnote w:id="280">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個體之少年非行以及在孩童時期（</w:t>
      </w:r>
      <w:r w:rsidRPr="008147DC">
        <w:rPr>
          <w:lang w:eastAsia="zh-TW"/>
        </w:rPr>
        <w:t>0-10</w:t>
      </w:r>
      <w:r w:rsidRPr="008147DC">
        <w:rPr>
          <w:lang w:eastAsia="zh-TW"/>
        </w:rPr>
        <w:t>歲）的其他各類型式之反社會行為，其與晚後之成人時期的各種令人厭煩（</w:t>
      </w:r>
      <w:r w:rsidRPr="008147DC">
        <w:rPr>
          <w:lang w:eastAsia="zh-TW"/>
        </w:rPr>
        <w:t>troublesome</w:t>
      </w:r>
      <w:r w:rsidRPr="008147DC">
        <w:rPr>
          <w:lang w:eastAsia="zh-TW"/>
        </w:rPr>
        <w:t>）之行為，具有強而有力的關連性（</w:t>
      </w:r>
      <w:r w:rsidRPr="008147DC">
        <w:rPr>
          <w:lang w:eastAsia="zh-TW"/>
        </w:rPr>
        <w:t>strongly related</w:t>
      </w:r>
      <w:r w:rsidRPr="008147DC">
        <w:rPr>
          <w:lang w:eastAsia="zh-TW"/>
        </w:rPr>
        <w:t>），而上述成人令人厭煩的行為，係橫跨於成人不同之生活型態領域，諸如：成人在部隊中服役時之犯行、經濟上之依賴性（領取美國社會之各式救濟金），以及婚姻之失和等行為領域。</w:t>
      </w:r>
      <w:r w:rsidRPr="008147DC">
        <w:rPr>
          <w:lang w:eastAsia="zh-TW"/>
        </w:rPr>
        <w:t>Sampson &amp; Laub</w:t>
      </w:r>
      <w:r w:rsidRPr="008147DC">
        <w:rPr>
          <w:lang w:eastAsia="zh-TW"/>
        </w:rPr>
        <w:t>之實證發現，其結果顯示與社會學理論中的成人發展及非正式社會控制等理論頗為一致，然而，在成人階段，個體對於成人犯罪之改變因素中，「工作穩定性」（</w:t>
      </w:r>
      <w:r w:rsidRPr="008147DC">
        <w:rPr>
          <w:lang w:eastAsia="zh-TW"/>
        </w:rPr>
        <w:t>job stability</w:t>
      </w:r>
      <w:r w:rsidRPr="008147DC">
        <w:rPr>
          <w:lang w:eastAsia="zh-TW"/>
        </w:rPr>
        <w:t>）及「婚姻附著」（</w:t>
      </w:r>
      <w:r w:rsidRPr="008147DC">
        <w:rPr>
          <w:lang w:eastAsia="zh-TW"/>
        </w:rPr>
        <w:t>marital attachment</w:t>
      </w:r>
      <w:r w:rsidRPr="008147DC">
        <w:rPr>
          <w:lang w:eastAsia="zh-TW"/>
        </w:rPr>
        <w:t>）兩者與上述之成人犯罪的變化，其間具有重大的關連性（</w:t>
      </w:r>
      <w:r w:rsidRPr="008147DC">
        <w:rPr>
          <w:lang w:eastAsia="zh-TW"/>
        </w:rPr>
        <w:t>significantly related</w:t>
      </w:r>
      <w:r w:rsidRPr="008147DC">
        <w:rPr>
          <w:lang w:eastAsia="zh-TW"/>
        </w:rPr>
        <w:t>）。假若成人對於工作及家庭的附著鍵愈強，則在非行少年組（實驗組）與控制組兩組之間，成人的犯罪及偏差行為將會愈少</w:t>
      </w:r>
      <w:r w:rsidRPr="008147DC">
        <w:rPr>
          <w:lang w:eastAsia="zh-TW"/>
        </w:rPr>
        <w:t>(Sampson., &amp; Laub. 1993)</w:t>
      </w:r>
      <w:r w:rsidRPr="008147DC">
        <w:rPr>
          <w:lang w:eastAsia="zh-TW"/>
        </w:rPr>
        <w:t>。</w:t>
      </w:r>
    </w:p>
  </w:footnote>
  <w:footnote w:id="281">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另一方面，不論個體嚴重之酗酒因素，工作之不穩定性則會增長（</w:t>
      </w:r>
      <w:r w:rsidRPr="008147DC">
        <w:rPr>
          <w:lang w:eastAsia="zh-TW"/>
        </w:rPr>
        <w:t>foster</w:t>
      </w:r>
      <w:r w:rsidRPr="008147DC">
        <w:rPr>
          <w:lang w:eastAsia="zh-TW"/>
        </w:rPr>
        <w:t>）成人之犯行。附著於工作之社會鍵，其直接受到國家刑事制裁之影響。當個體在青少年時期及成人時期，若其曾受到監禁，其監禁措施會對個體往後工作之穩定性，產生一種負向之影響力（</w:t>
      </w:r>
      <w:r w:rsidRPr="008147DC">
        <w:rPr>
          <w:lang w:eastAsia="zh-TW"/>
        </w:rPr>
        <w:t>had negative effects on later job stability</w:t>
      </w:r>
      <w:r w:rsidRPr="008147DC">
        <w:rPr>
          <w:lang w:eastAsia="zh-TW"/>
        </w:rPr>
        <w:t>）；而上述之工作穩定性，其與個體在生命歷程中持續地從事犯行，兩者之間是存在負向關連性。雖然，理論之實證結果，發現監禁對於後續之成人犯罪，僅有微弱的正向作用力（</w:t>
      </w:r>
      <w:r w:rsidRPr="008147DC">
        <w:rPr>
          <w:lang w:eastAsia="zh-TW"/>
        </w:rPr>
        <w:t>little direct effect of incarceration on subseqnent criminality</w:t>
      </w:r>
      <w:r w:rsidRPr="008147DC">
        <w:rPr>
          <w:lang w:eastAsia="zh-TW"/>
        </w:rPr>
        <w:t>），但是，監禁之間接效果，其卻具有實質的重要性</w:t>
      </w:r>
      <w:r w:rsidRPr="008147DC">
        <w:rPr>
          <w:lang w:eastAsia="zh-TW"/>
        </w:rPr>
        <w:t>(Sampson., &amp; Laub. 1993)</w:t>
      </w:r>
      <w:r w:rsidRPr="008147DC">
        <w:rPr>
          <w:lang w:eastAsia="zh-TW"/>
        </w:rPr>
        <w:t>。在</w:t>
      </w:r>
      <w:r w:rsidRPr="008147DC">
        <w:rPr>
          <w:lang w:eastAsia="zh-TW"/>
        </w:rPr>
        <w:t>500</w:t>
      </w:r>
      <w:r w:rsidRPr="008147DC">
        <w:rPr>
          <w:lang w:eastAsia="zh-TW"/>
        </w:rPr>
        <w:t>位非行少年（實驗組）與</w:t>
      </w:r>
      <w:r w:rsidRPr="008147DC">
        <w:rPr>
          <w:lang w:eastAsia="zh-TW"/>
        </w:rPr>
        <w:t>500</w:t>
      </w:r>
      <w:r w:rsidRPr="008147DC">
        <w:rPr>
          <w:lang w:eastAsia="zh-TW"/>
        </w:rPr>
        <w:t>位正常少年（控制組）兩組之中，儘管其在孩童時代之行為，兩者存在著差異性，然而，附著於工作及家庭的成人社會鍵，對於上述兩組生命軌道之影響，卻是具有相似性。事實上，就實驗組與控制組而言，在有些時候，非正式社會控制的參數估計值，幾近乎是雷同的。當</w:t>
      </w:r>
      <w:r w:rsidRPr="008147DC">
        <w:rPr>
          <w:lang w:eastAsia="zh-TW"/>
        </w:rPr>
        <w:t>Sampson &amp; Laub</w:t>
      </w:r>
      <w:r w:rsidRPr="008147DC">
        <w:rPr>
          <w:lang w:eastAsia="zh-TW"/>
        </w:rPr>
        <w:t>就少年非行加以控制之後，個體早期行為差異之預測能力，是不存在的。除了量化之分析技巧之外，</w:t>
      </w:r>
      <w:r w:rsidRPr="008147DC">
        <w:rPr>
          <w:lang w:eastAsia="zh-TW"/>
        </w:rPr>
        <w:t>Sampson &amp; Laub</w:t>
      </w:r>
      <w:r w:rsidRPr="008147DC">
        <w:rPr>
          <w:lang w:eastAsia="zh-TW"/>
        </w:rPr>
        <w:t>的解釋分析策略，同時包括一種新的方法，亦即，對於個體之生命歷史內涵加以描繪。換句話說，研究人員從</w:t>
      </w:r>
      <w:r w:rsidRPr="008147DC">
        <w:rPr>
          <w:lang w:eastAsia="zh-TW"/>
        </w:rPr>
        <w:t>Glueck</w:t>
      </w:r>
      <w:r w:rsidRPr="008147DC">
        <w:rPr>
          <w:lang w:eastAsia="zh-TW"/>
        </w:rPr>
        <w:t>的原始樣本檔案之中，利用質化研究方法加以分析。並用，利用質化研究之結果，檢驗量化分析結論是否正確﹖在個體之生命歷史資料中，</w:t>
      </w:r>
      <w:r w:rsidRPr="008147DC">
        <w:rPr>
          <w:lang w:eastAsia="zh-TW"/>
        </w:rPr>
        <w:t>Sampson</w:t>
      </w:r>
      <w:r w:rsidRPr="008147DC">
        <w:rPr>
          <w:lang w:eastAsia="zh-TW"/>
        </w:rPr>
        <w:t>等人整合不同的樣本資料來源，結果發現，質化分析之結論，其支持逐級年齡非正式控制理論的核心概念，亦即，在個體的生命歷程之中，其行為存在著「穩定性」（</w:t>
      </w:r>
      <w:r w:rsidRPr="008147DC">
        <w:rPr>
          <w:lang w:eastAsia="zh-TW"/>
        </w:rPr>
        <w:t>stability</w:t>
      </w:r>
      <w:r w:rsidRPr="008147DC">
        <w:rPr>
          <w:lang w:eastAsia="zh-TW"/>
        </w:rPr>
        <w:t>）及「變化性」（</w:t>
      </w:r>
      <w:r w:rsidRPr="008147DC">
        <w:rPr>
          <w:lang w:eastAsia="zh-TW"/>
        </w:rPr>
        <w:t>change</w:t>
      </w:r>
      <w:r w:rsidRPr="008147DC">
        <w:rPr>
          <w:lang w:eastAsia="zh-TW"/>
        </w:rPr>
        <w:t>），而且，這些變化，與成人階段之工作及家庭，產生系統性之關連。</w:t>
      </w:r>
      <w:r w:rsidRPr="008147DC">
        <w:rPr>
          <w:lang w:eastAsia="zh-TW"/>
        </w:rPr>
        <w:t>Sampson &amp; Laub</w:t>
      </w:r>
      <w:r w:rsidRPr="008147DC">
        <w:rPr>
          <w:lang w:eastAsia="zh-TW"/>
        </w:rPr>
        <w:t>透過對於</w:t>
      </w:r>
      <w:r w:rsidRPr="008147DC">
        <w:rPr>
          <w:lang w:eastAsia="zh-TW"/>
        </w:rPr>
        <w:t>Glueck</w:t>
      </w:r>
      <w:r w:rsidRPr="008147DC">
        <w:rPr>
          <w:lang w:eastAsia="zh-TW"/>
        </w:rPr>
        <w:t>樣本檔案所記載資料（敘述性資料）之分析，其發現假若個體之工作穩定性很脆弱，以及樣本對於其配偶之附著很微弱，則上述之要件，會增加個體從事犯行與偏差行為之可能性。反之，假若樣本其工作之穩定性，是強而有力的，並且，對於配偶之附著，亦是很堅實的，則會降低個體從事犯行與偏差行為之可能性（機率）。整體來看，孩童時期之行為傾向，無法解釋往後之成人犯罪行為。能夠解釋成人犯罪之變化者，係為成人社會鍵（例如，婚姻之附著，工作之穩定性）。</w:t>
      </w:r>
      <w:r w:rsidRPr="008147DC">
        <w:rPr>
          <w:lang w:eastAsia="zh-TW"/>
        </w:rPr>
        <w:t>Sampson &amp; Laub</w:t>
      </w:r>
      <w:r w:rsidRPr="008147DC">
        <w:rPr>
          <w:lang w:eastAsia="zh-TW"/>
        </w:rPr>
        <w:t>兩人關注於個體在生命發展的歷程中，存在著一種特性，亦即，「持續性」（</w:t>
      </w:r>
      <w:r w:rsidRPr="008147DC">
        <w:rPr>
          <w:lang w:eastAsia="zh-TW"/>
        </w:rPr>
        <w:t>continuity</w:t>
      </w:r>
      <w:r w:rsidRPr="008147DC">
        <w:rPr>
          <w:lang w:eastAsia="zh-TW"/>
        </w:rPr>
        <w:t>）及「變化性」（</w:t>
      </w:r>
      <w:r w:rsidRPr="008147DC">
        <w:rPr>
          <w:lang w:eastAsia="zh-TW"/>
        </w:rPr>
        <w:t>change</w:t>
      </w:r>
      <w:r w:rsidRPr="008147DC">
        <w:rPr>
          <w:lang w:eastAsia="zh-TW"/>
        </w:rPr>
        <w:t>），而上述之實證結論，亦即社會鍵能解釋成人犯罪之變異性，支持</w:t>
      </w:r>
      <w:r w:rsidRPr="008147DC">
        <w:rPr>
          <w:lang w:eastAsia="zh-TW"/>
        </w:rPr>
        <w:t>Sampson</w:t>
      </w:r>
      <w:r w:rsidRPr="008147DC">
        <w:rPr>
          <w:lang w:eastAsia="zh-TW"/>
        </w:rPr>
        <w:t>等人對於個體行為具有持續性及變化性之雙重關懷</w:t>
      </w:r>
      <w:r w:rsidRPr="008147DC">
        <w:rPr>
          <w:lang w:eastAsia="zh-TW"/>
        </w:rPr>
        <w:t>(Sampson., &amp; Laub. 1993)</w:t>
      </w:r>
      <w:r w:rsidRPr="008147DC">
        <w:rPr>
          <w:lang w:eastAsia="zh-TW"/>
        </w:rPr>
        <w:t>。</w:t>
      </w:r>
    </w:p>
  </w:footnote>
  <w:footnote w:id="282">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針對有多項、廣泛前科紀錄之犯罪人，有論者甚至提出長期監禁之對策。最後，國家型罰權之中，最為嚴厲之刑罰措施</w:t>
      </w:r>
      <w:r w:rsidRPr="008147DC">
        <w:rPr>
          <w:lang w:eastAsia="zh-TW"/>
        </w:rPr>
        <w:t>-------</w:t>
      </w:r>
      <w:r w:rsidRPr="008147DC">
        <w:rPr>
          <w:lang w:eastAsia="zh-TW"/>
        </w:rPr>
        <w:t>「死刑」，就被祭出，並增加使用死刑之次數。上述之犯罪預防對策，其前提係假定個體被抑制不去從事犯行或被剝奪其相關之權利，將會更進一步地降低暴力犯罪。根據</w:t>
      </w:r>
      <w:r w:rsidRPr="008147DC">
        <w:rPr>
          <w:lang w:eastAsia="zh-TW"/>
        </w:rPr>
        <w:t>Hinds(1990)</w:t>
      </w:r>
      <w:r w:rsidRPr="008147DC">
        <w:rPr>
          <w:lang w:eastAsia="zh-TW"/>
        </w:rPr>
        <w:t>、</w:t>
      </w:r>
      <w:r w:rsidRPr="008147DC">
        <w:rPr>
          <w:lang w:eastAsia="zh-TW"/>
        </w:rPr>
        <w:t>James(1991)</w:t>
      </w:r>
      <w:r w:rsidRPr="008147DC">
        <w:rPr>
          <w:lang w:eastAsia="zh-TW"/>
        </w:rPr>
        <w:t>、</w:t>
      </w:r>
      <w:r w:rsidRPr="008147DC">
        <w:rPr>
          <w:lang w:eastAsia="zh-TW"/>
        </w:rPr>
        <w:t>Koop</w:t>
      </w:r>
      <w:r w:rsidRPr="008147DC">
        <w:rPr>
          <w:lang w:eastAsia="zh-TW"/>
        </w:rPr>
        <w:t>及</w:t>
      </w:r>
      <w:r w:rsidRPr="008147DC">
        <w:rPr>
          <w:lang w:eastAsia="zh-TW"/>
        </w:rPr>
        <w:t>Lundberg(1992)</w:t>
      </w:r>
      <w:r w:rsidRPr="008147DC">
        <w:rPr>
          <w:lang w:eastAsia="zh-TW"/>
        </w:rPr>
        <w:t>等人之研究指出，儘管美國最近監禁率與執行率是已高到史無前例之程度，然而，在全美很多的城巿之中，最近的暴力犯罪率，仍是上揚。美國現今所採用的犯罪預防對策，有一種很高的可能性，亦即，目前之犯罪防制政策，正在產生超乎想像之外的意外效應。</w:t>
      </w:r>
      <w:r w:rsidRPr="008147DC">
        <w:rPr>
          <w:lang w:eastAsia="zh-TW"/>
        </w:rPr>
        <w:t>Sampson &amp; Laub</w:t>
      </w:r>
      <w:r w:rsidRPr="008147DC">
        <w:rPr>
          <w:lang w:eastAsia="zh-TW"/>
        </w:rPr>
        <w:t>主張，對於個體所施加之監禁措施，在對未來工作就業之穩定性，可能會產生強而有力的負向作用力（</w:t>
      </w:r>
      <w:r w:rsidRPr="008147DC">
        <w:rPr>
          <w:lang w:eastAsia="zh-TW"/>
        </w:rPr>
        <w:t>imprisonment may have powerful negative effects</w:t>
      </w:r>
      <w:r w:rsidRPr="008147DC">
        <w:rPr>
          <w:lang w:eastAsia="zh-TW"/>
        </w:rPr>
        <w:t>）。根據</w:t>
      </w:r>
      <w:r w:rsidRPr="008147DC">
        <w:rPr>
          <w:lang w:eastAsia="zh-TW"/>
        </w:rPr>
        <w:t>Wilson(1981)</w:t>
      </w:r>
      <w:r w:rsidRPr="008147DC">
        <w:rPr>
          <w:lang w:eastAsia="zh-TW"/>
        </w:rPr>
        <w:t>及</w:t>
      </w:r>
      <w:r w:rsidRPr="008147DC">
        <w:rPr>
          <w:lang w:eastAsia="zh-TW"/>
        </w:rPr>
        <w:t>Sampson(1987)</w:t>
      </w:r>
      <w:r w:rsidRPr="008147DC">
        <w:rPr>
          <w:lang w:eastAsia="zh-TW"/>
        </w:rPr>
        <w:t>等人之看法，低收入，無法就業及低度就業之情況，其本身與家庭破碎風險之提升間，具有相關性。監禁透過其對於男性就業所產生之負面效應，會產生一種間接之影響力，亦即，間接地經由家庭之破碎，導致個體未來之犯行與偏差行為，其發生之可能性會增加。</w:t>
      </w:r>
      <w:r w:rsidRPr="008147DC">
        <w:rPr>
          <w:lang w:eastAsia="zh-TW"/>
        </w:rPr>
        <w:t>Sampson(1987)</w:t>
      </w:r>
      <w:r w:rsidRPr="008147DC">
        <w:rPr>
          <w:lang w:eastAsia="zh-TW"/>
        </w:rPr>
        <w:t>及</w:t>
      </w:r>
      <w:r w:rsidRPr="008147DC">
        <w:rPr>
          <w:lang w:eastAsia="zh-TW"/>
        </w:rPr>
        <w:t>Mauer(1990)</w:t>
      </w:r>
      <w:r w:rsidRPr="008147DC">
        <w:rPr>
          <w:lang w:eastAsia="zh-TW"/>
        </w:rPr>
        <w:t>指出，對於年輕成人男性黑人所施加之極端高度的監禁率，證明上述論述之真實性。</w:t>
      </w:r>
      <w:r w:rsidRPr="008147DC">
        <w:rPr>
          <w:lang w:eastAsia="zh-TW"/>
        </w:rPr>
        <w:t>Sampson &amp; Laub</w:t>
      </w:r>
      <w:r w:rsidRPr="008147DC">
        <w:rPr>
          <w:lang w:eastAsia="zh-TW"/>
        </w:rPr>
        <w:t>分析</w:t>
      </w:r>
      <w:r w:rsidRPr="008147DC">
        <w:rPr>
          <w:lang w:eastAsia="zh-TW"/>
        </w:rPr>
        <w:t>Glueck</w:t>
      </w:r>
      <w:r w:rsidRPr="008147DC">
        <w:rPr>
          <w:lang w:eastAsia="zh-TW"/>
        </w:rPr>
        <w:t>之資料後，發現樣本若在青少年時期（</w:t>
      </w:r>
      <w:r w:rsidRPr="008147DC">
        <w:rPr>
          <w:lang w:eastAsia="zh-TW"/>
        </w:rPr>
        <w:t>10-17</w:t>
      </w:r>
      <w:r w:rsidRPr="008147DC">
        <w:rPr>
          <w:lang w:eastAsia="zh-TW"/>
        </w:rPr>
        <w:t>歲）及成人階段，曾遭受到監禁，則在矯治機構所處之時間長短，對於其往後工作穩定性而言，會產生一種負向的作用力；接下來，更導致個體於往後之歲月，去從事犯行及偏差行為。在此同時，</w:t>
      </w:r>
      <w:r w:rsidRPr="008147DC">
        <w:rPr>
          <w:lang w:eastAsia="zh-TW"/>
        </w:rPr>
        <w:t>Sampson &amp; Laub</w:t>
      </w:r>
      <w:r w:rsidRPr="008147DC">
        <w:rPr>
          <w:lang w:eastAsia="zh-TW"/>
        </w:rPr>
        <w:t>的分析亦顯示，個體自我的改變是可能的，因此，在監禁被釋放後之期間，個體與社會機制，諸如家庭、學校及工作間，其再次相互連結的機會，是非常重要的。不僅</w:t>
      </w:r>
      <w:r w:rsidRPr="008147DC">
        <w:rPr>
          <w:lang w:eastAsia="zh-TW"/>
        </w:rPr>
        <w:t>Sampson</w:t>
      </w:r>
      <w:r w:rsidRPr="008147DC">
        <w:rPr>
          <w:lang w:eastAsia="zh-TW"/>
        </w:rPr>
        <w:t>等人有上述之看法，</w:t>
      </w:r>
      <w:r w:rsidRPr="008147DC">
        <w:rPr>
          <w:lang w:eastAsia="zh-TW"/>
        </w:rPr>
        <w:t>Cook(1975)</w:t>
      </w:r>
      <w:r w:rsidRPr="008147DC">
        <w:rPr>
          <w:lang w:eastAsia="zh-TW"/>
        </w:rPr>
        <w:t>及</w:t>
      </w:r>
      <w:r w:rsidRPr="008147DC">
        <w:rPr>
          <w:lang w:eastAsia="zh-TW"/>
        </w:rPr>
        <w:t>Braithwaite(1989)</w:t>
      </w:r>
      <w:r w:rsidRPr="008147DC">
        <w:rPr>
          <w:lang w:eastAsia="zh-TW"/>
        </w:rPr>
        <w:t>亦有類似相同之研究發現。長期監禁的效應，其是相當地具有嚴重性，因其使得個體貼上結構性之標籤，很多</w:t>
      </w:r>
      <w:r w:rsidRPr="008147DC">
        <w:rPr>
          <w:lang w:eastAsia="zh-TW"/>
        </w:rPr>
        <w:t>Glueck</w:t>
      </w:r>
      <w:r w:rsidRPr="008147DC">
        <w:rPr>
          <w:lang w:eastAsia="zh-TW"/>
        </w:rPr>
        <w:t>研究調查中之成人男性樣本，在收入頗為不錯之工作中被辭掉工作機會之原因，係肇始於上述之監禁所引發之標籤效應﹙</w:t>
      </w:r>
      <w:r w:rsidRPr="008147DC">
        <w:rPr>
          <w:lang w:eastAsia="zh-TW"/>
        </w:rPr>
        <w:t>Sampson &amp; Laub, 1993: 253-256</w:t>
      </w:r>
      <w:r w:rsidRPr="008147DC">
        <w:rPr>
          <w:lang w:eastAsia="zh-TW"/>
        </w:rPr>
        <w:t>﹚。</w:t>
      </w:r>
      <w:r w:rsidRPr="008147DC">
        <w:rPr>
          <w:lang w:eastAsia="zh-TW"/>
        </w:rPr>
        <w:t>Sampson &amp; Laub</w:t>
      </w:r>
      <w:r w:rsidRPr="008147DC">
        <w:rPr>
          <w:lang w:eastAsia="zh-TW"/>
        </w:rPr>
        <w:t>堅信：現在應該是以一種新的視野，重新審思犯罪防制政策之時刻，吾人應將研究焦點放置於犯罪前之預防工作，此種預防之觀點，其強調不應忽視犯罪結構性之內涵問題，同時，亦不能忽視社會的基本機制，諸如：家庭、學校及工作，上述之社會機制，其可提供非正式之社會控制及社會資本。</w:t>
      </w:r>
      <w:r w:rsidRPr="008147DC">
        <w:rPr>
          <w:lang w:eastAsia="zh-TW"/>
        </w:rPr>
        <w:t>Sampson</w:t>
      </w:r>
      <w:r w:rsidRPr="008147DC">
        <w:rPr>
          <w:lang w:eastAsia="zh-TW"/>
        </w:rPr>
        <w:t>等人之主張，其實，他們並非認為在所有的刑事案件中，監禁是不必要的（不需要的），或是不值得的，他們亦不主張監禁對於犯罪是不具威嚇效應。</w:t>
      </w:r>
      <w:r w:rsidRPr="008147DC">
        <w:rPr>
          <w:lang w:eastAsia="zh-TW"/>
        </w:rPr>
        <w:t>Sampson &amp; Laub</w:t>
      </w:r>
      <w:r w:rsidRPr="008147DC">
        <w:rPr>
          <w:lang w:eastAsia="zh-TW"/>
        </w:rPr>
        <w:t>認為，我們應該採取一種更加複雜及更為長期的觀點，承認在犯罪政策、就業、家庭凝聚力（</w:t>
      </w:r>
      <w:r w:rsidRPr="008147DC">
        <w:rPr>
          <w:lang w:eastAsia="zh-TW"/>
        </w:rPr>
        <w:t>family cohesion</w:t>
      </w:r>
      <w:r w:rsidRPr="008147DC">
        <w:rPr>
          <w:lang w:eastAsia="zh-TW"/>
        </w:rPr>
        <w:t>）及美國內地城巿社區中的社會組織彼此之間，具有一種關連性。我們必須承認，這些更加複雜的犯罪政策，並非容易地可轉換成特殊之計劃案。相對地，目前之犯罪預防政策的代價，亦是相當地高昂，且其成效之好壞，是在歷程長時間之後，才會被人們感受到。</w:t>
      </w:r>
      <w:r w:rsidRPr="008147DC">
        <w:rPr>
          <w:lang w:eastAsia="zh-TW"/>
        </w:rPr>
        <w:t>Sampson &amp; Laub</w:t>
      </w:r>
      <w:r w:rsidRPr="008147DC">
        <w:rPr>
          <w:lang w:eastAsia="zh-TW"/>
        </w:rPr>
        <w:t>對於美國目前採取之監禁犯罪預防政策，感到很憂心及質疑。當</w:t>
      </w:r>
      <w:r w:rsidRPr="008147DC">
        <w:rPr>
          <w:lang w:eastAsia="zh-TW"/>
        </w:rPr>
        <w:t>Sampson &amp; Laub</w:t>
      </w:r>
      <w:r w:rsidRPr="008147DC">
        <w:rPr>
          <w:lang w:eastAsia="zh-TW"/>
        </w:rPr>
        <w:t>撰寫「犯罪之形成」（</w:t>
      </w:r>
      <w:r w:rsidRPr="008147DC">
        <w:rPr>
          <w:lang w:eastAsia="zh-TW"/>
        </w:rPr>
        <w:t>Crime In the Making</w:t>
      </w:r>
      <w:r w:rsidRPr="008147DC">
        <w:rPr>
          <w:lang w:eastAsia="zh-TW"/>
        </w:rPr>
        <w:t>）一書之際，其所調查研究之樣本</w:t>
      </w:r>
      <w:r w:rsidRPr="008147DC">
        <w:rPr>
          <w:lang w:eastAsia="zh-TW"/>
        </w:rPr>
        <w:t>------</w:t>
      </w:r>
      <w:r w:rsidRPr="008147DC">
        <w:rPr>
          <w:lang w:eastAsia="zh-TW"/>
        </w:rPr>
        <w:t>非行少年及成人犯，宛如處於一種「被鎖住」（</w:t>
      </w:r>
      <w:r w:rsidRPr="008147DC">
        <w:rPr>
          <w:lang w:eastAsia="zh-TW"/>
        </w:rPr>
        <w:t>being locked up</w:t>
      </w:r>
      <w:r w:rsidRPr="008147DC">
        <w:rPr>
          <w:lang w:eastAsia="zh-TW"/>
        </w:rPr>
        <w:t>）之狀態，並且，有永久性地從美國社會之中，被加以隔離之風險。這些犯罪樣本，他們被人們放逐成為一種「結構性的角色」</w:t>
      </w:r>
      <w:r w:rsidRPr="008147DC">
        <w:rPr>
          <w:lang w:eastAsia="zh-TW"/>
        </w:rPr>
        <w:t>-----</w:t>
      </w:r>
      <w:r w:rsidRPr="008147DC">
        <w:rPr>
          <w:lang w:eastAsia="zh-TW"/>
        </w:rPr>
        <w:t>危險的份子，是屬於犯罪階級份子（</w:t>
      </w:r>
      <w:r w:rsidRPr="008147DC">
        <w:rPr>
          <w:lang w:eastAsia="zh-TW"/>
        </w:rPr>
        <w:t>Brace, 1972; Hagon</w:t>
      </w:r>
      <w:r w:rsidRPr="008147DC">
        <w:rPr>
          <w:lang w:eastAsia="zh-TW"/>
        </w:rPr>
        <w:t>及</w:t>
      </w:r>
      <w:r w:rsidRPr="008147DC">
        <w:rPr>
          <w:lang w:eastAsia="zh-TW"/>
        </w:rPr>
        <w:t>Palloni, 1988</w:t>
      </w:r>
      <w:r w:rsidRPr="008147DC">
        <w:rPr>
          <w:lang w:eastAsia="zh-TW"/>
        </w:rPr>
        <w:t>）。事實上，這些樣本未來之生涯，可預見的，是非地的陰鬱及淒涼（</w:t>
      </w:r>
      <w:r w:rsidRPr="008147DC">
        <w:rPr>
          <w:lang w:eastAsia="zh-TW"/>
        </w:rPr>
        <w:t>very bleak</w:t>
      </w:r>
      <w:r w:rsidRPr="008147DC">
        <w:rPr>
          <w:lang w:eastAsia="zh-TW"/>
        </w:rPr>
        <w:t>）。</w:t>
      </w:r>
      <w:r w:rsidRPr="008147DC">
        <w:rPr>
          <w:lang w:eastAsia="zh-TW"/>
        </w:rPr>
        <w:t>Sampson &amp; Laub</w:t>
      </w:r>
      <w:r w:rsidRPr="008147DC">
        <w:rPr>
          <w:lang w:eastAsia="zh-TW"/>
        </w:rPr>
        <w:t>對於此種「蹂躪性」，及昂費地犯罪政策，他們不禁要質疑其智慧與理論基礎究竟何在﹖﹙</w:t>
      </w:r>
      <w:r w:rsidRPr="008147DC">
        <w:rPr>
          <w:lang w:eastAsia="zh-TW"/>
        </w:rPr>
        <w:t>Sampson &amp; Laub, 1993: 253-256</w:t>
      </w:r>
      <w:r w:rsidRPr="008147DC">
        <w:rPr>
          <w:lang w:eastAsia="zh-TW"/>
        </w:rPr>
        <w:t>﹚</w:t>
      </w:r>
    </w:p>
  </w:footnote>
  <w:footnote w:id="283">
    <w:p w:rsidR="00657FEF" w:rsidRPr="008147DC" w:rsidRDefault="00657FEF" w:rsidP="00992AB6">
      <w:pPr>
        <w:pStyle w:val="5"/>
        <w:rPr>
          <w:lang w:eastAsia="zh-TW"/>
        </w:rPr>
      </w:pPr>
      <w:r w:rsidRPr="002031B1">
        <w:rPr>
          <w:rStyle w:val="af7"/>
          <w:rFonts w:eastAsia="新細明體"/>
          <w:kern w:val="2"/>
        </w:rPr>
        <w:footnoteRef/>
      </w:r>
      <w:r w:rsidRPr="002031B1">
        <w:rPr>
          <w:rFonts w:ascii="Arial Unicode MS" w:eastAsia="新細明體" w:hAnsi="Arial Unicode MS"/>
          <w:color w:val="FF6600"/>
          <w:kern w:val="2"/>
          <w:lang w:eastAsia="zh-TW"/>
        </w:rPr>
        <w:t xml:space="preserve"> </w:t>
      </w:r>
      <w:r w:rsidRPr="008147DC">
        <w:rPr>
          <w:lang w:eastAsia="zh-TW"/>
        </w:rPr>
        <w:t>Akers(1985)</w:t>
      </w:r>
      <w:r w:rsidRPr="008147DC">
        <w:rPr>
          <w:lang w:eastAsia="zh-TW"/>
        </w:rPr>
        <w:t>及</w:t>
      </w:r>
      <w:r w:rsidRPr="008147DC">
        <w:rPr>
          <w:lang w:eastAsia="zh-TW"/>
        </w:rPr>
        <w:t>Elliott(1985)</w:t>
      </w:r>
      <w:r w:rsidRPr="008147DC">
        <w:rPr>
          <w:lang w:eastAsia="zh-TW"/>
        </w:rPr>
        <w:t>等研究人員，亦主張要審慎地探究同儕之作用力。就犯罪學家而言，研究個體從家庭到學校的發展變化中，在此同時，伴隨著個體朋友網絡之變化，上述之發展歷程，若從個體之年齡發展歷程來看，正值從孩童階段（</w:t>
      </w:r>
      <w:r w:rsidRPr="008147DC">
        <w:rPr>
          <w:lang w:eastAsia="zh-TW"/>
        </w:rPr>
        <w:t>0-10</w:t>
      </w:r>
      <w:r w:rsidRPr="008147DC">
        <w:rPr>
          <w:lang w:eastAsia="zh-TW"/>
        </w:rPr>
        <w:t>歲）發展進入青少年階段（</w:t>
      </w:r>
      <w:r w:rsidRPr="008147DC">
        <w:rPr>
          <w:lang w:eastAsia="zh-TW"/>
        </w:rPr>
        <w:t>10-17</w:t>
      </w:r>
      <w:r w:rsidRPr="008147DC">
        <w:rPr>
          <w:lang w:eastAsia="zh-TW"/>
        </w:rPr>
        <w:t>歲），此階段生命歷程之變化，是犯罪學家們有興趣之焦點所在。關於同儕附著如何被結構背景因素加以左右及影響，是未來值得加以探究的；另外，對於由附著於家庭及學校所形成之非正式社會鍵，此社會鍵究竟是否能被同儕影響力所加以「中立化」﹖亦值得注意</w:t>
      </w:r>
      <w:r w:rsidRPr="008147DC">
        <w:rPr>
          <w:lang w:eastAsia="zh-TW"/>
        </w:rPr>
        <w:t>(Sampson., &amp; Laub. 1993)</w:t>
      </w:r>
      <w:r w:rsidRPr="008147DC">
        <w:rPr>
          <w:lang w:eastAsia="zh-TW"/>
        </w:rPr>
        <w:t>。個體從青少年階段（</w:t>
      </w:r>
      <w:r w:rsidRPr="008147DC">
        <w:rPr>
          <w:lang w:eastAsia="zh-TW"/>
        </w:rPr>
        <w:t>10-17</w:t>
      </w:r>
      <w:r w:rsidRPr="008147DC">
        <w:rPr>
          <w:lang w:eastAsia="zh-TW"/>
        </w:rPr>
        <w:t>歲）發展到成人階段期間之變化情形，對於上述變化之深入了解，是非常重要的。對於上述變化，如能更深入地加以了解，將更能掌握及瞭解個體在成人階段中，關於社會鍵的發展情形。例如，在成人階段，何者能預測強而有力的婚姻附著﹖青少年關係（</w:t>
      </w:r>
      <w:r w:rsidRPr="008147DC">
        <w:rPr>
          <w:lang w:eastAsia="zh-TW"/>
        </w:rPr>
        <w:t>adolescent relationships</w:t>
      </w:r>
      <w:r w:rsidRPr="008147DC">
        <w:rPr>
          <w:lang w:eastAsia="zh-TW"/>
        </w:rPr>
        <w:t>）如何影響成人時期之婚姻關係﹖在青少年時期處於不利社經地位之個體（</w:t>
      </w:r>
      <w:r w:rsidRPr="008147DC">
        <w:rPr>
          <w:lang w:eastAsia="zh-TW"/>
        </w:rPr>
        <w:t>disadvantaged youths</w:t>
      </w:r>
      <w:r w:rsidRPr="008147DC">
        <w:rPr>
          <w:lang w:eastAsia="zh-TW"/>
        </w:rPr>
        <w:t>）如何獲得工作之穩定性及對工作強而有力的承諾﹖對於家庭及工作的強力附著鍵而言，在決定強而有力的社會鍵時，結構背景因素扮演何種角色﹖那些在青少年時期，有不良紀錄背景之青少年，當其發展到成人階段，其至部隊服役，是否能夠令個體跳脫貧窮的困境﹖</w:t>
      </w:r>
      <w:r w:rsidRPr="008147DC">
        <w:rPr>
          <w:lang w:eastAsia="zh-TW"/>
        </w:rPr>
        <w:t>Sampson &amp; Laub</w:t>
      </w:r>
      <w:r w:rsidRPr="008147DC">
        <w:rPr>
          <w:lang w:eastAsia="zh-TW"/>
        </w:rPr>
        <w:t>指出，在其研究分析之中，他們發現在個體生命發展歷程中，有關於顯著性及重要性的生命事件，其發生的時間及在後續發展中所造成之改變，如何作更加精準之測量，這是一個值得重視的議題，也是有其必要性。</w:t>
      </w:r>
      <w:r w:rsidRPr="008147DC">
        <w:rPr>
          <w:lang w:eastAsia="zh-TW"/>
        </w:rPr>
        <w:t>Featherman</w:t>
      </w:r>
      <w:r w:rsidRPr="008147DC">
        <w:rPr>
          <w:lang w:eastAsia="zh-TW"/>
        </w:rPr>
        <w:t>及</w:t>
      </w:r>
      <w:r w:rsidRPr="008147DC">
        <w:rPr>
          <w:lang w:eastAsia="zh-TW"/>
        </w:rPr>
        <w:t>Lerner(1985)</w:t>
      </w:r>
      <w:r w:rsidRPr="008147DC">
        <w:rPr>
          <w:lang w:eastAsia="zh-TW"/>
        </w:rPr>
        <w:t>指出，因量化研究其可測量重要人生事件的發生時間、持續期間及發生先後順序，故可利用量化分析中的事件歷史分析法加以探究。</w:t>
      </w:r>
      <w:r w:rsidRPr="008147DC">
        <w:rPr>
          <w:lang w:eastAsia="zh-TW"/>
        </w:rPr>
        <w:t>Sampson &amp; Laub</w:t>
      </w:r>
      <w:r w:rsidRPr="008147DC">
        <w:rPr>
          <w:lang w:eastAsia="zh-TW"/>
        </w:rPr>
        <w:t>批評，當代犯罪學中的縱貫性研究，幾乎是聚焦於個體特質之一貫性而非探討個體行為的一致性。</w:t>
      </w:r>
      <w:r w:rsidRPr="008147DC">
        <w:rPr>
          <w:lang w:eastAsia="zh-TW"/>
        </w:rPr>
        <w:t>Rogosa(1988)</w:t>
      </w:r>
      <w:r w:rsidRPr="008147DC">
        <w:rPr>
          <w:lang w:eastAsia="zh-TW"/>
        </w:rPr>
        <w:t>亦提出質疑，發展性之縱貫研究，均有集中研究於個體生命發展歷程中某一種特質的系統性變化（</w:t>
      </w:r>
      <w:r w:rsidRPr="008147DC">
        <w:rPr>
          <w:lang w:eastAsia="zh-TW"/>
        </w:rPr>
        <w:t>center on the systematic change in an attribute over time</w:t>
      </w:r>
      <w:r w:rsidRPr="008147DC">
        <w:rPr>
          <w:lang w:eastAsia="zh-TW"/>
        </w:rPr>
        <w:t>）之偏頗</w:t>
      </w:r>
      <w:r w:rsidRPr="008147DC">
        <w:rPr>
          <w:lang w:eastAsia="zh-TW"/>
        </w:rPr>
        <w:t>(Sampson., &amp; Laub. 1993)</w:t>
      </w:r>
      <w:r>
        <w:rPr>
          <w:lang w:eastAsia="zh-TW"/>
        </w:rPr>
        <w:t>。</w:t>
      </w:r>
      <w:r w:rsidRPr="008147DC">
        <w:rPr>
          <w:lang w:eastAsia="zh-TW"/>
        </w:rPr>
        <w:t>Caspi</w:t>
      </w:r>
      <w:r w:rsidRPr="008147DC">
        <w:rPr>
          <w:lang w:eastAsia="zh-TW"/>
        </w:rPr>
        <w:t>及</w:t>
      </w:r>
      <w:r w:rsidRPr="008147DC">
        <w:rPr>
          <w:lang w:eastAsia="zh-TW"/>
        </w:rPr>
        <w:t>Bem(1990</w:t>
      </w:r>
      <w:r w:rsidRPr="008147DC">
        <w:rPr>
          <w:lang w:eastAsia="zh-TW"/>
        </w:rPr>
        <w:t>：</w:t>
      </w:r>
      <w:r w:rsidRPr="008147DC">
        <w:rPr>
          <w:lang w:eastAsia="zh-TW"/>
        </w:rPr>
        <w:t>569)</w:t>
      </w:r>
      <w:r w:rsidRPr="008147DC">
        <w:rPr>
          <w:lang w:eastAsia="zh-TW"/>
        </w:rPr>
        <w:t>指出，在文獻探討之中，假若有出現「改變（變化）」（</w:t>
      </w:r>
      <w:r w:rsidRPr="008147DC">
        <w:rPr>
          <w:lang w:eastAsia="zh-TW"/>
        </w:rPr>
        <w:t>change</w:t>
      </w:r>
      <w:r w:rsidRPr="008147DC">
        <w:rPr>
          <w:lang w:eastAsia="zh-TW"/>
        </w:rPr>
        <w:t>）之字眼，其經常係指「持續性行為之中斷」（</w:t>
      </w:r>
      <w:r w:rsidRPr="008147DC">
        <w:rPr>
          <w:lang w:eastAsia="zh-TW"/>
        </w:rPr>
        <w:t>the absence of continuity</w:t>
      </w:r>
      <w:r w:rsidRPr="008147DC">
        <w:rPr>
          <w:lang w:eastAsia="zh-TW"/>
        </w:rPr>
        <w:t>），他們力主應發展理論，並利用縱貫性資料去解釋「系統性改變」（</w:t>
      </w:r>
      <w:r w:rsidRPr="008147DC">
        <w:rPr>
          <w:lang w:eastAsia="zh-TW"/>
        </w:rPr>
        <w:t>systematic change</w:t>
      </w:r>
      <w:r w:rsidRPr="008147DC">
        <w:rPr>
          <w:lang w:eastAsia="zh-TW"/>
        </w:rPr>
        <w:t>）。就犯罪及偏差行為所作之發展性生命軌跡之解釋而言，將會有助於區別「因個體生命歷程重大事件所造成的真實系統性改變」與「持續行為之中斷」兩者之間差異的存在。另外，</w:t>
      </w:r>
      <w:r w:rsidRPr="008147DC">
        <w:rPr>
          <w:lang w:eastAsia="zh-TW"/>
        </w:rPr>
        <w:t>Rutter(1988)</w:t>
      </w:r>
      <w:r w:rsidRPr="008147DC">
        <w:rPr>
          <w:lang w:eastAsia="zh-TW"/>
        </w:rPr>
        <w:t>及</w:t>
      </w:r>
      <w:r w:rsidRPr="008147DC">
        <w:rPr>
          <w:lang w:eastAsia="zh-TW"/>
        </w:rPr>
        <w:t>Rogosa(1988)</w:t>
      </w:r>
      <w:r w:rsidRPr="008147DC">
        <w:rPr>
          <w:lang w:eastAsia="zh-TW"/>
        </w:rPr>
        <w:t>均指出，關於研究個體生命歷程變化的縱貫性資料，在推定個體生命軌跡之穩定性及變化性時，其適當之推論，有必要加以重視，以便能作出合理及適當之推論</w:t>
      </w:r>
      <w:r w:rsidRPr="008147DC">
        <w:rPr>
          <w:lang w:eastAsia="zh-TW"/>
        </w:rPr>
        <w:t>(Sampson., &amp; Laub. 1993)</w:t>
      </w:r>
      <w:r w:rsidRPr="008147DC">
        <w:rPr>
          <w:lang w:eastAsia="zh-TW"/>
        </w:rPr>
        <w:t>。</w:t>
      </w:r>
    </w:p>
  </w:footnote>
  <w:footnote w:id="284">
    <w:p w:rsidR="00657FEF" w:rsidRPr="008147DC" w:rsidRDefault="00657FEF" w:rsidP="00992AB6">
      <w:pPr>
        <w:pStyle w:val="5"/>
        <w:rPr>
          <w:lang w:eastAsia="zh-TW"/>
        </w:rPr>
      </w:pPr>
      <w:r w:rsidRPr="002031B1">
        <w:rPr>
          <w:rStyle w:val="af7"/>
          <w:rFonts w:eastAsia="新細明體"/>
          <w:kern w:val="2"/>
        </w:rPr>
        <w:footnoteRef/>
      </w:r>
      <w:r w:rsidRPr="008147DC">
        <w:rPr>
          <w:lang w:eastAsia="zh-TW"/>
        </w:rPr>
        <w:t>假若研究人員係利用量化分析之結果，作為質化研究樣本選擇之指引時，則質化研究的分析結論，也能幫助再次確認量化分析之結果是否具有正確性。在未來之研究方向中，質化分析方法在某些領域上，是特別地有用。就</w:t>
      </w:r>
      <w:r w:rsidRPr="008147DC">
        <w:rPr>
          <w:lang w:eastAsia="zh-TW"/>
        </w:rPr>
        <w:t>Sampson &amp; Laub</w:t>
      </w:r>
      <w:r w:rsidRPr="008147DC">
        <w:rPr>
          <w:lang w:eastAsia="zh-TW"/>
        </w:rPr>
        <w:t>的研究而論，下面的領域，在未來之研究中，是值得加以重視的：</w:t>
      </w:r>
      <w:r w:rsidRPr="008147DC">
        <w:rPr>
          <w:lang w:eastAsia="zh-TW"/>
        </w:rPr>
        <w:t>(1).</w:t>
      </w:r>
      <w:r w:rsidRPr="008147DC">
        <w:rPr>
          <w:lang w:eastAsia="zh-TW"/>
        </w:rPr>
        <w:t>家庭暴力（</w:t>
      </w:r>
      <w:r w:rsidRPr="008147DC">
        <w:rPr>
          <w:lang w:eastAsia="zh-TW"/>
        </w:rPr>
        <w:t>domestic violence</w:t>
      </w:r>
      <w:r w:rsidRPr="008147DC">
        <w:rPr>
          <w:lang w:eastAsia="zh-TW"/>
        </w:rPr>
        <w:t>）對於正在發展中的社會鍵（由家庭、工作及鄰里所形成）之影響力為何﹖</w:t>
      </w:r>
      <w:r w:rsidRPr="008147DC">
        <w:rPr>
          <w:lang w:eastAsia="zh-TW"/>
        </w:rPr>
        <w:t>(2).</w:t>
      </w:r>
      <w:r w:rsidRPr="008147DC">
        <w:rPr>
          <w:lang w:eastAsia="zh-TW"/>
        </w:rPr>
        <w:t>藥物濫用</w:t>
      </w:r>
      <w:r w:rsidRPr="008147DC">
        <w:rPr>
          <w:lang w:eastAsia="zh-TW"/>
        </w:rPr>
        <w:t>-------</w:t>
      </w:r>
      <w:r w:rsidRPr="008147DC">
        <w:rPr>
          <w:lang w:eastAsia="zh-TW"/>
        </w:rPr>
        <w:t>特別是指酗酒而言，其與社會鍵（家庭及工作）兩者之間，其相互之關係（</w:t>
      </w:r>
      <w:r w:rsidRPr="008147DC">
        <w:rPr>
          <w:lang w:eastAsia="zh-TW"/>
        </w:rPr>
        <w:t>reciprocal relationships</w:t>
      </w:r>
      <w:r w:rsidRPr="008147DC">
        <w:rPr>
          <w:lang w:eastAsia="zh-TW"/>
        </w:rPr>
        <w:t>）為何﹖</w:t>
      </w:r>
      <w:r w:rsidRPr="008147DC">
        <w:rPr>
          <w:lang w:eastAsia="zh-TW"/>
        </w:rPr>
        <w:t>(3).</w:t>
      </w:r>
      <w:r w:rsidRPr="008147DC">
        <w:rPr>
          <w:lang w:eastAsia="zh-TW"/>
        </w:rPr>
        <w:t>假若孩童及青少年係處於不利之社經地位與條件，其如何跳脫貧窮﹖</w:t>
      </w:r>
      <w:r w:rsidRPr="008147DC">
        <w:rPr>
          <w:lang w:eastAsia="zh-TW"/>
        </w:rPr>
        <w:t>(4).</w:t>
      </w:r>
      <w:r w:rsidRPr="008147DC">
        <w:rPr>
          <w:lang w:eastAsia="zh-TW"/>
        </w:rPr>
        <w:t>個體在青少年及成人階段之機構性經驗（例如：被施加監禁及在部隊服役），以及上述的機構性經驗對個體往後發展之影響力為何﹖</w:t>
      </w:r>
      <w:r w:rsidRPr="008147DC">
        <w:rPr>
          <w:lang w:eastAsia="zh-TW"/>
        </w:rPr>
        <w:t>Gartner</w:t>
      </w:r>
      <w:r w:rsidRPr="008147DC">
        <w:rPr>
          <w:lang w:eastAsia="zh-TW"/>
        </w:rPr>
        <w:t>及</w:t>
      </w:r>
      <w:r w:rsidRPr="008147DC">
        <w:rPr>
          <w:lang w:eastAsia="zh-TW"/>
        </w:rPr>
        <w:t>Piliavi(1988</w:t>
      </w:r>
      <w:r w:rsidRPr="008147DC">
        <w:rPr>
          <w:lang w:eastAsia="zh-TW"/>
        </w:rPr>
        <w:t>：</w:t>
      </w:r>
      <w:r w:rsidRPr="008147DC">
        <w:rPr>
          <w:lang w:eastAsia="zh-TW"/>
        </w:rPr>
        <w:t>302)</w:t>
      </w:r>
      <w:r w:rsidRPr="008147DC">
        <w:rPr>
          <w:lang w:eastAsia="zh-TW"/>
        </w:rPr>
        <w:t>則指出，在個體之生命發展歷程中，吾人有必要了解其行為之變化，</w:t>
      </w:r>
      <w:r w:rsidRPr="008147DC">
        <w:rPr>
          <w:lang w:eastAsia="zh-TW"/>
        </w:rPr>
        <w:t>Rutter(1989)</w:t>
      </w:r>
      <w:r w:rsidRPr="008147DC">
        <w:rPr>
          <w:lang w:eastAsia="zh-TW"/>
        </w:rPr>
        <w:t>認為，因為個體之社會性變化，諸如婚姻或全職之工作，對每個人而言，其意義是不同的，故在探討其穩定性及變化性時，質化研究方法將會是很有用之途徑</w:t>
      </w:r>
      <w:r w:rsidRPr="008147DC">
        <w:rPr>
          <w:lang w:eastAsia="zh-TW"/>
        </w:rPr>
        <w:t>(Sampson., &amp; Laub. 1993)</w:t>
      </w:r>
      <w:r w:rsidRPr="008147DC">
        <w:rPr>
          <w:lang w:eastAsia="zh-TW"/>
        </w:rPr>
        <w:t>。</w:t>
      </w:r>
    </w:p>
  </w:footnote>
  <w:footnote w:id="285">
    <w:p w:rsidR="00657FEF" w:rsidRPr="008147DC" w:rsidRDefault="00657FEF" w:rsidP="00992AB6">
      <w:pPr>
        <w:pStyle w:val="5"/>
        <w:rPr>
          <w:lang w:eastAsia="zh-TW"/>
        </w:rPr>
      </w:pPr>
      <w:r w:rsidRPr="002031B1">
        <w:rPr>
          <w:rStyle w:val="af7"/>
          <w:rFonts w:eastAsia="新細明體"/>
          <w:kern w:val="2"/>
        </w:rPr>
        <w:footnoteRef/>
      </w:r>
      <w:r w:rsidRPr="008147DC">
        <w:rPr>
          <w:lang w:eastAsia="zh-TW"/>
        </w:rPr>
        <w:t>在</w:t>
      </w:r>
      <w:r w:rsidRPr="008147DC">
        <w:rPr>
          <w:lang w:eastAsia="zh-TW"/>
        </w:rPr>
        <w:t>Glueck</w:t>
      </w:r>
      <w:r w:rsidRPr="008147DC">
        <w:rPr>
          <w:lang w:eastAsia="zh-TW"/>
        </w:rPr>
        <w:t>之資料中，</w:t>
      </w:r>
      <w:r w:rsidRPr="008147DC">
        <w:rPr>
          <w:lang w:eastAsia="zh-TW"/>
        </w:rPr>
        <w:t>Sampson &amp; Laub</w:t>
      </w:r>
      <w:r w:rsidRPr="008147DC">
        <w:rPr>
          <w:lang w:eastAsia="zh-TW"/>
        </w:rPr>
        <w:t>加以分析之結果，發現影響個體（假若其早期擁有刑案紀錄）不去從事犯行之最大因素，係為個體強而有力附著於配偶。為何作者將此「變化性」稱為一種「例外」與「補充」呢﹖筆者認為，犯罪人欲得到一位賢內助，恐須較一般正常成人男子付出更多之心力。另外，就「成人社會鍵」之工作附著而言，監禁對於成人犯罪人具有不良之負面效應，</w:t>
      </w:r>
      <w:r w:rsidRPr="008147DC">
        <w:rPr>
          <w:lang w:eastAsia="zh-TW"/>
        </w:rPr>
        <w:t>Sampson &amp; Laub</w:t>
      </w:r>
      <w:r w:rsidRPr="008147DC">
        <w:rPr>
          <w:lang w:eastAsia="zh-TW"/>
        </w:rPr>
        <w:t>利用質化研究方法，結果發現成人犯罪人於出獄後，先前之監禁，對其工作具有不良之負面效應，故成人犯罪人要持有穩定之工作，亦必須較一般正常成人男子付出更大的心力</w:t>
      </w:r>
      <w:r w:rsidRPr="008147DC">
        <w:rPr>
          <w:lang w:eastAsia="zh-TW"/>
        </w:rPr>
        <w:t>(Sampson., &amp; Laub. 1993)</w:t>
      </w:r>
      <w:r w:rsidRPr="008147DC">
        <w:rPr>
          <w:lang w:eastAsia="zh-TW"/>
        </w:rPr>
        <w:t>。綜上之理由，故作者認為「自我控制理論」強調個體行為具有穩定性之主張，吾人可視其為「原則」與「通則」，而「逐級年齡非正式社會控制理論」所主張之「變化性」，可將其視為一種「例外」與「補充」，兩個理論基本上是具有高度的一致性、相容性與互補性。</w:t>
      </w:r>
    </w:p>
  </w:footnote>
  <w:footnote w:id="286">
    <w:p w:rsidR="00657FEF" w:rsidRPr="008147DC" w:rsidRDefault="00657FEF" w:rsidP="00992AB6">
      <w:pPr>
        <w:pStyle w:val="5"/>
        <w:rPr>
          <w:lang w:eastAsia="zh-TW"/>
        </w:rPr>
      </w:pPr>
      <w:r w:rsidRPr="004B4ED9">
        <w:rPr>
          <w:rStyle w:val="af7"/>
          <w:rFonts w:eastAsia="新細明體"/>
          <w:kern w:val="2"/>
        </w:rPr>
        <w:footnoteRef/>
      </w:r>
      <w:r w:rsidRPr="008147DC">
        <w:t>不論就官方或非官方之少年非行而言，強而有力之「抑制」變項，係為附著於學校及母親的監督（</w:t>
      </w:r>
      <w:r w:rsidRPr="008147DC">
        <w:t>mother's supervison</w:t>
      </w:r>
      <w:r w:rsidRPr="008147DC">
        <w:t>）（</w:t>
      </w:r>
      <w:r w:rsidRPr="008147DC">
        <w:t>Sampson &amp; Laub, 1993</w:t>
      </w:r>
      <w:r w:rsidRPr="008147DC">
        <w:t>：</w:t>
      </w:r>
      <w:r w:rsidRPr="008147DC">
        <w:t>119</w:t>
      </w:r>
      <w:r w:rsidRPr="008147DC">
        <w:t>）。而對少年非行產生最強而有力正向作用力之變項，係為「附著於偏差之同儕」（</w:t>
      </w:r>
      <w:r w:rsidRPr="008147DC">
        <w:t>delinquent peer attachment</w:t>
      </w:r>
      <w:r w:rsidRPr="008147DC">
        <w:t>）。</w:t>
      </w:r>
      <w:r w:rsidRPr="008147DC">
        <w:rPr>
          <w:lang w:eastAsia="zh-TW"/>
        </w:rPr>
        <w:t>亦即，少行愈附著於偏差友伴，其從事少年非行之機率亦大為增加。由上述之資料結果，作者建議為人父母者，應注意如何妥適管教小孩，尤其是母親之監督角色，更形重要。在今日社會中，父親常為事業及生計而奔波在外，此時，母親對於小孩之管教及監督，就更加重要。就學校而言，如何令孩童喜歡上學，這是非常值得在未來研究之中，再作進一步之探討。另外，假若將上述所有之自變項投入正式官方少年非行之迴歸模式中，最強而有力之解釋變項，係為「附著於偏差友伴」。故對於成長中的青少年、父母確實要注意小孩之交友情形，以避免其從事少年非行。</w:t>
      </w:r>
      <w:r w:rsidRPr="008147DC">
        <w:rPr>
          <w:lang w:eastAsia="zh-TW"/>
        </w:rPr>
        <w:t>Sampson &amp; Laub(1993</w:t>
      </w:r>
      <w:r w:rsidRPr="008147DC">
        <w:rPr>
          <w:lang w:eastAsia="zh-TW"/>
        </w:rPr>
        <w:t>：</w:t>
      </w:r>
      <w:r w:rsidRPr="008147DC">
        <w:rPr>
          <w:lang w:eastAsia="zh-TW"/>
        </w:rPr>
        <w:t>121)</w:t>
      </w:r>
      <w:r w:rsidRPr="008147DC">
        <w:rPr>
          <w:lang w:eastAsia="zh-TW"/>
        </w:rPr>
        <w:t>利用</w:t>
      </w:r>
      <w:r w:rsidRPr="008147DC">
        <w:rPr>
          <w:lang w:eastAsia="zh-TW"/>
        </w:rPr>
        <w:t>Glueck</w:t>
      </w:r>
      <w:r w:rsidRPr="008147DC">
        <w:rPr>
          <w:lang w:eastAsia="zh-TW"/>
        </w:rPr>
        <w:t>的資料，更一進分析探討少年附著於偏差友伴之解釋因素，深入分析之結果，關於附著於偏差友伴之最大作用力係為母親之監督（</w:t>
      </w:r>
      <w:r w:rsidRPr="008147DC">
        <w:rPr>
          <w:lang w:eastAsia="zh-TW"/>
        </w:rPr>
        <w:t>the mother's supervision has the largest effect on attachment to delinquent peers</w:t>
      </w:r>
      <w:r w:rsidRPr="008147DC">
        <w:rPr>
          <w:lang w:eastAsia="zh-TW"/>
        </w:rPr>
        <w:t>）。此種實證發現，頗符合</w:t>
      </w:r>
      <w:r w:rsidRPr="008147DC">
        <w:rPr>
          <w:lang w:eastAsia="zh-TW"/>
        </w:rPr>
        <w:t>Hirschi</w:t>
      </w:r>
      <w:r w:rsidRPr="008147DC">
        <w:rPr>
          <w:lang w:eastAsia="zh-TW"/>
        </w:rPr>
        <w:t>的社會控制理論。</w:t>
      </w:r>
      <w:r w:rsidRPr="008147DC">
        <w:rPr>
          <w:lang w:eastAsia="zh-TW"/>
        </w:rPr>
        <w:t>Hirschi</w:t>
      </w:r>
      <w:r w:rsidRPr="008147DC">
        <w:rPr>
          <w:lang w:eastAsia="zh-TW"/>
        </w:rPr>
        <w:t>非常不能苟同於蘇哲蘭的不同接觸</w:t>
      </w:r>
      <w:r w:rsidRPr="008147DC">
        <w:rPr>
          <w:lang w:eastAsia="zh-TW"/>
        </w:rPr>
        <w:t>∕</w:t>
      </w:r>
      <w:r w:rsidRPr="008147DC">
        <w:rPr>
          <w:lang w:eastAsia="zh-TW"/>
        </w:rPr>
        <w:t>學習理論。上述之實證發現，證明家庭控制之變項，確實是比附著於同儕友伴之形成時間更早，在因果過程中，家庭控制在先，附著於偏差友伴發生在後。由此，作者不僅認為</w:t>
      </w:r>
      <w:r w:rsidRPr="008147DC">
        <w:rPr>
          <w:lang w:eastAsia="zh-TW"/>
        </w:rPr>
        <w:t>Hirschi</w:t>
      </w:r>
      <w:r w:rsidRPr="008147DC">
        <w:rPr>
          <w:lang w:eastAsia="zh-TW"/>
        </w:rPr>
        <w:t>的社會控制理論與</w:t>
      </w:r>
      <w:r w:rsidRPr="008147DC">
        <w:rPr>
          <w:lang w:eastAsia="zh-TW"/>
        </w:rPr>
        <w:t>Sampson &amp; Laub</w:t>
      </w:r>
      <w:r w:rsidRPr="008147DC">
        <w:rPr>
          <w:lang w:eastAsia="zh-TW"/>
        </w:rPr>
        <w:t>之「逐級年齡非正式社會控制理論」有高度之共容性，在推演至實際之犯罪防治政策時，均十分重視少年對對家庭之附著鍵</w:t>
      </w:r>
      <w:r w:rsidRPr="008147DC">
        <w:rPr>
          <w:lang w:eastAsia="zh-TW"/>
        </w:rPr>
        <w:t>------</w:t>
      </w:r>
      <w:r w:rsidRPr="008147DC">
        <w:rPr>
          <w:lang w:eastAsia="zh-TW"/>
        </w:rPr>
        <w:t>紀律、監督及附著。在附著於家庭之中，均聚焦於母親的角色，尤其母親監督之功能</w:t>
      </w:r>
      <w:r w:rsidRPr="008147DC">
        <w:rPr>
          <w:lang w:eastAsia="zh-TW"/>
        </w:rPr>
        <w:t>(Sampson., &amp; Laub. 1993)</w:t>
      </w:r>
      <w:r w:rsidRPr="008147DC">
        <w:rPr>
          <w:lang w:eastAsia="zh-TW"/>
        </w:rPr>
        <w:t>。</w:t>
      </w:r>
    </w:p>
  </w:footnote>
  <w:footnote w:id="287">
    <w:p w:rsidR="00657FEF" w:rsidRPr="008147DC" w:rsidRDefault="00657FEF" w:rsidP="00992AB6">
      <w:pPr>
        <w:pStyle w:val="5"/>
        <w:rPr>
          <w:lang w:eastAsia="zh-TW"/>
        </w:rPr>
      </w:pPr>
      <w:r w:rsidRPr="002031B1">
        <w:rPr>
          <w:rStyle w:val="af7"/>
          <w:rFonts w:eastAsia="新細明體"/>
          <w:kern w:val="2"/>
        </w:rPr>
        <w:footnoteRef/>
      </w:r>
      <w:r w:rsidRPr="008147DC">
        <w:rPr>
          <w:lang w:eastAsia="zh-TW"/>
        </w:rPr>
        <w:t>在</w:t>
      </w:r>
      <w:r w:rsidRPr="008147DC">
        <w:rPr>
          <w:lang w:eastAsia="zh-TW"/>
        </w:rPr>
        <w:t>21</w:t>
      </w:r>
      <w:r w:rsidRPr="008147DC">
        <w:rPr>
          <w:lang w:eastAsia="zh-TW"/>
        </w:rPr>
        <w:t>世紀競爭日益激烈之台灣，雙薪家庭收入最主要之支出為房貸，假若台灣之房貸仍保持目前高的價位，則女性仍會「被迫」走入工作職場，以其所賺之收入支付房貸。故，欲真正解決影響母親監督小孩角色之最大不利因素</w:t>
      </w:r>
      <w:r w:rsidRPr="008147DC">
        <w:rPr>
          <w:lang w:eastAsia="zh-TW"/>
        </w:rPr>
        <w:t>—</w:t>
      </w:r>
      <w:r w:rsidRPr="008147DC">
        <w:rPr>
          <w:lang w:eastAsia="zh-TW"/>
        </w:rPr>
        <w:t>母親外出就業問題，作者認為，似可比照新加坡之作法，廣建國民住宅，並以超低價銷售給擁有小孩之中下階層家庭，否則，母親就業問題仍無法獲得有效解決。</w:t>
      </w:r>
    </w:p>
  </w:footnote>
  <w:footnote w:id="288">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289">
    <w:p w:rsidR="00657FEF" w:rsidRPr="008147DC" w:rsidRDefault="00657FEF" w:rsidP="00992AB6">
      <w:pPr>
        <w:pStyle w:val="5"/>
      </w:pPr>
      <w:r w:rsidRPr="004B4ED9">
        <w:rPr>
          <w:rStyle w:val="af7"/>
          <w:rFonts w:eastAsia="新細明體"/>
          <w:kern w:val="2"/>
          <w:szCs w:val="20"/>
        </w:rPr>
        <w:footnoteRef/>
      </w:r>
      <w:r w:rsidRPr="008147DC">
        <w:t xml:space="preserve"> SPSS</w:t>
      </w:r>
      <w:r w:rsidRPr="008147DC">
        <w:t>之程式語法如下：</w:t>
      </w:r>
    </w:p>
    <w:p w:rsidR="00657FEF" w:rsidRPr="008147DC" w:rsidRDefault="00657FEF" w:rsidP="00992AB6">
      <w:pPr>
        <w:pStyle w:val="5"/>
      </w:pPr>
      <w:r w:rsidRPr="008147DC">
        <w:t>REGRESSION</w:t>
      </w:r>
    </w:p>
    <w:p w:rsidR="00657FEF" w:rsidRPr="008147DC" w:rsidRDefault="00657FEF" w:rsidP="00992AB6">
      <w:pPr>
        <w:pStyle w:val="5"/>
      </w:pPr>
      <w:r w:rsidRPr="008147DC">
        <w:t xml:space="preserve">  /DESCRIPTIVES MEAN STDDEV CORR SIG N</w:t>
      </w:r>
    </w:p>
    <w:p w:rsidR="00657FEF" w:rsidRPr="008147DC" w:rsidRDefault="00657FEF" w:rsidP="00992AB6">
      <w:pPr>
        <w:pStyle w:val="5"/>
      </w:pPr>
      <w:r w:rsidRPr="008147DC">
        <w:t xml:space="preserve">  /MISSING PAIRWISE</w:t>
      </w:r>
    </w:p>
    <w:p w:rsidR="00657FEF" w:rsidRPr="008147DC" w:rsidRDefault="00657FEF" w:rsidP="00992AB6">
      <w:pPr>
        <w:pStyle w:val="5"/>
      </w:pPr>
      <w:r w:rsidRPr="008147DC">
        <w:t xml:space="preserve">  /STATISTICS COEFF OUTS R ANOVA COLLIN TOL CHANGE ZPP</w:t>
      </w:r>
    </w:p>
    <w:p w:rsidR="00657FEF" w:rsidRPr="008147DC" w:rsidRDefault="00657FEF" w:rsidP="00992AB6">
      <w:pPr>
        <w:pStyle w:val="5"/>
      </w:pPr>
      <w:r w:rsidRPr="008147DC">
        <w:t xml:space="preserve">  /CRITERIA=PIN(.05) POUT(.10)</w:t>
      </w:r>
    </w:p>
    <w:p w:rsidR="00657FEF" w:rsidRPr="008147DC" w:rsidRDefault="00657FEF" w:rsidP="00992AB6">
      <w:pPr>
        <w:pStyle w:val="5"/>
      </w:pPr>
      <w:r w:rsidRPr="008147DC">
        <w:t xml:space="preserve">  /NOORIGIN</w:t>
      </w:r>
    </w:p>
    <w:p w:rsidR="00657FEF" w:rsidRPr="008147DC" w:rsidRDefault="00657FEF" w:rsidP="00992AB6">
      <w:pPr>
        <w:pStyle w:val="5"/>
      </w:pPr>
      <w:r w:rsidRPr="008147DC">
        <w:t xml:space="preserve">  /DEPENDENT Bigcrime</w:t>
      </w:r>
    </w:p>
    <w:p w:rsidR="00657FEF" w:rsidRPr="008147DC" w:rsidRDefault="00657FEF" w:rsidP="00992AB6">
      <w:pPr>
        <w:pStyle w:val="5"/>
      </w:pPr>
      <w:r w:rsidRPr="008147DC">
        <w:t xml:space="preserve">  /METHOD=STEPWISE over35manunmarryrate</w:t>
      </w:r>
    </w:p>
    <w:p w:rsidR="00657FEF" w:rsidRPr="008147DC" w:rsidRDefault="00657FEF" w:rsidP="00992AB6">
      <w:pPr>
        <w:pStyle w:val="5"/>
      </w:pPr>
      <w:r w:rsidRPr="008147DC">
        <w:t xml:space="preserve">  /CASEWISE PLOT(ZRESID) ALL.</w:t>
      </w:r>
    </w:p>
  </w:footnote>
  <w:footnote w:id="290">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291">
    <w:p w:rsidR="00657FEF" w:rsidRPr="008147DC" w:rsidRDefault="00657FEF" w:rsidP="00992AB6">
      <w:pPr>
        <w:pStyle w:val="5"/>
      </w:pPr>
      <w:r w:rsidRPr="004B4ED9">
        <w:rPr>
          <w:rStyle w:val="af7"/>
          <w:rFonts w:eastAsia="新細明體"/>
          <w:kern w:val="2"/>
          <w:szCs w:val="20"/>
        </w:rPr>
        <w:footnoteRef/>
      </w:r>
      <w:r w:rsidRPr="008147DC">
        <w:t xml:space="preserve"> SPSS</w:t>
      </w:r>
      <w:r w:rsidRPr="008147DC">
        <w:t>之程式語法如下：</w:t>
      </w:r>
    </w:p>
    <w:p w:rsidR="00657FEF" w:rsidRPr="008147DC" w:rsidRDefault="00657FEF" w:rsidP="00992AB6">
      <w:pPr>
        <w:pStyle w:val="5"/>
      </w:pPr>
      <w:r w:rsidRPr="008147DC">
        <w:t>REGRESSION</w:t>
      </w:r>
    </w:p>
    <w:p w:rsidR="00657FEF" w:rsidRPr="008147DC" w:rsidRDefault="00657FEF" w:rsidP="00992AB6">
      <w:pPr>
        <w:pStyle w:val="5"/>
      </w:pPr>
      <w:r w:rsidRPr="008147DC">
        <w:t xml:space="preserve">  /DESCRIPTIVES MEAN STDDEV CORR SIG N</w:t>
      </w:r>
    </w:p>
    <w:p w:rsidR="00657FEF" w:rsidRPr="008147DC" w:rsidRDefault="00657FEF" w:rsidP="00992AB6">
      <w:pPr>
        <w:pStyle w:val="5"/>
      </w:pPr>
      <w:r w:rsidRPr="008147DC">
        <w:t xml:space="preserve">  /MISSING PAIRWISE</w:t>
      </w:r>
    </w:p>
    <w:p w:rsidR="00657FEF" w:rsidRPr="008147DC" w:rsidRDefault="00657FEF" w:rsidP="00992AB6">
      <w:pPr>
        <w:pStyle w:val="5"/>
      </w:pPr>
      <w:r w:rsidRPr="008147DC">
        <w:t xml:space="preserve">  /STATISTICS COEFF OUTS R ANOVA COLLIN TOL CHANGE ZPP</w:t>
      </w:r>
    </w:p>
    <w:p w:rsidR="00657FEF" w:rsidRPr="008147DC" w:rsidRDefault="00657FEF" w:rsidP="00992AB6">
      <w:pPr>
        <w:pStyle w:val="5"/>
      </w:pPr>
      <w:r w:rsidRPr="008147DC">
        <w:t xml:space="preserve">  /CRITERIA=PIN(.05) POUT(.10)</w:t>
      </w:r>
    </w:p>
    <w:p w:rsidR="00657FEF" w:rsidRPr="008147DC" w:rsidRDefault="00657FEF" w:rsidP="00992AB6">
      <w:pPr>
        <w:pStyle w:val="5"/>
      </w:pPr>
      <w:r w:rsidRPr="008147DC">
        <w:t xml:space="preserve">  /NOORIGIN</w:t>
      </w:r>
    </w:p>
    <w:p w:rsidR="00657FEF" w:rsidRPr="008147DC" w:rsidRDefault="00657FEF" w:rsidP="00992AB6">
      <w:pPr>
        <w:pStyle w:val="5"/>
      </w:pPr>
      <w:r w:rsidRPr="008147DC">
        <w:t xml:space="preserve">  /DEPENDENT Bigcrime</w:t>
      </w:r>
    </w:p>
    <w:p w:rsidR="00657FEF" w:rsidRPr="008147DC" w:rsidRDefault="00657FEF" w:rsidP="00992AB6">
      <w:pPr>
        <w:pStyle w:val="5"/>
      </w:pPr>
      <w:r w:rsidRPr="008147DC">
        <w:t xml:space="preserve">  /METHOD=FORWARD over35manunmarryrate</w:t>
      </w:r>
    </w:p>
    <w:p w:rsidR="00657FEF" w:rsidRPr="008147DC" w:rsidRDefault="00657FEF" w:rsidP="00992AB6">
      <w:pPr>
        <w:pStyle w:val="5"/>
      </w:pPr>
      <w:r w:rsidRPr="008147DC">
        <w:t xml:space="preserve">  /CASEWISE PLOT(ZRESID) ALL.</w:t>
      </w:r>
    </w:p>
  </w:footnote>
  <w:footnote w:id="292">
    <w:p w:rsidR="00657FEF" w:rsidRPr="008147DC" w:rsidRDefault="00657FEF" w:rsidP="00992AB6">
      <w:pPr>
        <w:pStyle w:val="5"/>
        <w:rPr>
          <w:lang w:eastAsia="zh-TW"/>
        </w:rPr>
      </w:pPr>
      <w:r w:rsidRPr="002031B1">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293">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294">
    <w:p w:rsidR="00657FEF" w:rsidRPr="008147DC" w:rsidRDefault="00657FEF" w:rsidP="00992AB6">
      <w:pPr>
        <w:pStyle w:val="5"/>
        <w:rPr>
          <w:lang w:eastAsia="zh-TW"/>
        </w:rPr>
      </w:pPr>
      <w:r w:rsidRPr="002031B1">
        <w:rPr>
          <w:rStyle w:val="af7"/>
          <w:rFonts w:eastAsia="新細明體"/>
          <w:kern w:val="2"/>
          <w:szCs w:val="20"/>
        </w:rPr>
        <w:footnoteRef/>
      </w:r>
      <w:r w:rsidRPr="008147DC">
        <w:rPr>
          <w:lang w:eastAsia="zh-TW"/>
        </w:rPr>
        <w:t xml:space="preserve"> SPSS</w:t>
      </w:r>
      <w:r w:rsidRPr="008147DC">
        <w:rPr>
          <w:lang w:eastAsia="zh-TW"/>
        </w:rPr>
        <w:t>軟體之多元迴歸分析之程式語法如下：</w:t>
      </w:r>
    </w:p>
    <w:p w:rsidR="00657FEF" w:rsidRPr="008147DC" w:rsidRDefault="00657FEF" w:rsidP="00992AB6">
      <w:pPr>
        <w:pStyle w:val="5"/>
      </w:pPr>
      <w:r w:rsidRPr="008147DC">
        <w:t>REGRESSION</w:t>
      </w:r>
    </w:p>
    <w:p w:rsidR="00657FEF" w:rsidRPr="008147DC" w:rsidRDefault="00657FEF" w:rsidP="00992AB6">
      <w:pPr>
        <w:pStyle w:val="5"/>
      </w:pPr>
      <w:r w:rsidRPr="008147DC">
        <w:t xml:space="preserve">  /DESCRIPTIVES MEAN STDDEV CORR SIG N</w:t>
      </w:r>
    </w:p>
    <w:p w:rsidR="00657FEF" w:rsidRPr="008147DC" w:rsidRDefault="00657FEF" w:rsidP="00992AB6">
      <w:pPr>
        <w:pStyle w:val="5"/>
      </w:pPr>
      <w:r w:rsidRPr="008147DC">
        <w:t xml:space="preserve">  /MISSING PAIRWISE</w:t>
      </w:r>
    </w:p>
    <w:p w:rsidR="00657FEF" w:rsidRPr="008147DC" w:rsidRDefault="00657FEF" w:rsidP="00992AB6">
      <w:pPr>
        <w:pStyle w:val="5"/>
      </w:pPr>
      <w:r w:rsidRPr="008147DC">
        <w:t xml:space="preserve">  /STATISTICS COEFF OUTS R ANOVA COLLIN TOL CHANGE ZPP</w:t>
      </w:r>
    </w:p>
    <w:p w:rsidR="00657FEF" w:rsidRPr="008147DC" w:rsidRDefault="00657FEF" w:rsidP="00992AB6">
      <w:pPr>
        <w:pStyle w:val="5"/>
      </w:pPr>
      <w:r w:rsidRPr="008147DC">
        <w:t xml:space="preserve">  /CRITERIA=PIN(.05) POUT(.10)</w:t>
      </w:r>
    </w:p>
    <w:p w:rsidR="00657FEF" w:rsidRPr="008147DC" w:rsidRDefault="00657FEF" w:rsidP="00992AB6">
      <w:pPr>
        <w:pStyle w:val="5"/>
      </w:pPr>
      <w:r w:rsidRPr="008147DC">
        <w:t xml:space="preserve">  /NOORIGIN</w:t>
      </w:r>
    </w:p>
    <w:p w:rsidR="00657FEF" w:rsidRPr="008147DC" w:rsidRDefault="00657FEF" w:rsidP="00992AB6">
      <w:pPr>
        <w:pStyle w:val="5"/>
      </w:pPr>
      <w:r w:rsidRPr="008147DC">
        <w:t xml:space="preserve">  /DEPENDENT Bigcrime</w:t>
      </w:r>
    </w:p>
    <w:p w:rsidR="00657FEF" w:rsidRPr="008147DC" w:rsidRDefault="00657FEF" w:rsidP="00992AB6">
      <w:pPr>
        <w:pStyle w:val="5"/>
      </w:pPr>
      <w:r w:rsidRPr="008147DC">
        <w:t xml:space="preserve">  /METHOD=BACKWARD over35manunmarryrate</w:t>
      </w:r>
    </w:p>
    <w:p w:rsidR="00657FEF" w:rsidRPr="008147DC" w:rsidRDefault="00657FEF" w:rsidP="00992AB6">
      <w:pPr>
        <w:pStyle w:val="5"/>
      </w:pPr>
      <w:r w:rsidRPr="008147DC">
        <w:t xml:space="preserve">  /CASEWISE PLOT(ZRESID) ALL.</w:t>
      </w:r>
    </w:p>
  </w:footnote>
  <w:footnote w:id="295">
    <w:p w:rsidR="00657FEF" w:rsidRPr="008147DC" w:rsidRDefault="00657FEF" w:rsidP="00992AB6">
      <w:pPr>
        <w:pStyle w:val="5"/>
        <w:rPr>
          <w:lang w:eastAsia="zh-TW"/>
        </w:rPr>
      </w:pPr>
      <w:r w:rsidRPr="008147DC">
        <w:rPr>
          <w:rStyle w:val="af7"/>
          <w:rFonts w:asciiTheme="minorEastAsia" w:eastAsiaTheme="minorEastAsia" w:hAnsiTheme="minorEastAsia"/>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296">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297">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298">
    <w:p w:rsidR="00657FEF" w:rsidRPr="008147DC" w:rsidRDefault="00657FEF" w:rsidP="00992AB6">
      <w:pPr>
        <w:pStyle w:val="5"/>
        <w:rPr>
          <w:lang w:eastAsia="zh-TW"/>
        </w:rPr>
      </w:pPr>
      <w:r w:rsidRPr="004B4ED9">
        <w:rPr>
          <w:rStyle w:val="af7"/>
          <w:rFonts w:eastAsia="新細明體"/>
          <w:kern w:val="2"/>
          <w:szCs w:val="20"/>
        </w:rPr>
        <w:footnoteRef/>
      </w:r>
      <w:r w:rsidRPr="008147DC">
        <w:rPr>
          <w:lang w:eastAsia="zh-TW"/>
        </w:rPr>
        <w:t xml:space="preserve"> SPSS</w:t>
      </w:r>
      <w:r w:rsidRPr="008147DC">
        <w:rPr>
          <w:lang w:eastAsia="zh-TW"/>
        </w:rPr>
        <w:t>軟體之多元迴歸分析之程式語法如下：</w:t>
      </w:r>
    </w:p>
    <w:p w:rsidR="00657FEF" w:rsidRPr="008147DC" w:rsidRDefault="00657FEF" w:rsidP="00992AB6">
      <w:pPr>
        <w:pStyle w:val="5"/>
      </w:pPr>
      <w:r w:rsidRPr="008147DC">
        <w:t>REGRESSION</w:t>
      </w:r>
    </w:p>
    <w:p w:rsidR="00657FEF" w:rsidRPr="008147DC" w:rsidRDefault="00657FEF" w:rsidP="00992AB6">
      <w:pPr>
        <w:pStyle w:val="5"/>
      </w:pPr>
      <w:r w:rsidRPr="008147DC">
        <w:t xml:space="preserve">  /DESCRIPTIVES MEAN STDDEV CORR SIG N</w:t>
      </w:r>
    </w:p>
    <w:p w:rsidR="00657FEF" w:rsidRPr="008147DC" w:rsidRDefault="00657FEF" w:rsidP="00992AB6">
      <w:pPr>
        <w:pStyle w:val="5"/>
      </w:pPr>
      <w:r w:rsidRPr="008147DC">
        <w:t xml:space="preserve">  /MISSING PAIRWISE</w:t>
      </w:r>
    </w:p>
    <w:p w:rsidR="00657FEF" w:rsidRPr="008147DC" w:rsidRDefault="00657FEF" w:rsidP="00992AB6">
      <w:pPr>
        <w:pStyle w:val="5"/>
      </w:pPr>
      <w:r w:rsidRPr="008147DC">
        <w:t xml:space="preserve">  /STATISTICS COEFF OUTS R ANOVA COLLIN TOL CHANGE ZPP</w:t>
      </w:r>
    </w:p>
    <w:p w:rsidR="00657FEF" w:rsidRPr="008147DC" w:rsidRDefault="00657FEF" w:rsidP="00992AB6">
      <w:pPr>
        <w:pStyle w:val="5"/>
      </w:pPr>
      <w:r w:rsidRPr="008147DC">
        <w:t xml:space="preserve">  /CRITERIA=PIN(.05) POUT(.10)</w:t>
      </w:r>
    </w:p>
    <w:p w:rsidR="00657FEF" w:rsidRPr="008147DC" w:rsidRDefault="00657FEF" w:rsidP="00992AB6">
      <w:pPr>
        <w:pStyle w:val="5"/>
      </w:pPr>
      <w:r w:rsidRPr="008147DC">
        <w:t xml:space="preserve">  /NOORIGIN</w:t>
      </w:r>
    </w:p>
    <w:p w:rsidR="00657FEF" w:rsidRPr="008147DC" w:rsidRDefault="00657FEF" w:rsidP="00992AB6">
      <w:pPr>
        <w:pStyle w:val="5"/>
      </w:pPr>
      <w:r w:rsidRPr="008147DC">
        <w:t xml:space="preserve">  /DEPENDENT Bigcrime</w:t>
      </w:r>
    </w:p>
    <w:p w:rsidR="00657FEF" w:rsidRPr="008147DC" w:rsidRDefault="00657FEF" w:rsidP="00992AB6">
      <w:pPr>
        <w:pStyle w:val="5"/>
      </w:pPr>
      <w:r w:rsidRPr="008147DC">
        <w:t xml:space="preserve">  /METHOD=REMOVE over35manunmarryrate</w:t>
      </w:r>
    </w:p>
    <w:p w:rsidR="00657FEF" w:rsidRPr="008147DC" w:rsidRDefault="00657FEF" w:rsidP="00992AB6">
      <w:pPr>
        <w:pStyle w:val="5"/>
      </w:pPr>
      <w:r w:rsidRPr="008147DC">
        <w:t xml:space="preserve">  /CASEWISE PLOT(ZRESID) ALL.</w:t>
      </w:r>
    </w:p>
  </w:footnote>
  <w:footnote w:id="299">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00">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01">
    <w:p w:rsidR="00657FEF" w:rsidRPr="008147DC" w:rsidRDefault="00657FEF" w:rsidP="00992AB6">
      <w:pPr>
        <w:pStyle w:val="5"/>
        <w:rPr>
          <w:lang w:eastAsia="zh-TW"/>
        </w:rPr>
      </w:pPr>
      <w:r w:rsidRPr="004B4ED9">
        <w:rPr>
          <w:rStyle w:val="af7"/>
          <w:rFonts w:eastAsia="新細明體"/>
          <w:kern w:val="2"/>
          <w:szCs w:val="20"/>
        </w:rPr>
        <w:footnoteRef/>
      </w:r>
      <w:r w:rsidRPr="008147DC">
        <w:rPr>
          <w:lang w:eastAsia="zh-TW"/>
        </w:rPr>
        <w:t xml:space="preserve"> SPSS</w:t>
      </w:r>
      <w:r w:rsidRPr="008147DC">
        <w:rPr>
          <w:lang w:eastAsia="zh-TW"/>
        </w:rPr>
        <w:t>軟體之多元迴歸分析之程式語法如下：</w:t>
      </w:r>
    </w:p>
    <w:p w:rsidR="00657FEF" w:rsidRPr="008147DC" w:rsidRDefault="00657FEF" w:rsidP="00992AB6">
      <w:pPr>
        <w:pStyle w:val="5"/>
      </w:pPr>
      <w:r w:rsidRPr="008147DC">
        <w:t>REGRESSION</w:t>
      </w:r>
    </w:p>
    <w:p w:rsidR="00657FEF" w:rsidRPr="008147DC" w:rsidRDefault="00657FEF" w:rsidP="00992AB6">
      <w:pPr>
        <w:pStyle w:val="5"/>
      </w:pPr>
      <w:r w:rsidRPr="008147DC">
        <w:t xml:space="preserve">  /DESCRIPTIVES MEAN STDDEV CORR SIG N</w:t>
      </w:r>
    </w:p>
    <w:p w:rsidR="00657FEF" w:rsidRPr="008147DC" w:rsidRDefault="00657FEF" w:rsidP="00992AB6">
      <w:pPr>
        <w:pStyle w:val="5"/>
      </w:pPr>
      <w:r w:rsidRPr="008147DC">
        <w:t xml:space="preserve">  /MISSING LISTWISE</w:t>
      </w:r>
    </w:p>
    <w:p w:rsidR="00657FEF" w:rsidRPr="008147DC" w:rsidRDefault="00657FEF" w:rsidP="00BF13FB">
      <w:pPr>
        <w:pStyle w:val="5"/>
        <w:jc w:val="left"/>
      </w:pPr>
      <w:r w:rsidRPr="008147DC">
        <w:t xml:space="preserve">  /STATISTICS COEFF OUTS R ANOVA COLLIN TOL CHANGE ZPP</w:t>
      </w:r>
    </w:p>
    <w:p w:rsidR="00657FEF" w:rsidRPr="008147DC" w:rsidRDefault="00657FEF" w:rsidP="00BF13FB">
      <w:pPr>
        <w:pStyle w:val="5"/>
        <w:jc w:val="left"/>
      </w:pPr>
      <w:r w:rsidRPr="008147DC">
        <w:t xml:space="preserve">  /CRITERIA=PIN(.05) POUT(.10)</w:t>
      </w:r>
    </w:p>
    <w:p w:rsidR="00657FEF" w:rsidRPr="008147DC" w:rsidRDefault="00657FEF" w:rsidP="00BF13FB">
      <w:pPr>
        <w:pStyle w:val="5"/>
        <w:jc w:val="left"/>
      </w:pPr>
      <w:r w:rsidRPr="008147DC">
        <w:t xml:space="preserve">  /NOORIGIN</w:t>
      </w:r>
    </w:p>
    <w:p w:rsidR="00657FEF" w:rsidRPr="008147DC" w:rsidRDefault="00657FEF" w:rsidP="00BF13FB">
      <w:pPr>
        <w:pStyle w:val="5"/>
        <w:jc w:val="left"/>
      </w:pPr>
      <w:r w:rsidRPr="008147DC">
        <w:t xml:space="preserve">  /DEPENDENT Bigcrimenext</w:t>
      </w:r>
    </w:p>
    <w:p w:rsidR="00657FEF" w:rsidRPr="008147DC" w:rsidRDefault="00657FEF" w:rsidP="00BF13FB">
      <w:pPr>
        <w:pStyle w:val="5"/>
        <w:jc w:val="left"/>
      </w:pPr>
      <w:r w:rsidRPr="008147DC">
        <w:t xml:space="preserve">  /METHOD=STEPWISE over35manunmarryrate GNI lowincomesupplement probationrate nonderterminsentence clearrate</w:t>
      </w:r>
    </w:p>
    <w:p w:rsidR="00657FEF" w:rsidRPr="008147DC" w:rsidRDefault="00657FEF" w:rsidP="00BF13FB">
      <w:pPr>
        <w:pStyle w:val="5"/>
        <w:jc w:val="left"/>
        <w:rPr>
          <w:lang w:eastAsia="zh-TW"/>
        </w:rPr>
      </w:pPr>
      <w:r w:rsidRPr="008147DC">
        <w:t xml:space="preserve">  </w:t>
      </w:r>
      <w:r w:rsidRPr="008147DC">
        <w:rPr>
          <w:lang w:eastAsia="zh-TW"/>
        </w:rPr>
        <w:t>/CASEWISE PLOT(ZRESID) ALL.</w:t>
      </w:r>
    </w:p>
  </w:footnote>
  <w:footnote w:id="302">
    <w:p w:rsidR="00657FEF" w:rsidRPr="008147DC" w:rsidRDefault="00657FEF" w:rsidP="00992AB6">
      <w:pPr>
        <w:pStyle w:val="5"/>
        <w:rPr>
          <w:lang w:eastAsia="zh-TW"/>
        </w:rPr>
      </w:pPr>
      <w:r w:rsidRPr="002031B1">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03">
    <w:p w:rsidR="00657FEF" w:rsidRPr="008147DC" w:rsidRDefault="00657FEF" w:rsidP="00992AB6">
      <w:pPr>
        <w:pStyle w:val="5"/>
        <w:rPr>
          <w:lang w:eastAsia="zh-TW"/>
        </w:rPr>
      </w:pPr>
      <w:r w:rsidRPr="002031B1">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04">
    <w:p w:rsidR="00657FEF" w:rsidRPr="008147DC" w:rsidRDefault="00657FEF" w:rsidP="00992AB6">
      <w:pPr>
        <w:pStyle w:val="5"/>
        <w:rPr>
          <w:lang w:eastAsia="zh-TW"/>
        </w:rPr>
      </w:pPr>
      <w:r w:rsidRPr="002031B1">
        <w:rPr>
          <w:rStyle w:val="af7"/>
          <w:rFonts w:eastAsia="新細明體"/>
          <w:kern w:val="2"/>
          <w:szCs w:val="20"/>
        </w:rPr>
        <w:footnoteRef/>
      </w:r>
      <w:r w:rsidRPr="008147DC">
        <w:rPr>
          <w:lang w:eastAsia="zh-TW"/>
        </w:rPr>
        <w:t xml:space="preserve"> SPSS</w:t>
      </w:r>
      <w:r w:rsidRPr="008147DC">
        <w:rPr>
          <w:lang w:eastAsia="zh-TW"/>
        </w:rPr>
        <w:t>軟體之多元迴歸分析之程式語法如下：</w:t>
      </w:r>
    </w:p>
    <w:p w:rsidR="00657FEF" w:rsidRPr="008147DC" w:rsidRDefault="00657FEF" w:rsidP="00992AB6">
      <w:pPr>
        <w:pStyle w:val="5"/>
      </w:pPr>
      <w:r w:rsidRPr="008147DC">
        <w:t>REGRESSION</w:t>
      </w:r>
    </w:p>
    <w:p w:rsidR="00657FEF" w:rsidRPr="008147DC" w:rsidRDefault="00657FEF" w:rsidP="00992AB6">
      <w:pPr>
        <w:pStyle w:val="5"/>
      </w:pPr>
      <w:r w:rsidRPr="008147DC">
        <w:t xml:space="preserve">  /DESCRIPTIVES MEAN STDDEV CORR SIG N</w:t>
      </w:r>
    </w:p>
    <w:p w:rsidR="00657FEF" w:rsidRPr="008147DC" w:rsidRDefault="00657FEF" w:rsidP="00992AB6">
      <w:pPr>
        <w:pStyle w:val="5"/>
      </w:pPr>
      <w:r w:rsidRPr="008147DC">
        <w:t xml:space="preserve">  /MISSING LISTWISE</w:t>
      </w:r>
    </w:p>
    <w:p w:rsidR="00657FEF" w:rsidRPr="008147DC" w:rsidRDefault="00657FEF" w:rsidP="00992AB6">
      <w:pPr>
        <w:pStyle w:val="5"/>
      </w:pPr>
      <w:r w:rsidRPr="008147DC">
        <w:t xml:space="preserve">  /STATISTICS COEFF OUTS R ANOVA COLLIN TOL CHANGE ZPP</w:t>
      </w:r>
    </w:p>
    <w:p w:rsidR="00657FEF" w:rsidRPr="008147DC" w:rsidRDefault="00657FEF" w:rsidP="00992AB6">
      <w:pPr>
        <w:pStyle w:val="5"/>
      </w:pPr>
      <w:r w:rsidRPr="008147DC">
        <w:t xml:space="preserve">  /CRITERIA=PIN(.05) POUT(.10)</w:t>
      </w:r>
    </w:p>
    <w:p w:rsidR="00657FEF" w:rsidRPr="008147DC" w:rsidRDefault="00657FEF" w:rsidP="00992AB6">
      <w:pPr>
        <w:pStyle w:val="5"/>
      </w:pPr>
      <w:r w:rsidRPr="008147DC">
        <w:t xml:space="preserve">  /NOORIGIN</w:t>
      </w:r>
    </w:p>
    <w:p w:rsidR="00657FEF" w:rsidRPr="008147DC" w:rsidRDefault="00657FEF" w:rsidP="00992AB6">
      <w:pPr>
        <w:pStyle w:val="5"/>
      </w:pPr>
      <w:r w:rsidRPr="008147DC">
        <w:t xml:space="preserve">  /DEPENDENT Bigcrimenext</w:t>
      </w:r>
    </w:p>
    <w:p w:rsidR="00657FEF" w:rsidRPr="008147DC" w:rsidRDefault="00657FEF" w:rsidP="00992AB6">
      <w:pPr>
        <w:pStyle w:val="5"/>
      </w:pPr>
      <w:r w:rsidRPr="008147DC">
        <w:t xml:space="preserve">  /METHOD=ENTER over35manunmarryrate</w:t>
      </w:r>
    </w:p>
    <w:p w:rsidR="00657FEF" w:rsidRPr="008147DC" w:rsidRDefault="00657FEF" w:rsidP="00992AB6">
      <w:pPr>
        <w:pStyle w:val="5"/>
      </w:pPr>
      <w:r w:rsidRPr="008147DC">
        <w:t xml:space="preserve">  /CASEWISE PLOT(ZRESID) ALL.</w:t>
      </w:r>
    </w:p>
  </w:footnote>
  <w:footnote w:id="305">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06">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07">
    <w:p w:rsidR="00657FEF" w:rsidRPr="008147DC" w:rsidRDefault="00657FEF" w:rsidP="00992AB6">
      <w:pPr>
        <w:pStyle w:val="5"/>
        <w:rPr>
          <w:lang w:eastAsia="zh-TW"/>
        </w:rPr>
      </w:pPr>
      <w:r w:rsidRPr="004B4ED9">
        <w:rPr>
          <w:rStyle w:val="af7"/>
          <w:rFonts w:eastAsia="新細明體"/>
          <w:kern w:val="2"/>
          <w:szCs w:val="20"/>
        </w:rPr>
        <w:footnoteRef/>
      </w:r>
      <w:r w:rsidRPr="008147DC">
        <w:rPr>
          <w:lang w:eastAsia="zh-TW"/>
        </w:rPr>
        <w:t xml:space="preserve"> SPSS</w:t>
      </w:r>
      <w:r w:rsidRPr="008147DC">
        <w:rPr>
          <w:lang w:eastAsia="zh-TW"/>
        </w:rPr>
        <w:t>軟體之多元迴歸分析之程式語法如下：</w:t>
      </w:r>
    </w:p>
    <w:p w:rsidR="00657FEF" w:rsidRPr="008147DC" w:rsidRDefault="00657FEF" w:rsidP="00992AB6">
      <w:pPr>
        <w:pStyle w:val="5"/>
      </w:pPr>
      <w:r w:rsidRPr="008147DC">
        <w:t>REGRESSION</w:t>
      </w:r>
    </w:p>
    <w:p w:rsidR="00657FEF" w:rsidRPr="008147DC" w:rsidRDefault="00657FEF" w:rsidP="00992AB6">
      <w:pPr>
        <w:pStyle w:val="5"/>
      </w:pPr>
      <w:r w:rsidRPr="008147DC">
        <w:t xml:space="preserve">  /DESCRIPTIVES MEAN STDDEV CORR SIG N</w:t>
      </w:r>
    </w:p>
    <w:p w:rsidR="00657FEF" w:rsidRPr="008147DC" w:rsidRDefault="00657FEF" w:rsidP="00992AB6">
      <w:pPr>
        <w:pStyle w:val="5"/>
      </w:pPr>
      <w:r w:rsidRPr="008147DC">
        <w:t xml:space="preserve">  /MISSING LISTWISE</w:t>
      </w:r>
    </w:p>
    <w:p w:rsidR="00657FEF" w:rsidRPr="008147DC" w:rsidRDefault="00657FEF" w:rsidP="00992AB6">
      <w:pPr>
        <w:pStyle w:val="5"/>
      </w:pPr>
      <w:r w:rsidRPr="008147DC">
        <w:t xml:space="preserve">  /STATISTICS COEFF OUTS R ANOVA COLLIN TOL CHANGE ZPP</w:t>
      </w:r>
    </w:p>
    <w:p w:rsidR="00657FEF" w:rsidRPr="008147DC" w:rsidRDefault="00657FEF" w:rsidP="00992AB6">
      <w:pPr>
        <w:pStyle w:val="5"/>
      </w:pPr>
      <w:r w:rsidRPr="008147DC">
        <w:t xml:space="preserve">  /CRITERIA=PIN(.05) POUT(.10)</w:t>
      </w:r>
    </w:p>
    <w:p w:rsidR="00657FEF" w:rsidRPr="008147DC" w:rsidRDefault="00657FEF" w:rsidP="00992AB6">
      <w:pPr>
        <w:pStyle w:val="5"/>
      </w:pPr>
      <w:r w:rsidRPr="008147DC">
        <w:t xml:space="preserve">  /NOORIGIN</w:t>
      </w:r>
    </w:p>
    <w:p w:rsidR="00657FEF" w:rsidRPr="008147DC" w:rsidRDefault="00657FEF" w:rsidP="00BF13FB">
      <w:pPr>
        <w:pStyle w:val="5"/>
        <w:jc w:val="left"/>
      </w:pPr>
      <w:r w:rsidRPr="008147DC">
        <w:t xml:space="preserve">  /DEPENDENT Bigcrimenext</w:t>
      </w:r>
    </w:p>
    <w:p w:rsidR="00657FEF" w:rsidRPr="008147DC" w:rsidRDefault="00657FEF" w:rsidP="00BF13FB">
      <w:pPr>
        <w:pStyle w:val="5"/>
        <w:jc w:val="left"/>
      </w:pPr>
      <w:r w:rsidRPr="008147DC">
        <w:t xml:space="preserve">  /METHOD=FORWARD over35manunmarryrate GNI lowincomesupplement probationrate nonderterminsentence clearrate</w:t>
      </w:r>
    </w:p>
    <w:p w:rsidR="00657FEF" w:rsidRPr="008147DC" w:rsidRDefault="00657FEF" w:rsidP="00BF13FB">
      <w:pPr>
        <w:pStyle w:val="5"/>
        <w:jc w:val="left"/>
        <w:rPr>
          <w:lang w:eastAsia="zh-TW"/>
        </w:rPr>
      </w:pPr>
      <w:r w:rsidRPr="008147DC">
        <w:t xml:space="preserve">  </w:t>
      </w:r>
      <w:r w:rsidRPr="008147DC">
        <w:rPr>
          <w:lang w:eastAsia="zh-TW"/>
        </w:rPr>
        <w:t>/CASEWISE PLOT(ZRESID) ALL.</w:t>
      </w:r>
    </w:p>
  </w:footnote>
  <w:footnote w:id="308">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09">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10">
    <w:p w:rsidR="00657FEF" w:rsidRPr="008147DC" w:rsidRDefault="00657FEF" w:rsidP="00992AB6">
      <w:pPr>
        <w:pStyle w:val="5"/>
        <w:rPr>
          <w:lang w:eastAsia="zh-TW"/>
        </w:rPr>
      </w:pPr>
      <w:r w:rsidRPr="004B4ED9">
        <w:rPr>
          <w:rStyle w:val="af7"/>
          <w:rFonts w:eastAsia="新細明體"/>
          <w:kern w:val="2"/>
          <w:szCs w:val="20"/>
        </w:rPr>
        <w:footnoteRef/>
      </w:r>
      <w:r w:rsidRPr="004B4ED9">
        <w:rPr>
          <w:rFonts w:ascii="Arial Unicode MS" w:eastAsia="新細明體" w:hAnsi="Arial Unicode MS"/>
          <w:color w:val="FF6600"/>
          <w:kern w:val="2"/>
          <w:lang w:eastAsia="zh-TW"/>
        </w:rPr>
        <w:t xml:space="preserve"> </w:t>
      </w:r>
      <w:r w:rsidRPr="008147DC">
        <w:rPr>
          <w:lang w:eastAsia="zh-TW"/>
        </w:rPr>
        <w:t>SPSS</w:t>
      </w:r>
      <w:r w:rsidRPr="008147DC">
        <w:rPr>
          <w:lang w:eastAsia="zh-TW"/>
        </w:rPr>
        <w:t>軟體之多元迴歸分析之程式語法如下：</w:t>
      </w:r>
    </w:p>
    <w:p w:rsidR="00657FEF" w:rsidRPr="008147DC" w:rsidRDefault="00657FEF" w:rsidP="00992AB6">
      <w:pPr>
        <w:pStyle w:val="5"/>
      </w:pPr>
      <w:r w:rsidRPr="008147DC">
        <w:t>REGRESSION</w:t>
      </w:r>
    </w:p>
    <w:p w:rsidR="00657FEF" w:rsidRPr="008147DC" w:rsidRDefault="00657FEF" w:rsidP="00992AB6">
      <w:pPr>
        <w:pStyle w:val="5"/>
      </w:pPr>
      <w:r w:rsidRPr="008147DC">
        <w:t xml:space="preserve">  /DESCRIPTIVES MEAN STDDEV CORR SIG N</w:t>
      </w:r>
    </w:p>
    <w:p w:rsidR="00657FEF" w:rsidRPr="008147DC" w:rsidRDefault="00657FEF" w:rsidP="00992AB6">
      <w:pPr>
        <w:pStyle w:val="5"/>
      </w:pPr>
      <w:r w:rsidRPr="008147DC">
        <w:t xml:space="preserve">  /MISSING LISTWISE</w:t>
      </w:r>
    </w:p>
    <w:p w:rsidR="00657FEF" w:rsidRPr="008147DC" w:rsidRDefault="00657FEF" w:rsidP="00992AB6">
      <w:pPr>
        <w:pStyle w:val="5"/>
      </w:pPr>
      <w:r w:rsidRPr="008147DC">
        <w:t xml:space="preserve">  /STATISTICS COEFF OUTS R ANOVA COLLIN TOL CHANGE ZPP</w:t>
      </w:r>
    </w:p>
    <w:p w:rsidR="00657FEF" w:rsidRPr="008147DC" w:rsidRDefault="00657FEF" w:rsidP="00992AB6">
      <w:pPr>
        <w:pStyle w:val="5"/>
      </w:pPr>
      <w:r w:rsidRPr="008147DC">
        <w:t xml:space="preserve">  /CRITERIA=PIN(.05) POUT(.10)</w:t>
      </w:r>
    </w:p>
    <w:p w:rsidR="00657FEF" w:rsidRPr="008147DC" w:rsidRDefault="00657FEF" w:rsidP="00992AB6">
      <w:pPr>
        <w:pStyle w:val="5"/>
      </w:pPr>
      <w:r w:rsidRPr="008147DC">
        <w:t xml:space="preserve">  /NOORIGIN</w:t>
      </w:r>
    </w:p>
    <w:p w:rsidR="00657FEF" w:rsidRPr="008147DC" w:rsidRDefault="00657FEF" w:rsidP="00992AB6">
      <w:pPr>
        <w:pStyle w:val="5"/>
      </w:pPr>
      <w:r w:rsidRPr="008147DC">
        <w:t xml:space="preserve">  /DEPENDENT Bigcrimenext</w:t>
      </w:r>
    </w:p>
    <w:p w:rsidR="00657FEF" w:rsidRPr="008147DC" w:rsidRDefault="00657FEF" w:rsidP="00992AB6">
      <w:pPr>
        <w:pStyle w:val="5"/>
      </w:pPr>
      <w:r w:rsidRPr="008147DC">
        <w:t xml:space="preserve">  /METHOD=BACKWARD over35manunmarryrate probationrate</w:t>
      </w:r>
    </w:p>
    <w:p w:rsidR="00657FEF" w:rsidRPr="008147DC" w:rsidRDefault="00657FEF" w:rsidP="00992AB6">
      <w:pPr>
        <w:pStyle w:val="5"/>
      </w:pPr>
      <w:r w:rsidRPr="008147DC">
        <w:t xml:space="preserve">  /CASEWISE PLOT(ZRESID) ALL.</w:t>
      </w:r>
    </w:p>
  </w:footnote>
  <w:footnote w:id="311">
    <w:p w:rsidR="00657FEF" w:rsidRPr="008147DC" w:rsidRDefault="00657FEF" w:rsidP="00992AB6">
      <w:pPr>
        <w:pStyle w:val="5"/>
        <w:rPr>
          <w:lang w:eastAsia="zh-TW"/>
        </w:rPr>
      </w:pPr>
      <w:r w:rsidRPr="000260C3">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12">
    <w:p w:rsidR="00657FEF" w:rsidRPr="008147DC" w:rsidRDefault="00657FEF" w:rsidP="00992AB6">
      <w:pPr>
        <w:pStyle w:val="5"/>
        <w:rPr>
          <w:lang w:eastAsia="zh-TW"/>
        </w:rPr>
      </w:pPr>
      <w:r w:rsidRPr="000260C3">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13">
    <w:p w:rsidR="00657FEF" w:rsidRPr="008147DC" w:rsidRDefault="00657FEF" w:rsidP="00992AB6">
      <w:pPr>
        <w:pStyle w:val="5"/>
        <w:rPr>
          <w:lang w:eastAsia="zh-TW"/>
        </w:rPr>
      </w:pPr>
      <w:r w:rsidRPr="000260C3">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14">
    <w:p w:rsidR="00657FEF" w:rsidRPr="008147DC" w:rsidRDefault="00657FEF" w:rsidP="00992AB6">
      <w:pPr>
        <w:pStyle w:val="5"/>
        <w:rPr>
          <w:lang w:eastAsia="zh-TW"/>
        </w:rPr>
      </w:pPr>
      <w:r w:rsidRPr="000260C3">
        <w:rPr>
          <w:rStyle w:val="af7"/>
          <w:rFonts w:eastAsia="新細明體"/>
          <w:kern w:val="2"/>
          <w:szCs w:val="20"/>
        </w:rPr>
        <w:footnoteRef/>
      </w:r>
      <w:r w:rsidRPr="008147DC">
        <w:rPr>
          <w:lang w:eastAsia="zh-TW"/>
        </w:rPr>
        <w:t xml:space="preserve"> SPSS</w:t>
      </w:r>
      <w:r w:rsidRPr="008147DC">
        <w:rPr>
          <w:lang w:eastAsia="zh-TW"/>
        </w:rPr>
        <w:t>軟體之多元迴歸分析之程式語法如下：</w:t>
      </w:r>
    </w:p>
    <w:p w:rsidR="00657FEF" w:rsidRPr="008147DC" w:rsidRDefault="00657FEF" w:rsidP="00992AB6">
      <w:pPr>
        <w:pStyle w:val="5"/>
      </w:pPr>
      <w:r w:rsidRPr="008147DC">
        <w:t>REGRESSION</w:t>
      </w:r>
    </w:p>
    <w:p w:rsidR="00657FEF" w:rsidRPr="008147DC" w:rsidRDefault="00657FEF" w:rsidP="00992AB6">
      <w:pPr>
        <w:pStyle w:val="5"/>
      </w:pPr>
      <w:r w:rsidRPr="008147DC">
        <w:t xml:space="preserve">  /DESCRIPTIVES MEAN STDDEV CORR SIG N</w:t>
      </w:r>
    </w:p>
    <w:p w:rsidR="00657FEF" w:rsidRPr="008147DC" w:rsidRDefault="00657FEF" w:rsidP="00992AB6">
      <w:pPr>
        <w:pStyle w:val="5"/>
      </w:pPr>
      <w:r w:rsidRPr="008147DC">
        <w:t xml:space="preserve">  /MISSING LISTWISE</w:t>
      </w:r>
    </w:p>
    <w:p w:rsidR="00657FEF" w:rsidRPr="008147DC" w:rsidRDefault="00657FEF" w:rsidP="00992AB6">
      <w:pPr>
        <w:pStyle w:val="5"/>
      </w:pPr>
      <w:r w:rsidRPr="008147DC">
        <w:t xml:space="preserve">  /STATISTICS COEFF OUTS R ANOVA COLLIN TOL CHANGE ZPP</w:t>
      </w:r>
    </w:p>
    <w:p w:rsidR="00657FEF" w:rsidRPr="008147DC" w:rsidRDefault="00657FEF" w:rsidP="00992AB6">
      <w:pPr>
        <w:pStyle w:val="5"/>
      </w:pPr>
      <w:r w:rsidRPr="008147DC">
        <w:t xml:space="preserve">  /CRITERIA=PIN(.05) POUT(.10)</w:t>
      </w:r>
    </w:p>
    <w:p w:rsidR="00657FEF" w:rsidRPr="008147DC" w:rsidRDefault="00657FEF" w:rsidP="00992AB6">
      <w:pPr>
        <w:pStyle w:val="5"/>
      </w:pPr>
      <w:r w:rsidRPr="008147DC">
        <w:t xml:space="preserve">  /NOORIGIN</w:t>
      </w:r>
    </w:p>
    <w:p w:rsidR="00657FEF" w:rsidRPr="008147DC" w:rsidRDefault="00657FEF" w:rsidP="00992AB6">
      <w:pPr>
        <w:pStyle w:val="5"/>
      </w:pPr>
      <w:r w:rsidRPr="008147DC">
        <w:t xml:space="preserve">  /DEPENDENT Bigcrimenext</w:t>
      </w:r>
    </w:p>
    <w:p w:rsidR="00657FEF" w:rsidRPr="008147DC" w:rsidRDefault="00657FEF" w:rsidP="00992AB6">
      <w:pPr>
        <w:pStyle w:val="5"/>
      </w:pPr>
      <w:r w:rsidRPr="008147DC">
        <w:t xml:space="preserve">  /METHOD=REMOVE over35manunmarryrate</w:t>
      </w:r>
    </w:p>
    <w:p w:rsidR="00657FEF" w:rsidRPr="008147DC" w:rsidRDefault="00657FEF" w:rsidP="00992AB6">
      <w:pPr>
        <w:pStyle w:val="5"/>
      </w:pPr>
      <w:r w:rsidRPr="008147DC">
        <w:t xml:space="preserve">  /CASEWISE PLOT(ZRESID) ALL.</w:t>
      </w:r>
    </w:p>
  </w:footnote>
  <w:footnote w:id="315">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16">
    <w:p w:rsidR="00657FEF" w:rsidRPr="008147DC" w:rsidRDefault="00657FEF" w:rsidP="00992AB6">
      <w:pPr>
        <w:pStyle w:val="5"/>
        <w:rPr>
          <w:lang w:eastAsia="zh-TW"/>
        </w:rPr>
      </w:pPr>
      <w:r w:rsidRPr="000260C3">
        <w:rPr>
          <w:rStyle w:val="af7"/>
          <w:rFonts w:eastAsia="新細明體"/>
          <w:kern w:val="2"/>
          <w:szCs w:val="20"/>
        </w:rPr>
        <w:footnoteRef/>
      </w:r>
      <w:r w:rsidRPr="008147DC">
        <w:rPr>
          <w:lang w:eastAsia="zh-TW"/>
        </w:rPr>
        <w:t>許福生</w:t>
      </w:r>
      <w:r w:rsidRPr="008147DC">
        <w:rPr>
          <w:lang w:eastAsia="zh-TW"/>
        </w:rPr>
        <w:t>(2016)</w:t>
      </w:r>
      <w:r w:rsidRPr="008147DC">
        <w:rPr>
          <w:lang w:eastAsia="zh-TW"/>
        </w:rPr>
        <w:t>，犯罪學與犯罪預防，台北：元照。</w:t>
      </w:r>
    </w:p>
    <w:p w:rsidR="00657FEF" w:rsidRPr="008147DC" w:rsidRDefault="00657FEF" w:rsidP="00992AB6">
      <w:pPr>
        <w:pStyle w:val="5"/>
        <w:rPr>
          <w:lang w:eastAsia="zh-TW"/>
        </w:rPr>
      </w:pPr>
      <w:r w:rsidRPr="008147DC">
        <w:rPr>
          <w:lang w:eastAsia="zh-TW"/>
        </w:rPr>
        <w:t>許春金</w:t>
      </w:r>
      <w:r w:rsidRPr="008147DC">
        <w:rPr>
          <w:lang w:eastAsia="zh-TW"/>
        </w:rPr>
        <w:t>(2003)</w:t>
      </w:r>
      <w:r w:rsidRPr="008147DC">
        <w:rPr>
          <w:lang w:eastAsia="zh-TW"/>
        </w:rPr>
        <w:t>，犯罪學，桃園：中央警察大學。</w:t>
      </w:r>
    </w:p>
    <w:p w:rsidR="00657FEF" w:rsidRPr="008147DC" w:rsidRDefault="00657FEF" w:rsidP="00992AB6">
      <w:pPr>
        <w:pStyle w:val="5"/>
        <w:rPr>
          <w:lang w:eastAsia="zh-TW"/>
        </w:rPr>
      </w:pPr>
      <w:r w:rsidRPr="008147DC">
        <w:rPr>
          <w:lang w:eastAsia="zh-TW"/>
        </w:rPr>
        <w:t>許春金</w:t>
      </w:r>
      <w:r w:rsidRPr="008147DC">
        <w:rPr>
          <w:lang w:eastAsia="zh-TW"/>
        </w:rPr>
        <w:t>(2006)</w:t>
      </w:r>
      <w:r w:rsidRPr="008147DC">
        <w:rPr>
          <w:lang w:eastAsia="zh-TW"/>
        </w:rPr>
        <w:t>，人本犯罪學</w:t>
      </w:r>
      <w:r w:rsidRPr="008147DC">
        <w:rPr>
          <w:lang w:eastAsia="zh-TW"/>
        </w:rPr>
        <w:t>---</w:t>
      </w:r>
      <w:r w:rsidRPr="008147DC">
        <w:rPr>
          <w:lang w:eastAsia="zh-TW"/>
        </w:rPr>
        <w:t>控制理論與修復式正義，台北：三民書局。</w:t>
      </w:r>
    </w:p>
    <w:p w:rsidR="00657FEF" w:rsidRPr="008147DC" w:rsidRDefault="00657FEF" w:rsidP="00992AB6">
      <w:pPr>
        <w:pStyle w:val="5"/>
        <w:rPr>
          <w:lang w:eastAsia="zh-TW"/>
        </w:rPr>
      </w:pPr>
      <w:r w:rsidRPr="008147DC">
        <w:rPr>
          <w:lang w:eastAsia="zh-TW"/>
        </w:rPr>
        <w:t>許春金</w:t>
      </w:r>
      <w:r w:rsidRPr="008147DC">
        <w:rPr>
          <w:lang w:eastAsia="zh-TW"/>
        </w:rPr>
        <w:t>(2007)</w:t>
      </w:r>
      <w:r w:rsidRPr="008147DC">
        <w:rPr>
          <w:lang w:eastAsia="zh-TW"/>
        </w:rPr>
        <w:t>，犯罪學，修訂第五版。臺北：三民。</w:t>
      </w:r>
    </w:p>
    <w:p w:rsidR="00657FEF" w:rsidRPr="008147DC" w:rsidRDefault="00657FEF" w:rsidP="00992AB6">
      <w:pPr>
        <w:pStyle w:val="5"/>
        <w:rPr>
          <w:lang w:eastAsia="zh-TW"/>
        </w:rPr>
      </w:pPr>
      <w:r w:rsidRPr="008147DC">
        <w:rPr>
          <w:lang w:eastAsia="zh-TW"/>
        </w:rPr>
        <w:t>許春金</w:t>
      </w:r>
      <w:r w:rsidRPr="008147DC">
        <w:rPr>
          <w:lang w:eastAsia="zh-TW"/>
        </w:rPr>
        <w:t>(2010)</w:t>
      </w:r>
      <w:r w:rsidRPr="008147DC">
        <w:rPr>
          <w:lang w:eastAsia="zh-TW"/>
        </w:rPr>
        <w:t>，犯罪學修訂六版。臺北市：三民書局。</w:t>
      </w:r>
    </w:p>
    <w:p w:rsidR="00657FEF" w:rsidRPr="008147DC" w:rsidRDefault="00657FEF" w:rsidP="00992AB6">
      <w:pPr>
        <w:pStyle w:val="5"/>
        <w:rPr>
          <w:lang w:eastAsia="zh-TW"/>
        </w:rPr>
      </w:pPr>
      <w:r w:rsidRPr="008147DC">
        <w:rPr>
          <w:lang w:eastAsia="zh-TW"/>
        </w:rPr>
        <w:t>許春金</w:t>
      </w:r>
      <w:r w:rsidRPr="008147DC">
        <w:rPr>
          <w:lang w:eastAsia="zh-TW"/>
        </w:rPr>
        <w:t>(2013)</w:t>
      </w:r>
      <w:r w:rsidRPr="008147DC">
        <w:rPr>
          <w:lang w:eastAsia="zh-TW"/>
        </w:rPr>
        <w:t>，犯罪學，修訂</w:t>
      </w:r>
      <w:r w:rsidRPr="008147DC">
        <w:rPr>
          <w:lang w:eastAsia="zh-TW"/>
        </w:rPr>
        <w:t>7</w:t>
      </w:r>
      <w:r w:rsidRPr="008147DC">
        <w:rPr>
          <w:lang w:eastAsia="zh-TW"/>
        </w:rPr>
        <w:t>版，台北：三民，頁</w:t>
      </w:r>
      <w:r w:rsidRPr="008147DC">
        <w:rPr>
          <w:lang w:eastAsia="zh-TW"/>
        </w:rPr>
        <w:t>10-795</w:t>
      </w:r>
      <w:r w:rsidRPr="008147DC">
        <w:rPr>
          <w:lang w:eastAsia="zh-TW"/>
        </w:rPr>
        <w:t>。</w:t>
      </w:r>
    </w:p>
    <w:p w:rsidR="00657FEF" w:rsidRPr="008147DC" w:rsidRDefault="00657FEF" w:rsidP="00992AB6">
      <w:pPr>
        <w:pStyle w:val="5"/>
        <w:rPr>
          <w:lang w:eastAsia="zh-TW"/>
        </w:rPr>
      </w:pPr>
      <w:r w:rsidRPr="008147DC">
        <w:rPr>
          <w:lang w:eastAsia="zh-TW"/>
        </w:rPr>
        <w:t>許春金，陳玉書</w:t>
      </w:r>
      <w:r w:rsidRPr="008147DC">
        <w:rPr>
          <w:lang w:eastAsia="zh-TW"/>
        </w:rPr>
        <w:t>(2013)</w:t>
      </w:r>
      <w:r w:rsidRPr="008147DC">
        <w:rPr>
          <w:lang w:eastAsia="zh-TW"/>
        </w:rPr>
        <w:t>，犯罪預防與犯罪分析，二版，台北：三民。</w:t>
      </w:r>
    </w:p>
  </w:footnote>
  <w:footnote w:id="317">
    <w:p w:rsidR="00657FEF" w:rsidRPr="008147DC" w:rsidRDefault="00657FEF" w:rsidP="00992AB6">
      <w:pPr>
        <w:pStyle w:val="5"/>
        <w:rPr>
          <w:lang w:eastAsia="zh-TW"/>
        </w:rPr>
      </w:pPr>
      <w:r w:rsidRPr="000260C3">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18">
    <w:p w:rsidR="00657FEF" w:rsidRPr="008147DC" w:rsidRDefault="00657FEF" w:rsidP="00992AB6">
      <w:pPr>
        <w:pStyle w:val="5"/>
        <w:rPr>
          <w:lang w:eastAsia="zh-TW"/>
        </w:rPr>
      </w:pPr>
      <w:r w:rsidRPr="000260C3">
        <w:rPr>
          <w:rStyle w:val="af7"/>
          <w:rFonts w:eastAsia="新細明體"/>
          <w:kern w:val="2"/>
          <w:szCs w:val="20"/>
        </w:rPr>
        <w:footnoteRef/>
      </w:r>
      <w:r w:rsidRPr="000260C3">
        <w:rPr>
          <w:rFonts w:ascii="Arial Unicode MS" w:eastAsia="新細明體" w:hAnsi="Arial Unicode MS"/>
          <w:color w:val="FF6600"/>
          <w:kern w:val="2"/>
          <w:lang w:eastAsia="zh-TW"/>
        </w:rPr>
        <w:t xml:space="preserve"> </w:t>
      </w:r>
      <w:r w:rsidRPr="008147DC">
        <w:rPr>
          <w:lang w:eastAsia="zh-TW"/>
        </w:rPr>
        <w:t>SPSS</w:t>
      </w:r>
      <w:r w:rsidRPr="008147DC">
        <w:rPr>
          <w:lang w:eastAsia="zh-TW"/>
        </w:rPr>
        <w:t>軟體之多元迴歸分析之程式語法如下：</w:t>
      </w:r>
    </w:p>
    <w:p w:rsidR="00657FEF" w:rsidRPr="008147DC" w:rsidRDefault="00657FEF" w:rsidP="00992AB6">
      <w:pPr>
        <w:pStyle w:val="5"/>
      </w:pPr>
      <w:r w:rsidRPr="008147DC">
        <w:t>REGRESSION</w:t>
      </w:r>
    </w:p>
    <w:p w:rsidR="00657FEF" w:rsidRPr="008147DC" w:rsidRDefault="00657FEF" w:rsidP="00992AB6">
      <w:pPr>
        <w:pStyle w:val="5"/>
      </w:pPr>
      <w:r w:rsidRPr="008147DC">
        <w:t xml:space="preserve">  /DESCRIPTIVES MEAN STDDEV CORR SIG N</w:t>
      </w:r>
    </w:p>
    <w:p w:rsidR="00657FEF" w:rsidRPr="008147DC" w:rsidRDefault="00657FEF" w:rsidP="00992AB6">
      <w:pPr>
        <w:pStyle w:val="5"/>
      </w:pPr>
      <w:r w:rsidRPr="008147DC">
        <w:t xml:space="preserve">  /MISSING PAIRWISE</w:t>
      </w:r>
    </w:p>
    <w:p w:rsidR="00657FEF" w:rsidRPr="008147DC" w:rsidRDefault="00657FEF" w:rsidP="00992AB6">
      <w:pPr>
        <w:pStyle w:val="5"/>
      </w:pPr>
      <w:r w:rsidRPr="008147DC">
        <w:t xml:space="preserve">  /STATISTICS COEFF OUTS R ANOVA COLLIN TOL CHANGE ZPP</w:t>
      </w:r>
    </w:p>
    <w:p w:rsidR="00657FEF" w:rsidRPr="008147DC" w:rsidRDefault="00657FEF" w:rsidP="00992AB6">
      <w:pPr>
        <w:pStyle w:val="5"/>
      </w:pPr>
      <w:r w:rsidRPr="008147DC">
        <w:t xml:space="preserve">  /CRITERIA=PIN(.05) POUT(.10)</w:t>
      </w:r>
    </w:p>
    <w:p w:rsidR="00657FEF" w:rsidRPr="008147DC" w:rsidRDefault="00657FEF" w:rsidP="00992AB6">
      <w:pPr>
        <w:pStyle w:val="5"/>
      </w:pPr>
      <w:r w:rsidRPr="008147DC">
        <w:t xml:space="preserve">  /NOORIGIN</w:t>
      </w:r>
    </w:p>
    <w:p w:rsidR="00657FEF" w:rsidRPr="008147DC" w:rsidRDefault="00657FEF" w:rsidP="00992AB6">
      <w:pPr>
        <w:pStyle w:val="5"/>
      </w:pPr>
      <w:r w:rsidRPr="008147DC">
        <w:t xml:space="preserve">  /DEPENDENT Bigcrime2next</w:t>
      </w:r>
    </w:p>
    <w:p w:rsidR="00657FEF" w:rsidRPr="008147DC" w:rsidRDefault="00657FEF" w:rsidP="00992AB6">
      <w:pPr>
        <w:pStyle w:val="5"/>
      </w:pPr>
      <w:r w:rsidRPr="008147DC">
        <w:t xml:space="preserve">  /METHOD=STEPWISE probationrate unemploymentrate</w:t>
      </w:r>
    </w:p>
    <w:p w:rsidR="00657FEF" w:rsidRPr="008147DC" w:rsidRDefault="00657FEF" w:rsidP="00992AB6">
      <w:pPr>
        <w:pStyle w:val="5"/>
      </w:pPr>
      <w:r w:rsidRPr="008147DC">
        <w:t xml:space="preserve">  /CASEWISE PLOT(ZRESID) ALL.</w:t>
      </w:r>
    </w:p>
  </w:footnote>
  <w:footnote w:id="319">
    <w:p w:rsidR="00657FEF" w:rsidRPr="008147DC" w:rsidRDefault="00657FEF" w:rsidP="00992AB6">
      <w:pPr>
        <w:pStyle w:val="5"/>
        <w:rPr>
          <w:lang w:eastAsia="zh-TW"/>
        </w:rPr>
      </w:pPr>
      <w:r w:rsidRPr="004B4ED9">
        <w:rPr>
          <w:rStyle w:val="af7"/>
          <w:rFonts w:eastAsia="新細明體"/>
          <w:kern w:val="2"/>
        </w:rPr>
        <w:footnoteRef/>
      </w:r>
      <w:r w:rsidRPr="008147DC">
        <w:rPr>
          <w:lang w:eastAsia="zh-TW"/>
        </w:rPr>
        <w:t>重大指標犯罪</w:t>
      </w:r>
      <w:r w:rsidRPr="008147DC">
        <w:rPr>
          <w:lang w:eastAsia="zh-TW"/>
        </w:rPr>
        <w:t>(</w:t>
      </w:r>
      <w:r w:rsidRPr="008147DC">
        <w:rPr>
          <w:lang w:eastAsia="zh-TW"/>
        </w:rPr>
        <w:t>重大暴力犯罪</w:t>
      </w:r>
      <w:r w:rsidRPr="008147DC">
        <w:rPr>
          <w:lang w:eastAsia="zh-TW"/>
        </w:rPr>
        <w:t>)=</w:t>
      </w:r>
      <w:r w:rsidRPr="008147DC">
        <w:rPr>
          <w:lang w:eastAsia="zh-TW"/>
        </w:rPr>
        <w:t>故意殺人犯罪</w:t>
      </w:r>
      <w:r w:rsidRPr="008147DC">
        <w:rPr>
          <w:lang w:eastAsia="zh-TW"/>
        </w:rPr>
        <w:t>+</w:t>
      </w:r>
      <w:r w:rsidRPr="008147DC">
        <w:rPr>
          <w:lang w:eastAsia="zh-TW"/>
        </w:rPr>
        <w:t>重傷犯罪</w:t>
      </w:r>
      <w:r w:rsidRPr="008147DC">
        <w:rPr>
          <w:lang w:eastAsia="zh-TW"/>
        </w:rPr>
        <w:t>+</w:t>
      </w:r>
      <w:r w:rsidRPr="008147DC">
        <w:rPr>
          <w:lang w:eastAsia="zh-TW"/>
        </w:rPr>
        <w:t>重大恐嚇取財犯罪</w:t>
      </w:r>
      <w:r w:rsidRPr="008147DC">
        <w:rPr>
          <w:lang w:eastAsia="zh-TW"/>
        </w:rPr>
        <w:t>+</w:t>
      </w:r>
      <w:r w:rsidRPr="008147DC">
        <w:rPr>
          <w:lang w:eastAsia="zh-TW"/>
        </w:rPr>
        <w:t>擄人勒贖犯罪</w:t>
      </w:r>
      <w:r w:rsidRPr="008147DC">
        <w:rPr>
          <w:lang w:eastAsia="zh-TW"/>
        </w:rPr>
        <w:t>+</w:t>
      </w:r>
      <w:r w:rsidRPr="008147DC">
        <w:rPr>
          <w:lang w:eastAsia="zh-TW"/>
        </w:rPr>
        <w:t>強盜搶奪犯罪</w:t>
      </w:r>
      <w:r w:rsidRPr="008147DC">
        <w:rPr>
          <w:lang w:eastAsia="zh-TW"/>
        </w:rPr>
        <w:t>+</w:t>
      </w:r>
      <w:r w:rsidRPr="008147DC">
        <w:rPr>
          <w:lang w:eastAsia="zh-TW"/>
        </w:rPr>
        <w:t>強制性交犯罪。</w:t>
      </w:r>
    </w:p>
  </w:footnote>
  <w:footnote w:id="320">
    <w:p w:rsidR="00657FEF" w:rsidRPr="008147DC" w:rsidRDefault="00657FEF" w:rsidP="00992AB6">
      <w:pPr>
        <w:pStyle w:val="5"/>
        <w:rPr>
          <w:lang w:eastAsia="zh-TW"/>
        </w:rPr>
      </w:pPr>
      <w:r w:rsidRPr="000260C3">
        <w:rPr>
          <w:rStyle w:val="af7"/>
          <w:rFonts w:eastAsia="新細明體"/>
          <w:kern w:val="2"/>
          <w:szCs w:val="20"/>
        </w:rPr>
        <w:footnoteRef/>
      </w:r>
      <w:r w:rsidRPr="008147DC">
        <w:rPr>
          <w:lang w:eastAsia="zh-TW"/>
        </w:rPr>
        <w:t>許春金</w:t>
      </w:r>
      <w:r w:rsidRPr="008147DC">
        <w:rPr>
          <w:lang w:eastAsia="zh-TW"/>
        </w:rPr>
        <w:t>(2013)</w:t>
      </w:r>
      <w:r w:rsidRPr="008147DC">
        <w:rPr>
          <w:lang w:eastAsia="zh-TW"/>
        </w:rPr>
        <w:t>，犯罪學，修訂</w:t>
      </w:r>
      <w:r w:rsidRPr="008147DC">
        <w:rPr>
          <w:lang w:eastAsia="zh-TW"/>
        </w:rPr>
        <w:t>7</w:t>
      </w:r>
      <w:r w:rsidRPr="008147DC">
        <w:rPr>
          <w:lang w:eastAsia="zh-TW"/>
        </w:rPr>
        <w:t>版，台北：三民。</w:t>
      </w:r>
    </w:p>
    <w:p w:rsidR="00657FEF" w:rsidRPr="008147DC" w:rsidRDefault="00657FEF" w:rsidP="00992AB6">
      <w:pPr>
        <w:pStyle w:val="5"/>
        <w:rPr>
          <w:lang w:eastAsia="zh-TW"/>
        </w:rPr>
      </w:pPr>
      <w:r w:rsidRPr="008147DC">
        <w:rPr>
          <w:lang w:eastAsia="zh-TW"/>
        </w:rPr>
        <w:t>許春金，陳玉書</w:t>
      </w:r>
      <w:r w:rsidRPr="008147DC">
        <w:rPr>
          <w:lang w:eastAsia="zh-TW"/>
        </w:rPr>
        <w:t>(2013)</w:t>
      </w:r>
      <w:r w:rsidRPr="008147DC">
        <w:rPr>
          <w:lang w:eastAsia="zh-TW"/>
        </w:rPr>
        <w:t>。犯罪預防與犯罪分析，二版，台北：三民。</w:t>
      </w:r>
    </w:p>
    <w:p w:rsidR="00657FEF" w:rsidRPr="008147DC" w:rsidRDefault="00657FEF" w:rsidP="00992AB6">
      <w:pPr>
        <w:pStyle w:val="5"/>
        <w:rPr>
          <w:lang w:eastAsia="zh-TW"/>
        </w:rPr>
      </w:pPr>
      <w:r w:rsidRPr="008147DC">
        <w:rPr>
          <w:lang w:eastAsia="zh-TW"/>
        </w:rPr>
        <w:t>許福生</w:t>
      </w:r>
      <w:r w:rsidRPr="008147DC">
        <w:rPr>
          <w:lang w:eastAsia="zh-TW"/>
        </w:rPr>
        <w:t>(2016)</w:t>
      </w:r>
      <w:r w:rsidRPr="008147DC">
        <w:rPr>
          <w:lang w:eastAsia="zh-TW"/>
        </w:rPr>
        <w:t>，犯罪學與犯罪預防，台北：元照。</w:t>
      </w:r>
    </w:p>
    <w:p w:rsidR="00657FEF" w:rsidRPr="008147DC" w:rsidRDefault="00657FEF" w:rsidP="00992AB6">
      <w:pPr>
        <w:pStyle w:val="5"/>
        <w:rPr>
          <w:lang w:eastAsia="zh-TW"/>
        </w:rPr>
      </w:pPr>
      <w:r w:rsidRPr="008147DC">
        <w:rPr>
          <w:lang w:eastAsia="zh-TW"/>
        </w:rPr>
        <w:t>許福生</w:t>
      </w:r>
      <w:r w:rsidRPr="008147DC">
        <w:rPr>
          <w:lang w:eastAsia="zh-TW"/>
        </w:rPr>
        <w:t>(2018)</w:t>
      </w:r>
      <w:r w:rsidRPr="008147DC">
        <w:rPr>
          <w:lang w:eastAsia="zh-TW"/>
        </w:rPr>
        <w:t>，犯罪學與犯罪預防，修訂</w:t>
      </w:r>
      <w:r w:rsidRPr="008147DC">
        <w:rPr>
          <w:lang w:eastAsia="zh-TW"/>
        </w:rPr>
        <w:t>2</w:t>
      </w:r>
      <w:r w:rsidRPr="008147DC">
        <w:rPr>
          <w:lang w:eastAsia="zh-TW"/>
        </w:rPr>
        <w:t>版，台北：元照。</w:t>
      </w:r>
    </w:p>
    <w:p w:rsidR="00657FEF" w:rsidRPr="008147DC" w:rsidRDefault="00657FEF" w:rsidP="00992AB6">
      <w:pPr>
        <w:pStyle w:val="5"/>
        <w:rPr>
          <w:lang w:eastAsia="zh-TW"/>
        </w:rPr>
      </w:pPr>
      <w:r w:rsidRPr="008147DC">
        <w:rPr>
          <w:lang w:eastAsia="zh-TW"/>
        </w:rPr>
        <w:t>蔡德輝</w:t>
      </w:r>
      <w:r w:rsidRPr="008147DC">
        <w:rPr>
          <w:lang w:eastAsia="zh-TW"/>
        </w:rPr>
        <w:t>(2009)</w:t>
      </w:r>
      <w:r w:rsidRPr="008147DC">
        <w:rPr>
          <w:lang w:eastAsia="zh-TW"/>
        </w:rPr>
        <w:t>，犯罪學，台北：五南。</w:t>
      </w:r>
    </w:p>
    <w:p w:rsidR="00657FEF" w:rsidRPr="008147DC" w:rsidRDefault="00657FEF" w:rsidP="00992AB6">
      <w:pPr>
        <w:pStyle w:val="5"/>
        <w:rPr>
          <w:lang w:eastAsia="zh-TW"/>
        </w:rPr>
      </w:pPr>
      <w:r w:rsidRPr="008147DC">
        <w:rPr>
          <w:lang w:eastAsia="zh-TW"/>
        </w:rPr>
        <w:t>蔡德輝、楊士隆</w:t>
      </w:r>
      <w:r w:rsidRPr="008147DC">
        <w:rPr>
          <w:lang w:eastAsia="zh-TW"/>
        </w:rPr>
        <w:t>(1997)</w:t>
      </w:r>
      <w:r w:rsidRPr="008147DC">
        <w:rPr>
          <w:lang w:eastAsia="zh-TW"/>
        </w:rPr>
        <w:t>，少年犯罪理論與實務，台北：五南出版公司。</w:t>
      </w:r>
    </w:p>
    <w:p w:rsidR="00657FEF" w:rsidRPr="008147DC" w:rsidRDefault="00657FEF" w:rsidP="00992AB6">
      <w:pPr>
        <w:pStyle w:val="5"/>
        <w:rPr>
          <w:lang w:eastAsia="zh-TW"/>
        </w:rPr>
      </w:pPr>
      <w:r w:rsidRPr="008147DC">
        <w:rPr>
          <w:lang w:eastAsia="zh-TW"/>
        </w:rPr>
        <w:t>鄧煌發、李修安</w:t>
      </w:r>
      <w:r w:rsidRPr="008147DC">
        <w:rPr>
          <w:lang w:eastAsia="zh-TW"/>
        </w:rPr>
        <w:t>(2012)</w:t>
      </w:r>
      <w:r w:rsidRPr="008147DC">
        <w:rPr>
          <w:lang w:eastAsia="zh-TW"/>
        </w:rPr>
        <w:t>，犯罪預防，台北：一品。</w:t>
      </w:r>
    </w:p>
    <w:p w:rsidR="00657FEF" w:rsidRPr="008147DC" w:rsidRDefault="00657FEF" w:rsidP="00992AB6">
      <w:pPr>
        <w:pStyle w:val="5"/>
        <w:rPr>
          <w:lang w:eastAsia="zh-TW"/>
        </w:rPr>
      </w:pPr>
      <w:r w:rsidRPr="008147DC">
        <w:rPr>
          <w:lang w:eastAsia="zh-TW"/>
        </w:rPr>
        <w:t>黃富源、張平吾</w:t>
      </w:r>
      <w:r w:rsidRPr="008147DC">
        <w:rPr>
          <w:lang w:eastAsia="zh-TW"/>
        </w:rPr>
        <w:t>(2012)</w:t>
      </w:r>
      <w:r w:rsidRPr="008147DC">
        <w:rPr>
          <w:lang w:eastAsia="zh-TW"/>
        </w:rPr>
        <w:t>，被害者學新論，台北：三民書局。</w:t>
      </w:r>
    </w:p>
  </w:footnote>
  <w:footnote w:id="321">
    <w:p w:rsidR="00657FEF" w:rsidRPr="008147DC" w:rsidRDefault="00657FEF" w:rsidP="00992AB6">
      <w:pPr>
        <w:pStyle w:val="5"/>
        <w:rPr>
          <w:lang w:eastAsia="zh-TW"/>
        </w:rPr>
      </w:pPr>
      <w:r w:rsidRPr="000260C3">
        <w:rPr>
          <w:rStyle w:val="af7"/>
          <w:rFonts w:eastAsia="新細明體"/>
          <w:kern w:val="2"/>
        </w:rPr>
        <w:footnoteRef/>
      </w:r>
      <w:r w:rsidRPr="008147DC">
        <w:rPr>
          <w:lang w:eastAsia="zh-TW"/>
        </w:rPr>
        <w:t>犯罪社會學有三大主流支派：控制理論（分社會控制與自我控制）、犯罪副文化理論、緊張理論。以上，請參閱：許春金</w:t>
      </w:r>
      <w:r w:rsidRPr="008147DC">
        <w:rPr>
          <w:lang w:eastAsia="zh-TW"/>
        </w:rPr>
        <w:t>(2013)</w:t>
      </w:r>
      <w:r w:rsidRPr="008147DC">
        <w:rPr>
          <w:lang w:eastAsia="zh-TW"/>
        </w:rPr>
        <w:t>，犯罪學，修訂</w:t>
      </w:r>
      <w:r w:rsidRPr="008147DC">
        <w:rPr>
          <w:lang w:eastAsia="zh-TW"/>
        </w:rPr>
        <w:t>7</w:t>
      </w:r>
      <w:r w:rsidRPr="008147DC">
        <w:rPr>
          <w:lang w:eastAsia="zh-TW"/>
        </w:rPr>
        <w:t>版，台北：三民。</w:t>
      </w:r>
    </w:p>
  </w:footnote>
  <w:footnote w:id="322">
    <w:p w:rsidR="00657FEF" w:rsidRPr="008147DC" w:rsidRDefault="00657FEF" w:rsidP="00992AB6">
      <w:pPr>
        <w:pStyle w:val="5"/>
        <w:rPr>
          <w:lang w:eastAsia="zh-TW"/>
        </w:rPr>
      </w:pPr>
      <w:r w:rsidRPr="000260C3">
        <w:rPr>
          <w:rStyle w:val="af7"/>
          <w:rFonts w:eastAsia="新細明體"/>
          <w:kern w:val="2"/>
          <w:szCs w:val="20"/>
        </w:rPr>
        <w:footnoteRef/>
      </w:r>
      <w:r w:rsidRPr="008147DC">
        <w:rPr>
          <w:lang w:eastAsia="zh-TW"/>
        </w:rPr>
        <w:t>許春金</w:t>
      </w:r>
      <w:r w:rsidRPr="008147DC">
        <w:rPr>
          <w:lang w:eastAsia="zh-TW"/>
        </w:rPr>
        <w:t>(2013)</w:t>
      </w:r>
      <w:r w:rsidRPr="008147DC">
        <w:rPr>
          <w:lang w:eastAsia="zh-TW"/>
        </w:rPr>
        <w:t>，犯罪學，修訂</w:t>
      </w:r>
      <w:r w:rsidRPr="008147DC">
        <w:rPr>
          <w:lang w:eastAsia="zh-TW"/>
        </w:rPr>
        <w:t>7</w:t>
      </w:r>
      <w:r w:rsidRPr="008147DC">
        <w:rPr>
          <w:lang w:eastAsia="zh-TW"/>
        </w:rPr>
        <w:t>版，台北：三民。</w:t>
      </w:r>
    </w:p>
    <w:p w:rsidR="00657FEF" w:rsidRPr="008147DC" w:rsidRDefault="00657FEF" w:rsidP="00992AB6">
      <w:pPr>
        <w:pStyle w:val="5"/>
        <w:rPr>
          <w:lang w:eastAsia="zh-TW"/>
        </w:rPr>
      </w:pPr>
      <w:r w:rsidRPr="008147DC">
        <w:rPr>
          <w:lang w:eastAsia="zh-TW"/>
        </w:rPr>
        <w:t>許春金，陳玉書</w:t>
      </w:r>
      <w:r w:rsidRPr="008147DC">
        <w:rPr>
          <w:lang w:eastAsia="zh-TW"/>
        </w:rPr>
        <w:t>(2013)</w:t>
      </w:r>
      <w:r w:rsidRPr="008147DC">
        <w:rPr>
          <w:lang w:eastAsia="zh-TW"/>
        </w:rPr>
        <w:t>。犯罪預防與犯罪分析，二版，台北：三民。</w:t>
      </w:r>
    </w:p>
    <w:p w:rsidR="00657FEF" w:rsidRPr="008147DC" w:rsidRDefault="00657FEF" w:rsidP="00992AB6">
      <w:pPr>
        <w:pStyle w:val="5"/>
        <w:rPr>
          <w:lang w:eastAsia="zh-TW"/>
        </w:rPr>
      </w:pPr>
      <w:r w:rsidRPr="008147DC">
        <w:rPr>
          <w:lang w:eastAsia="zh-TW"/>
        </w:rPr>
        <w:t>許福生</w:t>
      </w:r>
      <w:r w:rsidRPr="008147DC">
        <w:rPr>
          <w:lang w:eastAsia="zh-TW"/>
        </w:rPr>
        <w:t>(2016)</w:t>
      </w:r>
      <w:r w:rsidRPr="008147DC">
        <w:rPr>
          <w:lang w:eastAsia="zh-TW"/>
        </w:rPr>
        <w:t>，犯罪學與犯罪預防，台北：元照。</w:t>
      </w:r>
    </w:p>
    <w:p w:rsidR="00657FEF" w:rsidRPr="008147DC" w:rsidRDefault="00657FEF" w:rsidP="00992AB6">
      <w:pPr>
        <w:pStyle w:val="5"/>
        <w:rPr>
          <w:lang w:eastAsia="zh-TW"/>
        </w:rPr>
      </w:pPr>
      <w:r w:rsidRPr="008147DC">
        <w:rPr>
          <w:lang w:eastAsia="zh-TW"/>
        </w:rPr>
        <w:t>許福生</w:t>
      </w:r>
      <w:r w:rsidRPr="008147DC">
        <w:rPr>
          <w:lang w:eastAsia="zh-TW"/>
        </w:rPr>
        <w:t>(2018)</w:t>
      </w:r>
      <w:r w:rsidRPr="008147DC">
        <w:rPr>
          <w:lang w:eastAsia="zh-TW"/>
        </w:rPr>
        <w:t>，犯罪學與犯罪預防，修訂</w:t>
      </w:r>
      <w:r w:rsidRPr="008147DC">
        <w:rPr>
          <w:lang w:eastAsia="zh-TW"/>
        </w:rPr>
        <w:t>2</w:t>
      </w:r>
      <w:r w:rsidRPr="008147DC">
        <w:rPr>
          <w:lang w:eastAsia="zh-TW"/>
        </w:rPr>
        <w:t>版，台北：元照。</w:t>
      </w:r>
    </w:p>
    <w:p w:rsidR="00657FEF" w:rsidRPr="008147DC" w:rsidRDefault="00657FEF" w:rsidP="00992AB6">
      <w:pPr>
        <w:pStyle w:val="5"/>
        <w:rPr>
          <w:lang w:eastAsia="zh-TW"/>
        </w:rPr>
      </w:pPr>
      <w:r w:rsidRPr="008147DC">
        <w:rPr>
          <w:lang w:eastAsia="zh-TW"/>
        </w:rPr>
        <w:t>蔡德輝</w:t>
      </w:r>
      <w:r w:rsidRPr="008147DC">
        <w:rPr>
          <w:lang w:eastAsia="zh-TW"/>
        </w:rPr>
        <w:t>(2009)</w:t>
      </w:r>
      <w:r w:rsidRPr="008147DC">
        <w:rPr>
          <w:lang w:eastAsia="zh-TW"/>
        </w:rPr>
        <w:t>，犯罪學，台北：五南。</w:t>
      </w:r>
    </w:p>
    <w:p w:rsidR="00657FEF" w:rsidRPr="008147DC" w:rsidRDefault="00657FEF" w:rsidP="00992AB6">
      <w:pPr>
        <w:pStyle w:val="5"/>
        <w:rPr>
          <w:lang w:eastAsia="zh-TW"/>
        </w:rPr>
      </w:pPr>
      <w:r w:rsidRPr="008147DC">
        <w:rPr>
          <w:lang w:eastAsia="zh-TW"/>
        </w:rPr>
        <w:t>蔡德輝、楊士隆</w:t>
      </w:r>
      <w:r w:rsidRPr="008147DC">
        <w:rPr>
          <w:lang w:eastAsia="zh-TW"/>
        </w:rPr>
        <w:t>(1997)</w:t>
      </w:r>
      <w:r w:rsidRPr="008147DC">
        <w:rPr>
          <w:lang w:eastAsia="zh-TW"/>
        </w:rPr>
        <w:t>，少年犯罪理論與實務，台北：五南出版公司。</w:t>
      </w:r>
    </w:p>
    <w:p w:rsidR="00657FEF" w:rsidRPr="008147DC" w:rsidRDefault="00657FEF" w:rsidP="00992AB6">
      <w:pPr>
        <w:pStyle w:val="5"/>
        <w:rPr>
          <w:lang w:eastAsia="zh-TW"/>
        </w:rPr>
      </w:pPr>
      <w:r w:rsidRPr="008147DC">
        <w:rPr>
          <w:lang w:eastAsia="zh-TW"/>
        </w:rPr>
        <w:t>鄧煌發、李修安</w:t>
      </w:r>
      <w:r w:rsidRPr="008147DC">
        <w:rPr>
          <w:lang w:eastAsia="zh-TW"/>
        </w:rPr>
        <w:t>(2012)</w:t>
      </w:r>
      <w:r w:rsidRPr="008147DC">
        <w:rPr>
          <w:lang w:eastAsia="zh-TW"/>
        </w:rPr>
        <w:t>，犯罪預防，台北：一品。</w:t>
      </w:r>
    </w:p>
    <w:p w:rsidR="00657FEF" w:rsidRPr="008147DC" w:rsidRDefault="00657FEF" w:rsidP="00992AB6">
      <w:pPr>
        <w:pStyle w:val="5"/>
        <w:rPr>
          <w:lang w:eastAsia="zh-TW"/>
        </w:rPr>
      </w:pPr>
      <w:r w:rsidRPr="008147DC">
        <w:rPr>
          <w:lang w:eastAsia="zh-TW"/>
        </w:rPr>
        <w:t>黃富源、張平吾</w:t>
      </w:r>
      <w:r w:rsidRPr="008147DC">
        <w:rPr>
          <w:lang w:eastAsia="zh-TW"/>
        </w:rPr>
        <w:t>(2012)</w:t>
      </w:r>
      <w:r w:rsidRPr="008147DC">
        <w:rPr>
          <w:lang w:eastAsia="zh-TW"/>
        </w:rPr>
        <w:t>，被害者學新論，台北：三民書局。</w:t>
      </w:r>
    </w:p>
  </w:footnote>
  <w:footnote w:id="323">
    <w:p w:rsidR="00657FEF" w:rsidRPr="008147DC" w:rsidRDefault="00657FEF" w:rsidP="00992AB6">
      <w:pPr>
        <w:pStyle w:val="5"/>
        <w:rPr>
          <w:lang w:eastAsia="zh-TW"/>
        </w:rPr>
      </w:pPr>
      <w:r w:rsidRPr="000260C3">
        <w:rPr>
          <w:rStyle w:val="af7"/>
          <w:rFonts w:eastAsia="新細明體"/>
          <w:kern w:val="2"/>
          <w:szCs w:val="20"/>
        </w:rPr>
        <w:footnoteRef/>
      </w:r>
      <w:r w:rsidRPr="008147DC">
        <w:rPr>
          <w:lang w:eastAsia="zh-TW"/>
        </w:rPr>
        <w:t>批判犯罪理論，可分為：一、互動理論</w:t>
      </w:r>
      <w:r w:rsidRPr="008147DC">
        <w:rPr>
          <w:lang w:eastAsia="zh-TW"/>
        </w:rPr>
        <w:t>(</w:t>
      </w:r>
      <w:r w:rsidRPr="008147DC">
        <w:rPr>
          <w:lang w:eastAsia="zh-TW"/>
        </w:rPr>
        <w:t>標韱犯罪理論</w:t>
      </w:r>
      <w:r w:rsidRPr="008147DC">
        <w:rPr>
          <w:lang w:eastAsia="zh-TW"/>
        </w:rPr>
        <w:t>)</w:t>
      </w:r>
      <w:r w:rsidRPr="008147DC">
        <w:rPr>
          <w:lang w:eastAsia="zh-TW"/>
        </w:rPr>
        <w:t>。二、馬克斯犯罪理論。三、衝突犯罪理論。四、和平建構犯罪學。五、解構論。以上，請參閱：許春金</w:t>
      </w:r>
      <w:r w:rsidRPr="008147DC">
        <w:rPr>
          <w:lang w:eastAsia="zh-TW"/>
        </w:rPr>
        <w:t>(2013)</w:t>
      </w:r>
      <w:r w:rsidRPr="008147DC">
        <w:rPr>
          <w:lang w:eastAsia="zh-TW"/>
        </w:rPr>
        <w:t>，犯罪學，修訂</w:t>
      </w:r>
      <w:r w:rsidRPr="008147DC">
        <w:rPr>
          <w:lang w:eastAsia="zh-TW"/>
        </w:rPr>
        <w:t>7</w:t>
      </w:r>
      <w:r w:rsidRPr="008147DC">
        <w:rPr>
          <w:lang w:eastAsia="zh-TW"/>
        </w:rPr>
        <w:t>版，台北：三民。</w:t>
      </w:r>
    </w:p>
  </w:footnote>
  <w:footnote w:id="324">
    <w:p w:rsidR="00657FEF" w:rsidRPr="008147DC" w:rsidRDefault="00657FEF" w:rsidP="00992AB6">
      <w:pPr>
        <w:pStyle w:val="5"/>
        <w:rPr>
          <w:lang w:eastAsia="zh-TW"/>
        </w:rPr>
      </w:pPr>
      <w:r w:rsidRPr="000260C3">
        <w:rPr>
          <w:rStyle w:val="af7"/>
          <w:rFonts w:eastAsia="新細明體"/>
          <w:kern w:val="2"/>
          <w:szCs w:val="20"/>
        </w:rPr>
        <w:footnoteRef/>
      </w:r>
      <w:r w:rsidRPr="008147DC">
        <w:rPr>
          <w:lang w:eastAsia="zh-TW"/>
        </w:rPr>
        <w:t>馬克斯理論之重點如下：</w:t>
      </w:r>
      <w:r w:rsidRPr="008147DC">
        <w:rPr>
          <w:lang w:eastAsia="zh-TW"/>
        </w:rPr>
        <w:t>1.</w:t>
      </w:r>
      <w:r w:rsidRPr="008147DC">
        <w:rPr>
          <w:lang w:eastAsia="zh-TW"/>
        </w:rPr>
        <w:t>無本質上犯罪行為。</w:t>
      </w:r>
      <w:r w:rsidRPr="008147DC">
        <w:rPr>
          <w:lang w:eastAsia="zh-TW"/>
        </w:rPr>
        <w:t>2.</w:t>
      </w:r>
      <w:r w:rsidRPr="008147DC">
        <w:rPr>
          <w:lang w:eastAsia="zh-TW"/>
        </w:rPr>
        <w:t>刑事法是統治階級意志的表現</w:t>
      </w:r>
      <w:r w:rsidRPr="008147DC">
        <w:rPr>
          <w:lang w:eastAsia="zh-TW"/>
        </w:rPr>
        <w:t>(</w:t>
      </w:r>
      <w:r w:rsidRPr="008147DC">
        <w:rPr>
          <w:lang w:eastAsia="zh-TW"/>
        </w:rPr>
        <w:t>損害統治階級利益之行為，均要受到懲罰</w:t>
      </w:r>
      <w:r w:rsidRPr="008147DC">
        <w:rPr>
          <w:lang w:eastAsia="zh-TW"/>
        </w:rPr>
        <w:t>)</w:t>
      </w:r>
      <w:r w:rsidRPr="008147DC">
        <w:rPr>
          <w:lang w:eastAsia="zh-TW"/>
        </w:rPr>
        <w:t>。</w:t>
      </w:r>
      <w:r w:rsidRPr="008147DC">
        <w:rPr>
          <w:lang w:eastAsia="zh-TW"/>
        </w:rPr>
        <w:t>3.</w:t>
      </w:r>
      <w:r w:rsidRPr="008147DC">
        <w:rPr>
          <w:lang w:eastAsia="zh-TW"/>
        </w:rPr>
        <w:t>資本主義社會主要是藉強制力量，而非一致地意見結合在一起。</w:t>
      </w:r>
      <w:r w:rsidRPr="008147DC">
        <w:rPr>
          <w:lang w:eastAsia="zh-TW"/>
        </w:rPr>
        <w:t>4.</w:t>
      </w:r>
      <w:r w:rsidRPr="008147DC">
        <w:rPr>
          <w:lang w:eastAsia="zh-TW"/>
        </w:rPr>
        <w:t>在資本主義的社會，人們相當地以自我為中心，較易於犯罪。</w:t>
      </w:r>
      <w:r w:rsidRPr="008147DC">
        <w:rPr>
          <w:lang w:eastAsia="zh-TW"/>
        </w:rPr>
        <w:t>5.</w:t>
      </w:r>
      <w:r w:rsidRPr="008147DC">
        <w:rPr>
          <w:lang w:eastAsia="zh-TW"/>
        </w:rPr>
        <w:t>刑事司法體係，基本上，有利於中產階級，而不利於低產階段。</w:t>
      </w:r>
      <w:r w:rsidRPr="008147DC">
        <w:rPr>
          <w:lang w:eastAsia="zh-TW"/>
        </w:rPr>
        <w:t>6.</w:t>
      </w:r>
      <w:r w:rsidRPr="008147DC">
        <w:rPr>
          <w:lang w:eastAsia="zh-TW"/>
        </w:rPr>
        <w:t>財富數量本身不會影響犯罪，而是其分配均勻與否，才會影響犯罪。</w:t>
      </w:r>
      <w:r w:rsidRPr="008147DC">
        <w:rPr>
          <w:lang w:eastAsia="zh-TW"/>
        </w:rPr>
        <w:t>7.</w:t>
      </w:r>
      <w:r w:rsidRPr="008147DC">
        <w:rPr>
          <w:lang w:eastAsia="zh-TW"/>
        </w:rPr>
        <w:t>在共產主義之社會，所有之犯罪，均會消失</w:t>
      </w:r>
      <w:r w:rsidRPr="008147DC">
        <w:rPr>
          <w:lang w:eastAsia="zh-TW"/>
        </w:rPr>
        <w:t>(</w:t>
      </w:r>
      <w:r w:rsidRPr="008147DC">
        <w:rPr>
          <w:lang w:eastAsia="zh-TW"/>
        </w:rPr>
        <w:t>精神病例外</w:t>
      </w:r>
      <w:r w:rsidRPr="008147DC">
        <w:rPr>
          <w:lang w:eastAsia="zh-TW"/>
        </w:rPr>
        <w:t>)</w:t>
      </w:r>
      <w:r w:rsidRPr="008147DC">
        <w:rPr>
          <w:lang w:eastAsia="zh-TW"/>
        </w:rPr>
        <w:t>。</w:t>
      </w:r>
      <w:r w:rsidRPr="008147DC">
        <w:rPr>
          <w:lang w:eastAsia="zh-TW"/>
        </w:rPr>
        <w:t>8.</w:t>
      </w:r>
      <w:r w:rsidRPr="008147DC">
        <w:rPr>
          <w:lang w:eastAsia="zh-TW"/>
        </w:rPr>
        <w:t>財富數量本身不會影響犯罪，而是其分配均勻與否，才會影響犯罪。</w:t>
      </w:r>
      <w:r w:rsidRPr="008147DC">
        <w:rPr>
          <w:lang w:eastAsia="zh-TW"/>
        </w:rPr>
        <w:t>9.</w:t>
      </w:r>
      <w:r w:rsidRPr="008147DC">
        <w:rPr>
          <w:lang w:eastAsia="zh-TW"/>
        </w:rPr>
        <w:t>在共產主義之社會，所有之犯罪，均會消失</w:t>
      </w:r>
      <w:r w:rsidRPr="008147DC">
        <w:rPr>
          <w:lang w:eastAsia="zh-TW"/>
        </w:rPr>
        <w:t>(</w:t>
      </w:r>
      <w:r w:rsidRPr="008147DC">
        <w:rPr>
          <w:lang w:eastAsia="zh-TW"/>
        </w:rPr>
        <w:t>精神病例外</w:t>
      </w:r>
      <w:r w:rsidRPr="008147DC">
        <w:rPr>
          <w:lang w:eastAsia="zh-TW"/>
        </w:rPr>
        <w:t>)</w:t>
      </w:r>
      <w:r w:rsidRPr="008147DC">
        <w:rPr>
          <w:lang w:eastAsia="zh-TW"/>
        </w:rPr>
        <w:t>。</w:t>
      </w:r>
      <w:r w:rsidRPr="008147DC">
        <w:rPr>
          <w:lang w:eastAsia="zh-TW"/>
        </w:rPr>
        <w:t>10</w:t>
      </w:r>
      <w:r w:rsidRPr="008147DC">
        <w:rPr>
          <w:lang w:eastAsia="zh-TW"/>
        </w:rPr>
        <w:t>質疑：過於烏托邦，譴責社會制度是邪惡來源，基本上忽略人類的個別差異，受難人不一定犯罪。以上，請參閱：許春金</w:t>
      </w:r>
      <w:r w:rsidRPr="008147DC">
        <w:rPr>
          <w:lang w:eastAsia="zh-TW"/>
        </w:rPr>
        <w:t>(2013)</w:t>
      </w:r>
      <w:r w:rsidRPr="008147DC">
        <w:rPr>
          <w:lang w:eastAsia="zh-TW"/>
        </w:rPr>
        <w:t>，犯罪學，修訂</w:t>
      </w:r>
      <w:r w:rsidRPr="008147DC">
        <w:rPr>
          <w:lang w:eastAsia="zh-TW"/>
        </w:rPr>
        <w:t>7</w:t>
      </w:r>
      <w:r w:rsidRPr="008147DC">
        <w:rPr>
          <w:lang w:eastAsia="zh-TW"/>
        </w:rPr>
        <w:t>版，台北：三民。</w:t>
      </w:r>
    </w:p>
  </w:footnote>
  <w:footnote w:id="325">
    <w:p w:rsidR="00657FEF" w:rsidRPr="008147DC" w:rsidRDefault="00657FEF" w:rsidP="00992AB6">
      <w:pPr>
        <w:pStyle w:val="5"/>
        <w:rPr>
          <w:lang w:eastAsia="zh-TW"/>
        </w:rPr>
      </w:pPr>
      <w:r w:rsidRPr="000260C3">
        <w:rPr>
          <w:rStyle w:val="af7"/>
          <w:rFonts w:eastAsia="新細明體"/>
          <w:kern w:val="2"/>
          <w:szCs w:val="20"/>
        </w:rPr>
        <w:footnoteRef/>
      </w:r>
      <w:r w:rsidRPr="008147DC">
        <w:rPr>
          <w:lang w:eastAsia="zh-TW"/>
        </w:rPr>
        <w:t>犯罪學的主要目的就是建構一個和平而公正的社會，因此不依賴實證分析和實證資料，而從宗教和哲學思想裡摘取理論基礎。在一個充滿衝突的社會，懲罰和矯治是無效的，彼此間的互動，而非強制才是和諧社會的基礎。因此提倡調解、衝突解決，而非懲罰和監獄等，一般稱之為「復歸式正義」。「復歸式正義」以社會而非法律觀點看犯罪問題，要回復因犯罪所造成的傷害，應以社會團體為基礎，而非國家。簡言之，「復歸式正義」就是社會要回復、社區要回復、加害者要回復、背害者也要回復的三贏策略。其三個主要原則：</w:t>
      </w:r>
      <w:r w:rsidRPr="008147DC">
        <w:rPr>
          <w:lang w:eastAsia="zh-TW"/>
        </w:rPr>
        <w:t>1.</w:t>
      </w:r>
      <w:r w:rsidRPr="008147DC">
        <w:rPr>
          <w:lang w:eastAsia="zh-TW"/>
        </w:rPr>
        <w:t>社區擁有解決衝突的主權；</w:t>
      </w:r>
      <w:r w:rsidRPr="008147DC">
        <w:rPr>
          <w:lang w:eastAsia="zh-TW"/>
        </w:rPr>
        <w:t>2.</w:t>
      </w:r>
      <w:r w:rsidRPr="008147DC">
        <w:rPr>
          <w:lang w:eastAsia="zh-TW"/>
        </w:rPr>
        <w:t>對於被害者和社區要有物質或其他象徵性的補償；</w:t>
      </w:r>
      <w:r w:rsidRPr="008147DC">
        <w:rPr>
          <w:lang w:eastAsia="zh-TW"/>
        </w:rPr>
        <w:t>3.</w:t>
      </w:r>
      <w:r w:rsidRPr="008147DC">
        <w:rPr>
          <w:lang w:eastAsia="zh-TW"/>
        </w:rPr>
        <w:t>加害者的整合與復健。以上，請參閱：許春金</w:t>
      </w:r>
      <w:r w:rsidRPr="008147DC">
        <w:rPr>
          <w:lang w:eastAsia="zh-TW"/>
        </w:rPr>
        <w:t>(2013)</w:t>
      </w:r>
      <w:r w:rsidRPr="008147DC">
        <w:rPr>
          <w:lang w:eastAsia="zh-TW"/>
        </w:rPr>
        <w:t>，犯罪學，修訂</w:t>
      </w:r>
      <w:r w:rsidRPr="008147DC">
        <w:rPr>
          <w:lang w:eastAsia="zh-TW"/>
        </w:rPr>
        <w:t>7</w:t>
      </w:r>
      <w:r w:rsidRPr="008147DC">
        <w:rPr>
          <w:lang w:eastAsia="zh-TW"/>
        </w:rPr>
        <w:t>版，台北：三民。</w:t>
      </w:r>
    </w:p>
  </w:footnote>
  <w:footnote w:id="326">
    <w:p w:rsidR="00657FEF" w:rsidRPr="008147DC" w:rsidRDefault="00657FEF" w:rsidP="00992AB6">
      <w:pPr>
        <w:pStyle w:val="5"/>
        <w:rPr>
          <w:lang w:eastAsia="zh-TW"/>
        </w:rPr>
      </w:pPr>
      <w:r w:rsidRPr="000260C3">
        <w:rPr>
          <w:rStyle w:val="af7"/>
          <w:rFonts w:eastAsia="新細明體"/>
          <w:kern w:val="2"/>
          <w:szCs w:val="20"/>
        </w:rPr>
        <w:footnoteRef/>
      </w:r>
      <w:r w:rsidRPr="008147DC">
        <w:rPr>
          <w:lang w:eastAsia="zh-TW"/>
        </w:rPr>
        <w:t>許春金</w:t>
      </w:r>
      <w:r w:rsidRPr="008147DC">
        <w:rPr>
          <w:lang w:eastAsia="zh-TW"/>
        </w:rPr>
        <w:t>(2013)</w:t>
      </w:r>
      <w:r w:rsidRPr="008147DC">
        <w:rPr>
          <w:lang w:eastAsia="zh-TW"/>
        </w:rPr>
        <w:t>，犯罪學，修訂</w:t>
      </w:r>
      <w:r w:rsidRPr="008147DC">
        <w:rPr>
          <w:lang w:eastAsia="zh-TW"/>
        </w:rPr>
        <w:t>7</w:t>
      </w:r>
      <w:r w:rsidRPr="008147DC">
        <w:rPr>
          <w:lang w:eastAsia="zh-TW"/>
        </w:rPr>
        <w:t>版，台北：三民。</w:t>
      </w:r>
    </w:p>
    <w:p w:rsidR="00657FEF" w:rsidRPr="008147DC" w:rsidRDefault="00657FEF" w:rsidP="00992AB6">
      <w:pPr>
        <w:pStyle w:val="5"/>
        <w:rPr>
          <w:lang w:eastAsia="zh-TW"/>
        </w:rPr>
      </w:pPr>
      <w:r w:rsidRPr="008147DC">
        <w:rPr>
          <w:lang w:eastAsia="zh-TW"/>
        </w:rPr>
        <w:t>許春金，陳玉書</w:t>
      </w:r>
      <w:r w:rsidRPr="008147DC">
        <w:rPr>
          <w:lang w:eastAsia="zh-TW"/>
        </w:rPr>
        <w:t>(2013)</w:t>
      </w:r>
      <w:r w:rsidRPr="008147DC">
        <w:rPr>
          <w:lang w:eastAsia="zh-TW"/>
        </w:rPr>
        <w:t>。犯罪預防與犯罪分析，二版，台北：三民。</w:t>
      </w:r>
    </w:p>
    <w:p w:rsidR="00657FEF" w:rsidRPr="008147DC" w:rsidRDefault="00657FEF" w:rsidP="00992AB6">
      <w:pPr>
        <w:pStyle w:val="5"/>
        <w:rPr>
          <w:lang w:eastAsia="zh-TW"/>
        </w:rPr>
      </w:pPr>
      <w:r w:rsidRPr="008147DC">
        <w:rPr>
          <w:lang w:eastAsia="zh-TW"/>
        </w:rPr>
        <w:t>許福生</w:t>
      </w:r>
      <w:r w:rsidRPr="008147DC">
        <w:rPr>
          <w:lang w:eastAsia="zh-TW"/>
        </w:rPr>
        <w:t>(2016)</w:t>
      </w:r>
      <w:r w:rsidRPr="008147DC">
        <w:rPr>
          <w:lang w:eastAsia="zh-TW"/>
        </w:rPr>
        <w:t>，犯罪學與犯罪預防，台北：元照。</w:t>
      </w:r>
    </w:p>
    <w:p w:rsidR="00657FEF" w:rsidRPr="008147DC" w:rsidRDefault="00657FEF" w:rsidP="00992AB6">
      <w:pPr>
        <w:pStyle w:val="5"/>
        <w:rPr>
          <w:lang w:eastAsia="zh-TW"/>
        </w:rPr>
      </w:pPr>
      <w:r w:rsidRPr="008147DC">
        <w:rPr>
          <w:lang w:eastAsia="zh-TW"/>
        </w:rPr>
        <w:t>許福生</w:t>
      </w:r>
      <w:r w:rsidRPr="008147DC">
        <w:rPr>
          <w:lang w:eastAsia="zh-TW"/>
        </w:rPr>
        <w:t>(2018)</w:t>
      </w:r>
      <w:r w:rsidRPr="008147DC">
        <w:rPr>
          <w:lang w:eastAsia="zh-TW"/>
        </w:rPr>
        <w:t>，犯罪學與犯罪預防，修訂</w:t>
      </w:r>
      <w:r w:rsidRPr="008147DC">
        <w:rPr>
          <w:lang w:eastAsia="zh-TW"/>
        </w:rPr>
        <w:t>2</w:t>
      </w:r>
      <w:r w:rsidRPr="008147DC">
        <w:rPr>
          <w:lang w:eastAsia="zh-TW"/>
        </w:rPr>
        <w:t>版，台北：元照。</w:t>
      </w:r>
    </w:p>
    <w:p w:rsidR="00657FEF" w:rsidRPr="008147DC" w:rsidRDefault="00657FEF" w:rsidP="00992AB6">
      <w:pPr>
        <w:pStyle w:val="5"/>
        <w:rPr>
          <w:lang w:eastAsia="zh-TW"/>
        </w:rPr>
      </w:pPr>
      <w:r w:rsidRPr="008147DC">
        <w:rPr>
          <w:lang w:eastAsia="zh-TW"/>
        </w:rPr>
        <w:t>蔡德輝</w:t>
      </w:r>
      <w:r w:rsidRPr="008147DC">
        <w:rPr>
          <w:lang w:eastAsia="zh-TW"/>
        </w:rPr>
        <w:t>(2009)</w:t>
      </w:r>
      <w:r w:rsidRPr="008147DC">
        <w:rPr>
          <w:lang w:eastAsia="zh-TW"/>
        </w:rPr>
        <w:t>，犯罪學，台北：五南。</w:t>
      </w:r>
    </w:p>
    <w:p w:rsidR="00657FEF" w:rsidRPr="008147DC" w:rsidRDefault="00657FEF" w:rsidP="00992AB6">
      <w:pPr>
        <w:pStyle w:val="5"/>
        <w:rPr>
          <w:lang w:eastAsia="zh-TW"/>
        </w:rPr>
      </w:pPr>
      <w:r w:rsidRPr="008147DC">
        <w:rPr>
          <w:lang w:eastAsia="zh-TW"/>
        </w:rPr>
        <w:t>蔡德輝、楊士隆</w:t>
      </w:r>
      <w:r w:rsidRPr="008147DC">
        <w:rPr>
          <w:lang w:eastAsia="zh-TW"/>
        </w:rPr>
        <w:t>(1997)</w:t>
      </w:r>
      <w:r w:rsidRPr="008147DC">
        <w:rPr>
          <w:lang w:eastAsia="zh-TW"/>
        </w:rPr>
        <w:t>，少年犯罪理論與實務，台北：五南出版公司。</w:t>
      </w:r>
    </w:p>
    <w:p w:rsidR="00657FEF" w:rsidRPr="008147DC" w:rsidRDefault="00657FEF" w:rsidP="00992AB6">
      <w:pPr>
        <w:pStyle w:val="5"/>
        <w:rPr>
          <w:lang w:eastAsia="zh-TW"/>
        </w:rPr>
      </w:pPr>
      <w:r w:rsidRPr="008147DC">
        <w:rPr>
          <w:lang w:eastAsia="zh-TW"/>
        </w:rPr>
        <w:t>鄧煌發、李修安</w:t>
      </w:r>
      <w:r w:rsidRPr="008147DC">
        <w:rPr>
          <w:lang w:eastAsia="zh-TW"/>
        </w:rPr>
        <w:t>(2012)</w:t>
      </w:r>
      <w:r w:rsidRPr="008147DC">
        <w:rPr>
          <w:lang w:eastAsia="zh-TW"/>
        </w:rPr>
        <w:t>，犯罪預防，台北：一品。</w:t>
      </w:r>
    </w:p>
    <w:p w:rsidR="00657FEF" w:rsidRPr="008147DC" w:rsidRDefault="00657FEF" w:rsidP="00992AB6">
      <w:pPr>
        <w:pStyle w:val="5"/>
        <w:rPr>
          <w:lang w:eastAsia="zh-TW"/>
        </w:rPr>
      </w:pPr>
      <w:r w:rsidRPr="008147DC">
        <w:rPr>
          <w:lang w:eastAsia="zh-TW"/>
        </w:rPr>
        <w:t>黃富源、張平吾</w:t>
      </w:r>
      <w:r w:rsidRPr="008147DC">
        <w:rPr>
          <w:lang w:eastAsia="zh-TW"/>
        </w:rPr>
        <w:t>(2012)</w:t>
      </w:r>
      <w:r w:rsidRPr="008147DC">
        <w:rPr>
          <w:lang w:eastAsia="zh-TW"/>
        </w:rPr>
        <w:t>，被害者學新論，台北：三民書局。</w:t>
      </w:r>
    </w:p>
  </w:footnote>
  <w:footnote w:id="327">
    <w:p w:rsidR="00657FEF" w:rsidRPr="008147DC" w:rsidRDefault="00657FEF" w:rsidP="00992AB6">
      <w:pPr>
        <w:pStyle w:val="5"/>
        <w:rPr>
          <w:lang w:eastAsia="zh-TW"/>
        </w:rPr>
      </w:pPr>
      <w:r w:rsidRPr="000260C3">
        <w:rPr>
          <w:rStyle w:val="af7"/>
          <w:rFonts w:eastAsia="新細明體"/>
          <w:kern w:val="2"/>
          <w:szCs w:val="20"/>
        </w:rPr>
        <w:footnoteRef/>
      </w:r>
      <w:r w:rsidRPr="008147DC">
        <w:rPr>
          <w:lang w:eastAsia="zh-TW"/>
        </w:rPr>
        <w:t>許春金</w:t>
      </w:r>
      <w:r w:rsidRPr="008147DC">
        <w:rPr>
          <w:lang w:eastAsia="zh-TW"/>
        </w:rPr>
        <w:t>(2013)</w:t>
      </w:r>
      <w:r w:rsidRPr="008147DC">
        <w:rPr>
          <w:lang w:eastAsia="zh-TW"/>
        </w:rPr>
        <w:t>，犯罪學，修訂</w:t>
      </w:r>
      <w:r w:rsidRPr="008147DC">
        <w:rPr>
          <w:lang w:eastAsia="zh-TW"/>
        </w:rPr>
        <w:t>7</w:t>
      </w:r>
      <w:r w:rsidRPr="008147DC">
        <w:rPr>
          <w:lang w:eastAsia="zh-TW"/>
        </w:rPr>
        <w:t>版，台北：三民。</w:t>
      </w:r>
    </w:p>
    <w:p w:rsidR="00657FEF" w:rsidRPr="008147DC" w:rsidRDefault="00657FEF" w:rsidP="00992AB6">
      <w:pPr>
        <w:pStyle w:val="5"/>
        <w:rPr>
          <w:lang w:eastAsia="zh-TW"/>
        </w:rPr>
      </w:pPr>
      <w:r w:rsidRPr="008147DC">
        <w:rPr>
          <w:lang w:eastAsia="zh-TW"/>
        </w:rPr>
        <w:t>許春金，陳玉書</w:t>
      </w:r>
      <w:r w:rsidRPr="008147DC">
        <w:rPr>
          <w:lang w:eastAsia="zh-TW"/>
        </w:rPr>
        <w:t>(2013)</w:t>
      </w:r>
      <w:r w:rsidRPr="008147DC">
        <w:rPr>
          <w:lang w:eastAsia="zh-TW"/>
        </w:rPr>
        <w:t>。犯罪預防與犯罪分析，二版，台北：三民。</w:t>
      </w:r>
    </w:p>
    <w:p w:rsidR="00657FEF" w:rsidRPr="008147DC" w:rsidRDefault="00657FEF" w:rsidP="00992AB6">
      <w:pPr>
        <w:pStyle w:val="5"/>
        <w:rPr>
          <w:lang w:eastAsia="zh-TW"/>
        </w:rPr>
      </w:pPr>
      <w:r w:rsidRPr="008147DC">
        <w:rPr>
          <w:lang w:eastAsia="zh-TW"/>
        </w:rPr>
        <w:t>許福生</w:t>
      </w:r>
      <w:r w:rsidRPr="008147DC">
        <w:rPr>
          <w:lang w:eastAsia="zh-TW"/>
        </w:rPr>
        <w:t>(2016)</w:t>
      </w:r>
      <w:r w:rsidRPr="008147DC">
        <w:rPr>
          <w:lang w:eastAsia="zh-TW"/>
        </w:rPr>
        <w:t>，犯罪學與犯罪預防，台北：元照。</w:t>
      </w:r>
    </w:p>
    <w:p w:rsidR="00657FEF" w:rsidRPr="008147DC" w:rsidRDefault="00657FEF" w:rsidP="00992AB6">
      <w:pPr>
        <w:pStyle w:val="5"/>
        <w:rPr>
          <w:lang w:eastAsia="zh-TW"/>
        </w:rPr>
      </w:pPr>
      <w:r w:rsidRPr="008147DC">
        <w:rPr>
          <w:lang w:eastAsia="zh-TW"/>
        </w:rPr>
        <w:t>許福生</w:t>
      </w:r>
      <w:r w:rsidRPr="008147DC">
        <w:rPr>
          <w:lang w:eastAsia="zh-TW"/>
        </w:rPr>
        <w:t>(2018)</w:t>
      </w:r>
      <w:r w:rsidRPr="008147DC">
        <w:rPr>
          <w:lang w:eastAsia="zh-TW"/>
        </w:rPr>
        <w:t>，犯罪學與犯罪預防，修訂</w:t>
      </w:r>
      <w:r w:rsidRPr="008147DC">
        <w:rPr>
          <w:lang w:eastAsia="zh-TW"/>
        </w:rPr>
        <w:t>2</w:t>
      </w:r>
      <w:r w:rsidRPr="008147DC">
        <w:rPr>
          <w:lang w:eastAsia="zh-TW"/>
        </w:rPr>
        <w:t>版，台北：元照。</w:t>
      </w:r>
    </w:p>
    <w:p w:rsidR="00657FEF" w:rsidRPr="008147DC" w:rsidRDefault="00657FEF" w:rsidP="00992AB6">
      <w:pPr>
        <w:pStyle w:val="5"/>
        <w:rPr>
          <w:lang w:eastAsia="zh-TW"/>
        </w:rPr>
      </w:pPr>
      <w:r w:rsidRPr="008147DC">
        <w:rPr>
          <w:lang w:eastAsia="zh-TW"/>
        </w:rPr>
        <w:t>蔡德輝</w:t>
      </w:r>
      <w:r w:rsidRPr="008147DC">
        <w:rPr>
          <w:lang w:eastAsia="zh-TW"/>
        </w:rPr>
        <w:t>(2009)</w:t>
      </w:r>
      <w:r w:rsidRPr="008147DC">
        <w:rPr>
          <w:lang w:eastAsia="zh-TW"/>
        </w:rPr>
        <w:t>，犯罪學，台北：五南。</w:t>
      </w:r>
    </w:p>
    <w:p w:rsidR="00657FEF" w:rsidRPr="008147DC" w:rsidRDefault="00657FEF" w:rsidP="00992AB6">
      <w:pPr>
        <w:pStyle w:val="5"/>
        <w:rPr>
          <w:lang w:eastAsia="zh-TW"/>
        </w:rPr>
      </w:pPr>
      <w:r w:rsidRPr="008147DC">
        <w:rPr>
          <w:lang w:eastAsia="zh-TW"/>
        </w:rPr>
        <w:t>蔡德輝、楊士隆</w:t>
      </w:r>
      <w:r w:rsidRPr="008147DC">
        <w:rPr>
          <w:lang w:eastAsia="zh-TW"/>
        </w:rPr>
        <w:t>(1997)</w:t>
      </w:r>
      <w:r w:rsidRPr="008147DC">
        <w:rPr>
          <w:lang w:eastAsia="zh-TW"/>
        </w:rPr>
        <w:t>，少年犯罪理論與實務，台北：五南出版公司。</w:t>
      </w:r>
    </w:p>
    <w:p w:rsidR="00657FEF" w:rsidRPr="008147DC" w:rsidRDefault="00657FEF" w:rsidP="00992AB6">
      <w:pPr>
        <w:pStyle w:val="5"/>
        <w:rPr>
          <w:lang w:eastAsia="zh-TW"/>
        </w:rPr>
      </w:pPr>
      <w:r w:rsidRPr="008147DC">
        <w:rPr>
          <w:lang w:eastAsia="zh-TW"/>
        </w:rPr>
        <w:t>鄧煌發、李修安</w:t>
      </w:r>
      <w:r w:rsidRPr="008147DC">
        <w:rPr>
          <w:lang w:eastAsia="zh-TW"/>
        </w:rPr>
        <w:t>(2012)</w:t>
      </w:r>
      <w:r w:rsidRPr="008147DC">
        <w:rPr>
          <w:lang w:eastAsia="zh-TW"/>
        </w:rPr>
        <w:t>，犯罪預防，台北：一品。</w:t>
      </w:r>
    </w:p>
    <w:p w:rsidR="00657FEF" w:rsidRPr="008147DC" w:rsidRDefault="00657FEF" w:rsidP="00992AB6">
      <w:pPr>
        <w:pStyle w:val="5"/>
        <w:rPr>
          <w:lang w:eastAsia="zh-TW"/>
        </w:rPr>
      </w:pPr>
      <w:r w:rsidRPr="008147DC">
        <w:rPr>
          <w:lang w:eastAsia="zh-TW"/>
        </w:rPr>
        <w:t>黃富源、張平吾</w:t>
      </w:r>
      <w:r w:rsidRPr="008147DC">
        <w:rPr>
          <w:lang w:eastAsia="zh-TW"/>
        </w:rPr>
        <w:t>(2012)</w:t>
      </w:r>
      <w:r w:rsidRPr="008147DC">
        <w:rPr>
          <w:lang w:eastAsia="zh-TW"/>
        </w:rPr>
        <w:t>，被害者學新論，台北：三民書局。</w:t>
      </w:r>
    </w:p>
  </w:footnote>
  <w:footnote w:id="328">
    <w:p w:rsidR="00657FEF" w:rsidRPr="008147DC" w:rsidRDefault="00657FEF" w:rsidP="00992AB6">
      <w:pPr>
        <w:pStyle w:val="5"/>
        <w:rPr>
          <w:lang w:eastAsia="zh-TW"/>
        </w:rPr>
      </w:pPr>
      <w:r w:rsidRPr="000260C3">
        <w:rPr>
          <w:rStyle w:val="af7"/>
          <w:rFonts w:eastAsia="新細明體"/>
          <w:kern w:val="2"/>
          <w:szCs w:val="20"/>
        </w:rPr>
        <w:footnoteRef/>
      </w:r>
      <w:r w:rsidRPr="008147DC">
        <w:rPr>
          <w:lang w:eastAsia="zh-TW"/>
        </w:rPr>
        <w:t>許春金</w:t>
      </w:r>
      <w:r w:rsidRPr="008147DC">
        <w:rPr>
          <w:lang w:eastAsia="zh-TW"/>
        </w:rPr>
        <w:t>(2013)</w:t>
      </w:r>
      <w:r w:rsidRPr="008147DC">
        <w:rPr>
          <w:lang w:eastAsia="zh-TW"/>
        </w:rPr>
        <w:t>，犯罪學，修訂</w:t>
      </w:r>
      <w:r w:rsidRPr="008147DC">
        <w:rPr>
          <w:lang w:eastAsia="zh-TW"/>
        </w:rPr>
        <w:t>7</w:t>
      </w:r>
      <w:r w:rsidRPr="008147DC">
        <w:rPr>
          <w:lang w:eastAsia="zh-TW"/>
        </w:rPr>
        <w:t>版，台北：三民。</w:t>
      </w:r>
    </w:p>
    <w:p w:rsidR="00657FEF" w:rsidRPr="008147DC" w:rsidRDefault="00657FEF" w:rsidP="00992AB6">
      <w:pPr>
        <w:pStyle w:val="5"/>
        <w:rPr>
          <w:lang w:eastAsia="zh-TW"/>
        </w:rPr>
      </w:pPr>
      <w:r w:rsidRPr="008147DC">
        <w:rPr>
          <w:lang w:eastAsia="zh-TW"/>
        </w:rPr>
        <w:t>許春金，陳玉書</w:t>
      </w:r>
      <w:r w:rsidRPr="008147DC">
        <w:rPr>
          <w:lang w:eastAsia="zh-TW"/>
        </w:rPr>
        <w:t>(2013)</w:t>
      </w:r>
      <w:r w:rsidRPr="008147DC">
        <w:rPr>
          <w:lang w:eastAsia="zh-TW"/>
        </w:rPr>
        <w:t>。犯罪預防與犯罪分析，二版，台北：三民。</w:t>
      </w:r>
    </w:p>
    <w:p w:rsidR="00657FEF" w:rsidRPr="008147DC" w:rsidRDefault="00657FEF" w:rsidP="00992AB6">
      <w:pPr>
        <w:pStyle w:val="5"/>
        <w:rPr>
          <w:lang w:eastAsia="zh-TW"/>
        </w:rPr>
      </w:pPr>
      <w:r w:rsidRPr="008147DC">
        <w:rPr>
          <w:lang w:eastAsia="zh-TW"/>
        </w:rPr>
        <w:t>許福生</w:t>
      </w:r>
      <w:r w:rsidRPr="008147DC">
        <w:rPr>
          <w:lang w:eastAsia="zh-TW"/>
        </w:rPr>
        <w:t>(2016)</w:t>
      </w:r>
      <w:r w:rsidRPr="008147DC">
        <w:rPr>
          <w:lang w:eastAsia="zh-TW"/>
        </w:rPr>
        <w:t>，犯罪學與犯罪預防，台北：元照。</w:t>
      </w:r>
    </w:p>
    <w:p w:rsidR="00657FEF" w:rsidRPr="008147DC" w:rsidRDefault="00657FEF" w:rsidP="00992AB6">
      <w:pPr>
        <w:pStyle w:val="5"/>
        <w:rPr>
          <w:lang w:eastAsia="zh-TW"/>
        </w:rPr>
      </w:pPr>
      <w:r w:rsidRPr="008147DC">
        <w:rPr>
          <w:lang w:eastAsia="zh-TW"/>
        </w:rPr>
        <w:t>許福生</w:t>
      </w:r>
      <w:r w:rsidRPr="008147DC">
        <w:rPr>
          <w:lang w:eastAsia="zh-TW"/>
        </w:rPr>
        <w:t>(2018)</w:t>
      </w:r>
      <w:r w:rsidRPr="008147DC">
        <w:rPr>
          <w:lang w:eastAsia="zh-TW"/>
        </w:rPr>
        <w:t>，犯罪學與犯罪預防，修訂</w:t>
      </w:r>
      <w:r w:rsidRPr="008147DC">
        <w:rPr>
          <w:lang w:eastAsia="zh-TW"/>
        </w:rPr>
        <w:t>2</w:t>
      </w:r>
      <w:r w:rsidRPr="008147DC">
        <w:rPr>
          <w:lang w:eastAsia="zh-TW"/>
        </w:rPr>
        <w:t>版，台北：元照。</w:t>
      </w:r>
    </w:p>
    <w:p w:rsidR="00657FEF" w:rsidRPr="008147DC" w:rsidRDefault="00657FEF" w:rsidP="00992AB6">
      <w:pPr>
        <w:pStyle w:val="5"/>
        <w:rPr>
          <w:lang w:eastAsia="zh-TW"/>
        </w:rPr>
      </w:pPr>
      <w:r w:rsidRPr="008147DC">
        <w:rPr>
          <w:lang w:eastAsia="zh-TW"/>
        </w:rPr>
        <w:t>蔡德輝</w:t>
      </w:r>
      <w:r w:rsidRPr="008147DC">
        <w:rPr>
          <w:lang w:eastAsia="zh-TW"/>
        </w:rPr>
        <w:t>(2009)</w:t>
      </w:r>
      <w:r w:rsidRPr="008147DC">
        <w:rPr>
          <w:lang w:eastAsia="zh-TW"/>
        </w:rPr>
        <w:t>，犯罪學，台北：五南。</w:t>
      </w:r>
    </w:p>
    <w:p w:rsidR="00657FEF" w:rsidRPr="008147DC" w:rsidRDefault="00657FEF" w:rsidP="00992AB6">
      <w:pPr>
        <w:pStyle w:val="5"/>
        <w:rPr>
          <w:lang w:eastAsia="zh-TW"/>
        </w:rPr>
      </w:pPr>
      <w:r w:rsidRPr="008147DC">
        <w:rPr>
          <w:lang w:eastAsia="zh-TW"/>
        </w:rPr>
        <w:t>蔡德輝、楊士隆</w:t>
      </w:r>
      <w:r w:rsidRPr="008147DC">
        <w:rPr>
          <w:lang w:eastAsia="zh-TW"/>
        </w:rPr>
        <w:t>(1997)</w:t>
      </w:r>
      <w:r w:rsidRPr="008147DC">
        <w:rPr>
          <w:lang w:eastAsia="zh-TW"/>
        </w:rPr>
        <w:t>，少年犯罪理論與實務，台北：五南出版公司。</w:t>
      </w:r>
    </w:p>
    <w:p w:rsidR="00657FEF" w:rsidRPr="008147DC" w:rsidRDefault="00657FEF" w:rsidP="00992AB6">
      <w:pPr>
        <w:pStyle w:val="5"/>
        <w:rPr>
          <w:lang w:eastAsia="zh-TW"/>
        </w:rPr>
      </w:pPr>
      <w:r w:rsidRPr="008147DC">
        <w:rPr>
          <w:lang w:eastAsia="zh-TW"/>
        </w:rPr>
        <w:t>鄧煌發、李修安</w:t>
      </w:r>
      <w:r w:rsidRPr="008147DC">
        <w:rPr>
          <w:lang w:eastAsia="zh-TW"/>
        </w:rPr>
        <w:t>(2012)</w:t>
      </w:r>
      <w:r w:rsidRPr="008147DC">
        <w:rPr>
          <w:lang w:eastAsia="zh-TW"/>
        </w:rPr>
        <w:t>，犯罪預防，台北：一品。</w:t>
      </w:r>
    </w:p>
    <w:p w:rsidR="00657FEF" w:rsidRPr="008147DC" w:rsidRDefault="00657FEF" w:rsidP="00992AB6">
      <w:pPr>
        <w:pStyle w:val="5"/>
        <w:rPr>
          <w:lang w:eastAsia="zh-TW"/>
        </w:rPr>
      </w:pPr>
      <w:r w:rsidRPr="008147DC">
        <w:rPr>
          <w:lang w:eastAsia="zh-TW"/>
        </w:rPr>
        <w:t>黃富源、張平吾</w:t>
      </w:r>
      <w:r w:rsidRPr="008147DC">
        <w:rPr>
          <w:lang w:eastAsia="zh-TW"/>
        </w:rPr>
        <w:t>(2012)</w:t>
      </w:r>
      <w:r w:rsidRPr="008147DC">
        <w:rPr>
          <w:lang w:eastAsia="zh-TW"/>
        </w:rPr>
        <w:t>，被害者學新論，台北：三民書局。</w:t>
      </w:r>
    </w:p>
  </w:footnote>
  <w:footnote w:id="329">
    <w:p w:rsidR="00657FEF" w:rsidRPr="00664AD3" w:rsidRDefault="00657FEF" w:rsidP="00992AB6">
      <w:pPr>
        <w:pStyle w:val="5"/>
        <w:rPr>
          <w:lang w:eastAsia="zh-TW"/>
        </w:rPr>
      </w:pPr>
      <w:r w:rsidRPr="004B4ED9">
        <w:rPr>
          <w:rStyle w:val="af7"/>
          <w:rFonts w:eastAsia="新細明體" w:cs="Arial Unicode MS"/>
          <w:kern w:val="2"/>
          <w:szCs w:val="20"/>
        </w:rPr>
        <w:footnoteRef/>
      </w:r>
      <w:r w:rsidRPr="00664AD3">
        <w:rPr>
          <w:lang w:eastAsia="zh-TW"/>
        </w:rPr>
        <w:t>許春金</w:t>
      </w:r>
      <w:r w:rsidRPr="00664AD3">
        <w:rPr>
          <w:lang w:eastAsia="zh-TW"/>
        </w:rPr>
        <w:t>(2013)</w:t>
      </w:r>
      <w:r w:rsidRPr="00664AD3">
        <w:rPr>
          <w:lang w:eastAsia="zh-TW"/>
        </w:rPr>
        <w:t>，犯罪學，修訂</w:t>
      </w:r>
      <w:r w:rsidRPr="00664AD3">
        <w:rPr>
          <w:lang w:eastAsia="zh-TW"/>
        </w:rPr>
        <w:t>7</w:t>
      </w:r>
      <w:r w:rsidRPr="00664AD3">
        <w:rPr>
          <w:lang w:eastAsia="zh-TW"/>
        </w:rPr>
        <w:t>版，台北：三民。</w:t>
      </w:r>
    </w:p>
    <w:p w:rsidR="00657FEF" w:rsidRPr="00664AD3" w:rsidRDefault="00657FEF" w:rsidP="00992AB6">
      <w:pPr>
        <w:pStyle w:val="5"/>
        <w:rPr>
          <w:lang w:eastAsia="zh-TW"/>
        </w:rPr>
      </w:pPr>
      <w:r w:rsidRPr="00664AD3">
        <w:rPr>
          <w:lang w:eastAsia="zh-TW"/>
        </w:rPr>
        <w:t>許春金，陳玉書</w:t>
      </w:r>
      <w:r w:rsidRPr="00664AD3">
        <w:rPr>
          <w:lang w:eastAsia="zh-TW"/>
        </w:rPr>
        <w:t>(2013)</w:t>
      </w:r>
      <w:r w:rsidRPr="00664AD3">
        <w:rPr>
          <w:lang w:eastAsia="zh-TW"/>
        </w:rPr>
        <w:t>。犯罪預防與犯罪分析，二版，台北：三民。</w:t>
      </w:r>
    </w:p>
    <w:p w:rsidR="00657FEF" w:rsidRPr="00664AD3" w:rsidRDefault="00657FEF" w:rsidP="00992AB6">
      <w:pPr>
        <w:pStyle w:val="5"/>
        <w:rPr>
          <w:lang w:eastAsia="zh-TW"/>
        </w:rPr>
      </w:pPr>
      <w:r w:rsidRPr="00664AD3">
        <w:rPr>
          <w:lang w:eastAsia="zh-TW"/>
        </w:rPr>
        <w:t>許福生</w:t>
      </w:r>
      <w:r w:rsidRPr="00664AD3">
        <w:rPr>
          <w:lang w:eastAsia="zh-TW"/>
        </w:rPr>
        <w:t>(2016)</w:t>
      </w:r>
      <w:r w:rsidRPr="00664AD3">
        <w:rPr>
          <w:lang w:eastAsia="zh-TW"/>
        </w:rPr>
        <w:t>，犯罪學與犯罪預防，台北：元照。</w:t>
      </w:r>
    </w:p>
    <w:p w:rsidR="00657FEF" w:rsidRPr="00664AD3" w:rsidRDefault="00657FEF" w:rsidP="00992AB6">
      <w:pPr>
        <w:pStyle w:val="5"/>
        <w:rPr>
          <w:lang w:eastAsia="zh-TW"/>
        </w:rPr>
      </w:pPr>
      <w:r w:rsidRPr="00664AD3">
        <w:rPr>
          <w:lang w:eastAsia="zh-TW"/>
        </w:rPr>
        <w:t>許福生</w:t>
      </w:r>
      <w:r w:rsidRPr="00664AD3">
        <w:rPr>
          <w:lang w:eastAsia="zh-TW"/>
        </w:rPr>
        <w:t>(2018)</w:t>
      </w:r>
      <w:r w:rsidRPr="00664AD3">
        <w:rPr>
          <w:lang w:eastAsia="zh-TW"/>
        </w:rPr>
        <w:t>，犯罪學與犯罪預防，修訂</w:t>
      </w:r>
      <w:r w:rsidRPr="00664AD3">
        <w:rPr>
          <w:lang w:eastAsia="zh-TW"/>
        </w:rPr>
        <w:t>2</w:t>
      </w:r>
      <w:r w:rsidRPr="00664AD3">
        <w:rPr>
          <w:lang w:eastAsia="zh-TW"/>
        </w:rPr>
        <w:t>版，台北：元照。</w:t>
      </w:r>
    </w:p>
    <w:p w:rsidR="00657FEF" w:rsidRPr="00664AD3" w:rsidRDefault="00657FEF" w:rsidP="00992AB6">
      <w:pPr>
        <w:pStyle w:val="5"/>
        <w:rPr>
          <w:lang w:eastAsia="zh-TW"/>
        </w:rPr>
      </w:pPr>
      <w:r w:rsidRPr="00664AD3">
        <w:rPr>
          <w:lang w:eastAsia="zh-TW"/>
        </w:rPr>
        <w:t>蔡德輝</w:t>
      </w:r>
      <w:r w:rsidRPr="00664AD3">
        <w:rPr>
          <w:lang w:eastAsia="zh-TW"/>
        </w:rPr>
        <w:t>(2009)</w:t>
      </w:r>
      <w:r w:rsidRPr="00664AD3">
        <w:rPr>
          <w:lang w:eastAsia="zh-TW"/>
        </w:rPr>
        <w:t>，犯罪學，台北：五南。</w:t>
      </w:r>
    </w:p>
    <w:p w:rsidR="00657FEF" w:rsidRPr="00664AD3" w:rsidRDefault="00657FEF" w:rsidP="00992AB6">
      <w:pPr>
        <w:pStyle w:val="5"/>
        <w:rPr>
          <w:lang w:eastAsia="zh-TW"/>
        </w:rPr>
      </w:pPr>
      <w:r w:rsidRPr="00664AD3">
        <w:rPr>
          <w:lang w:eastAsia="zh-TW"/>
        </w:rPr>
        <w:t>蔡德輝、楊士隆</w:t>
      </w:r>
      <w:r w:rsidRPr="00664AD3">
        <w:rPr>
          <w:lang w:eastAsia="zh-TW"/>
        </w:rPr>
        <w:t>(1997)</w:t>
      </w:r>
      <w:r w:rsidRPr="00664AD3">
        <w:rPr>
          <w:lang w:eastAsia="zh-TW"/>
        </w:rPr>
        <w:t>，少年犯罪理論與實務，台北：五南出版公司。</w:t>
      </w:r>
    </w:p>
    <w:p w:rsidR="00657FEF" w:rsidRPr="00664AD3" w:rsidRDefault="00657FEF" w:rsidP="00992AB6">
      <w:pPr>
        <w:pStyle w:val="5"/>
        <w:rPr>
          <w:lang w:eastAsia="zh-TW"/>
        </w:rPr>
      </w:pPr>
      <w:r w:rsidRPr="00664AD3">
        <w:rPr>
          <w:lang w:eastAsia="zh-TW"/>
        </w:rPr>
        <w:t>鄧煌發、李修安</w:t>
      </w:r>
      <w:r w:rsidRPr="00664AD3">
        <w:rPr>
          <w:lang w:eastAsia="zh-TW"/>
        </w:rPr>
        <w:t>(2012)</w:t>
      </w:r>
      <w:r w:rsidRPr="00664AD3">
        <w:rPr>
          <w:lang w:eastAsia="zh-TW"/>
        </w:rPr>
        <w:t>，犯罪預防，台北：一品。</w:t>
      </w:r>
    </w:p>
    <w:p w:rsidR="00657FEF" w:rsidRPr="00664AD3" w:rsidRDefault="00657FEF" w:rsidP="00992AB6">
      <w:pPr>
        <w:pStyle w:val="5"/>
        <w:rPr>
          <w:lang w:eastAsia="zh-TW"/>
        </w:rPr>
      </w:pPr>
      <w:r w:rsidRPr="00664AD3">
        <w:rPr>
          <w:lang w:eastAsia="zh-TW"/>
        </w:rPr>
        <w:t>黃富源、張平吾</w:t>
      </w:r>
      <w:r w:rsidRPr="00664AD3">
        <w:rPr>
          <w:lang w:eastAsia="zh-TW"/>
        </w:rPr>
        <w:t>(2012)</w:t>
      </w:r>
      <w:r w:rsidRPr="00664AD3">
        <w:rPr>
          <w:lang w:eastAsia="zh-TW"/>
        </w:rPr>
        <w:t>，被害者學新論，台北：三民書局。</w:t>
      </w:r>
    </w:p>
  </w:footnote>
  <w:footnote w:id="330">
    <w:p w:rsidR="00657FEF" w:rsidRPr="00664AD3" w:rsidRDefault="00657FEF" w:rsidP="00992AB6">
      <w:pPr>
        <w:pStyle w:val="5"/>
        <w:rPr>
          <w:lang w:eastAsia="zh-TW"/>
        </w:rPr>
      </w:pPr>
      <w:r w:rsidRPr="00E56787">
        <w:rPr>
          <w:rStyle w:val="af7"/>
          <w:rFonts w:eastAsia="新細明體" w:cs="Arial Unicode MS"/>
          <w:kern w:val="2"/>
          <w:szCs w:val="20"/>
        </w:rPr>
        <w:footnoteRef/>
      </w:r>
      <w:r w:rsidRPr="00664AD3">
        <w:rPr>
          <w:lang w:eastAsia="zh-TW"/>
        </w:rPr>
        <w:t>許春金</w:t>
      </w:r>
      <w:r w:rsidRPr="00664AD3">
        <w:rPr>
          <w:lang w:eastAsia="zh-TW"/>
        </w:rPr>
        <w:t>(2013)</w:t>
      </w:r>
      <w:r w:rsidRPr="00664AD3">
        <w:rPr>
          <w:lang w:eastAsia="zh-TW"/>
        </w:rPr>
        <w:t>，犯罪學，修訂</w:t>
      </w:r>
      <w:r w:rsidRPr="00664AD3">
        <w:rPr>
          <w:lang w:eastAsia="zh-TW"/>
        </w:rPr>
        <w:t>7</w:t>
      </w:r>
      <w:r w:rsidRPr="00664AD3">
        <w:rPr>
          <w:lang w:eastAsia="zh-TW"/>
        </w:rPr>
        <w:t>版，台北：三民。</w:t>
      </w:r>
    </w:p>
    <w:p w:rsidR="00657FEF" w:rsidRPr="00664AD3" w:rsidRDefault="00657FEF" w:rsidP="00992AB6">
      <w:pPr>
        <w:pStyle w:val="5"/>
        <w:rPr>
          <w:lang w:eastAsia="zh-TW"/>
        </w:rPr>
      </w:pPr>
      <w:r w:rsidRPr="00664AD3">
        <w:rPr>
          <w:lang w:eastAsia="zh-TW"/>
        </w:rPr>
        <w:t>許春金，陳玉書</w:t>
      </w:r>
      <w:r w:rsidRPr="00664AD3">
        <w:rPr>
          <w:lang w:eastAsia="zh-TW"/>
        </w:rPr>
        <w:t>(2013)</w:t>
      </w:r>
      <w:r w:rsidRPr="00664AD3">
        <w:rPr>
          <w:lang w:eastAsia="zh-TW"/>
        </w:rPr>
        <w:t>。犯罪預防與犯罪分析，二版，台北：三民。</w:t>
      </w:r>
    </w:p>
    <w:p w:rsidR="00657FEF" w:rsidRPr="00664AD3" w:rsidRDefault="00657FEF" w:rsidP="00992AB6">
      <w:pPr>
        <w:pStyle w:val="5"/>
        <w:rPr>
          <w:lang w:eastAsia="zh-TW"/>
        </w:rPr>
      </w:pPr>
      <w:r w:rsidRPr="00664AD3">
        <w:rPr>
          <w:lang w:eastAsia="zh-TW"/>
        </w:rPr>
        <w:t>許福生</w:t>
      </w:r>
      <w:r w:rsidRPr="00664AD3">
        <w:rPr>
          <w:lang w:eastAsia="zh-TW"/>
        </w:rPr>
        <w:t>(2016)</w:t>
      </w:r>
      <w:r w:rsidRPr="00664AD3">
        <w:rPr>
          <w:lang w:eastAsia="zh-TW"/>
        </w:rPr>
        <w:t>，犯罪學與犯罪預防，台北：元照。</w:t>
      </w:r>
    </w:p>
    <w:p w:rsidR="00657FEF" w:rsidRPr="00664AD3" w:rsidRDefault="00657FEF" w:rsidP="00992AB6">
      <w:pPr>
        <w:pStyle w:val="5"/>
        <w:rPr>
          <w:lang w:eastAsia="zh-TW"/>
        </w:rPr>
      </w:pPr>
      <w:r w:rsidRPr="00664AD3">
        <w:rPr>
          <w:lang w:eastAsia="zh-TW"/>
        </w:rPr>
        <w:t>許福生</w:t>
      </w:r>
      <w:r w:rsidRPr="00664AD3">
        <w:rPr>
          <w:lang w:eastAsia="zh-TW"/>
        </w:rPr>
        <w:t>(2018)</w:t>
      </w:r>
      <w:r w:rsidRPr="00664AD3">
        <w:rPr>
          <w:lang w:eastAsia="zh-TW"/>
        </w:rPr>
        <w:t>，犯罪學與犯罪預防，修訂</w:t>
      </w:r>
      <w:r w:rsidRPr="00664AD3">
        <w:rPr>
          <w:lang w:eastAsia="zh-TW"/>
        </w:rPr>
        <w:t>2</w:t>
      </w:r>
      <w:r w:rsidRPr="00664AD3">
        <w:rPr>
          <w:lang w:eastAsia="zh-TW"/>
        </w:rPr>
        <w:t>版，台北：元照。</w:t>
      </w:r>
    </w:p>
    <w:p w:rsidR="00657FEF" w:rsidRPr="00664AD3" w:rsidRDefault="00657FEF" w:rsidP="00992AB6">
      <w:pPr>
        <w:pStyle w:val="5"/>
        <w:rPr>
          <w:lang w:eastAsia="zh-TW"/>
        </w:rPr>
      </w:pPr>
      <w:r w:rsidRPr="00664AD3">
        <w:rPr>
          <w:lang w:eastAsia="zh-TW"/>
        </w:rPr>
        <w:t>蔡德輝</w:t>
      </w:r>
      <w:r w:rsidRPr="00664AD3">
        <w:rPr>
          <w:lang w:eastAsia="zh-TW"/>
        </w:rPr>
        <w:t>(2009)</w:t>
      </w:r>
      <w:r w:rsidRPr="00664AD3">
        <w:rPr>
          <w:lang w:eastAsia="zh-TW"/>
        </w:rPr>
        <w:t>，犯罪學，台北：五南。</w:t>
      </w:r>
    </w:p>
    <w:p w:rsidR="00657FEF" w:rsidRPr="00664AD3" w:rsidRDefault="00657FEF" w:rsidP="00992AB6">
      <w:pPr>
        <w:pStyle w:val="5"/>
        <w:rPr>
          <w:lang w:eastAsia="zh-TW"/>
        </w:rPr>
      </w:pPr>
      <w:r w:rsidRPr="00664AD3">
        <w:rPr>
          <w:lang w:eastAsia="zh-TW"/>
        </w:rPr>
        <w:t>蔡德輝、楊士隆</w:t>
      </w:r>
      <w:r w:rsidRPr="00664AD3">
        <w:rPr>
          <w:lang w:eastAsia="zh-TW"/>
        </w:rPr>
        <w:t>(1997)</w:t>
      </w:r>
      <w:r w:rsidRPr="00664AD3">
        <w:rPr>
          <w:lang w:eastAsia="zh-TW"/>
        </w:rPr>
        <w:t>，少年犯罪理論與實務，台北：五南出版公司。</w:t>
      </w:r>
    </w:p>
    <w:p w:rsidR="00657FEF" w:rsidRPr="00664AD3" w:rsidRDefault="00657FEF" w:rsidP="00992AB6">
      <w:pPr>
        <w:pStyle w:val="5"/>
        <w:rPr>
          <w:lang w:eastAsia="zh-TW"/>
        </w:rPr>
      </w:pPr>
      <w:r w:rsidRPr="00664AD3">
        <w:rPr>
          <w:lang w:eastAsia="zh-TW"/>
        </w:rPr>
        <w:t>鄧煌發、李修安</w:t>
      </w:r>
      <w:r w:rsidRPr="00664AD3">
        <w:rPr>
          <w:lang w:eastAsia="zh-TW"/>
        </w:rPr>
        <w:t>(2012)</w:t>
      </w:r>
      <w:r w:rsidRPr="00664AD3">
        <w:rPr>
          <w:lang w:eastAsia="zh-TW"/>
        </w:rPr>
        <w:t>，犯罪預防，台北：一品。</w:t>
      </w:r>
    </w:p>
    <w:p w:rsidR="00657FEF" w:rsidRPr="00664AD3" w:rsidRDefault="00657FEF" w:rsidP="00992AB6">
      <w:pPr>
        <w:pStyle w:val="5"/>
        <w:rPr>
          <w:lang w:eastAsia="zh-TW"/>
        </w:rPr>
      </w:pPr>
      <w:r w:rsidRPr="00664AD3">
        <w:rPr>
          <w:lang w:eastAsia="zh-TW"/>
        </w:rPr>
        <w:t>黃富源、張平吾</w:t>
      </w:r>
      <w:r w:rsidRPr="00664AD3">
        <w:rPr>
          <w:lang w:eastAsia="zh-TW"/>
        </w:rPr>
        <w:t>(2012)</w:t>
      </w:r>
      <w:r w:rsidRPr="00664AD3">
        <w:rPr>
          <w:lang w:eastAsia="zh-TW"/>
        </w:rPr>
        <w:t>，被害者學新論，台北：三民書局。</w:t>
      </w:r>
    </w:p>
  </w:footnote>
  <w:footnote w:id="331">
    <w:p w:rsidR="00657FEF" w:rsidRPr="00DA4C55" w:rsidRDefault="00657FEF" w:rsidP="00992AB6">
      <w:pPr>
        <w:pStyle w:val="5"/>
        <w:rPr>
          <w:lang w:eastAsia="zh-TW"/>
        </w:rPr>
      </w:pPr>
      <w:r w:rsidRPr="00664AD3">
        <w:rPr>
          <w:rStyle w:val="af7"/>
          <w:rFonts w:cs="Arial Unicode MS"/>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32">
    <w:p w:rsidR="00657FEF" w:rsidRPr="00DA4C55" w:rsidRDefault="00657FEF" w:rsidP="00992AB6">
      <w:pPr>
        <w:pStyle w:val="5"/>
        <w:rPr>
          <w:lang w:eastAsia="zh-TW"/>
        </w:rPr>
      </w:pPr>
      <w:r w:rsidRPr="00664AD3">
        <w:rPr>
          <w:rStyle w:val="af7"/>
          <w:rFonts w:cs="Arial Unicode MS"/>
          <w:szCs w:val="20"/>
        </w:rPr>
        <w:footnoteRef/>
      </w:r>
      <w:r w:rsidRPr="00DA4C55">
        <w:rPr>
          <w:lang w:eastAsia="zh-TW"/>
        </w:rPr>
        <w:t xml:space="preserve"> SPSS</w:t>
      </w:r>
      <w:r w:rsidRPr="00DA4C55">
        <w:rPr>
          <w:lang w:eastAsia="zh-TW"/>
        </w:rPr>
        <w:t>軟體之多元迴歸分析之程式語法如下：</w:t>
      </w:r>
    </w:p>
    <w:p w:rsidR="00657FEF" w:rsidRPr="00DA4C55" w:rsidRDefault="00657FEF" w:rsidP="00992AB6">
      <w:pPr>
        <w:pStyle w:val="5"/>
      </w:pPr>
      <w:r w:rsidRPr="00DA4C55">
        <w:t>REGRESSION</w:t>
      </w:r>
    </w:p>
    <w:p w:rsidR="00657FEF" w:rsidRPr="00DA4C55" w:rsidRDefault="00657FEF" w:rsidP="00992AB6">
      <w:pPr>
        <w:pStyle w:val="5"/>
      </w:pPr>
      <w:r w:rsidRPr="00DA4C55">
        <w:t xml:space="preserve">  /DESCRIPTIVES MEAN STDDEV CORR SIG N</w:t>
      </w:r>
    </w:p>
    <w:p w:rsidR="00657FEF" w:rsidRPr="00DA4C55" w:rsidRDefault="00657FEF" w:rsidP="00992AB6">
      <w:pPr>
        <w:pStyle w:val="5"/>
      </w:pPr>
      <w:r w:rsidRPr="00DA4C55">
        <w:t xml:space="preserve">  /MISSING PAIRWISE</w:t>
      </w:r>
    </w:p>
    <w:p w:rsidR="00657FEF" w:rsidRPr="00DA4C55" w:rsidRDefault="00657FEF" w:rsidP="00992AB6">
      <w:pPr>
        <w:pStyle w:val="5"/>
      </w:pPr>
      <w:r w:rsidRPr="00DA4C55">
        <w:t xml:space="preserve">  /STATISTICS COEFF OUTS R ANOVA COLLIN TOL CHANGE ZPP</w:t>
      </w:r>
    </w:p>
    <w:p w:rsidR="00657FEF" w:rsidRPr="00DA4C55" w:rsidRDefault="00657FEF" w:rsidP="00992AB6">
      <w:pPr>
        <w:pStyle w:val="5"/>
      </w:pPr>
      <w:r w:rsidRPr="00DA4C55">
        <w:t xml:space="preserve">  /CRITERIA=PIN(.05) POUT(.10)</w:t>
      </w:r>
    </w:p>
    <w:p w:rsidR="00657FEF" w:rsidRPr="00DA4C55" w:rsidRDefault="00657FEF" w:rsidP="00992AB6">
      <w:pPr>
        <w:pStyle w:val="5"/>
      </w:pPr>
      <w:r w:rsidRPr="00DA4C55">
        <w:t xml:space="preserve">  /NOORIGIN</w:t>
      </w:r>
    </w:p>
    <w:p w:rsidR="00657FEF" w:rsidRPr="00DA4C55" w:rsidRDefault="00657FEF" w:rsidP="00992AB6">
      <w:pPr>
        <w:pStyle w:val="5"/>
      </w:pPr>
      <w:r w:rsidRPr="00DA4C55">
        <w:t xml:space="preserve">  /DEPENDENT Bigcrime2next</w:t>
      </w:r>
    </w:p>
    <w:p w:rsidR="00657FEF" w:rsidRPr="00DA4C55" w:rsidRDefault="00657FEF" w:rsidP="00992AB6">
      <w:pPr>
        <w:pStyle w:val="5"/>
      </w:pPr>
      <w:r w:rsidRPr="00DA4C55">
        <w:t xml:space="preserve">  /METHOD=ENTER unemploymentrate marrypair over35manunmarryrate GNI</w:t>
      </w:r>
    </w:p>
    <w:p w:rsidR="00657FEF" w:rsidRPr="00DA4C55" w:rsidRDefault="00657FEF" w:rsidP="00992AB6">
      <w:pPr>
        <w:pStyle w:val="5"/>
        <w:rPr>
          <w:lang w:eastAsia="zh-TW"/>
        </w:rPr>
      </w:pPr>
      <w:r w:rsidRPr="00DA4C55">
        <w:t xml:space="preserve">  </w:t>
      </w:r>
      <w:r w:rsidRPr="00DA4C55">
        <w:rPr>
          <w:lang w:eastAsia="zh-TW"/>
        </w:rPr>
        <w:t>/CASEWISE PLOT(ZRESID) ALL.</w:t>
      </w:r>
    </w:p>
  </w:footnote>
  <w:footnote w:id="333">
    <w:p w:rsidR="00657FEF" w:rsidRPr="00DA4C55" w:rsidRDefault="00657FEF" w:rsidP="00992AB6">
      <w:pPr>
        <w:pStyle w:val="5"/>
        <w:rPr>
          <w:lang w:eastAsia="zh-TW"/>
        </w:rPr>
      </w:pPr>
      <w:r w:rsidRPr="00F478DC">
        <w:rPr>
          <w:rStyle w:val="af7"/>
          <w:rFonts w:eastAsia="新細明體" w:cs="Arial Unicode MS"/>
          <w:kern w:val="2"/>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34">
    <w:p w:rsidR="00657FEF" w:rsidRPr="00DA4C55" w:rsidRDefault="00657FEF" w:rsidP="00992AB6">
      <w:pPr>
        <w:pStyle w:val="5"/>
        <w:rPr>
          <w:lang w:eastAsia="zh-TW"/>
        </w:rPr>
      </w:pPr>
      <w:r w:rsidRPr="00F478DC">
        <w:rPr>
          <w:rStyle w:val="af7"/>
          <w:rFonts w:eastAsia="新細明體" w:cs="Arial Unicode MS"/>
          <w:kern w:val="2"/>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35">
    <w:p w:rsidR="00657FEF" w:rsidRPr="00DA4C55" w:rsidRDefault="00657FEF" w:rsidP="00992AB6">
      <w:pPr>
        <w:pStyle w:val="5"/>
        <w:rPr>
          <w:lang w:eastAsia="zh-TW"/>
        </w:rPr>
      </w:pPr>
      <w:r w:rsidRPr="00F478DC">
        <w:rPr>
          <w:rStyle w:val="af7"/>
          <w:rFonts w:eastAsia="新細明體" w:cs="Arial Unicode MS"/>
          <w:kern w:val="2"/>
          <w:szCs w:val="20"/>
        </w:rPr>
        <w:footnoteRef/>
      </w:r>
      <w:r w:rsidRPr="00DA4C55">
        <w:rPr>
          <w:lang w:eastAsia="zh-TW"/>
        </w:rPr>
        <w:t xml:space="preserve"> SPSS</w:t>
      </w:r>
      <w:r w:rsidRPr="00DA4C55">
        <w:rPr>
          <w:lang w:eastAsia="zh-TW"/>
        </w:rPr>
        <w:t>軟體之多元迴歸分析之程式語法如下：</w:t>
      </w:r>
    </w:p>
    <w:p w:rsidR="00657FEF" w:rsidRPr="00DA4C55" w:rsidRDefault="00657FEF" w:rsidP="00992AB6">
      <w:pPr>
        <w:pStyle w:val="5"/>
      </w:pPr>
      <w:r w:rsidRPr="00DA4C55">
        <w:t>REGRESSION</w:t>
      </w:r>
    </w:p>
    <w:p w:rsidR="00657FEF" w:rsidRPr="00DA4C55" w:rsidRDefault="00657FEF" w:rsidP="00992AB6">
      <w:pPr>
        <w:pStyle w:val="5"/>
      </w:pPr>
      <w:r w:rsidRPr="00DA4C55">
        <w:t xml:space="preserve">  /DESCRIPTIVES MEAN STDDEV CORR SIG N</w:t>
      </w:r>
    </w:p>
    <w:p w:rsidR="00657FEF" w:rsidRPr="00DA4C55" w:rsidRDefault="00657FEF" w:rsidP="00992AB6">
      <w:pPr>
        <w:pStyle w:val="5"/>
      </w:pPr>
      <w:r w:rsidRPr="00DA4C55">
        <w:t xml:space="preserve">  /MISSING PAIRWISE</w:t>
      </w:r>
    </w:p>
    <w:p w:rsidR="00657FEF" w:rsidRPr="00DA4C55" w:rsidRDefault="00657FEF" w:rsidP="00992AB6">
      <w:pPr>
        <w:pStyle w:val="5"/>
      </w:pPr>
      <w:r w:rsidRPr="00DA4C55">
        <w:t xml:space="preserve">  /STATISTICS COEFF OUTS R ANOVA COLLIN TOL CHANGE ZPP</w:t>
      </w:r>
    </w:p>
    <w:p w:rsidR="00657FEF" w:rsidRPr="00DA4C55" w:rsidRDefault="00657FEF" w:rsidP="00992AB6">
      <w:pPr>
        <w:pStyle w:val="5"/>
      </w:pPr>
      <w:r w:rsidRPr="00DA4C55">
        <w:t xml:space="preserve">  /CRITERIA=PIN(.05) POUT(.10)</w:t>
      </w:r>
    </w:p>
    <w:p w:rsidR="00657FEF" w:rsidRPr="00DA4C55" w:rsidRDefault="00657FEF" w:rsidP="00992AB6">
      <w:pPr>
        <w:pStyle w:val="5"/>
      </w:pPr>
      <w:r w:rsidRPr="00DA4C55">
        <w:t xml:space="preserve">  /NOORIGIN</w:t>
      </w:r>
    </w:p>
    <w:p w:rsidR="00657FEF" w:rsidRPr="00DA4C55" w:rsidRDefault="00657FEF" w:rsidP="00992AB6">
      <w:pPr>
        <w:pStyle w:val="5"/>
      </w:pPr>
      <w:r w:rsidRPr="00DA4C55">
        <w:t xml:space="preserve">  /DEPENDENT Bigcrime2next</w:t>
      </w:r>
    </w:p>
    <w:p w:rsidR="00657FEF" w:rsidRPr="00DA4C55" w:rsidRDefault="00657FEF" w:rsidP="00992AB6">
      <w:pPr>
        <w:pStyle w:val="5"/>
      </w:pPr>
      <w:r w:rsidRPr="00DA4C55">
        <w:t xml:space="preserve">  /METHOD=FORWARD unemploymentrate probationrate</w:t>
      </w:r>
    </w:p>
    <w:p w:rsidR="00657FEF" w:rsidRPr="00DA4C55" w:rsidRDefault="00657FEF" w:rsidP="00992AB6">
      <w:pPr>
        <w:pStyle w:val="5"/>
      </w:pPr>
      <w:r w:rsidRPr="00DA4C55">
        <w:t xml:space="preserve">  /CASEWISE PLOT(ZRESID) ALL.</w:t>
      </w:r>
    </w:p>
  </w:footnote>
  <w:footnote w:id="336">
    <w:p w:rsidR="00657FEF" w:rsidRPr="00DA4C55" w:rsidRDefault="00657FEF" w:rsidP="00992AB6">
      <w:pPr>
        <w:pStyle w:val="5"/>
        <w:rPr>
          <w:lang w:eastAsia="zh-TW"/>
        </w:rPr>
      </w:pPr>
      <w:r w:rsidRPr="00871524">
        <w:rPr>
          <w:rStyle w:val="af7"/>
          <w:rFonts w:eastAsia="新細明體" w:cs="Arial Unicode MS"/>
          <w:kern w:val="2"/>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37">
    <w:p w:rsidR="00657FEF" w:rsidRPr="00DA4C55" w:rsidRDefault="00657FEF" w:rsidP="00992AB6">
      <w:pPr>
        <w:pStyle w:val="5"/>
        <w:rPr>
          <w:lang w:eastAsia="zh-TW"/>
        </w:rPr>
      </w:pPr>
      <w:r w:rsidRPr="00664AD3">
        <w:rPr>
          <w:rStyle w:val="af7"/>
          <w:rFonts w:cs="Arial Unicode MS"/>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38">
    <w:p w:rsidR="00657FEF" w:rsidRPr="00DA4C55" w:rsidRDefault="00657FEF" w:rsidP="00992AB6">
      <w:pPr>
        <w:pStyle w:val="5"/>
        <w:rPr>
          <w:lang w:eastAsia="zh-TW"/>
        </w:rPr>
      </w:pPr>
      <w:r w:rsidRPr="00664AD3">
        <w:rPr>
          <w:rStyle w:val="af7"/>
          <w:rFonts w:cs="Arial Unicode MS"/>
        </w:rPr>
        <w:footnoteRef/>
      </w:r>
      <w:r w:rsidRPr="00DA4C55">
        <w:rPr>
          <w:lang w:eastAsia="zh-TW"/>
        </w:rPr>
        <w:t xml:space="preserve"> SPSS</w:t>
      </w:r>
      <w:r w:rsidRPr="00DA4C55">
        <w:rPr>
          <w:lang w:eastAsia="zh-TW"/>
        </w:rPr>
        <w:t>軟體之多元迴歸分析之程式語法如下：</w:t>
      </w:r>
    </w:p>
    <w:p w:rsidR="00657FEF" w:rsidRPr="00DA4C55" w:rsidRDefault="00657FEF" w:rsidP="00992AB6">
      <w:pPr>
        <w:pStyle w:val="5"/>
      </w:pPr>
      <w:r w:rsidRPr="00DA4C55">
        <w:t>REGRESSION</w:t>
      </w:r>
    </w:p>
    <w:p w:rsidR="00657FEF" w:rsidRPr="00DA4C55" w:rsidRDefault="00657FEF" w:rsidP="00992AB6">
      <w:pPr>
        <w:pStyle w:val="5"/>
      </w:pPr>
      <w:r w:rsidRPr="00DA4C55">
        <w:t xml:space="preserve">  /DESCRIPTIVES MEAN STDDEV CORR SIG N</w:t>
      </w:r>
    </w:p>
    <w:p w:rsidR="00657FEF" w:rsidRPr="00DA4C55" w:rsidRDefault="00657FEF" w:rsidP="00992AB6">
      <w:pPr>
        <w:pStyle w:val="5"/>
      </w:pPr>
      <w:r w:rsidRPr="00DA4C55">
        <w:t xml:space="preserve">  /MISSING PAIRWISE</w:t>
      </w:r>
    </w:p>
    <w:p w:rsidR="00657FEF" w:rsidRPr="00DA4C55" w:rsidRDefault="00657FEF" w:rsidP="00992AB6">
      <w:pPr>
        <w:pStyle w:val="5"/>
      </w:pPr>
      <w:r w:rsidRPr="00DA4C55">
        <w:t xml:space="preserve">  /STATISTICS COEFF OUTS R ANOVA COLLIN TOL CHANGE ZPP</w:t>
      </w:r>
    </w:p>
    <w:p w:rsidR="00657FEF" w:rsidRPr="00DA4C55" w:rsidRDefault="00657FEF" w:rsidP="00992AB6">
      <w:pPr>
        <w:pStyle w:val="5"/>
      </w:pPr>
      <w:r w:rsidRPr="00DA4C55">
        <w:t xml:space="preserve">  /CRITERIA=PIN(.05) POUT(.10)</w:t>
      </w:r>
    </w:p>
    <w:p w:rsidR="00657FEF" w:rsidRPr="00DA4C55" w:rsidRDefault="00657FEF" w:rsidP="00992AB6">
      <w:pPr>
        <w:pStyle w:val="5"/>
      </w:pPr>
      <w:r w:rsidRPr="00DA4C55">
        <w:t xml:space="preserve">  /NOORIGIN</w:t>
      </w:r>
    </w:p>
    <w:p w:rsidR="00657FEF" w:rsidRPr="00DA4C55" w:rsidRDefault="00657FEF" w:rsidP="00992AB6">
      <w:pPr>
        <w:pStyle w:val="5"/>
      </w:pPr>
      <w:r w:rsidRPr="00DA4C55">
        <w:t xml:space="preserve">  /DEPENDENT Bigcrime2next</w:t>
      </w:r>
    </w:p>
    <w:p w:rsidR="00657FEF" w:rsidRPr="00DA4C55" w:rsidRDefault="00657FEF" w:rsidP="00992AB6">
      <w:pPr>
        <w:pStyle w:val="5"/>
      </w:pPr>
      <w:r w:rsidRPr="00DA4C55">
        <w:t xml:space="preserve">  /METHOD=BACKWARD unemploymentrate marrypair over35manunmarryrate GNI lowincomesupplement</w:t>
      </w:r>
    </w:p>
    <w:p w:rsidR="00657FEF" w:rsidRPr="00DA4C55" w:rsidRDefault="00657FEF" w:rsidP="00992AB6">
      <w:pPr>
        <w:pStyle w:val="5"/>
        <w:rPr>
          <w:lang w:eastAsia="zh-TW"/>
        </w:rPr>
      </w:pPr>
      <w:r w:rsidRPr="00DA4C55">
        <w:t xml:space="preserve">  </w:t>
      </w:r>
      <w:r w:rsidRPr="00DA4C55">
        <w:rPr>
          <w:lang w:eastAsia="zh-TW"/>
        </w:rPr>
        <w:t>/CASEWISE PLOT(ZRESID) ALL.</w:t>
      </w:r>
    </w:p>
  </w:footnote>
  <w:footnote w:id="339">
    <w:p w:rsidR="00657FEF" w:rsidRPr="00DA4C55" w:rsidRDefault="00657FEF" w:rsidP="00992AB6">
      <w:pPr>
        <w:pStyle w:val="5"/>
        <w:rPr>
          <w:lang w:eastAsia="zh-TW"/>
        </w:rPr>
      </w:pPr>
      <w:r w:rsidRPr="000260C3">
        <w:rPr>
          <w:rStyle w:val="af7"/>
          <w:rFonts w:eastAsia="新細明體" w:cs="Arial Unicode MS"/>
          <w:kern w:val="2"/>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40">
    <w:p w:rsidR="00657FEF" w:rsidRPr="00DA4C55" w:rsidRDefault="00657FEF" w:rsidP="00992AB6">
      <w:pPr>
        <w:pStyle w:val="5"/>
        <w:rPr>
          <w:lang w:eastAsia="zh-TW"/>
        </w:rPr>
      </w:pPr>
      <w:r w:rsidRPr="000260C3">
        <w:rPr>
          <w:rStyle w:val="af7"/>
          <w:rFonts w:eastAsia="新細明體" w:cs="Arial Unicode MS"/>
          <w:kern w:val="2"/>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41">
    <w:p w:rsidR="00657FEF" w:rsidRPr="00DA4C55" w:rsidRDefault="00657FEF" w:rsidP="00992AB6">
      <w:pPr>
        <w:pStyle w:val="5"/>
        <w:rPr>
          <w:lang w:eastAsia="zh-TW"/>
        </w:rPr>
      </w:pPr>
      <w:r w:rsidRPr="000260C3">
        <w:rPr>
          <w:rStyle w:val="af7"/>
          <w:rFonts w:eastAsia="新細明體" w:cs="Arial Unicode MS"/>
          <w:kern w:val="2"/>
          <w:szCs w:val="20"/>
        </w:rPr>
        <w:footnoteRef/>
      </w:r>
      <w:r w:rsidRPr="00DA4C55">
        <w:rPr>
          <w:lang w:eastAsia="zh-TW"/>
        </w:rPr>
        <w:t>許福生</w:t>
      </w:r>
      <w:r w:rsidRPr="00DA4C55">
        <w:rPr>
          <w:lang w:eastAsia="zh-TW"/>
        </w:rPr>
        <w:t>(2016)</w:t>
      </w:r>
      <w:r w:rsidRPr="00DA4C55">
        <w:rPr>
          <w:lang w:eastAsia="zh-TW"/>
        </w:rPr>
        <w:t>，犯罪學與犯罪預防，台北：元照。</w:t>
      </w:r>
    </w:p>
    <w:p w:rsidR="00657FEF" w:rsidRPr="00DA4C55" w:rsidRDefault="00657FEF" w:rsidP="00992AB6">
      <w:pPr>
        <w:pStyle w:val="5"/>
        <w:rPr>
          <w:lang w:eastAsia="zh-TW"/>
        </w:rPr>
      </w:pPr>
      <w:r w:rsidRPr="00DA4C55">
        <w:rPr>
          <w:lang w:eastAsia="zh-TW"/>
        </w:rPr>
        <w:t>許春金</w:t>
      </w:r>
      <w:r w:rsidRPr="00DA4C55">
        <w:rPr>
          <w:lang w:eastAsia="zh-TW"/>
        </w:rPr>
        <w:t>(2003)</w:t>
      </w:r>
      <w:r w:rsidRPr="00DA4C55">
        <w:rPr>
          <w:lang w:eastAsia="zh-TW"/>
        </w:rPr>
        <w:t>，犯罪學，桃園：中央警察大學。</w:t>
      </w:r>
    </w:p>
    <w:p w:rsidR="00657FEF" w:rsidRPr="00DA4C55" w:rsidRDefault="00657FEF" w:rsidP="00992AB6">
      <w:pPr>
        <w:pStyle w:val="5"/>
        <w:rPr>
          <w:lang w:eastAsia="zh-TW"/>
        </w:rPr>
      </w:pPr>
      <w:r w:rsidRPr="00DA4C55">
        <w:rPr>
          <w:lang w:eastAsia="zh-TW"/>
        </w:rPr>
        <w:t>許春金</w:t>
      </w:r>
      <w:r w:rsidRPr="00DA4C55">
        <w:rPr>
          <w:lang w:eastAsia="zh-TW"/>
        </w:rPr>
        <w:t>(2006)</w:t>
      </w:r>
      <w:r w:rsidRPr="00DA4C55">
        <w:rPr>
          <w:lang w:eastAsia="zh-TW"/>
        </w:rPr>
        <w:t>，人本犯罪學</w:t>
      </w:r>
      <w:r w:rsidRPr="00DA4C55">
        <w:rPr>
          <w:lang w:eastAsia="zh-TW"/>
        </w:rPr>
        <w:t>---</w:t>
      </w:r>
      <w:r w:rsidRPr="00DA4C55">
        <w:rPr>
          <w:lang w:eastAsia="zh-TW"/>
        </w:rPr>
        <w:t>控制理論與修復式正義，台北：三民書局。</w:t>
      </w:r>
    </w:p>
    <w:p w:rsidR="00657FEF" w:rsidRPr="00DA4C55" w:rsidRDefault="00657FEF" w:rsidP="00992AB6">
      <w:pPr>
        <w:pStyle w:val="5"/>
        <w:rPr>
          <w:lang w:eastAsia="zh-TW"/>
        </w:rPr>
      </w:pPr>
      <w:r w:rsidRPr="00DA4C55">
        <w:rPr>
          <w:lang w:eastAsia="zh-TW"/>
        </w:rPr>
        <w:t>許春金</w:t>
      </w:r>
      <w:r w:rsidRPr="00DA4C55">
        <w:rPr>
          <w:lang w:eastAsia="zh-TW"/>
        </w:rPr>
        <w:t>(2007)</w:t>
      </w:r>
      <w:r w:rsidRPr="00DA4C55">
        <w:rPr>
          <w:lang w:eastAsia="zh-TW"/>
        </w:rPr>
        <w:t>，犯罪學，修訂第五版。臺北：三民。</w:t>
      </w:r>
    </w:p>
    <w:p w:rsidR="00657FEF" w:rsidRPr="00DA4C55" w:rsidRDefault="00657FEF" w:rsidP="00992AB6">
      <w:pPr>
        <w:pStyle w:val="5"/>
        <w:rPr>
          <w:lang w:eastAsia="zh-TW"/>
        </w:rPr>
      </w:pPr>
      <w:r w:rsidRPr="00DA4C55">
        <w:rPr>
          <w:lang w:eastAsia="zh-TW"/>
        </w:rPr>
        <w:t>許春金</w:t>
      </w:r>
      <w:r w:rsidRPr="00DA4C55">
        <w:rPr>
          <w:lang w:eastAsia="zh-TW"/>
        </w:rPr>
        <w:t>(2010)</w:t>
      </w:r>
      <w:r w:rsidRPr="00DA4C55">
        <w:rPr>
          <w:lang w:eastAsia="zh-TW"/>
        </w:rPr>
        <w:t>，犯罪學修訂六版。臺北市：三民書局。</w:t>
      </w:r>
    </w:p>
    <w:p w:rsidR="00657FEF" w:rsidRPr="00DA4C55" w:rsidRDefault="00657FEF" w:rsidP="00992AB6">
      <w:pPr>
        <w:pStyle w:val="5"/>
        <w:rPr>
          <w:lang w:eastAsia="zh-TW"/>
        </w:rPr>
      </w:pPr>
      <w:r w:rsidRPr="00DA4C55">
        <w:rPr>
          <w:lang w:eastAsia="zh-TW"/>
        </w:rPr>
        <w:t>許春金</w:t>
      </w:r>
      <w:r w:rsidRPr="00DA4C55">
        <w:rPr>
          <w:lang w:eastAsia="zh-TW"/>
        </w:rPr>
        <w:t>(2013)</w:t>
      </w:r>
      <w:r w:rsidRPr="00DA4C55">
        <w:rPr>
          <w:lang w:eastAsia="zh-TW"/>
        </w:rPr>
        <w:t>，犯罪學，修訂</w:t>
      </w:r>
      <w:r w:rsidRPr="00DA4C55">
        <w:rPr>
          <w:lang w:eastAsia="zh-TW"/>
        </w:rPr>
        <w:t>7</w:t>
      </w:r>
      <w:r w:rsidRPr="00DA4C55">
        <w:rPr>
          <w:lang w:eastAsia="zh-TW"/>
        </w:rPr>
        <w:t>版，台北：三民，頁</w:t>
      </w:r>
      <w:r w:rsidRPr="00DA4C55">
        <w:rPr>
          <w:lang w:eastAsia="zh-TW"/>
        </w:rPr>
        <w:t>10-795</w:t>
      </w:r>
      <w:r w:rsidRPr="00DA4C55">
        <w:rPr>
          <w:lang w:eastAsia="zh-TW"/>
        </w:rPr>
        <w:t>。</w:t>
      </w:r>
    </w:p>
    <w:p w:rsidR="00657FEF" w:rsidRPr="00DA4C55" w:rsidRDefault="00657FEF" w:rsidP="00992AB6">
      <w:pPr>
        <w:pStyle w:val="5"/>
        <w:rPr>
          <w:lang w:eastAsia="zh-TW"/>
        </w:rPr>
      </w:pPr>
      <w:r w:rsidRPr="00DA4C55">
        <w:rPr>
          <w:lang w:eastAsia="zh-TW"/>
        </w:rPr>
        <w:t>許春金，陳玉書</w:t>
      </w:r>
      <w:r w:rsidRPr="00DA4C55">
        <w:rPr>
          <w:lang w:eastAsia="zh-TW"/>
        </w:rPr>
        <w:t>(2013)</w:t>
      </w:r>
      <w:r w:rsidRPr="00DA4C55">
        <w:rPr>
          <w:lang w:eastAsia="zh-TW"/>
        </w:rPr>
        <w:t>，犯罪預防與犯罪分析，二版，台北：三民。</w:t>
      </w:r>
    </w:p>
  </w:footnote>
  <w:footnote w:id="342">
    <w:p w:rsidR="00657FEF" w:rsidRPr="00DA4C55" w:rsidRDefault="00657FEF" w:rsidP="00992AB6">
      <w:pPr>
        <w:pStyle w:val="5"/>
        <w:rPr>
          <w:lang w:eastAsia="zh-TW"/>
        </w:rPr>
      </w:pPr>
      <w:r w:rsidRPr="000260C3">
        <w:rPr>
          <w:rStyle w:val="af7"/>
          <w:rFonts w:eastAsia="新細明體" w:cs="Arial Unicode MS"/>
          <w:kern w:val="2"/>
          <w:szCs w:val="20"/>
        </w:rPr>
        <w:footnoteRef/>
      </w:r>
      <w:r w:rsidRPr="00DA4C55">
        <w:rPr>
          <w:lang w:eastAsia="zh-TW"/>
        </w:rPr>
        <w:t>許福生</w:t>
      </w:r>
      <w:r w:rsidRPr="00DA4C55">
        <w:rPr>
          <w:lang w:eastAsia="zh-TW"/>
        </w:rPr>
        <w:t>(2016)</w:t>
      </w:r>
      <w:r w:rsidRPr="00DA4C55">
        <w:rPr>
          <w:lang w:eastAsia="zh-TW"/>
        </w:rPr>
        <w:t>，犯罪學與犯罪預防，台北：元照。</w:t>
      </w:r>
    </w:p>
    <w:p w:rsidR="00657FEF" w:rsidRPr="00DA4C55" w:rsidRDefault="00657FEF" w:rsidP="00992AB6">
      <w:pPr>
        <w:pStyle w:val="5"/>
        <w:rPr>
          <w:lang w:eastAsia="zh-TW"/>
        </w:rPr>
      </w:pPr>
      <w:r w:rsidRPr="00DA4C55">
        <w:rPr>
          <w:lang w:eastAsia="zh-TW"/>
        </w:rPr>
        <w:t>許春金</w:t>
      </w:r>
      <w:r w:rsidRPr="00DA4C55">
        <w:rPr>
          <w:lang w:eastAsia="zh-TW"/>
        </w:rPr>
        <w:t>(2003)</w:t>
      </w:r>
      <w:r w:rsidRPr="00DA4C55">
        <w:rPr>
          <w:lang w:eastAsia="zh-TW"/>
        </w:rPr>
        <w:t>，犯罪學，桃園：中央警察大學。</w:t>
      </w:r>
    </w:p>
    <w:p w:rsidR="00657FEF" w:rsidRPr="00DA4C55" w:rsidRDefault="00657FEF" w:rsidP="00992AB6">
      <w:pPr>
        <w:pStyle w:val="5"/>
        <w:rPr>
          <w:lang w:eastAsia="zh-TW"/>
        </w:rPr>
      </w:pPr>
      <w:r w:rsidRPr="00DA4C55">
        <w:rPr>
          <w:lang w:eastAsia="zh-TW"/>
        </w:rPr>
        <w:t>許春金</w:t>
      </w:r>
      <w:r w:rsidRPr="00DA4C55">
        <w:rPr>
          <w:lang w:eastAsia="zh-TW"/>
        </w:rPr>
        <w:t>(2006)</w:t>
      </w:r>
      <w:r w:rsidRPr="00DA4C55">
        <w:rPr>
          <w:lang w:eastAsia="zh-TW"/>
        </w:rPr>
        <w:t>，人本犯罪學</w:t>
      </w:r>
      <w:r w:rsidRPr="00DA4C55">
        <w:rPr>
          <w:lang w:eastAsia="zh-TW"/>
        </w:rPr>
        <w:t>---</w:t>
      </w:r>
      <w:r w:rsidRPr="00DA4C55">
        <w:rPr>
          <w:lang w:eastAsia="zh-TW"/>
        </w:rPr>
        <w:t>控制理論與修復式正義，台北：三民書局。</w:t>
      </w:r>
    </w:p>
    <w:p w:rsidR="00657FEF" w:rsidRPr="00DA4C55" w:rsidRDefault="00657FEF" w:rsidP="00992AB6">
      <w:pPr>
        <w:pStyle w:val="5"/>
        <w:rPr>
          <w:lang w:eastAsia="zh-TW"/>
        </w:rPr>
      </w:pPr>
      <w:r w:rsidRPr="00DA4C55">
        <w:rPr>
          <w:lang w:eastAsia="zh-TW"/>
        </w:rPr>
        <w:t>許春金</w:t>
      </w:r>
      <w:r w:rsidRPr="00DA4C55">
        <w:rPr>
          <w:lang w:eastAsia="zh-TW"/>
        </w:rPr>
        <w:t>(2007)</w:t>
      </w:r>
      <w:r w:rsidRPr="00DA4C55">
        <w:rPr>
          <w:lang w:eastAsia="zh-TW"/>
        </w:rPr>
        <w:t>，犯罪學，修訂第五版。臺北：三民。</w:t>
      </w:r>
    </w:p>
    <w:p w:rsidR="00657FEF" w:rsidRPr="00DA4C55" w:rsidRDefault="00657FEF" w:rsidP="00992AB6">
      <w:pPr>
        <w:pStyle w:val="5"/>
        <w:rPr>
          <w:lang w:eastAsia="zh-TW"/>
        </w:rPr>
      </w:pPr>
      <w:r w:rsidRPr="00DA4C55">
        <w:rPr>
          <w:lang w:eastAsia="zh-TW"/>
        </w:rPr>
        <w:t>許春金</w:t>
      </w:r>
      <w:r w:rsidRPr="00DA4C55">
        <w:rPr>
          <w:lang w:eastAsia="zh-TW"/>
        </w:rPr>
        <w:t>(2010)</w:t>
      </w:r>
      <w:r w:rsidRPr="00DA4C55">
        <w:rPr>
          <w:lang w:eastAsia="zh-TW"/>
        </w:rPr>
        <w:t>，犯罪學修訂六版。臺北市：三民書局。</w:t>
      </w:r>
    </w:p>
    <w:p w:rsidR="00657FEF" w:rsidRPr="00DA4C55" w:rsidRDefault="00657FEF" w:rsidP="00992AB6">
      <w:pPr>
        <w:pStyle w:val="5"/>
        <w:rPr>
          <w:lang w:eastAsia="zh-TW"/>
        </w:rPr>
      </w:pPr>
      <w:r w:rsidRPr="00DA4C55">
        <w:rPr>
          <w:lang w:eastAsia="zh-TW"/>
        </w:rPr>
        <w:t>許春金</w:t>
      </w:r>
      <w:r w:rsidRPr="00DA4C55">
        <w:rPr>
          <w:lang w:eastAsia="zh-TW"/>
        </w:rPr>
        <w:t>(2013)</w:t>
      </w:r>
      <w:r w:rsidRPr="00DA4C55">
        <w:rPr>
          <w:lang w:eastAsia="zh-TW"/>
        </w:rPr>
        <w:t>，犯罪學，修訂</w:t>
      </w:r>
      <w:r w:rsidRPr="00DA4C55">
        <w:rPr>
          <w:lang w:eastAsia="zh-TW"/>
        </w:rPr>
        <w:t>7</w:t>
      </w:r>
      <w:r w:rsidRPr="00DA4C55">
        <w:rPr>
          <w:lang w:eastAsia="zh-TW"/>
        </w:rPr>
        <w:t>版，台北：三民，頁</w:t>
      </w:r>
      <w:r w:rsidRPr="00DA4C55">
        <w:rPr>
          <w:lang w:eastAsia="zh-TW"/>
        </w:rPr>
        <w:t>10-795</w:t>
      </w:r>
      <w:r w:rsidRPr="00DA4C55">
        <w:rPr>
          <w:lang w:eastAsia="zh-TW"/>
        </w:rPr>
        <w:t>。</w:t>
      </w:r>
    </w:p>
    <w:p w:rsidR="00657FEF" w:rsidRPr="00DA4C55" w:rsidRDefault="00657FEF" w:rsidP="00992AB6">
      <w:pPr>
        <w:pStyle w:val="5"/>
        <w:rPr>
          <w:lang w:eastAsia="zh-TW"/>
        </w:rPr>
      </w:pPr>
      <w:r w:rsidRPr="00DA4C55">
        <w:rPr>
          <w:lang w:eastAsia="zh-TW"/>
        </w:rPr>
        <w:t>許春金，陳玉書</w:t>
      </w:r>
      <w:r w:rsidRPr="00DA4C55">
        <w:rPr>
          <w:lang w:eastAsia="zh-TW"/>
        </w:rPr>
        <w:t>(2013)</w:t>
      </w:r>
      <w:r w:rsidRPr="00DA4C55">
        <w:rPr>
          <w:lang w:eastAsia="zh-TW"/>
        </w:rPr>
        <w:t>，犯罪預防與犯罪分析，二版，台北：三民。</w:t>
      </w:r>
    </w:p>
  </w:footnote>
  <w:footnote w:id="343">
    <w:p w:rsidR="00657FEF" w:rsidRPr="00DA4C55" w:rsidRDefault="00657FEF" w:rsidP="00992AB6">
      <w:pPr>
        <w:pStyle w:val="5"/>
        <w:rPr>
          <w:lang w:eastAsia="zh-TW"/>
        </w:rPr>
      </w:pPr>
      <w:r w:rsidRPr="000260C3">
        <w:rPr>
          <w:rStyle w:val="af7"/>
          <w:rFonts w:eastAsia="新細明體" w:cs="Arial Unicode MS"/>
          <w:kern w:val="2"/>
          <w:szCs w:val="20"/>
        </w:rPr>
        <w:footnoteRef/>
      </w:r>
      <w:r w:rsidRPr="00DA4C55">
        <w:rPr>
          <w:lang w:eastAsia="zh-TW"/>
        </w:rPr>
        <w:t>許福生</w:t>
      </w:r>
      <w:r w:rsidRPr="00DA4C55">
        <w:rPr>
          <w:lang w:eastAsia="zh-TW"/>
        </w:rPr>
        <w:t>(2016)</w:t>
      </w:r>
      <w:r w:rsidRPr="00DA4C55">
        <w:rPr>
          <w:lang w:eastAsia="zh-TW"/>
        </w:rPr>
        <w:t>，犯罪學與犯罪預防，台北：元照。</w:t>
      </w:r>
    </w:p>
    <w:p w:rsidR="00657FEF" w:rsidRPr="00DA4C55" w:rsidRDefault="00657FEF" w:rsidP="00992AB6">
      <w:pPr>
        <w:pStyle w:val="5"/>
        <w:rPr>
          <w:lang w:eastAsia="zh-TW"/>
        </w:rPr>
      </w:pPr>
      <w:r w:rsidRPr="00DA4C55">
        <w:rPr>
          <w:lang w:eastAsia="zh-TW"/>
        </w:rPr>
        <w:t>許春金</w:t>
      </w:r>
      <w:r w:rsidRPr="00DA4C55">
        <w:rPr>
          <w:lang w:eastAsia="zh-TW"/>
        </w:rPr>
        <w:t>(2003)</w:t>
      </w:r>
      <w:r w:rsidRPr="00DA4C55">
        <w:rPr>
          <w:lang w:eastAsia="zh-TW"/>
        </w:rPr>
        <w:t>，犯罪學，桃園：中央警察大學。</w:t>
      </w:r>
    </w:p>
    <w:p w:rsidR="00657FEF" w:rsidRPr="00DA4C55" w:rsidRDefault="00657FEF" w:rsidP="00992AB6">
      <w:pPr>
        <w:pStyle w:val="5"/>
        <w:rPr>
          <w:lang w:eastAsia="zh-TW"/>
        </w:rPr>
      </w:pPr>
      <w:r w:rsidRPr="00DA4C55">
        <w:rPr>
          <w:lang w:eastAsia="zh-TW"/>
        </w:rPr>
        <w:t>許春金</w:t>
      </w:r>
      <w:r w:rsidRPr="00DA4C55">
        <w:rPr>
          <w:lang w:eastAsia="zh-TW"/>
        </w:rPr>
        <w:t>(2006)</w:t>
      </w:r>
      <w:r w:rsidRPr="00DA4C55">
        <w:rPr>
          <w:lang w:eastAsia="zh-TW"/>
        </w:rPr>
        <w:t>，人本犯罪學</w:t>
      </w:r>
      <w:r w:rsidRPr="00DA4C55">
        <w:rPr>
          <w:lang w:eastAsia="zh-TW"/>
        </w:rPr>
        <w:t>---</w:t>
      </w:r>
      <w:r w:rsidRPr="00DA4C55">
        <w:rPr>
          <w:lang w:eastAsia="zh-TW"/>
        </w:rPr>
        <w:t>控制理論與修復式正義，台北：三民書局。</w:t>
      </w:r>
    </w:p>
    <w:p w:rsidR="00657FEF" w:rsidRPr="00DA4C55" w:rsidRDefault="00657FEF" w:rsidP="00992AB6">
      <w:pPr>
        <w:pStyle w:val="5"/>
        <w:rPr>
          <w:lang w:eastAsia="zh-TW"/>
        </w:rPr>
      </w:pPr>
      <w:r w:rsidRPr="00DA4C55">
        <w:rPr>
          <w:lang w:eastAsia="zh-TW"/>
        </w:rPr>
        <w:t>許春金</w:t>
      </w:r>
      <w:r w:rsidRPr="00DA4C55">
        <w:rPr>
          <w:lang w:eastAsia="zh-TW"/>
        </w:rPr>
        <w:t>(2007)</w:t>
      </w:r>
      <w:r w:rsidRPr="00DA4C55">
        <w:rPr>
          <w:lang w:eastAsia="zh-TW"/>
        </w:rPr>
        <w:t>，犯罪學，修訂第五版。臺北：三民。</w:t>
      </w:r>
    </w:p>
    <w:p w:rsidR="00657FEF" w:rsidRPr="00DA4C55" w:rsidRDefault="00657FEF" w:rsidP="00992AB6">
      <w:pPr>
        <w:pStyle w:val="5"/>
        <w:rPr>
          <w:lang w:eastAsia="zh-TW"/>
        </w:rPr>
      </w:pPr>
      <w:r w:rsidRPr="00DA4C55">
        <w:rPr>
          <w:lang w:eastAsia="zh-TW"/>
        </w:rPr>
        <w:t>許春金</w:t>
      </w:r>
      <w:r w:rsidRPr="00DA4C55">
        <w:rPr>
          <w:lang w:eastAsia="zh-TW"/>
        </w:rPr>
        <w:t>(2010)</w:t>
      </w:r>
      <w:r w:rsidRPr="00DA4C55">
        <w:rPr>
          <w:lang w:eastAsia="zh-TW"/>
        </w:rPr>
        <w:t>，犯罪學修訂六版。臺北市：三民書局。</w:t>
      </w:r>
    </w:p>
    <w:p w:rsidR="00657FEF" w:rsidRPr="00DA4C55" w:rsidRDefault="00657FEF" w:rsidP="00992AB6">
      <w:pPr>
        <w:pStyle w:val="5"/>
        <w:rPr>
          <w:lang w:eastAsia="zh-TW"/>
        </w:rPr>
      </w:pPr>
      <w:r w:rsidRPr="00DA4C55">
        <w:rPr>
          <w:lang w:eastAsia="zh-TW"/>
        </w:rPr>
        <w:t>許春金</w:t>
      </w:r>
      <w:r w:rsidRPr="00DA4C55">
        <w:rPr>
          <w:lang w:eastAsia="zh-TW"/>
        </w:rPr>
        <w:t>(2013)</w:t>
      </w:r>
      <w:r w:rsidRPr="00DA4C55">
        <w:rPr>
          <w:lang w:eastAsia="zh-TW"/>
        </w:rPr>
        <w:t>，犯罪學，修訂</w:t>
      </w:r>
      <w:r w:rsidRPr="00DA4C55">
        <w:rPr>
          <w:lang w:eastAsia="zh-TW"/>
        </w:rPr>
        <w:t>7</w:t>
      </w:r>
      <w:r w:rsidRPr="00DA4C55">
        <w:rPr>
          <w:lang w:eastAsia="zh-TW"/>
        </w:rPr>
        <w:t>版，台北：三民，頁</w:t>
      </w:r>
      <w:r w:rsidRPr="00DA4C55">
        <w:rPr>
          <w:lang w:eastAsia="zh-TW"/>
        </w:rPr>
        <w:t>10-795</w:t>
      </w:r>
      <w:r w:rsidRPr="00DA4C55">
        <w:rPr>
          <w:lang w:eastAsia="zh-TW"/>
        </w:rPr>
        <w:t>。</w:t>
      </w:r>
    </w:p>
    <w:p w:rsidR="00657FEF" w:rsidRPr="00DA4C55" w:rsidRDefault="00657FEF" w:rsidP="00992AB6">
      <w:pPr>
        <w:pStyle w:val="5"/>
        <w:rPr>
          <w:lang w:eastAsia="zh-TW"/>
        </w:rPr>
      </w:pPr>
      <w:r w:rsidRPr="00DA4C55">
        <w:rPr>
          <w:lang w:eastAsia="zh-TW"/>
        </w:rPr>
        <w:t>許春金，陳玉書</w:t>
      </w:r>
      <w:r w:rsidRPr="00DA4C55">
        <w:rPr>
          <w:lang w:eastAsia="zh-TW"/>
        </w:rPr>
        <w:t>(2013)</w:t>
      </w:r>
      <w:r w:rsidRPr="00DA4C55">
        <w:rPr>
          <w:lang w:eastAsia="zh-TW"/>
        </w:rPr>
        <w:t>，犯罪預防與犯罪分析，二版，台北：三民。</w:t>
      </w:r>
    </w:p>
  </w:footnote>
  <w:footnote w:id="344">
    <w:p w:rsidR="00657FEF" w:rsidRPr="00DA4C55" w:rsidRDefault="00657FEF" w:rsidP="00992AB6">
      <w:pPr>
        <w:pStyle w:val="5"/>
        <w:rPr>
          <w:lang w:eastAsia="zh-TW"/>
        </w:rPr>
      </w:pPr>
      <w:r w:rsidRPr="000260C3">
        <w:rPr>
          <w:rStyle w:val="af7"/>
          <w:rFonts w:eastAsia="新細明體" w:cs="Arial Unicode MS"/>
          <w:kern w:val="2"/>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45">
    <w:p w:rsidR="00657FEF" w:rsidRPr="00DA4C55" w:rsidRDefault="00657FEF" w:rsidP="00992AB6">
      <w:pPr>
        <w:pStyle w:val="5"/>
        <w:rPr>
          <w:lang w:eastAsia="zh-TW"/>
        </w:rPr>
      </w:pPr>
      <w:r w:rsidRPr="000260C3">
        <w:rPr>
          <w:rStyle w:val="af7"/>
          <w:rFonts w:eastAsia="新細明體" w:cs="Arial Unicode MS"/>
          <w:kern w:val="2"/>
        </w:rPr>
        <w:footnoteRef/>
      </w:r>
      <w:r w:rsidRPr="00DA4C55">
        <w:rPr>
          <w:lang w:eastAsia="zh-TW"/>
        </w:rPr>
        <w:t xml:space="preserve"> SPSS</w:t>
      </w:r>
      <w:r w:rsidRPr="00DA4C55">
        <w:rPr>
          <w:lang w:eastAsia="zh-TW"/>
        </w:rPr>
        <w:t>軟體之多元迴歸分析之程式語法如下：</w:t>
      </w:r>
    </w:p>
    <w:p w:rsidR="00657FEF" w:rsidRPr="00DA4C55" w:rsidRDefault="00657FEF" w:rsidP="00992AB6">
      <w:pPr>
        <w:pStyle w:val="5"/>
      </w:pPr>
      <w:r w:rsidRPr="00DA4C55">
        <w:t>REGRESSION</w:t>
      </w:r>
    </w:p>
    <w:p w:rsidR="00657FEF" w:rsidRPr="00DA4C55" w:rsidRDefault="00657FEF" w:rsidP="00992AB6">
      <w:pPr>
        <w:pStyle w:val="5"/>
      </w:pPr>
      <w:r w:rsidRPr="00DA4C55">
        <w:t xml:space="preserve">  /DESCRIPTIVES MEAN STDDEV CORR SIG N</w:t>
      </w:r>
    </w:p>
    <w:p w:rsidR="00657FEF" w:rsidRPr="00DA4C55" w:rsidRDefault="00657FEF" w:rsidP="00992AB6">
      <w:pPr>
        <w:pStyle w:val="5"/>
      </w:pPr>
      <w:r w:rsidRPr="00DA4C55">
        <w:t xml:space="preserve">  /MISSING PAIRWISE</w:t>
      </w:r>
    </w:p>
    <w:p w:rsidR="00657FEF" w:rsidRPr="00DA4C55" w:rsidRDefault="00657FEF" w:rsidP="00992AB6">
      <w:pPr>
        <w:pStyle w:val="5"/>
      </w:pPr>
      <w:r w:rsidRPr="00DA4C55">
        <w:t xml:space="preserve">  /STATISTICS COEFF OUTS R ANOVA COLLIN TOL CHANGE ZPP</w:t>
      </w:r>
    </w:p>
    <w:p w:rsidR="00657FEF" w:rsidRPr="00DA4C55" w:rsidRDefault="00657FEF" w:rsidP="00992AB6">
      <w:pPr>
        <w:pStyle w:val="5"/>
      </w:pPr>
      <w:r w:rsidRPr="00DA4C55">
        <w:t xml:space="preserve">  /CRITERIA=PIN(.05) POUT(.10)</w:t>
      </w:r>
    </w:p>
    <w:p w:rsidR="00657FEF" w:rsidRPr="00DA4C55" w:rsidRDefault="00657FEF" w:rsidP="00992AB6">
      <w:pPr>
        <w:pStyle w:val="5"/>
      </w:pPr>
      <w:r w:rsidRPr="00DA4C55">
        <w:t xml:space="preserve">  /NOORIGIN</w:t>
      </w:r>
    </w:p>
    <w:p w:rsidR="00657FEF" w:rsidRPr="00DA4C55" w:rsidRDefault="00657FEF" w:rsidP="00992AB6">
      <w:pPr>
        <w:pStyle w:val="5"/>
      </w:pPr>
      <w:r w:rsidRPr="00DA4C55">
        <w:t xml:space="preserve">  /DEPENDENT Bigcrime2next</w:t>
      </w:r>
    </w:p>
    <w:p w:rsidR="00657FEF" w:rsidRPr="00DA4C55" w:rsidRDefault="00657FEF" w:rsidP="00992AB6">
      <w:pPr>
        <w:pStyle w:val="5"/>
      </w:pPr>
      <w:r w:rsidRPr="00DA4C55">
        <w:t xml:space="preserve">  /METHOD=REMOVE unemploymentrate marrypair over35manunmarryrate GNI</w:t>
      </w:r>
    </w:p>
    <w:p w:rsidR="00657FEF" w:rsidRPr="00DA4C55" w:rsidRDefault="00657FEF" w:rsidP="00992AB6">
      <w:pPr>
        <w:pStyle w:val="5"/>
        <w:rPr>
          <w:lang w:eastAsia="zh-TW"/>
        </w:rPr>
      </w:pPr>
      <w:r w:rsidRPr="00DA4C55">
        <w:t xml:space="preserve">  </w:t>
      </w:r>
      <w:r w:rsidRPr="00DA4C55">
        <w:rPr>
          <w:lang w:eastAsia="zh-TW"/>
        </w:rPr>
        <w:t>/CASEWISE PLOT(ZRESID) ALL.</w:t>
      </w:r>
    </w:p>
    <w:p w:rsidR="00657FEF" w:rsidRPr="00DA4C55" w:rsidRDefault="00657FEF" w:rsidP="00992AB6">
      <w:pPr>
        <w:pStyle w:val="5"/>
        <w:rPr>
          <w:lang w:eastAsia="zh-TW"/>
        </w:rPr>
      </w:pPr>
    </w:p>
  </w:footnote>
  <w:footnote w:id="346">
    <w:p w:rsidR="00657FEF" w:rsidRPr="00DA4C55" w:rsidRDefault="00657FEF" w:rsidP="00992AB6">
      <w:pPr>
        <w:pStyle w:val="5"/>
        <w:rPr>
          <w:lang w:eastAsia="zh-TW"/>
        </w:rPr>
      </w:pPr>
      <w:r w:rsidRPr="00E56787">
        <w:rPr>
          <w:rStyle w:val="af7"/>
          <w:rFonts w:eastAsia="新細明體" w:cs="Arial Unicode MS"/>
          <w:kern w:val="2"/>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47">
    <w:p w:rsidR="00657FEF" w:rsidRPr="00DA4C55" w:rsidRDefault="00657FEF" w:rsidP="00D162A0">
      <w:pPr>
        <w:pStyle w:val="5"/>
        <w:rPr>
          <w:lang w:eastAsia="zh-TW"/>
        </w:rPr>
      </w:pPr>
      <w:r w:rsidRPr="00871524">
        <w:rPr>
          <w:rStyle w:val="af7"/>
          <w:rFonts w:eastAsia="新細明體" w:cs="Arial Unicode MS"/>
          <w:kern w:val="2"/>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48">
    <w:p w:rsidR="00657FEF" w:rsidRPr="00DA4C55" w:rsidRDefault="00657FEF" w:rsidP="00D162A0">
      <w:pPr>
        <w:pStyle w:val="5"/>
        <w:rPr>
          <w:lang w:eastAsia="zh-TW"/>
        </w:rPr>
      </w:pPr>
      <w:r w:rsidRPr="00871524">
        <w:rPr>
          <w:rStyle w:val="af7"/>
          <w:rFonts w:eastAsia="新細明體" w:cs="Arial Unicode MS"/>
          <w:kern w:val="2"/>
        </w:rPr>
        <w:footnoteRef/>
      </w:r>
      <w:r w:rsidRPr="00DA4C55">
        <w:rPr>
          <w:lang w:eastAsia="zh-TW"/>
        </w:rPr>
        <w:t xml:space="preserve"> SPSS</w:t>
      </w:r>
      <w:r w:rsidRPr="00DA4C55">
        <w:rPr>
          <w:lang w:eastAsia="zh-TW"/>
        </w:rPr>
        <w:t>軟體之相關分析之程式語法如下：</w:t>
      </w:r>
    </w:p>
    <w:p w:rsidR="00657FEF" w:rsidRPr="00DA4C55" w:rsidRDefault="00657FEF" w:rsidP="00D162A0">
      <w:pPr>
        <w:pStyle w:val="5"/>
      </w:pPr>
      <w:r w:rsidRPr="00DA4C55">
        <w:t>CORRELATIONS</w:t>
      </w:r>
    </w:p>
    <w:p w:rsidR="00657FEF" w:rsidRPr="00DA4C55" w:rsidRDefault="00657FEF" w:rsidP="00D162A0">
      <w:pPr>
        <w:pStyle w:val="5"/>
      </w:pPr>
      <w:r w:rsidRPr="00DA4C55">
        <w:t xml:space="preserve">  /VARIABLES=nonderterminsentence Bigcrime Bigcrimenext Bigcrime2next</w:t>
      </w:r>
    </w:p>
    <w:p w:rsidR="00657FEF" w:rsidRPr="00DA4C55" w:rsidRDefault="00657FEF" w:rsidP="00D162A0">
      <w:pPr>
        <w:pStyle w:val="5"/>
      </w:pPr>
      <w:r w:rsidRPr="00DA4C55">
        <w:t xml:space="preserve">  /PRINT=TWOTAIL NOSIG</w:t>
      </w:r>
    </w:p>
    <w:p w:rsidR="00657FEF" w:rsidRPr="00DA4C55" w:rsidRDefault="00657FEF" w:rsidP="00D162A0">
      <w:pPr>
        <w:pStyle w:val="5"/>
      </w:pPr>
      <w:r w:rsidRPr="00DA4C55">
        <w:t xml:space="preserve">  /MISSING=PAIRWISE.</w:t>
      </w:r>
    </w:p>
  </w:footnote>
  <w:footnote w:id="349">
    <w:p w:rsidR="00657FEF" w:rsidRPr="00DA4C55" w:rsidRDefault="00657FEF" w:rsidP="00992AB6">
      <w:pPr>
        <w:pStyle w:val="5"/>
        <w:rPr>
          <w:lang w:eastAsia="zh-TW"/>
        </w:rPr>
      </w:pPr>
      <w:r w:rsidRPr="00871524">
        <w:rPr>
          <w:rStyle w:val="af7"/>
          <w:rFonts w:eastAsia="新細明體" w:cs="Arial Unicode MS"/>
          <w:kern w:val="2"/>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50">
    <w:p w:rsidR="00657FEF" w:rsidRPr="00DA4C55" w:rsidRDefault="00657FEF" w:rsidP="00992AB6">
      <w:pPr>
        <w:pStyle w:val="5"/>
        <w:rPr>
          <w:lang w:eastAsia="zh-TW"/>
        </w:rPr>
      </w:pPr>
      <w:r w:rsidRPr="009214BE">
        <w:rPr>
          <w:rStyle w:val="af7"/>
          <w:rFonts w:eastAsia="新細明體" w:cs="Arial Unicode MS"/>
          <w:kern w:val="2"/>
        </w:rPr>
        <w:footnoteRef/>
      </w:r>
      <w:r w:rsidRPr="00DA4C55">
        <w:rPr>
          <w:lang w:eastAsia="zh-TW"/>
        </w:rPr>
        <w:t>重大指標犯罪</w:t>
      </w:r>
      <w:r w:rsidRPr="00DA4C55">
        <w:rPr>
          <w:lang w:eastAsia="zh-TW"/>
        </w:rPr>
        <w:t>(</w:t>
      </w:r>
      <w:r w:rsidRPr="00DA4C55">
        <w:rPr>
          <w:lang w:eastAsia="zh-TW"/>
        </w:rPr>
        <w:t>重大暴力犯罪</w:t>
      </w:r>
      <w:r w:rsidRPr="00DA4C55">
        <w:rPr>
          <w:lang w:eastAsia="zh-TW"/>
        </w:rPr>
        <w:t>)=</w:t>
      </w:r>
      <w:r w:rsidRPr="00DA4C55">
        <w:rPr>
          <w:lang w:eastAsia="zh-TW"/>
        </w:rPr>
        <w:t>故意殺人犯罪</w:t>
      </w:r>
      <w:r w:rsidRPr="00DA4C55">
        <w:rPr>
          <w:lang w:eastAsia="zh-TW"/>
        </w:rPr>
        <w:t>+</w:t>
      </w:r>
      <w:r w:rsidRPr="00DA4C55">
        <w:rPr>
          <w:lang w:eastAsia="zh-TW"/>
        </w:rPr>
        <w:t>重傷犯罪</w:t>
      </w:r>
      <w:r w:rsidRPr="00DA4C55">
        <w:rPr>
          <w:lang w:eastAsia="zh-TW"/>
        </w:rPr>
        <w:t>+</w:t>
      </w:r>
      <w:r w:rsidRPr="00DA4C55">
        <w:rPr>
          <w:lang w:eastAsia="zh-TW"/>
        </w:rPr>
        <w:t>重大恐嚇取財犯罪</w:t>
      </w:r>
      <w:r w:rsidRPr="00DA4C55">
        <w:rPr>
          <w:lang w:eastAsia="zh-TW"/>
        </w:rPr>
        <w:t>+</w:t>
      </w:r>
      <w:r w:rsidRPr="00DA4C55">
        <w:rPr>
          <w:lang w:eastAsia="zh-TW"/>
        </w:rPr>
        <w:t>擄人勒贖犯罪</w:t>
      </w:r>
      <w:r w:rsidRPr="00DA4C55">
        <w:rPr>
          <w:lang w:eastAsia="zh-TW"/>
        </w:rPr>
        <w:t>+</w:t>
      </w:r>
      <w:r w:rsidRPr="00DA4C55">
        <w:rPr>
          <w:lang w:eastAsia="zh-TW"/>
        </w:rPr>
        <w:t>強盜搶奪犯罪</w:t>
      </w:r>
      <w:r w:rsidRPr="00DA4C55">
        <w:rPr>
          <w:lang w:eastAsia="zh-TW"/>
        </w:rPr>
        <w:t>+</w:t>
      </w:r>
      <w:r w:rsidRPr="00DA4C55">
        <w:rPr>
          <w:lang w:eastAsia="zh-TW"/>
        </w:rPr>
        <w:t>強制性交犯罪。</w:t>
      </w:r>
    </w:p>
  </w:footnote>
  <w:footnote w:id="351">
    <w:p w:rsidR="00657FEF" w:rsidRPr="00DA4C55" w:rsidRDefault="00657FEF" w:rsidP="00992AB6">
      <w:pPr>
        <w:pStyle w:val="5"/>
        <w:rPr>
          <w:lang w:eastAsia="zh-TW"/>
        </w:rPr>
      </w:pPr>
      <w:r w:rsidRPr="00871524">
        <w:rPr>
          <w:rStyle w:val="af7"/>
          <w:rFonts w:eastAsia="新細明體" w:cs="Arial Unicode MS"/>
          <w:kern w:val="2"/>
        </w:rPr>
        <w:footnoteRef/>
      </w:r>
      <w:r w:rsidRPr="00DA4C55">
        <w:rPr>
          <w:lang w:eastAsia="zh-TW"/>
        </w:rPr>
        <w:t xml:space="preserve"> SPSS</w:t>
      </w:r>
      <w:r w:rsidRPr="00DA4C55">
        <w:rPr>
          <w:lang w:eastAsia="zh-TW"/>
        </w:rPr>
        <w:t>軟體之相關分析之程式語法如下：</w:t>
      </w:r>
    </w:p>
    <w:p w:rsidR="00657FEF" w:rsidRPr="00DA4C55" w:rsidRDefault="00657FEF" w:rsidP="00992AB6">
      <w:pPr>
        <w:pStyle w:val="5"/>
      </w:pPr>
      <w:r w:rsidRPr="00DA4C55">
        <w:t>CORRELATIONS</w:t>
      </w:r>
    </w:p>
    <w:p w:rsidR="00657FEF" w:rsidRPr="00DA4C55" w:rsidRDefault="00657FEF" w:rsidP="00992AB6">
      <w:pPr>
        <w:pStyle w:val="5"/>
      </w:pPr>
      <w:r w:rsidRPr="00DA4C55">
        <w:t xml:space="preserve">  /VARIABLES=</w:t>
      </w:r>
      <w:r w:rsidRPr="00DA4C55">
        <w:t>死刑執行人數</w:t>
      </w:r>
      <w:r w:rsidRPr="00DA4C55">
        <w:t xml:space="preserve"> Bigcrime Bigcrimenext Bigcrime2next</w:t>
      </w:r>
    </w:p>
    <w:p w:rsidR="00657FEF" w:rsidRPr="00DA4C55" w:rsidRDefault="00657FEF" w:rsidP="00992AB6">
      <w:pPr>
        <w:pStyle w:val="5"/>
      </w:pPr>
      <w:r w:rsidRPr="00DA4C55">
        <w:t xml:space="preserve">  /PRINT=TWOTAIL NOSIG</w:t>
      </w:r>
    </w:p>
    <w:p w:rsidR="00657FEF" w:rsidRPr="00DA4C55" w:rsidRDefault="00657FEF" w:rsidP="00992AB6">
      <w:pPr>
        <w:pStyle w:val="5"/>
      </w:pPr>
      <w:r w:rsidRPr="00DA4C55">
        <w:t xml:space="preserve">  /MISSING=PAIRWISE.</w:t>
      </w:r>
    </w:p>
  </w:footnote>
  <w:footnote w:id="352">
    <w:p w:rsidR="00657FEF" w:rsidRPr="00DA4C55" w:rsidRDefault="00657FEF" w:rsidP="00992AB6">
      <w:pPr>
        <w:pStyle w:val="5"/>
      </w:pPr>
      <w:r w:rsidRPr="009214BE">
        <w:rPr>
          <w:rStyle w:val="af7"/>
          <w:rFonts w:eastAsia="新細明體" w:cs="Arial Unicode MS"/>
          <w:kern w:val="2"/>
        </w:rPr>
        <w:footnoteRef/>
      </w:r>
      <w:r w:rsidRPr="009214BE">
        <w:rPr>
          <w:rFonts w:ascii="Arial Unicode MS" w:eastAsia="新細明體" w:hAnsi="Arial Unicode MS"/>
          <w:color w:val="FF6600"/>
          <w:kern w:val="2"/>
        </w:rPr>
        <w:t xml:space="preserve"> </w:t>
      </w:r>
      <w:r w:rsidRPr="00DA4C55">
        <w:rPr>
          <w:rStyle w:val="st1"/>
        </w:rPr>
        <w:t>Gottfredson, M. R., &amp; Hirschi, T. (1990). A general theory of crime. Stanford University Press.</w:t>
      </w:r>
    </w:p>
  </w:footnote>
  <w:footnote w:id="353">
    <w:p w:rsidR="00657FEF" w:rsidRPr="00DA4C55" w:rsidRDefault="00657FEF" w:rsidP="00992AB6">
      <w:pPr>
        <w:pStyle w:val="5"/>
      </w:pPr>
      <w:r w:rsidRPr="009214BE">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54">
    <w:p w:rsidR="00657FEF" w:rsidRPr="00DA4C55" w:rsidRDefault="00657FEF" w:rsidP="00992AB6">
      <w:pPr>
        <w:pStyle w:val="5"/>
      </w:pPr>
      <w:r w:rsidRPr="009214BE">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55">
    <w:p w:rsidR="00657FEF" w:rsidRPr="00DA4C55" w:rsidRDefault="00657FEF" w:rsidP="00992AB6">
      <w:pPr>
        <w:pStyle w:val="5"/>
      </w:pPr>
      <w:r w:rsidRPr="00871524">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56">
    <w:p w:rsidR="00657FEF" w:rsidRPr="00DA4C55" w:rsidRDefault="00657FEF" w:rsidP="00992AB6">
      <w:pPr>
        <w:pStyle w:val="5"/>
      </w:pPr>
      <w:r w:rsidRPr="00871524">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57">
    <w:p w:rsidR="00657FEF" w:rsidRPr="00DA4C55" w:rsidRDefault="00657FEF" w:rsidP="00992AB6">
      <w:pPr>
        <w:pStyle w:val="5"/>
      </w:pPr>
      <w:r w:rsidRPr="00871524">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58">
    <w:p w:rsidR="00657FEF" w:rsidRPr="00DA4C55" w:rsidRDefault="00657FEF" w:rsidP="00992AB6">
      <w:pPr>
        <w:pStyle w:val="5"/>
      </w:pPr>
      <w:r w:rsidRPr="009214BE">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59">
    <w:p w:rsidR="00657FEF" w:rsidRPr="00DA4C55" w:rsidRDefault="00657FEF" w:rsidP="00992AB6">
      <w:pPr>
        <w:pStyle w:val="5"/>
      </w:pPr>
      <w:r w:rsidRPr="009214BE">
        <w:rPr>
          <w:rStyle w:val="af7"/>
          <w:rFonts w:eastAsia="新細明體" w:cs="Arial Unicode MS"/>
          <w:kern w:val="2"/>
        </w:rPr>
        <w:footnoteRef/>
      </w:r>
      <w:r w:rsidRPr="009214BE">
        <w:rPr>
          <w:rFonts w:ascii="Arial Unicode MS" w:eastAsia="新細明體" w:hAnsi="Arial Unicode MS"/>
          <w:color w:val="FF6600"/>
          <w:kern w:val="2"/>
        </w:rPr>
        <w:t xml:space="preserve"> </w:t>
      </w:r>
      <w:r w:rsidRPr="00DA4C55">
        <w:rPr>
          <w:rStyle w:val="st1"/>
        </w:rPr>
        <w:t>Gottfredson, M. R., &amp; Hirschi, T. (1990). A general theory of crime. Stanford University Press.</w:t>
      </w:r>
    </w:p>
  </w:footnote>
  <w:footnote w:id="360">
    <w:p w:rsidR="00657FEF" w:rsidRPr="00DA4C55" w:rsidRDefault="00657FEF" w:rsidP="00992AB6">
      <w:pPr>
        <w:pStyle w:val="5"/>
      </w:pPr>
      <w:r w:rsidRPr="009214BE">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61">
    <w:p w:rsidR="00657FEF" w:rsidRPr="00DA4C55" w:rsidRDefault="00657FEF" w:rsidP="00992AB6">
      <w:pPr>
        <w:pStyle w:val="5"/>
      </w:pPr>
      <w:r w:rsidRPr="009214BE">
        <w:rPr>
          <w:rStyle w:val="af7"/>
          <w:rFonts w:eastAsia="新細明體" w:cs="Arial Unicode MS"/>
          <w:kern w:val="2"/>
        </w:rPr>
        <w:footnoteRef/>
      </w:r>
      <w:r w:rsidRPr="009214BE">
        <w:rPr>
          <w:rFonts w:ascii="Arial Unicode MS" w:eastAsia="新細明體" w:hAnsi="Arial Unicode MS"/>
          <w:color w:val="FF6600"/>
          <w:kern w:val="2"/>
        </w:rPr>
        <w:t xml:space="preserve"> </w:t>
      </w:r>
      <w:r w:rsidRPr="00DA4C55">
        <w:rPr>
          <w:rStyle w:val="st1"/>
        </w:rPr>
        <w:t>Gottfredson, M. R., &amp; Hirschi, T. (1990). A general theory of crime. Stanford University Press.</w:t>
      </w:r>
    </w:p>
  </w:footnote>
  <w:footnote w:id="362">
    <w:p w:rsidR="00657FEF" w:rsidRPr="00DA4C55" w:rsidRDefault="00657FEF" w:rsidP="00992AB6">
      <w:pPr>
        <w:pStyle w:val="5"/>
      </w:pPr>
      <w:r w:rsidRPr="009214BE">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63">
    <w:p w:rsidR="00657FEF" w:rsidRPr="00DA4C55" w:rsidRDefault="00657FEF" w:rsidP="00992AB6">
      <w:pPr>
        <w:pStyle w:val="5"/>
      </w:pPr>
      <w:r w:rsidRPr="00F64183">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64">
    <w:p w:rsidR="00657FEF" w:rsidRPr="00DA4C55" w:rsidRDefault="00657FEF" w:rsidP="00992AB6">
      <w:pPr>
        <w:pStyle w:val="5"/>
      </w:pPr>
      <w:r w:rsidRPr="00F64183">
        <w:rPr>
          <w:rStyle w:val="af7"/>
          <w:rFonts w:eastAsia="新細明體" w:cs="Arial Unicode MS"/>
          <w:kern w:val="2"/>
        </w:rPr>
        <w:footnoteRef/>
      </w:r>
      <w:r w:rsidRPr="00F64183">
        <w:rPr>
          <w:rFonts w:ascii="Arial Unicode MS" w:eastAsia="新細明體" w:hAnsi="Arial Unicode MS"/>
          <w:color w:val="FF6600"/>
          <w:kern w:val="2"/>
        </w:rPr>
        <w:t xml:space="preserve"> </w:t>
      </w:r>
      <w:r w:rsidRPr="00DA4C55">
        <w:rPr>
          <w:rStyle w:val="st1"/>
        </w:rPr>
        <w:t>Gottfredson, M. R., &amp; Hirschi, T. (1990). A general theory of crime. Stanford University Press.</w:t>
      </w:r>
    </w:p>
  </w:footnote>
  <w:footnote w:id="365">
    <w:p w:rsidR="00657FEF" w:rsidRPr="00DA4C55" w:rsidRDefault="00657FEF" w:rsidP="00992AB6">
      <w:pPr>
        <w:pStyle w:val="5"/>
      </w:pPr>
      <w:r w:rsidRPr="00F64183">
        <w:rPr>
          <w:rStyle w:val="af7"/>
          <w:rFonts w:eastAsia="新細明體" w:cs="Arial Unicode MS"/>
          <w:kern w:val="2"/>
        </w:rPr>
        <w:footnoteRef/>
      </w:r>
      <w:r w:rsidRPr="00DA4C55">
        <w:t xml:space="preserve"> </w:t>
      </w:r>
      <w:r w:rsidRPr="00DA4C55">
        <w:rPr>
          <w:rStyle w:val="st1"/>
        </w:rPr>
        <w:t xml:space="preserve">Gottfredson, M. R., &amp; Hirschi, T. (1990). A </w:t>
      </w:r>
      <w:r w:rsidRPr="00DA4C55">
        <w:br/>
      </w:r>
      <w:r w:rsidRPr="00DA4C55">
        <w:rPr>
          <w:rStyle w:val="st1"/>
        </w:rPr>
        <w:t>general theory of crime. Stanford University Press.</w:t>
      </w:r>
    </w:p>
  </w:footnote>
  <w:footnote w:id="366">
    <w:p w:rsidR="00657FEF" w:rsidRPr="00DA4C55" w:rsidRDefault="00657FEF" w:rsidP="00992AB6">
      <w:pPr>
        <w:pStyle w:val="5"/>
      </w:pPr>
      <w:r w:rsidRPr="00B277E1">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67">
    <w:p w:rsidR="00657FEF" w:rsidRPr="00DA4C55" w:rsidRDefault="00657FEF" w:rsidP="00992AB6">
      <w:pPr>
        <w:pStyle w:val="5"/>
      </w:pPr>
      <w:r w:rsidRPr="00B277E1">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68">
    <w:p w:rsidR="00657FEF" w:rsidRPr="00DA4C55" w:rsidRDefault="00657FEF" w:rsidP="00992AB6">
      <w:pPr>
        <w:pStyle w:val="5"/>
      </w:pPr>
      <w:r w:rsidRPr="00B277E1">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69">
    <w:p w:rsidR="00657FEF" w:rsidRPr="00DA4C55" w:rsidRDefault="00657FEF" w:rsidP="00992AB6">
      <w:pPr>
        <w:pStyle w:val="5"/>
      </w:pPr>
      <w:r w:rsidRPr="00B277E1">
        <w:rPr>
          <w:rStyle w:val="af7"/>
          <w:rFonts w:eastAsia="新細明體" w:cs="Arial Unicode MS"/>
          <w:kern w:val="2"/>
        </w:rPr>
        <w:footnoteRef/>
      </w:r>
      <w:r w:rsidRPr="00B277E1">
        <w:rPr>
          <w:rFonts w:ascii="Arial Unicode MS" w:eastAsia="新細明體" w:hAnsi="Arial Unicode MS"/>
          <w:color w:val="FF6600"/>
          <w:kern w:val="2"/>
        </w:rPr>
        <w:t xml:space="preserve"> </w:t>
      </w:r>
      <w:r w:rsidRPr="00DA4C55">
        <w:rPr>
          <w:rStyle w:val="st1"/>
        </w:rPr>
        <w:t>Gottfredson, M. R., &amp; Hirschi, T. (1990). A general theory of crime. Stanford University Press.</w:t>
      </w:r>
    </w:p>
  </w:footnote>
  <w:footnote w:id="370">
    <w:p w:rsidR="00657FEF" w:rsidRPr="00DA4C55" w:rsidRDefault="00657FEF" w:rsidP="00992AB6">
      <w:pPr>
        <w:pStyle w:val="5"/>
      </w:pPr>
      <w:r w:rsidRPr="00B277E1">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71">
    <w:p w:rsidR="00657FEF" w:rsidRPr="00DA4C55" w:rsidRDefault="00657FEF" w:rsidP="00992AB6">
      <w:pPr>
        <w:pStyle w:val="5"/>
        <w:rPr>
          <w:rStyle w:val="st1"/>
          <w:lang w:eastAsia="zh-TW"/>
        </w:rPr>
      </w:pPr>
      <w:r w:rsidRPr="00B277E1">
        <w:rPr>
          <w:rStyle w:val="af7"/>
          <w:rFonts w:eastAsia="新細明體" w:cs="Arial Unicode MS"/>
          <w:kern w:val="2"/>
        </w:rPr>
        <w:footnoteRef/>
      </w:r>
      <w:r w:rsidRPr="00DA4C55">
        <w:rPr>
          <w:rStyle w:val="af7"/>
          <w:rFonts w:cs="Arial Unicode MS"/>
          <w:color w:val="5F5F5F"/>
          <w:lang w:eastAsia="zh-TW"/>
        </w:rPr>
        <w:t xml:space="preserve"> </w:t>
      </w:r>
      <w:r w:rsidRPr="00DA4C55">
        <w:rPr>
          <w:rStyle w:val="st1"/>
          <w:lang w:eastAsia="zh-TW"/>
        </w:rPr>
        <w:t>人格測量之指標如下：在</w:t>
      </w:r>
      <w:r w:rsidRPr="00DA4C55">
        <w:rPr>
          <w:rStyle w:val="st1"/>
          <w:lang w:eastAsia="zh-TW"/>
        </w:rPr>
        <w:t xml:space="preserve">Porteus  Maze  Tests  </w:t>
      </w:r>
      <w:r w:rsidRPr="00DA4C55">
        <w:rPr>
          <w:rStyle w:val="st1"/>
          <w:lang w:eastAsia="zh-TW"/>
        </w:rPr>
        <w:t>測驗上，其</w:t>
      </w:r>
      <w:r w:rsidRPr="00DA4C55">
        <w:rPr>
          <w:rStyle w:val="st1"/>
          <w:lang w:eastAsia="zh-TW"/>
        </w:rPr>
        <w:t>Q</w:t>
      </w:r>
      <w:r w:rsidRPr="00DA4C55">
        <w:rPr>
          <w:rStyle w:val="st1"/>
          <w:lang w:eastAsia="zh-TW"/>
        </w:rPr>
        <w:t>分數較高；獨斷性；勇敢性</w:t>
      </w:r>
      <w:r w:rsidRPr="00DA4C55">
        <w:rPr>
          <w:rStyle w:val="st1"/>
          <w:lang w:eastAsia="zh-TW"/>
        </w:rPr>
        <w:t>(</w:t>
      </w:r>
      <w:r w:rsidRPr="00DA4C55">
        <w:rPr>
          <w:rStyle w:val="st1"/>
          <w:lang w:eastAsia="zh-TW"/>
        </w:rPr>
        <w:t>無畏、毫不畏懼</w:t>
      </w:r>
      <w:r w:rsidRPr="00DA4C55">
        <w:rPr>
          <w:rStyle w:val="st1"/>
          <w:lang w:eastAsia="zh-TW"/>
        </w:rPr>
        <w:t>)</w:t>
      </w:r>
      <w:r w:rsidRPr="00DA4C55">
        <w:rPr>
          <w:rStyle w:val="st1"/>
          <w:lang w:eastAsia="zh-TW"/>
        </w:rPr>
        <w:t>；攻擊性；非傳統性</w:t>
      </w:r>
      <w:r w:rsidRPr="00DA4C55">
        <w:rPr>
          <w:rStyle w:val="st1"/>
          <w:lang w:eastAsia="zh-TW"/>
        </w:rPr>
        <w:t>(</w:t>
      </w:r>
      <w:r w:rsidRPr="00DA4C55">
        <w:rPr>
          <w:rStyle w:val="st1"/>
          <w:lang w:eastAsia="zh-TW"/>
        </w:rPr>
        <w:t>或可譯為：非習慣性，非因襲性、非慣例性</w:t>
      </w:r>
      <w:r w:rsidRPr="00DA4C55">
        <w:rPr>
          <w:rStyle w:val="st1"/>
          <w:lang w:eastAsia="zh-TW"/>
        </w:rPr>
        <w:t>)</w:t>
      </w:r>
      <w:r w:rsidRPr="00DA4C55">
        <w:rPr>
          <w:rStyle w:val="st1"/>
          <w:lang w:eastAsia="zh-TW"/>
        </w:rPr>
        <w:t>；外控性；未完全地社會化；精神異常性；精神分裂性；輕躁性；過動性；健康較差；笨拙性、不誠實性</w:t>
      </w:r>
      <w:r w:rsidRPr="00DA4C55">
        <w:rPr>
          <w:rStyle w:val="st1"/>
          <w:lang w:eastAsia="zh-TW"/>
        </w:rPr>
        <w:t>(lefthandedness)</w:t>
      </w:r>
      <w:r w:rsidRPr="00DA4C55">
        <w:rPr>
          <w:rStyle w:val="st1"/>
          <w:lang w:eastAsia="zh-TW"/>
        </w:rPr>
        <w:t>。</w:t>
      </w:r>
    </w:p>
  </w:footnote>
  <w:footnote w:id="372">
    <w:p w:rsidR="00657FEF" w:rsidRPr="00DA4C55" w:rsidRDefault="00657FEF" w:rsidP="00992AB6">
      <w:pPr>
        <w:pStyle w:val="5"/>
      </w:pPr>
      <w:r w:rsidRPr="00B277E1">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73">
    <w:p w:rsidR="00657FEF" w:rsidRPr="00DA4C55" w:rsidRDefault="00657FEF" w:rsidP="00992AB6">
      <w:pPr>
        <w:pStyle w:val="5"/>
      </w:pPr>
      <w:r w:rsidRPr="00B277E1">
        <w:rPr>
          <w:rStyle w:val="af7"/>
          <w:rFonts w:eastAsia="新細明體" w:cs="Arial Unicode MS"/>
          <w:kern w:val="2"/>
        </w:rPr>
        <w:footnoteRef/>
      </w:r>
      <w:r w:rsidRPr="00B277E1">
        <w:rPr>
          <w:rFonts w:ascii="Arial Unicode MS" w:eastAsia="新細明體" w:hAnsi="Arial Unicode MS"/>
          <w:color w:val="FF6600"/>
          <w:kern w:val="2"/>
        </w:rPr>
        <w:t xml:space="preserve"> </w:t>
      </w:r>
      <w:r w:rsidRPr="00DA4C55">
        <w:rPr>
          <w:rStyle w:val="st1"/>
        </w:rPr>
        <w:t>Gottfredson, M. R., &amp; Hirschi, T. (1990). A general theory of crime. Stanford University Press.</w:t>
      </w:r>
    </w:p>
  </w:footnote>
  <w:footnote w:id="374">
    <w:p w:rsidR="00657FEF" w:rsidRPr="00DA4C55" w:rsidRDefault="00657FEF" w:rsidP="00992AB6">
      <w:pPr>
        <w:pStyle w:val="5"/>
      </w:pPr>
      <w:r w:rsidRPr="00B277E1">
        <w:rPr>
          <w:rStyle w:val="af7"/>
          <w:rFonts w:eastAsia="新細明體" w:cs="Arial Unicode MS"/>
          <w:kern w:val="2"/>
        </w:rPr>
        <w:footnoteRef/>
      </w:r>
      <w:r w:rsidRPr="00DA4C55">
        <w:t xml:space="preserve"> </w:t>
      </w:r>
      <w:r w:rsidRPr="00DA4C55">
        <w:rPr>
          <w:rStyle w:val="st1"/>
        </w:rPr>
        <w:t>Gottfredson, M. R., &amp; Hirschi, T. (1990). A general theory of crime. Stanford University Press.</w:t>
      </w:r>
    </w:p>
  </w:footnote>
  <w:footnote w:id="375">
    <w:p w:rsidR="00657FEF" w:rsidRPr="00DA4C55" w:rsidRDefault="00657FEF" w:rsidP="00992AB6">
      <w:pPr>
        <w:pStyle w:val="5"/>
      </w:pPr>
      <w:r w:rsidRPr="00664AD3">
        <w:rPr>
          <w:rStyle w:val="af7"/>
          <w:rFonts w:cs="Arial Unicode MS"/>
        </w:rPr>
        <w:footnoteRef/>
      </w:r>
      <w:r w:rsidRPr="00DA4C55">
        <w:t xml:space="preserve"> </w:t>
      </w:r>
      <w:r w:rsidRPr="00DA4C55">
        <w:rPr>
          <w:rStyle w:val="st1"/>
        </w:rPr>
        <w:t>Gottfredson, M. R., &amp; Hirschi, T. (1990). A general theory of crime. Stanford University Press.</w:t>
      </w:r>
    </w:p>
  </w:footnote>
  <w:footnote w:id="376">
    <w:p w:rsidR="00657FEF" w:rsidRPr="00DA4C55" w:rsidRDefault="00657FEF" w:rsidP="00992AB6">
      <w:pPr>
        <w:pStyle w:val="5"/>
        <w:rPr>
          <w:lang w:eastAsia="zh-TW"/>
        </w:rPr>
      </w:pPr>
      <w:r w:rsidRPr="00B277E1">
        <w:rPr>
          <w:rStyle w:val="af7"/>
          <w:rFonts w:eastAsia="新細明體" w:cs="Arial Unicode MS"/>
          <w:kern w:val="2"/>
        </w:rPr>
        <w:footnoteRef/>
      </w:r>
      <w:r w:rsidRPr="00DA4C55">
        <w:t xml:space="preserve"> </w:t>
      </w:r>
      <w:r w:rsidRPr="00DA4C55">
        <w:rPr>
          <w:rStyle w:val="st1"/>
        </w:rPr>
        <w:t xml:space="preserve">Gottfredson, M. R., &amp; Hirschi, T. (1990). A general theory of crime. </w:t>
      </w:r>
      <w:r w:rsidRPr="00DA4C55">
        <w:rPr>
          <w:rStyle w:val="st1"/>
          <w:lang w:eastAsia="zh-TW"/>
        </w:rPr>
        <w:t>Stanford University Press.</w:t>
      </w:r>
    </w:p>
  </w:footnote>
  <w:footnote w:id="377">
    <w:p w:rsidR="00657FEF" w:rsidRPr="008147DC" w:rsidRDefault="00657FEF" w:rsidP="00992AB6">
      <w:pPr>
        <w:pStyle w:val="5"/>
        <w:rPr>
          <w:lang w:eastAsia="zh-TW"/>
        </w:rPr>
      </w:pPr>
      <w:r w:rsidRPr="00B277E1">
        <w:rPr>
          <w:rStyle w:val="af7"/>
          <w:rFonts w:eastAsia="新細明體"/>
          <w:kern w:val="2"/>
        </w:rPr>
        <w:footnoteRef/>
      </w:r>
      <w:r w:rsidRPr="008147DC">
        <w:rPr>
          <w:lang w:eastAsia="zh-TW"/>
        </w:rPr>
        <w:t>每提升無期徒刑之人數</w:t>
      </w:r>
      <w:r w:rsidRPr="008147DC">
        <w:rPr>
          <w:lang w:eastAsia="zh-TW"/>
        </w:rPr>
        <w:t>1</w:t>
      </w:r>
      <w:r w:rsidRPr="008147DC">
        <w:rPr>
          <w:lang w:eastAsia="zh-TW"/>
        </w:rPr>
        <w:t>個單位之標準差</w:t>
      </w:r>
      <w:r w:rsidRPr="008147DC">
        <w:rPr>
          <w:lang w:eastAsia="zh-TW"/>
        </w:rPr>
        <w:t>(1</w:t>
      </w:r>
      <w:r w:rsidRPr="008147DC">
        <w:rPr>
          <w:rStyle w:val="st1"/>
          <w:rFonts w:asciiTheme="minorEastAsia" w:eastAsiaTheme="minorEastAsia" w:hAnsiTheme="minorEastAsia"/>
          <w:lang w:eastAsia="zh-TW"/>
        </w:rPr>
        <w:t>個標準單位)</w:t>
      </w:r>
      <w:r w:rsidRPr="008147DC">
        <w:rPr>
          <w:lang w:eastAsia="zh-TW"/>
        </w:rPr>
        <w:t>，則可增加</w:t>
      </w:r>
      <w:r w:rsidRPr="008147DC">
        <w:rPr>
          <w:lang w:eastAsia="zh-TW"/>
        </w:rPr>
        <w:t>0.763</w:t>
      </w:r>
      <w:r w:rsidRPr="008147DC">
        <w:rPr>
          <w:lang w:eastAsia="zh-TW"/>
        </w:rPr>
        <w:t>個單位之標準差</w:t>
      </w:r>
      <w:r w:rsidRPr="008147DC">
        <w:rPr>
          <w:lang w:eastAsia="zh-TW"/>
        </w:rPr>
        <w:t>(</w:t>
      </w:r>
      <w:r w:rsidRPr="008147DC">
        <w:rPr>
          <w:lang w:eastAsia="zh-TW"/>
        </w:rPr>
        <w:t>標準化迴歸係數值，</w:t>
      </w:r>
      <w:r w:rsidRPr="008147DC">
        <w:rPr>
          <w:lang w:eastAsia="zh-TW"/>
        </w:rPr>
        <w:t>Beta=0.763)</w:t>
      </w:r>
      <w:r w:rsidRPr="008147DC">
        <w:rPr>
          <w:lang w:eastAsia="zh-TW"/>
        </w:rPr>
        <w:t>之當年度殺人犯罪被定罪人數。每提升被執行死刑之人數</w:t>
      </w:r>
      <w:r w:rsidRPr="008147DC">
        <w:rPr>
          <w:lang w:eastAsia="zh-TW"/>
        </w:rPr>
        <w:t>1</w:t>
      </w:r>
      <w:r w:rsidRPr="008147DC">
        <w:rPr>
          <w:lang w:eastAsia="zh-TW"/>
        </w:rPr>
        <w:t>個單位之標準差</w:t>
      </w:r>
      <w:r w:rsidRPr="008147DC">
        <w:rPr>
          <w:lang w:eastAsia="zh-TW"/>
        </w:rPr>
        <w:t>(1</w:t>
      </w:r>
      <w:r w:rsidRPr="008147DC">
        <w:rPr>
          <w:rStyle w:val="st1"/>
          <w:rFonts w:asciiTheme="minorEastAsia" w:eastAsiaTheme="minorEastAsia" w:hAnsiTheme="minorEastAsia"/>
          <w:lang w:eastAsia="zh-TW"/>
        </w:rPr>
        <w:t>個標準單位)</w:t>
      </w:r>
      <w:r w:rsidRPr="008147DC">
        <w:rPr>
          <w:lang w:eastAsia="zh-TW"/>
        </w:rPr>
        <w:t>，則可增加</w:t>
      </w:r>
      <w:r w:rsidRPr="008147DC">
        <w:rPr>
          <w:lang w:eastAsia="zh-TW"/>
        </w:rPr>
        <w:t>0.276</w:t>
      </w:r>
      <w:r w:rsidRPr="008147DC">
        <w:rPr>
          <w:lang w:eastAsia="zh-TW"/>
        </w:rPr>
        <w:t>個單位之標準差</w:t>
      </w:r>
      <w:r w:rsidRPr="008147DC">
        <w:rPr>
          <w:lang w:eastAsia="zh-TW"/>
        </w:rPr>
        <w:t>(</w:t>
      </w:r>
      <w:r w:rsidRPr="008147DC">
        <w:rPr>
          <w:lang w:eastAsia="zh-TW"/>
        </w:rPr>
        <w:t>標準化迴歸係數值，</w:t>
      </w:r>
      <w:r w:rsidRPr="008147DC">
        <w:rPr>
          <w:lang w:eastAsia="zh-TW"/>
        </w:rPr>
        <w:t>Beta=0.276)</w:t>
      </w:r>
      <w:r w:rsidRPr="008147DC">
        <w:rPr>
          <w:lang w:eastAsia="zh-TW"/>
        </w:rPr>
        <w:t>之當年度殺人犯罪被定罪人數。</w:t>
      </w:r>
    </w:p>
  </w:footnote>
  <w:footnote w:id="378">
    <w:p w:rsidR="00657FEF" w:rsidRPr="00871524" w:rsidRDefault="00657FEF" w:rsidP="0014189D">
      <w:pPr>
        <w:pStyle w:val="5"/>
        <w:jc w:val="left"/>
      </w:pPr>
      <w:r w:rsidRPr="00E30C8F">
        <w:rPr>
          <w:rStyle w:val="af7"/>
          <w:rFonts w:eastAsia="新細明體" w:cs="Arial Unicode MS"/>
          <w:kern w:val="2"/>
          <w:szCs w:val="20"/>
        </w:rPr>
        <w:footnoteRef/>
      </w:r>
      <w:r w:rsidRPr="00DA4C55">
        <w:t xml:space="preserve"> </w:t>
      </w:r>
      <w:r w:rsidRPr="00DA4C55">
        <w:tab/>
      </w:r>
      <w:r w:rsidRPr="00DA4C55">
        <w:t>加拿大公民及移民部</w:t>
      </w:r>
      <w:r w:rsidRPr="00DA4C55">
        <w:t>(2015)</w:t>
      </w:r>
      <w:r w:rsidRPr="00DA4C55">
        <w:t>，瀏覽時間：</w:t>
      </w:r>
      <w:r w:rsidRPr="00DA4C55">
        <w:t>2015</w:t>
      </w:r>
      <w:r w:rsidRPr="00DA4C55">
        <w:t>年</w:t>
      </w:r>
      <w:r w:rsidRPr="00DA4C55">
        <w:t>5</w:t>
      </w:r>
      <w:r w:rsidRPr="00DA4C55">
        <w:t>月</w:t>
      </w:r>
      <w:r w:rsidRPr="00DA4C55">
        <w:t>10</w:t>
      </w:r>
      <w:r w:rsidRPr="00DA4C55">
        <w:t>日，</w:t>
      </w:r>
      <w:hyperlink r:id="rId88" w:history="1">
        <w:r w:rsidRPr="00871524">
          <w:rPr>
            <w:rStyle w:val="a7"/>
            <w:rFonts w:ascii="Arial Unicode MS" w:eastAsia="新細明體" w:hAnsi="Arial Unicode MS" w:cs="Calibri"/>
            <w:color w:val="5F5F5F"/>
            <w:kern w:val="2"/>
            <w:sz w:val="18"/>
          </w:rPr>
          <w:t>http://www.cic.gc.ca/english/immigrate/skilled/apply-factors.asp</w:t>
        </w:r>
      </w:hyperlink>
      <w:r w:rsidRPr="00871524">
        <w:t>。</w:t>
      </w:r>
    </w:p>
  </w:footnote>
  <w:footnote w:id="379">
    <w:p w:rsidR="00657FEF" w:rsidRPr="00871524" w:rsidRDefault="00657FEF" w:rsidP="0014189D">
      <w:pPr>
        <w:pStyle w:val="5"/>
        <w:jc w:val="left"/>
      </w:pPr>
      <w:r w:rsidRPr="00871524">
        <w:rPr>
          <w:rStyle w:val="af7"/>
          <w:rFonts w:eastAsia="新細明體" w:cs="Arial Unicode MS"/>
          <w:kern w:val="2"/>
          <w:szCs w:val="20"/>
        </w:rPr>
        <w:footnoteRef/>
      </w:r>
      <w:r w:rsidRPr="00871524">
        <w:rPr>
          <w:rFonts w:ascii="Arial Unicode MS" w:eastAsia="新細明體" w:hAnsi="Arial Unicode MS"/>
          <w:color w:val="FF6600"/>
          <w:kern w:val="2"/>
        </w:rPr>
        <w:t xml:space="preserve"> </w:t>
      </w:r>
      <w:r w:rsidRPr="00871524">
        <w:tab/>
      </w:r>
      <w:r w:rsidRPr="00871524">
        <w:t>紐西蘭移民局</w:t>
      </w:r>
      <w:r w:rsidRPr="00871524">
        <w:t>(2015)</w:t>
      </w:r>
      <w:r w:rsidRPr="00871524">
        <w:t>，瀏覽時間：</w:t>
      </w:r>
      <w:r w:rsidRPr="00871524">
        <w:t>2015</w:t>
      </w:r>
      <w:r w:rsidRPr="00871524">
        <w:t>年</w:t>
      </w:r>
      <w:r w:rsidRPr="00871524">
        <w:t>5</w:t>
      </w:r>
      <w:r w:rsidRPr="00871524">
        <w:t>月</w:t>
      </w:r>
      <w:r w:rsidRPr="00871524">
        <w:t>10</w:t>
      </w:r>
      <w:r w:rsidRPr="00871524">
        <w:t>日，</w:t>
      </w:r>
      <w:hyperlink r:id="rId89" w:history="1">
        <w:r w:rsidRPr="00A5712E">
          <w:rPr>
            <w:rStyle w:val="a7"/>
            <w:rFonts w:ascii="Arial Unicode MS" w:eastAsia="新細明體" w:hAnsi="Arial Unicode MS" w:cs="Calibri"/>
            <w:color w:val="5F5F5F"/>
            <w:kern w:val="2"/>
            <w:sz w:val="18"/>
          </w:rPr>
          <w:t>http://www.immigration.govt.nz/migrant/stream/work/skilledmigrant/caniapply/points/</w:t>
        </w:r>
      </w:hyperlink>
      <w:r w:rsidRPr="00A5712E">
        <w:rPr>
          <w:color w:val="5F5F5F"/>
        </w:rPr>
        <w:t>。</w:t>
      </w:r>
    </w:p>
  </w:footnote>
  <w:footnote w:id="380">
    <w:p w:rsidR="00657FEF" w:rsidRPr="0071175F" w:rsidRDefault="00657FEF" w:rsidP="00992AB6">
      <w:pPr>
        <w:pStyle w:val="5"/>
        <w:rPr>
          <w:color w:val="5F5F5F"/>
        </w:rPr>
      </w:pPr>
      <w:r w:rsidRPr="00871524">
        <w:rPr>
          <w:rStyle w:val="af7"/>
          <w:rFonts w:eastAsia="新細明體" w:cs="Arial Unicode MS"/>
          <w:kern w:val="2"/>
          <w:szCs w:val="20"/>
        </w:rPr>
        <w:footnoteRef/>
      </w:r>
      <w:r w:rsidRPr="00871524">
        <w:t xml:space="preserve"> </w:t>
      </w:r>
      <w:r w:rsidRPr="00871524">
        <w:tab/>
      </w:r>
      <w:r w:rsidRPr="00871524">
        <w:t>澳洲移民局</w:t>
      </w:r>
      <w:r w:rsidRPr="00871524">
        <w:t>(2015)</w:t>
      </w:r>
      <w:r w:rsidRPr="00871524">
        <w:t>，瀏覽時間：</w:t>
      </w:r>
      <w:r w:rsidRPr="00871524">
        <w:t>2015</w:t>
      </w:r>
      <w:r w:rsidRPr="00871524">
        <w:t>年</w:t>
      </w:r>
      <w:r w:rsidRPr="00871524">
        <w:t>5</w:t>
      </w:r>
      <w:r w:rsidRPr="00871524">
        <w:t>月</w:t>
      </w:r>
      <w:r w:rsidRPr="00871524">
        <w:t>10</w:t>
      </w:r>
      <w:r w:rsidRPr="00871524">
        <w:t>日，</w:t>
      </w:r>
      <w:hyperlink r:id="rId90" w:history="1">
        <w:r w:rsidRPr="0071175F">
          <w:rPr>
            <w:rStyle w:val="a7"/>
            <w:rFonts w:ascii="Arial Unicode MS" w:eastAsia="新細明體" w:hAnsi="Arial Unicode MS" w:cs="Calibri"/>
            <w:color w:val="5F5F5F"/>
            <w:kern w:val="2"/>
            <w:sz w:val="18"/>
          </w:rPr>
          <w:t>http://www.immi.gov.au/FAQs/Pages/what-is-the-points-test.aspx</w:t>
        </w:r>
      </w:hyperlink>
      <w:r w:rsidRPr="0071175F">
        <w:rPr>
          <w:color w:val="5F5F5F"/>
        </w:rPr>
        <w:t>。</w:t>
      </w:r>
    </w:p>
  </w:footnote>
  <w:footnote w:id="381">
    <w:p w:rsidR="00657FEF" w:rsidRPr="00DA4C55" w:rsidRDefault="00657FEF" w:rsidP="00992AB6">
      <w:pPr>
        <w:pStyle w:val="5"/>
        <w:rPr>
          <w:lang w:eastAsia="zh-TW"/>
        </w:rPr>
      </w:pPr>
      <w:r w:rsidRPr="001E5A9C">
        <w:rPr>
          <w:rStyle w:val="af7"/>
          <w:rFonts w:eastAsia="新細明體" w:cs="Arial Unicode MS"/>
          <w:kern w:val="2"/>
          <w:szCs w:val="20"/>
        </w:rPr>
        <w:footnoteRef/>
      </w:r>
      <w:r w:rsidRPr="00DA4C55">
        <w:rPr>
          <w:lang w:eastAsia="zh-TW"/>
        </w:rPr>
        <w:t xml:space="preserve"> </w:t>
      </w:r>
      <w:r w:rsidRPr="00DA4C55">
        <w:rPr>
          <w:lang w:eastAsia="zh-TW"/>
        </w:rPr>
        <w:tab/>
      </w:r>
      <w:r w:rsidRPr="00DA4C55">
        <w:rPr>
          <w:lang w:eastAsia="zh-TW"/>
        </w:rPr>
        <w:t>有關於移民之定義及其內涵，尚可參閱以下之重要文獻：</w:t>
      </w:r>
      <w:r w:rsidRPr="00DA4C55">
        <w:rPr>
          <w:lang w:eastAsia="zh-TW"/>
        </w:rPr>
        <w:br/>
        <w:t>Charles M. Beach(2012)</w:t>
      </w:r>
      <w:r w:rsidRPr="00DA4C55">
        <w:rPr>
          <w:lang w:eastAsia="zh-TW"/>
        </w:rPr>
        <w:t>，加拿大評點制：優劣分析及經驗談，收錄於</w:t>
      </w:r>
      <w:r w:rsidRPr="00DA4C55">
        <w:rPr>
          <w:lang w:eastAsia="zh-TW"/>
        </w:rPr>
        <w:t>2012</w:t>
      </w:r>
      <w:r w:rsidRPr="00DA4C55">
        <w:rPr>
          <w:lang w:eastAsia="zh-TW"/>
        </w:rPr>
        <w:t>年移民政策國際研討會</w:t>
      </w:r>
      <w:r w:rsidRPr="00DA4C55">
        <w:rPr>
          <w:lang w:eastAsia="zh-TW"/>
        </w:rPr>
        <w:t>──</w:t>
      </w:r>
      <w:r w:rsidRPr="00DA4C55">
        <w:rPr>
          <w:lang w:eastAsia="zh-TW"/>
        </w:rPr>
        <w:t>全球人才競逐研討會實錄，臺北市：臺北花園大酒店。</w:t>
      </w:r>
      <w:r w:rsidRPr="00DA4C55">
        <w:rPr>
          <w:lang w:eastAsia="zh-TW"/>
        </w:rPr>
        <w:br/>
      </w:r>
      <w:r w:rsidRPr="00DA4C55">
        <w:rPr>
          <w:lang w:eastAsia="zh-TW"/>
        </w:rPr>
        <w:t>內政部入出國及移民署</w:t>
      </w:r>
      <w:r w:rsidRPr="00DA4C55">
        <w:rPr>
          <w:lang w:eastAsia="zh-TW"/>
        </w:rPr>
        <w:t>(2009)</w:t>
      </w:r>
      <w:r w:rsidRPr="00DA4C55">
        <w:rPr>
          <w:lang w:eastAsia="zh-TW"/>
        </w:rPr>
        <w:t>，移民行政白皮書，台北市：移民署。</w:t>
      </w:r>
      <w:r w:rsidRPr="00DA4C55">
        <w:rPr>
          <w:lang w:eastAsia="zh-TW"/>
        </w:rPr>
        <w:br/>
      </w:r>
      <w:r w:rsidRPr="00DA4C55">
        <w:rPr>
          <w:lang w:eastAsia="zh-TW"/>
        </w:rPr>
        <w:t>王寬弘</w:t>
      </w:r>
      <w:r w:rsidRPr="00DA4C55">
        <w:rPr>
          <w:lang w:eastAsia="zh-TW"/>
        </w:rPr>
        <w:t>(2011)</w:t>
      </w:r>
      <w:r w:rsidRPr="00DA4C55">
        <w:rPr>
          <w:lang w:eastAsia="zh-TW"/>
        </w:rPr>
        <w:t>，「大陸地區人民進入台灣相關入出境法令問題淺探」，</w:t>
      </w:r>
      <w:r w:rsidRPr="00DA4C55">
        <w:rPr>
          <w:lang w:eastAsia="zh-TW"/>
        </w:rPr>
        <w:t>2011</w:t>
      </w:r>
      <w:r w:rsidRPr="00DA4C55">
        <w:rPr>
          <w:lang w:eastAsia="zh-TW"/>
        </w:rPr>
        <w:t>年人口移動與執法學術研討會。</w:t>
      </w:r>
      <w:r w:rsidRPr="00DA4C55">
        <w:rPr>
          <w:lang w:eastAsia="zh-TW"/>
        </w:rPr>
        <w:br/>
      </w:r>
      <w:r w:rsidRPr="00DA4C55">
        <w:rPr>
          <w:lang w:eastAsia="zh-TW"/>
        </w:rPr>
        <w:t>王寬弘</w:t>
      </w:r>
      <w:r w:rsidRPr="00DA4C55">
        <w:rPr>
          <w:lang w:eastAsia="zh-TW"/>
        </w:rPr>
        <w:t>(2012)</w:t>
      </w:r>
      <w:r w:rsidRPr="00DA4C55">
        <w:rPr>
          <w:lang w:eastAsia="zh-TW"/>
        </w:rPr>
        <w:t>，「大陸地區人民進入台灣相關入出境法令問題淺探」，國土安全與國境管理學報，第</w:t>
      </w:r>
      <w:r w:rsidRPr="00DA4C55">
        <w:rPr>
          <w:lang w:eastAsia="zh-TW"/>
        </w:rPr>
        <w:t>17</w:t>
      </w:r>
      <w:r w:rsidRPr="00DA4C55">
        <w:rPr>
          <w:lang w:eastAsia="zh-TW"/>
        </w:rPr>
        <w:t>期，頁</w:t>
      </w:r>
      <w:r w:rsidRPr="00DA4C55">
        <w:rPr>
          <w:lang w:eastAsia="zh-TW"/>
        </w:rPr>
        <w:t>155-185</w:t>
      </w:r>
      <w:r w:rsidRPr="00DA4C55">
        <w:rPr>
          <w:lang w:eastAsia="zh-TW"/>
        </w:rPr>
        <w:t>。</w:t>
      </w:r>
      <w:r w:rsidRPr="00DA4C55">
        <w:rPr>
          <w:lang w:eastAsia="zh-TW"/>
        </w:rPr>
        <w:br/>
      </w:r>
      <w:r w:rsidRPr="00DA4C55">
        <w:rPr>
          <w:lang w:eastAsia="zh-TW"/>
        </w:rPr>
        <w:t>王寬弘</w:t>
      </w:r>
      <w:r w:rsidRPr="00DA4C55">
        <w:rPr>
          <w:lang w:eastAsia="zh-TW"/>
        </w:rPr>
        <w:t>(2012)</w:t>
      </w:r>
      <w:r w:rsidRPr="00DA4C55">
        <w:rPr>
          <w:lang w:eastAsia="zh-TW"/>
        </w:rPr>
        <w:t>，「我國打擊人口販運查緝困境之研究</w:t>
      </w:r>
      <w:r w:rsidRPr="00DA4C55">
        <w:rPr>
          <w:lang w:eastAsia="zh-TW"/>
        </w:rPr>
        <w:t>──</w:t>
      </w:r>
      <w:r w:rsidRPr="00DA4C55">
        <w:rPr>
          <w:lang w:eastAsia="zh-TW"/>
        </w:rPr>
        <w:t>以警察及移民機關為例」，</w:t>
      </w:r>
      <w:r w:rsidRPr="00DA4C55">
        <w:rPr>
          <w:lang w:eastAsia="zh-TW"/>
        </w:rPr>
        <w:t>2012</w:t>
      </w:r>
      <w:r w:rsidRPr="00DA4C55">
        <w:rPr>
          <w:lang w:eastAsia="zh-TW"/>
        </w:rPr>
        <w:t>年人口移動與國境執法學術研討會。</w:t>
      </w:r>
      <w:r w:rsidRPr="00DA4C55">
        <w:rPr>
          <w:lang w:eastAsia="zh-TW"/>
        </w:rPr>
        <w:br/>
      </w:r>
      <w:r w:rsidRPr="00DA4C55">
        <w:rPr>
          <w:lang w:eastAsia="zh-TW"/>
        </w:rPr>
        <w:t>王寬弘</w:t>
      </w:r>
      <w:r w:rsidRPr="00DA4C55">
        <w:rPr>
          <w:lang w:eastAsia="zh-TW"/>
        </w:rPr>
        <w:t>(2014)</w:t>
      </w:r>
      <w:r w:rsidRPr="00DA4C55">
        <w:rPr>
          <w:lang w:eastAsia="zh-TW"/>
        </w:rPr>
        <w:t>，移民與國境管理，收錄於陳明傳、蔡庭榕、孟維德、王寬弘、柯雨瑞、許義寶、謝文忠、王智盛、林盈君、高佩珊等合著</w:t>
      </w:r>
      <w:r w:rsidRPr="00DA4C55">
        <w:rPr>
          <w:lang w:eastAsia="zh-TW"/>
        </w:rPr>
        <w:t>(2014)</w:t>
      </w:r>
      <w:r w:rsidRPr="00DA4C55">
        <w:rPr>
          <w:lang w:eastAsia="zh-TW"/>
        </w:rPr>
        <w:t>，移民之理論與實務，桃園：中央警察大學出版社。</w:t>
      </w:r>
      <w:r w:rsidRPr="00DA4C55">
        <w:rPr>
          <w:lang w:eastAsia="zh-TW"/>
        </w:rPr>
        <w:br/>
      </w:r>
      <w:r w:rsidRPr="00DA4C55">
        <w:rPr>
          <w:lang w:eastAsia="zh-TW"/>
        </w:rPr>
        <w:t>行政院研究發展考核委員會</w:t>
      </w:r>
      <w:r w:rsidRPr="00DA4C55">
        <w:rPr>
          <w:lang w:eastAsia="zh-TW"/>
        </w:rPr>
        <w:t>(2011)</w:t>
      </w:r>
      <w:r w:rsidRPr="00DA4C55">
        <w:rPr>
          <w:lang w:eastAsia="zh-TW"/>
        </w:rPr>
        <w:t>，各國移民參政權之比較研究，台北市：行政院研究發展考核委員會。</w:t>
      </w:r>
      <w:r w:rsidRPr="00DA4C55">
        <w:rPr>
          <w:lang w:eastAsia="zh-TW"/>
        </w:rPr>
        <w:br/>
      </w:r>
      <w:r w:rsidRPr="00DA4C55">
        <w:rPr>
          <w:lang w:eastAsia="zh-TW"/>
        </w:rPr>
        <w:t>何雨畊</w:t>
      </w:r>
      <w:r w:rsidRPr="00DA4C55">
        <w:rPr>
          <w:lang w:eastAsia="zh-TW"/>
        </w:rPr>
        <w:t>(2007)</w:t>
      </w:r>
      <w:r w:rsidRPr="00DA4C55">
        <w:rPr>
          <w:lang w:eastAsia="zh-TW"/>
        </w:rPr>
        <w:t>，我國移民政策之探討</w:t>
      </w:r>
      <w:r w:rsidRPr="00DA4C55">
        <w:rPr>
          <w:lang w:eastAsia="zh-TW"/>
        </w:rPr>
        <w:t>──</w:t>
      </w:r>
      <w:r w:rsidRPr="00DA4C55">
        <w:rPr>
          <w:lang w:eastAsia="zh-TW"/>
        </w:rPr>
        <w:t>吸引國外專業移民之研究，中央警察大學外事警察研究所碩士論文。</w:t>
      </w:r>
      <w:r w:rsidRPr="00DA4C55">
        <w:rPr>
          <w:lang w:eastAsia="zh-TW"/>
        </w:rPr>
        <w:br/>
      </w:r>
      <w:r w:rsidRPr="00DA4C55">
        <w:rPr>
          <w:lang w:eastAsia="zh-TW"/>
        </w:rPr>
        <w:t>吳孟璇</w:t>
      </w:r>
      <w:r w:rsidRPr="00DA4C55">
        <w:rPr>
          <w:lang w:eastAsia="zh-TW"/>
        </w:rPr>
        <w:t>(2009)</w:t>
      </w:r>
      <w:r w:rsidRPr="00DA4C55">
        <w:rPr>
          <w:lang w:eastAsia="zh-TW"/>
        </w:rPr>
        <w:t>，臺灣專業人力移民及投資移民政策之研究，逢甲大學公共政策研究所碩士論文。</w:t>
      </w:r>
      <w:r w:rsidRPr="00DA4C55">
        <w:rPr>
          <w:lang w:eastAsia="zh-TW"/>
        </w:rPr>
        <w:br/>
      </w:r>
      <w:r w:rsidRPr="00DA4C55">
        <w:rPr>
          <w:lang w:eastAsia="zh-TW"/>
        </w:rPr>
        <w:t>汪毓瑋</w:t>
      </w:r>
      <w:r w:rsidRPr="00DA4C55">
        <w:rPr>
          <w:lang w:eastAsia="zh-TW"/>
        </w:rPr>
        <w:t>(2011)</w:t>
      </w:r>
      <w:r w:rsidRPr="00DA4C55">
        <w:rPr>
          <w:lang w:eastAsia="zh-TW"/>
        </w:rPr>
        <w:t>，「強化我國吸引專技與投資移民應有作為之研究」，</w:t>
      </w:r>
      <w:r w:rsidRPr="00DA4C55">
        <w:rPr>
          <w:lang w:eastAsia="zh-TW"/>
        </w:rPr>
        <w:t>2011</w:t>
      </w:r>
      <w:r w:rsidRPr="00DA4C55">
        <w:rPr>
          <w:lang w:eastAsia="zh-TW"/>
        </w:rPr>
        <w:t>年人口移動與執法學術研討會（龜山），頁</w:t>
      </w:r>
      <w:r w:rsidRPr="00DA4C55">
        <w:rPr>
          <w:lang w:eastAsia="zh-TW"/>
        </w:rPr>
        <w:t>151-167</w:t>
      </w:r>
      <w:r w:rsidRPr="00DA4C55">
        <w:rPr>
          <w:lang w:eastAsia="zh-TW"/>
        </w:rPr>
        <w:t>。</w:t>
      </w:r>
      <w:r w:rsidRPr="00DA4C55">
        <w:rPr>
          <w:lang w:eastAsia="zh-TW"/>
        </w:rPr>
        <w:br/>
      </w:r>
      <w:r w:rsidRPr="00DA4C55">
        <w:rPr>
          <w:lang w:eastAsia="zh-TW"/>
        </w:rPr>
        <w:t>汪毓瑋</w:t>
      </w:r>
      <w:r w:rsidRPr="00DA4C55">
        <w:rPr>
          <w:lang w:eastAsia="zh-TW"/>
        </w:rPr>
        <w:t>(2011)</w:t>
      </w:r>
      <w:r w:rsidRPr="00DA4C55">
        <w:rPr>
          <w:lang w:eastAsia="zh-TW"/>
        </w:rPr>
        <w:t>，強化我國吸引專技與投資移民應有作為之研究，收於「人口移動與執法」學術研討會論文集。</w:t>
      </w:r>
      <w:r w:rsidRPr="00DA4C55">
        <w:rPr>
          <w:lang w:eastAsia="zh-TW"/>
        </w:rPr>
        <w:br/>
      </w:r>
      <w:r w:rsidRPr="00DA4C55">
        <w:rPr>
          <w:lang w:eastAsia="zh-TW"/>
        </w:rPr>
        <w:t>汪毓瑋</w:t>
      </w:r>
      <w:r w:rsidRPr="00DA4C55">
        <w:rPr>
          <w:lang w:eastAsia="zh-TW"/>
        </w:rPr>
        <w:t>(2007)</w:t>
      </w:r>
      <w:r w:rsidRPr="00DA4C55">
        <w:rPr>
          <w:lang w:eastAsia="zh-TW"/>
        </w:rPr>
        <w:t>，人口移動與移民政策之研究，國境學報第八期。轉引自</w:t>
      </w:r>
      <w:r w:rsidRPr="00DA4C55">
        <w:rPr>
          <w:lang w:eastAsia="zh-TW"/>
        </w:rPr>
        <w:t>Australian Institute of Criminology (1999), Migration and Culture and Crime (Israel)</w:t>
      </w:r>
      <w:r w:rsidRPr="00DA4C55">
        <w:rPr>
          <w:lang w:eastAsia="zh-TW"/>
        </w:rPr>
        <w:t>。</w:t>
      </w:r>
      <w:r w:rsidRPr="00DA4C55">
        <w:rPr>
          <w:lang w:eastAsia="zh-TW"/>
        </w:rPr>
        <w:br/>
      </w:r>
      <w:r w:rsidRPr="00DA4C55">
        <w:rPr>
          <w:lang w:eastAsia="zh-TW"/>
        </w:rPr>
        <w:t>林愛玲</w:t>
      </w:r>
      <w:r w:rsidRPr="00DA4C55">
        <w:rPr>
          <w:lang w:eastAsia="zh-TW"/>
        </w:rPr>
        <w:t>(2011)</w:t>
      </w:r>
      <w:r w:rsidRPr="00DA4C55">
        <w:rPr>
          <w:lang w:eastAsia="zh-TW"/>
        </w:rPr>
        <w:t>，臺灣與澳洲高級專業人才移民政策之比較研究</w:t>
      </w:r>
      <w:r w:rsidRPr="00DA4C55">
        <w:rPr>
          <w:lang w:eastAsia="zh-TW"/>
        </w:rPr>
        <w:t>──</w:t>
      </w:r>
      <w:r w:rsidRPr="00DA4C55">
        <w:rPr>
          <w:lang w:eastAsia="zh-TW"/>
        </w:rPr>
        <w:t>全球化現象下專技移民之消長，中央警察大學外事警察研究所碩士論文。</w:t>
      </w:r>
      <w:r w:rsidRPr="00DA4C55">
        <w:rPr>
          <w:lang w:eastAsia="zh-TW"/>
        </w:rPr>
        <w:br/>
      </w:r>
      <w:r w:rsidRPr="00DA4C55">
        <w:rPr>
          <w:lang w:eastAsia="zh-TW"/>
        </w:rPr>
        <w:t>施念慧</w:t>
      </w:r>
      <w:r w:rsidRPr="00DA4C55">
        <w:rPr>
          <w:lang w:eastAsia="zh-TW"/>
        </w:rPr>
        <w:t>(2008)</w:t>
      </w:r>
      <w:r w:rsidRPr="00DA4C55">
        <w:rPr>
          <w:lang w:eastAsia="zh-TW"/>
        </w:rPr>
        <w:t>，論我國之外國人永久居留制度</w:t>
      </w:r>
      <w:r w:rsidRPr="00DA4C55">
        <w:rPr>
          <w:lang w:eastAsia="zh-TW"/>
        </w:rPr>
        <w:t>──</w:t>
      </w:r>
      <w:r w:rsidRPr="00DA4C55">
        <w:rPr>
          <w:lang w:eastAsia="zh-TW"/>
        </w:rPr>
        <w:t>與加拿大、德國、新加坡比較，中央警察大學外事警察研究所碩士論文。</w:t>
      </w:r>
      <w:r w:rsidRPr="00DA4C55">
        <w:rPr>
          <w:lang w:eastAsia="zh-TW"/>
        </w:rPr>
        <w:br/>
      </w:r>
      <w:r w:rsidRPr="00DA4C55">
        <w:rPr>
          <w:lang w:eastAsia="zh-TW"/>
        </w:rPr>
        <w:t>馬福美</w:t>
      </w:r>
      <w:r w:rsidRPr="00DA4C55">
        <w:rPr>
          <w:lang w:eastAsia="zh-TW"/>
        </w:rPr>
        <w:t>(2008)</w:t>
      </w:r>
      <w:r w:rsidRPr="00DA4C55">
        <w:rPr>
          <w:lang w:eastAsia="zh-TW"/>
        </w:rPr>
        <w:t>，我國移民法制之研究，國立臺灣師範大學政治學研究所碩士論文。</w:t>
      </w:r>
      <w:r w:rsidRPr="00DA4C55">
        <w:rPr>
          <w:lang w:eastAsia="zh-TW"/>
        </w:rPr>
        <w:br/>
      </w:r>
      <w:r w:rsidRPr="00DA4C55">
        <w:rPr>
          <w:lang w:eastAsia="zh-TW"/>
        </w:rPr>
        <w:t>高佩珊</w:t>
      </w:r>
      <w:r w:rsidRPr="00DA4C55">
        <w:rPr>
          <w:lang w:eastAsia="zh-TW"/>
        </w:rPr>
        <w:t>(2015)</w:t>
      </w:r>
      <w:r w:rsidRPr="00DA4C55">
        <w:rPr>
          <w:lang w:eastAsia="zh-TW"/>
        </w:rPr>
        <w:t>，歐盟移民問題探討，發表於中央警察大學移民研究中心</w:t>
      </w:r>
      <w:r w:rsidRPr="00DA4C55">
        <w:rPr>
          <w:lang w:eastAsia="zh-TW"/>
        </w:rPr>
        <w:t>2015</w:t>
      </w:r>
      <w:r w:rsidRPr="00DA4C55">
        <w:rPr>
          <w:lang w:eastAsia="zh-TW"/>
        </w:rPr>
        <w:t>年「人口移動與執法」學術研討會。</w:t>
      </w:r>
      <w:r w:rsidRPr="00DA4C55">
        <w:rPr>
          <w:lang w:eastAsia="zh-TW"/>
        </w:rPr>
        <w:br/>
      </w:r>
      <w:r w:rsidRPr="00DA4C55">
        <w:rPr>
          <w:lang w:eastAsia="zh-TW"/>
        </w:rPr>
        <w:t>許義寶</w:t>
      </w:r>
      <w:r w:rsidRPr="00DA4C55">
        <w:rPr>
          <w:lang w:eastAsia="zh-TW"/>
        </w:rPr>
        <w:t>(2014)</w:t>
      </w:r>
      <w:r w:rsidRPr="00DA4C55">
        <w:rPr>
          <w:lang w:eastAsia="zh-TW"/>
        </w:rPr>
        <w:t>，入出國法制與人權保障</w:t>
      </w:r>
      <w:r w:rsidRPr="00DA4C55">
        <w:rPr>
          <w:lang w:eastAsia="zh-TW"/>
        </w:rPr>
        <w:t>(</w:t>
      </w:r>
      <w:r w:rsidRPr="00DA4C55">
        <w:rPr>
          <w:lang w:eastAsia="zh-TW"/>
        </w:rPr>
        <w:t>二版</w:t>
      </w:r>
      <w:r w:rsidRPr="00DA4C55">
        <w:rPr>
          <w:lang w:eastAsia="zh-TW"/>
        </w:rPr>
        <w:t>)</w:t>
      </w:r>
      <w:r w:rsidRPr="00DA4C55">
        <w:rPr>
          <w:lang w:eastAsia="zh-TW"/>
        </w:rPr>
        <w:t>，五南。</w:t>
      </w:r>
      <w:r w:rsidRPr="00DA4C55">
        <w:rPr>
          <w:lang w:eastAsia="zh-TW"/>
        </w:rPr>
        <w:br/>
      </w:r>
      <w:r w:rsidRPr="00DA4C55">
        <w:rPr>
          <w:lang w:eastAsia="zh-TW"/>
        </w:rPr>
        <w:t>許義寶</w:t>
      </w:r>
      <w:r w:rsidRPr="00DA4C55">
        <w:rPr>
          <w:lang w:eastAsia="zh-TW"/>
        </w:rPr>
        <w:t>(2014)</w:t>
      </w:r>
      <w:r w:rsidRPr="00DA4C55">
        <w:rPr>
          <w:lang w:eastAsia="zh-TW"/>
        </w:rPr>
        <w:t>，論移民之概念與其基本權利之保障，中央警察大學國土安全與國境管理學報</w:t>
      </w:r>
      <w:r w:rsidRPr="00DA4C55">
        <w:rPr>
          <w:lang w:eastAsia="zh-TW"/>
        </w:rPr>
        <w:t>22</w:t>
      </w:r>
      <w:r w:rsidRPr="00DA4C55">
        <w:rPr>
          <w:lang w:eastAsia="zh-TW"/>
        </w:rPr>
        <w:t>期，頁</w:t>
      </w:r>
      <w:r w:rsidRPr="00DA4C55">
        <w:rPr>
          <w:lang w:eastAsia="zh-TW"/>
        </w:rPr>
        <w:t>175-219</w:t>
      </w:r>
      <w:r w:rsidRPr="00DA4C55">
        <w:rPr>
          <w:lang w:eastAsia="zh-TW"/>
        </w:rPr>
        <w:t>。</w:t>
      </w:r>
      <w:r w:rsidRPr="00DA4C55">
        <w:rPr>
          <w:lang w:eastAsia="zh-TW"/>
        </w:rPr>
        <w:br/>
      </w:r>
      <w:r w:rsidRPr="00DA4C55">
        <w:rPr>
          <w:lang w:eastAsia="zh-TW"/>
        </w:rPr>
        <w:t>許義寶</w:t>
      </w:r>
      <w:r w:rsidRPr="00DA4C55">
        <w:rPr>
          <w:lang w:eastAsia="zh-TW"/>
        </w:rPr>
        <w:t>(2015)</w:t>
      </w:r>
      <w:r w:rsidRPr="00DA4C55">
        <w:rPr>
          <w:lang w:eastAsia="zh-TW"/>
        </w:rPr>
        <w:t>，移民人權保障之立法規範</w:t>
      </w:r>
      <w:r w:rsidRPr="00DA4C55">
        <w:rPr>
          <w:lang w:eastAsia="zh-TW"/>
        </w:rPr>
        <w:t>──</w:t>
      </w:r>
      <w:r w:rsidRPr="00DA4C55">
        <w:rPr>
          <w:lang w:eastAsia="zh-TW"/>
        </w:rPr>
        <w:t>以入出國及移民法為例，發表於中央警察大學移民研究中心</w:t>
      </w:r>
      <w:r w:rsidRPr="00DA4C55">
        <w:rPr>
          <w:lang w:eastAsia="zh-TW"/>
        </w:rPr>
        <w:t>2015</w:t>
      </w:r>
      <w:r w:rsidRPr="00DA4C55">
        <w:rPr>
          <w:lang w:eastAsia="zh-TW"/>
        </w:rPr>
        <w:t>年「人口移動與執法」學術研討會。</w:t>
      </w:r>
      <w:r w:rsidRPr="00DA4C55">
        <w:rPr>
          <w:lang w:eastAsia="zh-TW"/>
        </w:rPr>
        <w:br/>
      </w:r>
      <w:r w:rsidRPr="00DA4C55">
        <w:rPr>
          <w:lang w:eastAsia="zh-TW"/>
        </w:rPr>
        <w:t>吳學燕</w:t>
      </w:r>
      <w:r w:rsidRPr="00DA4C55">
        <w:rPr>
          <w:lang w:eastAsia="zh-TW"/>
        </w:rPr>
        <w:t>(2011)</w:t>
      </w:r>
      <w:r w:rsidRPr="00DA4C55">
        <w:rPr>
          <w:lang w:eastAsia="zh-TW"/>
        </w:rPr>
        <w:t>，移民政策與法規，台北市：文笙書局。</w:t>
      </w:r>
      <w:r w:rsidRPr="00DA4C55">
        <w:rPr>
          <w:lang w:eastAsia="zh-TW"/>
        </w:rPr>
        <w:br/>
      </w:r>
      <w:r w:rsidRPr="00DA4C55">
        <w:rPr>
          <w:lang w:eastAsia="zh-TW"/>
        </w:rPr>
        <w:t>陳明傳</w:t>
      </w:r>
      <w:r w:rsidRPr="00DA4C55">
        <w:rPr>
          <w:lang w:eastAsia="zh-TW"/>
        </w:rPr>
        <w:t>(2015)</w:t>
      </w:r>
      <w:r w:rsidRPr="00DA4C55">
        <w:rPr>
          <w:lang w:eastAsia="zh-TW"/>
        </w:rPr>
        <w:t>，各國入出國管理系統之比較研究，發表於中央警察大學移民研究中心</w:t>
      </w:r>
      <w:r w:rsidRPr="00DA4C55">
        <w:rPr>
          <w:lang w:eastAsia="zh-TW"/>
        </w:rPr>
        <w:t>2015</w:t>
      </w:r>
      <w:r w:rsidRPr="00DA4C55">
        <w:rPr>
          <w:lang w:eastAsia="zh-TW"/>
        </w:rPr>
        <w:t>年「人口移動與執法」學術研討會。</w:t>
      </w:r>
      <w:r w:rsidRPr="00DA4C55">
        <w:rPr>
          <w:lang w:eastAsia="zh-TW"/>
        </w:rPr>
        <w:br/>
      </w:r>
      <w:r w:rsidRPr="00DA4C55">
        <w:rPr>
          <w:lang w:eastAsia="zh-TW"/>
        </w:rPr>
        <w:t>陳明傳、蔡庭榕、孟維德、王寬弘、柯雨瑞、許義寶、謝文忠、王智盛、林盈君、高佩珊等合著</w:t>
      </w:r>
      <w:r w:rsidRPr="00DA4C55">
        <w:rPr>
          <w:lang w:eastAsia="zh-TW"/>
        </w:rPr>
        <w:t>(2014)</w:t>
      </w:r>
      <w:r w:rsidRPr="00DA4C55">
        <w:rPr>
          <w:lang w:eastAsia="zh-TW"/>
        </w:rPr>
        <w:t>，移民之理論與實務，桃園：中央警察大學出版社。</w:t>
      </w:r>
      <w:r w:rsidRPr="00DA4C55">
        <w:rPr>
          <w:lang w:eastAsia="zh-TW"/>
        </w:rPr>
        <w:br/>
      </w:r>
      <w:r w:rsidRPr="00DA4C55">
        <w:rPr>
          <w:lang w:eastAsia="zh-TW"/>
        </w:rPr>
        <w:t>黃慶堂</w:t>
      </w:r>
      <w:r w:rsidRPr="00DA4C55">
        <w:rPr>
          <w:lang w:eastAsia="zh-TW"/>
        </w:rPr>
        <w:t>(2008)</w:t>
      </w:r>
      <w:r w:rsidRPr="00DA4C55">
        <w:rPr>
          <w:lang w:eastAsia="zh-TW"/>
        </w:rPr>
        <w:t>，專技移民與投資移民對我國經濟之影響，收於第二屆「國境安全與人口移動」學術研討會論文集。</w:t>
      </w:r>
      <w:r w:rsidRPr="00DA4C55">
        <w:rPr>
          <w:lang w:eastAsia="zh-TW"/>
        </w:rPr>
        <w:br/>
      </w:r>
      <w:r w:rsidRPr="00DA4C55">
        <w:rPr>
          <w:lang w:eastAsia="zh-TW"/>
        </w:rPr>
        <w:t>謝立功、張先正、汪毓瑋、謝文忠、柯文麗</w:t>
      </w:r>
      <w:r w:rsidRPr="00DA4C55">
        <w:rPr>
          <w:lang w:eastAsia="zh-TW"/>
        </w:rPr>
        <w:t>(2013)</w:t>
      </w:r>
      <w:r w:rsidRPr="00DA4C55">
        <w:rPr>
          <w:lang w:eastAsia="zh-TW"/>
        </w:rPr>
        <w:t>，美國移民政策之發展，新北市：人類智庫。</w:t>
      </w:r>
    </w:p>
  </w:footnote>
  <w:footnote w:id="382">
    <w:p w:rsidR="00657FEF" w:rsidRPr="00DA4C55" w:rsidRDefault="00657FEF" w:rsidP="00992AB6">
      <w:pPr>
        <w:pStyle w:val="5"/>
      </w:pPr>
      <w:r w:rsidRPr="001E5A9C">
        <w:rPr>
          <w:rStyle w:val="af7"/>
          <w:rFonts w:eastAsia="新細明體" w:cs="Arial Unicode MS"/>
          <w:kern w:val="2"/>
          <w:szCs w:val="20"/>
        </w:rPr>
        <w:footnoteRef/>
      </w:r>
      <w:r w:rsidRPr="00DA4C55">
        <w:t xml:space="preserve"> </w:t>
      </w:r>
      <w:r w:rsidRPr="00DA4C55">
        <w:tab/>
      </w:r>
      <w:r w:rsidRPr="00DA4C55">
        <w:t>大英簡明百科（</w:t>
      </w:r>
      <w:r w:rsidRPr="00DA4C55">
        <w:t>Britannica Concise Encyclopedia</w:t>
      </w:r>
      <w:r w:rsidRPr="00DA4C55">
        <w:t>），瀏覽時間：</w:t>
      </w:r>
      <w:r w:rsidRPr="00DA4C55">
        <w:t>2015</w:t>
      </w:r>
      <w:r w:rsidRPr="00DA4C55">
        <w:t>年</w:t>
      </w:r>
      <w:r w:rsidRPr="00DA4C55">
        <w:t>5</w:t>
      </w:r>
      <w:r w:rsidRPr="00DA4C55">
        <w:t>月</w:t>
      </w:r>
      <w:r w:rsidRPr="00DA4C55">
        <w:t>10</w:t>
      </w:r>
      <w:r w:rsidRPr="00DA4C55">
        <w:t>日，</w:t>
      </w:r>
      <w:hyperlink r:id="rId91" w:history="1">
        <w:r w:rsidRPr="001E5A9C">
          <w:rPr>
            <w:rStyle w:val="a7"/>
            <w:rFonts w:ascii="Arial Unicode MS" w:eastAsia="新細明體" w:hAnsi="Arial Unicode MS" w:cs="Calibri"/>
            <w:color w:val="5F5F5F"/>
            <w:kern w:val="2"/>
            <w:sz w:val="18"/>
          </w:rPr>
          <w:t>http://163.17.79.102/ebintra/concise/content.aspx?id=16861&amp;hash=ghXA6%2bJRJuNP1RbwbR8D%2bA%3d%3d&amp;t=3</w:t>
        </w:r>
      </w:hyperlink>
      <w:r w:rsidRPr="00DA4C55">
        <w:t>。</w:t>
      </w:r>
      <w:r w:rsidRPr="00DA4C55">
        <w:t xml:space="preserve">migration--- </w:t>
      </w:r>
      <w:r w:rsidRPr="00DA4C55">
        <w:t>「</w:t>
      </w:r>
      <w:r w:rsidRPr="00DA4C55">
        <w:t>Permanent change of residence by an individual or group, excluding such movements as nomadism and migrant labor. Migrations may be classed as internal or international and as voluntary or forced. Voluntary migration is usually undertaken in search of a better life; forced migrations include expulsions during war and transportation of slaves or prisoners. The earliest humans migrated from Africa to all the continents except Antarctica within about 50,000 years. Modern mass migrations include the Great Atlantic Migration from Europe to North America, a total of 37 million people between 1820 and 1980, and the forced migration of 20 million people from Africa to North America as slaves. War-related forced migrations and refugee flows continue to be very large, as are voluntary migrations from developing nations to industrialized ones. Internal migrations have tended to be from rural areas to urban centers.</w:t>
      </w:r>
      <w:r w:rsidRPr="00DA4C55">
        <w:t>」</w:t>
      </w:r>
    </w:p>
  </w:footnote>
  <w:footnote w:id="383">
    <w:p w:rsidR="00657FEF" w:rsidRPr="00DA4C55" w:rsidRDefault="00657FEF" w:rsidP="00992AB6">
      <w:pPr>
        <w:pStyle w:val="5"/>
      </w:pPr>
      <w:r w:rsidRPr="00871524">
        <w:rPr>
          <w:rStyle w:val="af7"/>
          <w:rFonts w:eastAsia="新細明體" w:cs="Arial Unicode MS"/>
          <w:kern w:val="2"/>
          <w:szCs w:val="20"/>
        </w:rPr>
        <w:footnoteRef/>
      </w:r>
      <w:r w:rsidRPr="00DA4C55">
        <w:t xml:space="preserve"> </w:t>
      </w:r>
      <w:r w:rsidRPr="00DA4C55">
        <w:tab/>
      </w:r>
      <w:r w:rsidRPr="00DA4C55">
        <w:t>國家職業分類</w:t>
      </w:r>
      <w:r w:rsidRPr="00DA4C55">
        <w:t>(NOC)</w:t>
      </w:r>
      <w:r w:rsidRPr="00DA4C55">
        <w:t>是在加拿大經濟中之工作分類系統，記載加拿大職業中之職責</w:t>
      </w:r>
      <w:r w:rsidRPr="00DA4C55">
        <w:t>(duties)</w:t>
      </w:r>
      <w:r w:rsidRPr="00DA4C55">
        <w:t>、技能</w:t>
      </w:r>
      <w:r w:rsidRPr="00DA4C55">
        <w:t>(skills)</w:t>
      </w:r>
      <w:r w:rsidRPr="00DA4C55">
        <w:t>、才能</w:t>
      </w:r>
      <w:r w:rsidRPr="00DA4C55">
        <w:t>(talents)</w:t>
      </w:r>
      <w:r w:rsidRPr="00DA4C55">
        <w:t>和工作環境</w:t>
      </w:r>
      <w:r w:rsidRPr="00DA4C55">
        <w:t>(work setting)</w:t>
      </w:r>
      <w:r w:rsidRPr="00DA4C55">
        <w:t>。</w:t>
      </w:r>
    </w:p>
  </w:footnote>
  <w:footnote w:id="384">
    <w:p w:rsidR="00657FEF" w:rsidRPr="00871524" w:rsidRDefault="00657FEF" w:rsidP="000260C3">
      <w:pPr>
        <w:pStyle w:val="13"/>
        <w:spacing w:line="0" w:lineRule="atLeast"/>
        <w:ind w:left="683" w:hangingChars="200" w:hanging="400"/>
        <w:jc w:val="left"/>
        <w:rPr>
          <w:rFonts w:asciiTheme="minorEastAsia" w:eastAsiaTheme="minorEastAsia" w:hAnsiTheme="minorEastAsia"/>
          <w:color w:val="5F5F5F"/>
          <w:sz w:val="20"/>
          <w:szCs w:val="20"/>
        </w:rPr>
      </w:pPr>
      <w:r w:rsidRPr="00871524">
        <w:rPr>
          <w:rStyle w:val="af7"/>
          <w:rFonts w:eastAsia="新細明體"/>
          <w:sz w:val="20"/>
          <w:szCs w:val="20"/>
        </w:rPr>
        <w:footnoteRef/>
      </w:r>
      <w:r w:rsidRPr="00871524">
        <w:rPr>
          <w:rFonts w:asciiTheme="minorEastAsia" w:eastAsiaTheme="minorEastAsia" w:hAnsiTheme="minorEastAsia"/>
          <w:color w:val="5F5F5F"/>
          <w:sz w:val="20"/>
          <w:szCs w:val="20"/>
        </w:rPr>
        <w:t xml:space="preserve"> </w:t>
      </w:r>
      <w:r w:rsidRPr="00871524">
        <w:rPr>
          <w:rFonts w:asciiTheme="minorEastAsia" w:eastAsiaTheme="minorEastAsia" w:hAnsiTheme="minorEastAsia"/>
          <w:color w:val="5F5F5F"/>
          <w:sz w:val="20"/>
          <w:szCs w:val="20"/>
        </w:rPr>
        <w:tab/>
        <w:t>加拿大公民及移民部(2014)，瀏覽時間：</w:t>
      </w:r>
      <w:smartTag w:uri="urn:schemas-microsoft-com:office:smarttags" w:element="chsdate">
        <w:smartTagPr>
          <w:attr w:name="IsROCDate" w:val="False"/>
          <w:attr w:name="IsLunarDate" w:val="False"/>
          <w:attr w:name="Day" w:val="15"/>
          <w:attr w:name="Month" w:val="12"/>
          <w:attr w:name="Year" w:val="2014"/>
        </w:smartTagPr>
        <w:r w:rsidRPr="00871524">
          <w:rPr>
            <w:rFonts w:asciiTheme="minorEastAsia" w:eastAsiaTheme="minorEastAsia" w:hAnsiTheme="minorEastAsia"/>
            <w:color w:val="5F5F5F"/>
            <w:sz w:val="20"/>
            <w:szCs w:val="20"/>
          </w:rPr>
          <w:t>2014年12月15日</w:t>
        </w:r>
      </w:smartTag>
      <w:r w:rsidRPr="00871524">
        <w:rPr>
          <w:rFonts w:asciiTheme="minorEastAsia" w:eastAsiaTheme="minorEastAsia" w:hAnsiTheme="minorEastAsia"/>
          <w:color w:val="5F5F5F"/>
          <w:sz w:val="20"/>
          <w:szCs w:val="20"/>
        </w:rPr>
        <w:t>，</w:t>
      </w:r>
      <w:r w:rsidRPr="00871524">
        <w:rPr>
          <w:rStyle w:val="a7"/>
          <w:rFonts w:ascii="Arial Unicode MS" w:eastAsia="新細明體" w:hAnsi="Arial Unicode MS" w:cs="Calibri"/>
          <w:color w:val="5F5F5F"/>
          <w:sz w:val="18"/>
        </w:rPr>
        <w:t>http://www.cic.gc.ca/english/immigrate/skilled/complete-applications.asp</w:t>
      </w:r>
      <w:r w:rsidRPr="00871524">
        <w:rPr>
          <w:rFonts w:asciiTheme="minorEastAsia" w:eastAsiaTheme="minorEastAsia" w:hAnsiTheme="minorEastAsia"/>
          <w:color w:val="5F5F5F"/>
          <w:sz w:val="20"/>
          <w:szCs w:val="20"/>
        </w:rPr>
        <w:t>。由於加拿大公民及移民部自2015年開始實施「快速移民系統」(Express Entry, EE)，該網站已更新，先前資料已不復見。</w:t>
      </w:r>
    </w:p>
  </w:footnote>
  <w:footnote w:id="385">
    <w:p w:rsidR="00657FEF" w:rsidRPr="00871524" w:rsidRDefault="00657FEF" w:rsidP="00992AB6">
      <w:pPr>
        <w:pStyle w:val="5"/>
        <w:rPr>
          <w:color w:val="5F5F5F"/>
        </w:rPr>
      </w:pPr>
      <w:r w:rsidRPr="00AF69C2">
        <w:rPr>
          <w:rStyle w:val="af7"/>
          <w:rFonts w:eastAsia="新細明體" w:cs="Arial Unicode MS"/>
          <w:kern w:val="2"/>
          <w:szCs w:val="20"/>
        </w:rPr>
        <w:footnoteRef/>
      </w:r>
      <w:r w:rsidRPr="00AF69C2">
        <w:rPr>
          <w:rFonts w:ascii="Arial Unicode MS" w:eastAsia="新細明體" w:hAnsi="Arial Unicode MS"/>
          <w:color w:val="FF6600"/>
          <w:kern w:val="2"/>
        </w:rPr>
        <w:t xml:space="preserve"> </w:t>
      </w:r>
      <w:r w:rsidRPr="00DA4C55">
        <w:tab/>
      </w:r>
      <w:r w:rsidRPr="00DA4C55">
        <w:t>請參考以下：</w:t>
      </w:r>
      <w:r w:rsidRPr="00DA4C55">
        <w:br/>
      </w:r>
      <w:r w:rsidRPr="00DA4C55">
        <w:t>加拿大公民及移民部網站</w:t>
      </w:r>
      <w:r w:rsidRPr="00DA4C55">
        <w:t>(2015)</w:t>
      </w:r>
      <w:r w:rsidRPr="00DA4C55">
        <w:t>，瀏覽時間：</w:t>
      </w:r>
      <w:r w:rsidRPr="00DA4C55">
        <w:t>2015</w:t>
      </w:r>
      <w:r w:rsidRPr="00DA4C55">
        <w:t>年</w:t>
      </w:r>
      <w:r w:rsidRPr="00DA4C55">
        <w:t>5</w:t>
      </w:r>
      <w:r w:rsidRPr="00DA4C55">
        <w:t>月</w:t>
      </w:r>
      <w:r w:rsidRPr="00DA4C55">
        <w:t>10</w:t>
      </w:r>
      <w:r w:rsidRPr="00DA4C55">
        <w:t>日，</w:t>
      </w:r>
      <w:hyperlink r:id="rId92" w:history="1">
        <w:r w:rsidRPr="00871524">
          <w:rPr>
            <w:rStyle w:val="a7"/>
            <w:rFonts w:asciiTheme="majorHAnsi" w:eastAsiaTheme="majorEastAsia" w:hAnsiTheme="majorHAnsi" w:cstheme="majorBidi"/>
            <w:color w:val="5F5F5F"/>
            <w:sz w:val="20"/>
            <w:szCs w:val="22"/>
          </w:rPr>
          <w:t>http://www.cic.gc.ca/english/immigrate/skilled/apply-who.asp#fn1</w:t>
        </w:r>
      </w:hyperlink>
      <w:r>
        <w:rPr>
          <w:color w:val="5F5F5F"/>
        </w:rPr>
        <w:t>。</w:t>
      </w:r>
    </w:p>
    <w:p w:rsidR="00657FEF" w:rsidRPr="00DA4C55" w:rsidRDefault="00657FEF" w:rsidP="004501CB">
      <w:pPr>
        <w:pStyle w:val="5"/>
        <w:jc w:val="left"/>
      </w:pPr>
      <w:r w:rsidRPr="00871524">
        <w:rPr>
          <w:color w:val="5F5F5F"/>
        </w:rPr>
        <w:t>加拿大公民及移民部網站</w:t>
      </w:r>
      <w:r w:rsidRPr="00871524">
        <w:rPr>
          <w:color w:val="5F5F5F"/>
        </w:rPr>
        <w:t>(2015)</w:t>
      </w:r>
      <w:r w:rsidRPr="00871524">
        <w:rPr>
          <w:color w:val="5F5F5F"/>
        </w:rPr>
        <w:t>，瀏覽時間：</w:t>
      </w:r>
      <w:r w:rsidRPr="00871524">
        <w:rPr>
          <w:color w:val="5F5F5F"/>
        </w:rPr>
        <w:t>2015</w:t>
      </w:r>
      <w:r w:rsidRPr="00871524">
        <w:rPr>
          <w:color w:val="5F5F5F"/>
        </w:rPr>
        <w:t>年</w:t>
      </w:r>
      <w:r w:rsidRPr="00871524">
        <w:rPr>
          <w:color w:val="5F5F5F"/>
        </w:rPr>
        <w:t>5</w:t>
      </w:r>
      <w:r w:rsidRPr="00871524">
        <w:rPr>
          <w:color w:val="5F5F5F"/>
        </w:rPr>
        <w:t>月</w:t>
      </w:r>
      <w:r w:rsidRPr="00871524">
        <w:rPr>
          <w:color w:val="5F5F5F"/>
        </w:rPr>
        <w:t>10</w:t>
      </w:r>
      <w:r w:rsidRPr="00871524">
        <w:rPr>
          <w:color w:val="5F5F5F"/>
        </w:rPr>
        <w:t>日，</w:t>
      </w:r>
      <w:hyperlink r:id="rId93" w:history="1">
        <w:r w:rsidRPr="00871524">
          <w:rPr>
            <w:rStyle w:val="a7"/>
            <w:rFonts w:asciiTheme="majorHAnsi" w:eastAsiaTheme="majorEastAsia" w:hAnsiTheme="majorHAnsi" w:cstheme="majorBidi"/>
            <w:color w:val="5F5F5F"/>
            <w:sz w:val="20"/>
            <w:szCs w:val="22"/>
          </w:rPr>
          <w:t>http://www.cic.gc.ca/english/immigrate/skilled/language-testing.asp</w:t>
        </w:r>
      </w:hyperlink>
      <w:r w:rsidRPr="00871524">
        <w:rPr>
          <w:color w:val="5F5F5F"/>
        </w:rPr>
        <w:t>。</w:t>
      </w:r>
      <w:r w:rsidRPr="00871524">
        <w:rPr>
          <w:color w:val="5F5F5F"/>
        </w:rPr>
        <w:br/>
      </w:r>
      <w:r w:rsidRPr="00871524">
        <w:rPr>
          <w:color w:val="5F5F5F"/>
        </w:rPr>
        <w:t>加拿大公民及移民部網站</w:t>
      </w:r>
      <w:r w:rsidRPr="00871524">
        <w:rPr>
          <w:color w:val="5F5F5F"/>
        </w:rPr>
        <w:t>(2015)</w:t>
      </w:r>
      <w:r w:rsidRPr="00871524">
        <w:rPr>
          <w:color w:val="5F5F5F"/>
        </w:rPr>
        <w:t>，瀏覽時間：</w:t>
      </w:r>
      <w:r w:rsidRPr="00871524">
        <w:rPr>
          <w:color w:val="5F5F5F"/>
        </w:rPr>
        <w:t>2015</w:t>
      </w:r>
      <w:r w:rsidRPr="00871524">
        <w:rPr>
          <w:color w:val="5F5F5F"/>
        </w:rPr>
        <w:t>年</w:t>
      </w:r>
      <w:r w:rsidRPr="00871524">
        <w:rPr>
          <w:color w:val="5F5F5F"/>
        </w:rPr>
        <w:t>5</w:t>
      </w:r>
      <w:r w:rsidRPr="00871524">
        <w:rPr>
          <w:color w:val="5F5F5F"/>
        </w:rPr>
        <w:t>月</w:t>
      </w:r>
      <w:r w:rsidRPr="00871524">
        <w:rPr>
          <w:color w:val="5F5F5F"/>
        </w:rPr>
        <w:t>10</w:t>
      </w:r>
      <w:r w:rsidRPr="00871524">
        <w:rPr>
          <w:color w:val="5F5F5F"/>
        </w:rPr>
        <w:t>日，</w:t>
      </w:r>
      <w:hyperlink r:id="rId94" w:history="1">
        <w:r w:rsidRPr="00871524">
          <w:rPr>
            <w:rStyle w:val="a7"/>
            <w:rFonts w:asciiTheme="majorHAnsi" w:eastAsiaTheme="majorEastAsia" w:hAnsiTheme="majorHAnsi" w:cstheme="majorBidi"/>
            <w:color w:val="5F5F5F"/>
            <w:sz w:val="20"/>
            <w:szCs w:val="22"/>
          </w:rPr>
          <w:t>http://www.cic.gc.ca/english/immigrate/skilled/apply-factors.asp</w:t>
        </w:r>
      </w:hyperlink>
      <w:r w:rsidRPr="00871524">
        <w:rPr>
          <w:color w:val="5F5F5F"/>
        </w:rPr>
        <w:t>。</w:t>
      </w:r>
      <w:r w:rsidRPr="00871524">
        <w:rPr>
          <w:color w:val="5F5F5F"/>
        </w:rPr>
        <w:br/>
      </w:r>
      <w:r w:rsidRPr="00871524">
        <w:rPr>
          <w:color w:val="5F5F5F"/>
        </w:rPr>
        <w:t>加拿大公民及移民部網站</w:t>
      </w:r>
      <w:r w:rsidRPr="00871524">
        <w:rPr>
          <w:color w:val="5F5F5F"/>
        </w:rPr>
        <w:t>(2015)</w:t>
      </w:r>
      <w:r w:rsidRPr="00871524">
        <w:rPr>
          <w:color w:val="5F5F5F"/>
        </w:rPr>
        <w:t>，瀏覽時間：</w:t>
      </w:r>
      <w:r w:rsidRPr="00871524">
        <w:rPr>
          <w:color w:val="5F5F5F"/>
        </w:rPr>
        <w:t>2015</w:t>
      </w:r>
      <w:r w:rsidRPr="00871524">
        <w:rPr>
          <w:color w:val="5F5F5F"/>
        </w:rPr>
        <w:t>年</w:t>
      </w:r>
      <w:r w:rsidRPr="00871524">
        <w:rPr>
          <w:color w:val="5F5F5F"/>
        </w:rPr>
        <w:t>5</w:t>
      </w:r>
      <w:r w:rsidRPr="00871524">
        <w:rPr>
          <w:color w:val="5F5F5F"/>
        </w:rPr>
        <w:t>月</w:t>
      </w:r>
      <w:r w:rsidRPr="00871524">
        <w:rPr>
          <w:color w:val="5F5F5F"/>
        </w:rPr>
        <w:t>10</w:t>
      </w:r>
      <w:r w:rsidRPr="00871524">
        <w:rPr>
          <w:color w:val="5F5F5F"/>
        </w:rPr>
        <w:t>日，</w:t>
      </w:r>
      <w:hyperlink r:id="rId95" w:history="1">
        <w:r w:rsidRPr="00871524">
          <w:rPr>
            <w:rStyle w:val="a7"/>
            <w:rFonts w:asciiTheme="majorHAnsi" w:eastAsiaTheme="majorEastAsia" w:hAnsiTheme="majorHAnsi" w:cstheme="majorBidi"/>
            <w:color w:val="5F5F5F"/>
            <w:sz w:val="20"/>
            <w:szCs w:val="22"/>
          </w:rPr>
          <w:t>http://www.cic.gc.ca/english/immigrate/skilled/language-testing.asp</w:t>
        </w:r>
      </w:hyperlink>
      <w:r>
        <w:rPr>
          <w:color w:val="5F5F5F"/>
        </w:rPr>
        <w:t>。</w:t>
      </w:r>
      <w:r w:rsidRPr="00DA4C55">
        <w:t xml:space="preserve"> </w:t>
      </w:r>
    </w:p>
  </w:footnote>
  <w:footnote w:id="386">
    <w:p w:rsidR="00657FEF" w:rsidRPr="00DA4C55" w:rsidRDefault="00657FEF" w:rsidP="004501CB">
      <w:pPr>
        <w:pStyle w:val="5"/>
        <w:jc w:val="left"/>
      </w:pPr>
      <w:r w:rsidRPr="00AF69C2">
        <w:rPr>
          <w:rStyle w:val="af7"/>
          <w:rFonts w:eastAsia="新細明體" w:cs="Arial Unicode MS"/>
          <w:kern w:val="2"/>
          <w:szCs w:val="20"/>
        </w:rPr>
        <w:footnoteRef/>
      </w:r>
      <w:r w:rsidRPr="00AF69C2">
        <w:rPr>
          <w:rFonts w:ascii="Arial Unicode MS" w:eastAsia="新細明體" w:hAnsi="Arial Unicode MS"/>
          <w:color w:val="FF6600"/>
          <w:kern w:val="2"/>
        </w:rPr>
        <w:t xml:space="preserve"> </w:t>
      </w:r>
      <w:r w:rsidRPr="00DA4C55">
        <w:tab/>
      </w:r>
      <w:r w:rsidRPr="00DA4C55">
        <w:t>加拿大公民及移民部網站</w:t>
      </w:r>
      <w:r w:rsidRPr="00DA4C55">
        <w:t>(2015)</w:t>
      </w:r>
      <w:r w:rsidRPr="00DA4C55">
        <w:t>，瀏覽時間：</w:t>
      </w:r>
      <w:smartTag w:uri="urn:schemas-microsoft-com:office:smarttags" w:element="chsdate">
        <w:smartTagPr>
          <w:attr w:name="Year" w:val="2015"/>
          <w:attr w:name="Month" w:val="5"/>
          <w:attr w:name="Day" w:val="18"/>
          <w:attr w:name="IsLunarDate" w:val="False"/>
          <w:attr w:name="IsROCDate" w:val="False"/>
        </w:smartTagPr>
        <w:r w:rsidRPr="00DA4C55">
          <w:t>2015</w:t>
        </w:r>
        <w:r w:rsidRPr="00DA4C55">
          <w:t>年</w:t>
        </w:r>
        <w:r w:rsidRPr="00DA4C55">
          <w:t>5</w:t>
        </w:r>
        <w:r w:rsidRPr="00DA4C55">
          <w:t>月</w:t>
        </w:r>
        <w:r w:rsidRPr="00DA4C55">
          <w:t>18</w:t>
        </w:r>
        <w:r w:rsidRPr="00DA4C55">
          <w:t>日</w:t>
        </w:r>
      </w:smartTag>
      <w:r w:rsidRPr="00DA4C55">
        <w:t>，</w:t>
      </w:r>
      <w:hyperlink r:id="rId96" w:history="1">
        <w:r w:rsidRPr="00871524">
          <w:rPr>
            <w:rStyle w:val="a7"/>
            <w:rFonts w:asciiTheme="majorHAnsi" w:eastAsiaTheme="majorEastAsia" w:hAnsiTheme="majorHAnsi" w:cstheme="majorBidi"/>
            <w:color w:val="5F5F5F"/>
            <w:sz w:val="20"/>
            <w:szCs w:val="22"/>
          </w:rPr>
          <w:t>http://www.cic.gc.ca/english/immigrate/trades/apply-who.asp</w:t>
        </w:r>
      </w:hyperlink>
      <w:r w:rsidRPr="00871524">
        <w:rPr>
          <w:color w:val="5F5F5F"/>
        </w:rPr>
        <w:t>。</w:t>
      </w:r>
    </w:p>
  </w:footnote>
  <w:footnote w:id="387">
    <w:p w:rsidR="00657FEF" w:rsidRPr="00871524" w:rsidRDefault="00657FEF" w:rsidP="004501CB">
      <w:pPr>
        <w:pStyle w:val="5"/>
        <w:jc w:val="left"/>
        <w:rPr>
          <w:color w:val="5F5F5F"/>
          <w:lang w:eastAsia="zh-TW"/>
        </w:rPr>
      </w:pPr>
      <w:r w:rsidRPr="00AF69C2">
        <w:rPr>
          <w:rStyle w:val="af7"/>
          <w:rFonts w:eastAsia="新細明體" w:cs="Arial Unicode MS"/>
          <w:kern w:val="2"/>
          <w:szCs w:val="20"/>
        </w:rPr>
        <w:footnoteRef/>
      </w:r>
      <w:r w:rsidRPr="00DA4C55">
        <w:rPr>
          <w:lang w:eastAsia="zh-TW"/>
        </w:rPr>
        <w:t xml:space="preserve"> </w:t>
      </w:r>
      <w:r w:rsidRPr="00DA4C55">
        <w:rPr>
          <w:lang w:eastAsia="zh-TW"/>
        </w:rPr>
        <w:tab/>
      </w:r>
      <w:r w:rsidRPr="00DA4C55">
        <w:rPr>
          <w:lang w:eastAsia="zh-TW"/>
        </w:rPr>
        <w:t>加拿大公民及移民部網站</w:t>
      </w:r>
      <w:r w:rsidRPr="00DA4C55">
        <w:rPr>
          <w:lang w:eastAsia="zh-TW"/>
        </w:rPr>
        <w:t>(2015)</w:t>
      </w:r>
      <w:r w:rsidRPr="00DA4C55">
        <w:rPr>
          <w:lang w:eastAsia="zh-TW"/>
        </w:rPr>
        <w:t>，瀏覽時間：</w:t>
      </w:r>
      <w:smartTag w:uri="urn:schemas-microsoft-com:office:smarttags" w:element="chsdate">
        <w:smartTagPr>
          <w:attr w:name="Year" w:val="2015"/>
          <w:attr w:name="Month" w:val="5"/>
          <w:attr w:name="Day" w:val="18"/>
          <w:attr w:name="IsLunarDate" w:val="False"/>
          <w:attr w:name="IsROCDate" w:val="False"/>
        </w:smartTagPr>
        <w:r w:rsidRPr="00DA4C55">
          <w:rPr>
            <w:lang w:eastAsia="zh-TW"/>
          </w:rPr>
          <w:t>2015</w:t>
        </w:r>
        <w:r w:rsidRPr="00DA4C55">
          <w:rPr>
            <w:lang w:eastAsia="zh-TW"/>
          </w:rPr>
          <w:t>年</w:t>
        </w:r>
        <w:r w:rsidRPr="00DA4C55">
          <w:rPr>
            <w:lang w:eastAsia="zh-TW"/>
          </w:rPr>
          <w:t>5</w:t>
        </w:r>
        <w:r w:rsidRPr="00DA4C55">
          <w:rPr>
            <w:lang w:eastAsia="zh-TW"/>
          </w:rPr>
          <w:t>月</w:t>
        </w:r>
        <w:r w:rsidRPr="00DA4C55">
          <w:rPr>
            <w:lang w:eastAsia="zh-TW"/>
          </w:rPr>
          <w:t>18</w:t>
        </w:r>
        <w:r w:rsidRPr="00DA4C55">
          <w:rPr>
            <w:lang w:eastAsia="zh-TW"/>
          </w:rPr>
          <w:t>日</w:t>
        </w:r>
      </w:smartTag>
      <w:r w:rsidRPr="00DA4C55">
        <w:rPr>
          <w:lang w:eastAsia="zh-TW"/>
        </w:rPr>
        <w:t>，</w:t>
      </w:r>
      <w:r w:rsidRPr="00DA4C55">
        <w:rPr>
          <w:lang w:eastAsia="zh-TW"/>
        </w:rPr>
        <w:t xml:space="preserve"> </w:t>
      </w:r>
      <w:hyperlink r:id="rId97" w:history="1">
        <w:r w:rsidRPr="00871524">
          <w:rPr>
            <w:rStyle w:val="a7"/>
            <w:rFonts w:asciiTheme="majorHAnsi" w:eastAsiaTheme="majorEastAsia" w:hAnsiTheme="majorHAnsi" w:cstheme="majorBidi"/>
            <w:color w:val="5F5F5F"/>
            <w:sz w:val="20"/>
            <w:szCs w:val="22"/>
            <w:lang w:eastAsia="zh-TW"/>
          </w:rPr>
          <w:t>http://www.cic.gc.ca/english/immigrate/cec/apply-who.asp</w:t>
        </w:r>
      </w:hyperlink>
      <w:r w:rsidRPr="00871524">
        <w:rPr>
          <w:color w:val="5F5F5F"/>
          <w:lang w:eastAsia="zh-TW"/>
        </w:rPr>
        <w:t>。</w:t>
      </w:r>
    </w:p>
  </w:footnote>
  <w:footnote w:id="388">
    <w:p w:rsidR="00657FEF" w:rsidRPr="00DA4C55" w:rsidRDefault="00657FEF" w:rsidP="004501CB">
      <w:pPr>
        <w:pStyle w:val="5"/>
        <w:jc w:val="left"/>
      </w:pPr>
      <w:r w:rsidRPr="000152BE">
        <w:rPr>
          <w:rStyle w:val="a7"/>
          <w:rFonts w:ascii="Arial Unicode MS" w:eastAsia="新細明體" w:hAnsi="Arial Unicode MS" w:cs="Calibri"/>
          <w:b/>
          <w:color w:val="FF6600"/>
          <w:kern w:val="2"/>
          <w:sz w:val="20"/>
          <w:lang w:eastAsia="zh-TW" w:bidi="ar-SA"/>
        </w:rPr>
        <w:footnoteRef/>
      </w:r>
      <w:r w:rsidRPr="000152BE">
        <w:rPr>
          <w:rStyle w:val="a7"/>
          <w:rFonts w:ascii="Arial Unicode MS" w:eastAsia="新細明體" w:hAnsi="Arial Unicode MS" w:cs="Calibri"/>
          <w:b/>
          <w:color w:val="FF6600"/>
          <w:kern w:val="2"/>
          <w:sz w:val="20"/>
          <w:lang w:eastAsia="zh-TW" w:bidi="ar-SA"/>
        </w:rPr>
        <w:t xml:space="preserve"> </w:t>
      </w:r>
      <w:r w:rsidRPr="00DA4C55">
        <w:tab/>
      </w:r>
      <w:r w:rsidRPr="00DA4C55">
        <w:t>加拿大公民及移民部網站</w:t>
      </w:r>
      <w:r w:rsidRPr="00DA4C55">
        <w:t>(2015)</w:t>
      </w:r>
      <w:r w:rsidRPr="00DA4C55">
        <w:t>，瀏覽時間：</w:t>
      </w:r>
      <w:smartTag w:uri="urn:schemas-microsoft-com:office:smarttags" w:element="chsdate">
        <w:smartTagPr>
          <w:attr w:name="Year" w:val="2015"/>
          <w:attr w:name="Month" w:val="5"/>
          <w:attr w:name="Day" w:val="18"/>
          <w:attr w:name="IsLunarDate" w:val="False"/>
          <w:attr w:name="IsROCDate" w:val="False"/>
        </w:smartTagPr>
        <w:r w:rsidRPr="00DA4C55">
          <w:t>2015</w:t>
        </w:r>
        <w:r w:rsidRPr="00DA4C55">
          <w:t>年</w:t>
        </w:r>
        <w:r w:rsidRPr="00DA4C55">
          <w:t>5</w:t>
        </w:r>
        <w:r w:rsidRPr="00DA4C55">
          <w:t>月</w:t>
        </w:r>
        <w:r w:rsidRPr="00DA4C55">
          <w:t>18</w:t>
        </w:r>
        <w:r w:rsidRPr="00DA4C55">
          <w:t>日</w:t>
        </w:r>
      </w:smartTag>
      <w:r w:rsidRPr="00DA4C55">
        <w:t>，</w:t>
      </w:r>
      <w:hyperlink r:id="rId98" w:history="1">
        <w:r w:rsidRPr="0071175F">
          <w:rPr>
            <w:rStyle w:val="a7"/>
            <w:rFonts w:ascii="Arial Unicode MS" w:eastAsia="新細明體" w:hAnsi="Arial Unicode MS" w:cs="Calibri"/>
            <w:color w:val="5F5F5F"/>
            <w:kern w:val="2"/>
            <w:sz w:val="18"/>
          </w:rPr>
          <w:t>http://www.cic.gc.ca/english/department/mi/index.asp?expand=mi-pr-express#mi-pr-express</w:t>
        </w:r>
      </w:hyperlink>
      <w:r w:rsidRPr="0071175F">
        <w:rPr>
          <w:color w:val="5F5F5F"/>
        </w:rPr>
        <w:t>。</w:t>
      </w:r>
    </w:p>
  </w:footnote>
  <w:footnote w:id="389">
    <w:p w:rsidR="00657FEF" w:rsidRPr="0001086B" w:rsidRDefault="00657FEF" w:rsidP="0001086B">
      <w:pPr>
        <w:pStyle w:val="5"/>
        <w:widowControl w:val="0"/>
        <w:ind w:leftChars="0" w:rightChars="0"/>
        <w:jc w:val="left"/>
        <w:rPr>
          <w:color w:val="5F5F5F"/>
        </w:rPr>
      </w:pPr>
      <w:r w:rsidRPr="00871524">
        <w:rPr>
          <w:rStyle w:val="af7"/>
          <w:rFonts w:cs="Arial Unicode MS"/>
          <w:szCs w:val="20"/>
        </w:rPr>
        <w:footnoteRef/>
      </w:r>
      <w:r w:rsidRPr="00871524">
        <w:t xml:space="preserve"> </w:t>
      </w:r>
      <w:r w:rsidRPr="00871524">
        <w:tab/>
      </w:r>
      <w:r w:rsidRPr="00871524">
        <w:t>加拿大公民及移民部網站</w:t>
      </w:r>
      <w:r w:rsidRPr="00871524">
        <w:t>(2015)</w:t>
      </w:r>
      <w:r w:rsidRPr="00871524">
        <w:t>，瀏覽時間：</w:t>
      </w:r>
      <w:smartTag w:uri="urn:schemas-microsoft-com:office:smarttags" w:element="chsdate">
        <w:smartTagPr>
          <w:attr w:name="Year" w:val="2015"/>
          <w:attr w:name="Month" w:val="5"/>
          <w:attr w:name="Day" w:val="18"/>
          <w:attr w:name="IsLunarDate" w:val="False"/>
          <w:attr w:name="IsROCDate" w:val="False"/>
        </w:smartTagPr>
        <w:r w:rsidRPr="00871524">
          <w:t>2015</w:t>
        </w:r>
        <w:r w:rsidRPr="00871524">
          <w:t>年</w:t>
        </w:r>
        <w:r w:rsidRPr="00871524">
          <w:t>5</w:t>
        </w:r>
        <w:r w:rsidRPr="00871524">
          <w:t>月</w:t>
        </w:r>
        <w:r w:rsidRPr="00871524">
          <w:t>18</w:t>
        </w:r>
        <w:r w:rsidRPr="00871524">
          <w:t>日</w:t>
        </w:r>
      </w:smartTag>
      <w:r w:rsidRPr="00871524">
        <w:t>，</w:t>
      </w:r>
      <w:hyperlink r:id="rId99" w:history="1">
        <w:r w:rsidRPr="0001086B">
          <w:rPr>
            <w:rStyle w:val="a7"/>
            <w:rFonts w:ascii="Arial Unicode MS" w:eastAsia="新細明體" w:hAnsi="Arial Unicode MS" w:cs="Calibri"/>
            <w:color w:val="5F5F5F"/>
            <w:kern w:val="2"/>
            <w:sz w:val="18"/>
          </w:rPr>
          <w:t>http://www.cic.gc.ca/english/express-entry/grid-crs.asp</w:t>
        </w:r>
      </w:hyperlink>
      <w:r w:rsidRPr="0001086B">
        <w:rPr>
          <w:color w:val="5F5F5F"/>
        </w:rPr>
        <w:t>。</w:t>
      </w:r>
    </w:p>
  </w:footnote>
  <w:footnote w:id="390">
    <w:p w:rsidR="00657FEF" w:rsidRPr="0001086B" w:rsidRDefault="00657FEF" w:rsidP="0001086B">
      <w:pPr>
        <w:pStyle w:val="5"/>
        <w:widowControl w:val="0"/>
        <w:ind w:leftChars="0" w:rightChars="0"/>
        <w:jc w:val="left"/>
        <w:rPr>
          <w:color w:val="5F5F5F"/>
        </w:rPr>
      </w:pPr>
      <w:r w:rsidRPr="00871524">
        <w:rPr>
          <w:rStyle w:val="af7"/>
          <w:rFonts w:cs="Arial Unicode MS"/>
          <w:szCs w:val="20"/>
        </w:rPr>
        <w:footnoteRef/>
      </w:r>
      <w:r w:rsidRPr="00871524">
        <w:t xml:space="preserve"> </w:t>
      </w:r>
      <w:r w:rsidRPr="00871524">
        <w:tab/>
      </w:r>
      <w:r w:rsidRPr="00871524">
        <w:t>紐西蘭移民局網站</w:t>
      </w:r>
      <w:r w:rsidRPr="00871524">
        <w:t>(2015)</w:t>
      </w:r>
      <w:r w:rsidRPr="00871524">
        <w:t>，瀏覽時間：</w:t>
      </w:r>
      <w:smartTag w:uri="urn:schemas-microsoft-com:office:smarttags" w:element="chsdate">
        <w:smartTagPr>
          <w:attr w:name="Year" w:val="2015"/>
          <w:attr w:name="Month" w:val="5"/>
          <w:attr w:name="Day" w:val="18"/>
          <w:attr w:name="IsLunarDate" w:val="False"/>
          <w:attr w:name="IsROCDate" w:val="False"/>
        </w:smartTagPr>
        <w:r w:rsidRPr="00871524">
          <w:t>2015</w:t>
        </w:r>
        <w:r w:rsidRPr="00871524">
          <w:t>年</w:t>
        </w:r>
        <w:r w:rsidRPr="00871524">
          <w:t>5</w:t>
        </w:r>
        <w:r w:rsidRPr="00871524">
          <w:t>月</w:t>
        </w:r>
        <w:r w:rsidRPr="00871524">
          <w:t>18</w:t>
        </w:r>
        <w:r w:rsidRPr="00871524">
          <w:t>日</w:t>
        </w:r>
      </w:smartTag>
      <w:r w:rsidRPr="00871524">
        <w:t>，</w:t>
      </w:r>
      <w:hyperlink r:id="rId100" w:history="1">
        <w:r w:rsidRPr="0001086B">
          <w:rPr>
            <w:rStyle w:val="a7"/>
            <w:rFonts w:ascii="Arial Unicode MS" w:eastAsia="新細明體" w:hAnsi="Arial Unicode MS" w:cs="Calibri"/>
            <w:color w:val="5F5F5F"/>
            <w:kern w:val="2"/>
            <w:sz w:val="18"/>
          </w:rPr>
          <w:t>http://formshelp.immigration.govt.nz/SkilledMigrant/ExpressionOfInterest/HistoryOfSelectionPoints/default.htm</w:t>
        </w:r>
      </w:hyperlink>
      <w:r w:rsidRPr="0001086B">
        <w:rPr>
          <w:color w:val="5F5F5F"/>
        </w:rPr>
        <w:t>。</w:t>
      </w:r>
    </w:p>
  </w:footnote>
  <w:footnote w:id="391">
    <w:p w:rsidR="00657FEF" w:rsidRPr="00871524" w:rsidRDefault="00657FEF" w:rsidP="0001086B">
      <w:pPr>
        <w:pStyle w:val="5"/>
        <w:widowControl w:val="0"/>
        <w:ind w:leftChars="0" w:rightChars="0"/>
        <w:jc w:val="left"/>
      </w:pPr>
      <w:r w:rsidRPr="00871524">
        <w:rPr>
          <w:rStyle w:val="af7"/>
          <w:rFonts w:cs="Arial Unicode MS"/>
          <w:szCs w:val="20"/>
        </w:rPr>
        <w:footnoteRef/>
      </w:r>
      <w:r w:rsidRPr="00871524">
        <w:rPr>
          <w:color w:val="FF6600"/>
        </w:rPr>
        <w:t xml:space="preserve"> </w:t>
      </w:r>
      <w:r w:rsidRPr="00871524">
        <w:tab/>
      </w:r>
      <w:r w:rsidRPr="00871524">
        <w:t>紐西蘭移民局網站</w:t>
      </w:r>
      <w:r w:rsidRPr="00871524">
        <w:t>(2015)</w:t>
      </w:r>
      <w:r w:rsidRPr="00871524">
        <w:t>，瀏覽時間：</w:t>
      </w:r>
      <w:smartTag w:uri="urn:schemas-microsoft-com:office:smarttags" w:element="chsdate">
        <w:smartTagPr>
          <w:attr w:name="Year" w:val="2015"/>
          <w:attr w:name="Month" w:val="5"/>
          <w:attr w:name="Day" w:val="18"/>
          <w:attr w:name="IsLunarDate" w:val="False"/>
          <w:attr w:name="IsROCDate" w:val="False"/>
        </w:smartTagPr>
        <w:r w:rsidRPr="00871524">
          <w:t>2015</w:t>
        </w:r>
        <w:r w:rsidRPr="00871524">
          <w:t>年</w:t>
        </w:r>
        <w:r w:rsidRPr="00871524">
          <w:t>5</w:t>
        </w:r>
        <w:r w:rsidRPr="00871524">
          <w:t>月</w:t>
        </w:r>
        <w:r w:rsidRPr="00871524">
          <w:t>18</w:t>
        </w:r>
        <w:r w:rsidRPr="00871524">
          <w:t>日</w:t>
        </w:r>
      </w:smartTag>
      <w:r w:rsidRPr="00871524">
        <w:t>，</w:t>
      </w:r>
      <w:hyperlink r:id="rId101" w:history="1">
        <w:r w:rsidRPr="0001086B">
          <w:rPr>
            <w:rStyle w:val="a7"/>
            <w:rFonts w:ascii="Arial Unicode MS" w:eastAsia="新細明體" w:hAnsi="Arial Unicode MS" w:cs="Calibri"/>
            <w:color w:val="5F5F5F"/>
            <w:kern w:val="2"/>
            <w:sz w:val="18"/>
          </w:rPr>
          <w:t>http://www.immigration.govt.nz/migrant/stream/work/skilledmigrant/LinkAdministration/MoreInformationLinks/eoiselection.htm?level=1</w:t>
        </w:r>
      </w:hyperlink>
      <w:r w:rsidRPr="0001086B">
        <w:rPr>
          <w:color w:val="5F5F5F"/>
        </w:rPr>
        <w:t>。</w:t>
      </w:r>
    </w:p>
  </w:footnote>
  <w:footnote w:id="392">
    <w:p w:rsidR="00657FEF" w:rsidRPr="00871524" w:rsidRDefault="00657FEF" w:rsidP="000152BE">
      <w:pPr>
        <w:pStyle w:val="5"/>
        <w:jc w:val="left"/>
      </w:pPr>
      <w:r w:rsidRPr="00871524">
        <w:rPr>
          <w:rStyle w:val="af7"/>
          <w:rFonts w:eastAsia="新細明體" w:cs="Arial Unicode MS"/>
          <w:kern w:val="2"/>
          <w:szCs w:val="20"/>
        </w:rPr>
        <w:footnoteRef/>
      </w:r>
      <w:r w:rsidRPr="00DA4C55">
        <w:t xml:space="preserve"> </w:t>
      </w:r>
      <w:r w:rsidRPr="00DA4C55">
        <w:tab/>
      </w:r>
      <w:r w:rsidRPr="00DA4C55">
        <w:t>紐西蘭移民局網站</w:t>
      </w:r>
      <w:r w:rsidRPr="00DA4C55">
        <w:t>(2015)</w:t>
      </w:r>
      <w:r w:rsidRPr="00DA4C55">
        <w:t>，瀏覽時間：</w:t>
      </w:r>
      <w:smartTag w:uri="urn:schemas-microsoft-com:office:smarttags" w:element="chsdate">
        <w:smartTagPr>
          <w:attr w:name="Year" w:val="2015"/>
          <w:attr w:name="Month" w:val="5"/>
          <w:attr w:name="Day" w:val="18"/>
          <w:attr w:name="IsLunarDate" w:val="False"/>
          <w:attr w:name="IsROCDate" w:val="False"/>
        </w:smartTagPr>
        <w:r w:rsidRPr="00DA4C55">
          <w:t>2015</w:t>
        </w:r>
        <w:r w:rsidRPr="00DA4C55">
          <w:t>年</w:t>
        </w:r>
        <w:r w:rsidRPr="00DA4C55">
          <w:t>5</w:t>
        </w:r>
        <w:r w:rsidRPr="00DA4C55">
          <w:t>月</w:t>
        </w:r>
        <w:r w:rsidRPr="00DA4C55">
          <w:t>18</w:t>
        </w:r>
        <w:r w:rsidRPr="00DA4C55">
          <w:t>日</w:t>
        </w:r>
      </w:smartTag>
      <w:r w:rsidRPr="00DA4C55">
        <w:t>，</w:t>
      </w:r>
      <w:r w:rsidRPr="00871524">
        <w:rPr>
          <w:rStyle w:val="a7"/>
          <w:rFonts w:ascii="Arial Unicode MS" w:eastAsia="新細明體" w:hAnsi="Arial Unicode MS" w:cs="Calibri"/>
          <w:color w:val="5F5F5F"/>
          <w:kern w:val="2"/>
          <w:sz w:val="18"/>
        </w:rPr>
        <w:t>http://www.immigration.govt.nz/migrant/stream/work/skilledmigrant/overview/</w:t>
      </w:r>
      <w:r w:rsidRPr="00871524">
        <w:t>。</w:t>
      </w:r>
    </w:p>
  </w:footnote>
  <w:footnote w:id="393">
    <w:p w:rsidR="00657FEF" w:rsidRPr="00871524" w:rsidRDefault="00657FEF" w:rsidP="00992AB6">
      <w:pPr>
        <w:pStyle w:val="5"/>
      </w:pPr>
      <w:r w:rsidRPr="00871524">
        <w:rPr>
          <w:rStyle w:val="af7"/>
          <w:rFonts w:eastAsia="新細明體" w:cs="Arial Unicode MS"/>
          <w:kern w:val="2"/>
          <w:szCs w:val="20"/>
        </w:rPr>
        <w:footnoteRef/>
      </w:r>
      <w:r w:rsidRPr="00871524">
        <w:t xml:space="preserve"> </w:t>
      </w:r>
      <w:r w:rsidRPr="00871524">
        <w:tab/>
      </w:r>
      <w:r w:rsidRPr="00871524">
        <w:t>紐西蘭移民局網站</w:t>
      </w:r>
      <w:r w:rsidRPr="00871524">
        <w:t>(2015)</w:t>
      </w:r>
      <w:r w:rsidRPr="00871524">
        <w:t>，瀏覽時間：</w:t>
      </w:r>
      <w:smartTag w:uri="urn:schemas-microsoft-com:office:smarttags" w:element="chsdate">
        <w:smartTagPr>
          <w:attr w:name="Year" w:val="2015"/>
          <w:attr w:name="Month" w:val="5"/>
          <w:attr w:name="Day" w:val="18"/>
          <w:attr w:name="IsLunarDate" w:val="False"/>
          <w:attr w:name="IsROCDate" w:val="False"/>
        </w:smartTagPr>
        <w:r w:rsidRPr="00871524">
          <w:t>2015</w:t>
        </w:r>
        <w:r w:rsidRPr="00871524">
          <w:t>年</w:t>
        </w:r>
        <w:r w:rsidRPr="00871524">
          <w:t>5</w:t>
        </w:r>
        <w:r w:rsidRPr="00871524">
          <w:t>月</w:t>
        </w:r>
        <w:r w:rsidRPr="00871524">
          <w:t>18</w:t>
        </w:r>
        <w:r w:rsidRPr="00871524">
          <w:t>日</w:t>
        </w:r>
      </w:smartTag>
      <w:r w:rsidRPr="00871524">
        <w:t>，</w:t>
      </w:r>
      <w:r w:rsidRPr="00871524">
        <w:rPr>
          <w:rStyle w:val="a7"/>
          <w:rFonts w:ascii="Arial Unicode MS" w:eastAsia="新細明體" w:hAnsi="Arial Unicode MS" w:cs="Calibri"/>
          <w:color w:val="5F5F5F"/>
          <w:kern w:val="2"/>
          <w:sz w:val="18"/>
        </w:rPr>
        <w:t>http://skillshortages. immigration.govt.nz/</w:t>
      </w:r>
      <w:r w:rsidRPr="00871524">
        <w:t>。</w:t>
      </w:r>
    </w:p>
  </w:footnote>
  <w:footnote w:id="394">
    <w:p w:rsidR="00657FEF" w:rsidRPr="005B648A" w:rsidRDefault="00657FEF" w:rsidP="005B648A">
      <w:pPr>
        <w:pStyle w:val="5"/>
        <w:jc w:val="left"/>
      </w:pPr>
      <w:r w:rsidRPr="005B648A">
        <w:rPr>
          <w:rStyle w:val="af7"/>
          <w:rFonts w:eastAsia="新細明體" w:cs="Arial Unicode MS"/>
          <w:kern w:val="2"/>
          <w:szCs w:val="20"/>
        </w:rPr>
        <w:footnoteRef/>
      </w:r>
      <w:r w:rsidRPr="005B648A">
        <w:rPr>
          <w:rFonts w:ascii="Arial Unicode MS" w:eastAsia="新細明體" w:hAnsi="Arial Unicode MS"/>
          <w:color w:val="FF6600"/>
          <w:kern w:val="2"/>
        </w:rPr>
        <w:t xml:space="preserve"> </w:t>
      </w:r>
      <w:r w:rsidRPr="00DA4C55">
        <w:tab/>
      </w:r>
      <w:r w:rsidRPr="00DA4C55">
        <w:t>紐西蘭移民局</w:t>
      </w:r>
      <w:r w:rsidRPr="00DA4C55">
        <w:t>(2015)</w:t>
      </w:r>
      <w:r w:rsidRPr="00DA4C55">
        <w:t>，瀏覽時間：</w:t>
      </w:r>
      <w:r w:rsidRPr="00DA4C55">
        <w:t>2015</w:t>
      </w:r>
      <w:r w:rsidRPr="00DA4C55">
        <w:t>年</w:t>
      </w:r>
      <w:r w:rsidRPr="00DA4C55">
        <w:t>5</w:t>
      </w:r>
      <w:r w:rsidRPr="00DA4C55">
        <w:t>月</w:t>
      </w:r>
      <w:r w:rsidRPr="00DA4C55">
        <w:t>10</w:t>
      </w:r>
      <w:r w:rsidRPr="00DA4C55">
        <w:t>日，</w:t>
      </w:r>
      <w:hyperlink r:id="rId102" w:history="1">
        <w:r w:rsidRPr="00524329">
          <w:rPr>
            <w:rStyle w:val="a7"/>
            <w:rFonts w:ascii="Arial Unicode MS" w:eastAsia="新細明體" w:hAnsi="Arial Unicode MS" w:cs="Calibri"/>
            <w:color w:val="5F5F5F"/>
            <w:kern w:val="2"/>
            <w:sz w:val="18"/>
          </w:rPr>
          <w:t>http://www.immigration.govt.nz/migrant/stream/work/skilledmigrant/caniapply/english/</w:t>
        </w:r>
      </w:hyperlink>
      <w:r w:rsidRPr="00524329">
        <w:rPr>
          <w:color w:val="5F5F5F"/>
        </w:rPr>
        <w:t>。紐西蘭移民局</w:t>
      </w:r>
      <w:r w:rsidRPr="00524329">
        <w:rPr>
          <w:color w:val="5F5F5F"/>
        </w:rPr>
        <w:t>(2015)</w:t>
      </w:r>
      <w:r w:rsidRPr="00524329">
        <w:rPr>
          <w:color w:val="5F5F5F"/>
        </w:rPr>
        <w:t>，瀏覽時間：</w:t>
      </w:r>
      <w:r w:rsidRPr="00524329">
        <w:rPr>
          <w:color w:val="5F5F5F"/>
        </w:rPr>
        <w:t>2015</w:t>
      </w:r>
      <w:r w:rsidRPr="00524329">
        <w:rPr>
          <w:color w:val="5F5F5F"/>
        </w:rPr>
        <w:t>年</w:t>
      </w:r>
      <w:r w:rsidRPr="00524329">
        <w:rPr>
          <w:color w:val="5F5F5F"/>
        </w:rPr>
        <w:t>5</w:t>
      </w:r>
      <w:r w:rsidRPr="00524329">
        <w:rPr>
          <w:color w:val="5F5F5F"/>
        </w:rPr>
        <w:t>月</w:t>
      </w:r>
      <w:r w:rsidRPr="00524329">
        <w:rPr>
          <w:color w:val="5F5F5F"/>
        </w:rPr>
        <w:t>10</w:t>
      </w:r>
      <w:r w:rsidRPr="00524329">
        <w:rPr>
          <w:color w:val="5F5F5F"/>
        </w:rPr>
        <w:t>日，</w:t>
      </w:r>
      <w:hyperlink r:id="rId103" w:history="1">
        <w:r w:rsidRPr="00524329">
          <w:rPr>
            <w:rStyle w:val="a7"/>
            <w:rFonts w:ascii="Arial Unicode MS" w:eastAsia="新細明體" w:hAnsi="Arial Unicode MS" w:cs="Calibri"/>
            <w:color w:val="5F5F5F"/>
            <w:kern w:val="2"/>
            <w:sz w:val="18"/>
          </w:rPr>
          <w:t>http://www.immigration.govt.nz/migrant/stream/work/skilledmigrant/caniapply/points/default.htm</w:t>
        </w:r>
      </w:hyperlink>
      <w:r w:rsidRPr="00524329">
        <w:rPr>
          <w:color w:val="5F5F5F"/>
        </w:rPr>
        <w:t>。紐西蘭移民局</w:t>
      </w:r>
      <w:r w:rsidRPr="00524329">
        <w:rPr>
          <w:color w:val="5F5F5F"/>
        </w:rPr>
        <w:t>(2015)</w:t>
      </w:r>
      <w:r w:rsidRPr="00524329">
        <w:rPr>
          <w:color w:val="5F5F5F"/>
        </w:rPr>
        <w:t>，瀏覽時間：</w:t>
      </w:r>
      <w:r w:rsidRPr="00524329">
        <w:rPr>
          <w:color w:val="5F5F5F"/>
        </w:rPr>
        <w:t>2015</w:t>
      </w:r>
      <w:r w:rsidRPr="00524329">
        <w:rPr>
          <w:color w:val="5F5F5F"/>
        </w:rPr>
        <w:t>年</w:t>
      </w:r>
      <w:r w:rsidRPr="00524329">
        <w:rPr>
          <w:color w:val="5F5F5F"/>
        </w:rPr>
        <w:t>5</w:t>
      </w:r>
      <w:r w:rsidRPr="00524329">
        <w:rPr>
          <w:color w:val="5F5F5F"/>
        </w:rPr>
        <w:t>月</w:t>
      </w:r>
      <w:r w:rsidRPr="00524329">
        <w:rPr>
          <w:color w:val="5F5F5F"/>
        </w:rPr>
        <w:t>10</w:t>
      </w:r>
      <w:r w:rsidRPr="00524329">
        <w:rPr>
          <w:color w:val="5F5F5F"/>
        </w:rPr>
        <w:t>日，</w:t>
      </w:r>
      <w:hyperlink r:id="rId104" w:history="1">
        <w:r w:rsidRPr="00524329">
          <w:rPr>
            <w:rStyle w:val="a7"/>
            <w:rFonts w:ascii="Arial Unicode MS" w:eastAsia="新細明體" w:hAnsi="Arial Unicode MS" w:cs="Calibri"/>
            <w:color w:val="5F5F5F"/>
            <w:kern w:val="2"/>
            <w:sz w:val="18"/>
          </w:rPr>
          <w:t>https://www.immi.gov.au/Visas/Pages/189.aspx</w:t>
        </w:r>
      </w:hyperlink>
      <w:r w:rsidRPr="005B648A">
        <w:t>。</w:t>
      </w:r>
    </w:p>
  </w:footnote>
  <w:footnote w:id="395">
    <w:p w:rsidR="00657FEF" w:rsidRPr="00776F57" w:rsidRDefault="00657FEF" w:rsidP="00992AB6">
      <w:pPr>
        <w:pStyle w:val="5"/>
      </w:pPr>
      <w:r w:rsidRPr="00776F57">
        <w:rPr>
          <w:rStyle w:val="af7"/>
          <w:rFonts w:eastAsia="新細明體" w:cs="Arial Unicode MS"/>
          <w:kern w:val="2"/>
          <w:szCs w:val="20"/>
        </w:rPr>
        <w:footnoteRef/>
      </w:r>
      <w:r w:rsidRPr="00776F57">
        <w:t xml:space="preserve"> </w:t>
      </w:r>
      <w:r w:rsidRPr="00776F57">
        <w:tab/>
        <w:t>BBC</w:t>
      </w:r>
      <w:r w:rsidRPr="00776F57">
        <w:t>新聞</w:t>
      </w:r>
      <w:r w:rsidRPr="00776F57">
        <w:t>(2015)</w:t>
      </w:r>
      <w:r w:rsidRPr="00776F57">
        <w:t>，瀏覽時間：</w:t>
      </w:r>
      <w:r w:rsidRPr="00776F57">
        <w:t>2015</w:t>
      </w:r>
      <w:r w:rsidRPr="00776F57">
        <w:t>年</w:t>
      </w:r>
      <w:r w:rsidRPr="00776F57">
        <w:t>5</w:t>
      </w:r>
      <w:r w:rsidRPr="00776F57">
        <w:t>月</w:t>
      </w:r>
      <w:r w:rsidRPr="00776F57">
        <w:t>10</w:t>
      </w:r>
      <w:r w:rsidRPr="00776F57">
        <w:t>日，</w:t>
      </w:r>
      <w:hyperlink r:id="rId105" w:history="1">
        <w:r w:rsidRPr="00524329">
          <w:rPr>
            <w:rStyle w:val="a7"/>
            <w:rFonts w:ascii="Arial Unicode MS" w:eastAsia="新細明體" w:hAnsi="Arial Unicode MS" w:cs="Calibri"/>
            <w:color w:val="5F5F5F"/>
            <w:kern w:val="2"/>
            <w:sz w:val="18"/>
          </w:rPr>
          <w:t>http://www.bbc.com/ news/uk-politics-29594642</w:t>
        </w:r>
      </w:hyperlink>
      <w:r w:rsidRPr="00776F57">
        <w:t>。</w:t>
      </w:r>
    </w:p>
  </w:footnote>
  <w:footnote w:id="396">
    <w:p w:rsidR="00657FEF" w:rsidRPr="00776F57" w:rsidRDefault="00657FEF" w:rsidP="00992AB6">
      <w:pPr>
        <w:pStyle w:val="5"/>
      </w:pPr>
      <w:r w:rsidRPr="00776F57">
        <w:rPr>
          <w:rStyle w:val="af7"/>
          <w:rFonts w:cs="Arial Unicode MS"/>
          <w:szCs w:val="20"/>
        </w:rPr>
        <w:footnoteRef/>
      </w:r>
      <w:r w:rsidRPr="00776F57">
        <w:t xml:space="preserve"> </w:t>
      </w:r>
      <w:r w:rsidRPr="00776F57">
        <w:tab/>
      </w:r>
      <w:hyperlink r:id="rId106" w:history="1">
        <w:r w:rsidRPr="00776F57">
          <w:rPr>
            <w:rStyle w:val="a7"/>
            <w:rFonts w:ascii="Arial Unicode MS" w:eastAsia="新細明體" w:hAnsi="Arial Unicode MS" w:cs="Calibri"/>
            <w:color w:val="5F5F5F"/>
            <w:kern w:val="2"/>
            <w:sz w:val="18"/>
          </w:rPr>
          <w:t>http://www.immi.gov.au/Work/Pages/SkillSelect/SkillSelect.aspx</w:t>
        </w:r>
      </w:hyperlink>
      <w:r w:rsidRPr="00776F57">
        <w:t>，瀏覽時間：</w:t>
      </w:r>
      <w:r w:rsidRPr="00776F57">
        <w:t>2015</w:t>
      </w:r>
      <w:r w:rsidRPr="00776F57">
        <w:t>年</w:t>
      </w:r>
      <w:r w:rsidRPr="00776F57">
        <w:t>5</w:t>
      </w:r>
      <w:r w:rsidRPr="00776F57">
        <w:t>月</w:t>
      </w:r>
      <w:r w:rsidRPr="00776F57">
        <w:t>10</w:t>
      </w:r>
      <w:r w:rsidRPr="00776F57">
        <w:t>日。</w:t>
      </w:r>
    </w:p>
  </w:footnote>
  <w:footnote w:id="397">
    <w:p w:rsidR="00657FEF" w:rsidRPr="00DA4C55" w:rsidRDefault="00657FEF" w:rsidP="00776F57">
      <w:pPr>
        <w:pStyle w:val="5"/>
        <w:jc w:val="left"/>
      </w:pPr>
      <w:r w:rsidRPr="00776F57">
        <w:rPr>
          <w:rStyle w:val="af7"/>
          <w:rFonts w:eastAsia="新細明體" w:cs="Arial Unicode MS"/>
          <w:kern w:val="2"/>
          <w:szCs w:val="20"/>
        </w:rPr>
        <w:footnoteRef/>
      </w:r>
      <w:r w:rsidRPr="00DA4C55">
        <w:t xml:space="preserve"> </w:t>
      </w:r>
      <w:r w:rsidRPr="00DA4C55">
        <w:tab/>
      </w:r>
      <w:r w:rsidRPr="00DA4C55">
        <w:t>澳洲移民局</w:t>
      </w:r>
      <w:r w:rsidRPr="00DA4C55">
        <w:t>(2014)</w:t>
      </w:r>
      <w:r w:rsidRPr="00DA4C55">
        <w:t>，瀏覽時間：</w:t>
      </w:r>
      <w:smartTag w:uri="urn:schemas-microsoft-com:office:smarttags" w:element="chsdate">
        <w:smartTagPr>
          <w:attr w:name="Year" w:val="2014"/>
          <w:attr w:name="Month" w:val="12"/>
          <w:attr w:name="Day" w:val="15"/>
          <w:attr w:name="IsLunarDate" w:val="False"/>
          <w:attr w:name="IsROCDate" w:val="False"/>
        </w:smartTagPr>
        <w:r w:rsidRPr="00DA4C55">
          <w:t>2014</w:t>
        </w:r>
        <w:r w:rsidRPr="00DA4C55">
          <w:t>年</w:t>
        </w:r>
        <w:r w:rsidRPr="00DA4C55">
          <w:t>12</w:t>
        </w:r>
        <w:r w:rsidRPr="00DA4C55">
          <w:t>月</w:t>
        </w:r>
        <w:r w:rsidRPr="00DA4C55">
          <w:t>15</w:t>
        </w:r>
        <w:r w:rsidRPr="00DA4C55">
          <w:t>日</w:t>
        </w:r>
      </w:smartTag>
      <w:r w:rsidRPr="00DA4C55">
        <w:t>，</w:t>
      </w:r>
      <w:hyperlink r:id="rId107" w:history="1">
        <w:r w:rsidRPr="00E159EC">
          <w:rPr>
            <w:rStyle w:val="a7"/>
            <w:rFonts w:ascii="Arial Unicode MS" w:eastAsia="新細明體" w:hAnsi="Arial Unicode MS" w:cs="Calibri"/>
            <w:color w:val="5F5F5F"/>
            <w:kern w:val="2"/>
            <w:sz w:val="18"/>
          </w:rPr>
          <w:t>http://www.immi.gov.au/Search/Pages/Results.aspx?k=point%20system</w:t>
        </w:r>
      </w:hyperlink>
      <w:r w:rsidRPr="00DA4C55">
        <w:t>。</w:t>
      </w:r>
    </w:p>
  </w:footnote>
  <w:footnote w:id="398">
    <w:p w:rsidR="00657FEF" w:rsidRPr="00DA4C55" w:rsidRDefault="00657FEF" w:rsidP="00992AB6">
      <w:pPr>
        <w:pStyle w:val="5"/>
        <w:rPr>
          <w:lang w:eastAsia="zh-TW"/>
        </w:rPr>
      </w:pPr>
      <w:r w:rsidRPr="00776F57">
        <w:rPr>
          <w:rStyle w:val="af7"/>
          <w:rFonts w:eastAsia="新細明體" w:cs="Arial Unicode MS"/>
          <w:kern w:val="2"/>
          <w:szCs w:val="20"/>
        </w:rPr>
        <w:footnoteRef/>
      </w:r>
      <w:r w:rsidRPr="00776F57">
        <w:rPr>
          <w:rFonts w:ascii="Arial Unicode MS" w:eastAsia="新細明體" w:hAnsi="Arial Unicode MS"/>
          <w:color w:val="FF6600"/>
          <w:kern w:val="2"/>
          <w:lang w:eastAsia="zh-TW"/>
        </w:rPr>
        <w:t xml:space="preserve"> </w:t>
      </w:r>
      <w:r w:rsidRPr="00DA4C55">
        <w:rPr>
          <w:lang w:eastAsia="zh-TW"/>
        </w:rPr>
        <w:tab/>
      </w:r>
      <w:r w:rsidRPr="00DA4C55">
        <w:rPr>
          <w:lang w:eastAsia="zh-TW"/>
        </w:rPr>
        <w:t>感謝簡吉照教授對本文所提出之寶貴意見，作者業已針對加拿大對技術移民年齡資格之要求，作更詳細之補充說明。</w:t>
      </w:r>
    </w:p>
  </w:footnote>
  <w:footnote w:id="399">
    <w:p w:rsidR="00657FEF" w:rsidRPr="00DA4C55" w:rsidRDefault="00657FEF" w:rsidP="00992AB6">
      <w:pPr>
        <w:pStyle w:val="5"/>
        <w:rPr>
          <w:lang w:eastAsia="zh-TW"/>
        </w:rPr>
      </w:pPr>
      <w:r w:rsidRPr="00AF1178">
        <w:rPr>
          <w:rStyle w:val="af7"/>
          <w:rFonts w:cs="Arial Unicode MS"/>
          <w:szCs w:val="20"/>
        </w:rPr>
        <w:footnoteRef/>
      </w:r>
      <w:r w:rsidRPr="00DA4C55">
        <w:rPr>
          <w:lang w:eastAsia="zh-TW"/>
        </w:rPr>
        <w:t xml:space="preserve"> </w:t>
      </w:r>
      <w:r w:rsidRPr="00DA4C55">
        <w:rPr>
          <w:lang w:eastAsia="zh-TW"/>
        </w:rPr>
        <w:tab/>
      </w:r>
      <w:r w:rsidRPr="00DA4C55">
        <w:rPr>
          <w:lang w:eastAsia="zh-TW"/>
        </w:rPr>
        <w:t>台灣之審查制之法源，係為</w:t>
      </w:r>
      <w:r w:rsidRPr="00DA4C55">
        <w:rPr>
          <w:lang w:eastAsia="zh-TW"/>
        </w:rPr>
        <w:t>──</w:t>
      </w:r>
      <w:r w:rsidRPr="00DA4C55">
        <w:rPr>
          <w:lang w:eastAsia="zh-TW"/>
        </w:rPr>
        <w:t>外國人申請永久居留案件審查基準修正規定。</w:t>
      </w:r>
    </w:p>
  </w:footnote>
  <w:footnote w:id="400">
    <w:p w:rsidR="00657FEF" w:rsidRPr="00DA4C55" w:rsidRDefault="00657FEF" w:rsidP="00992AB6">
      <w:pPr>
        <w:pStyle w:val="5"/>
        <w:rPr>
          <w:lang w:eastAsia="zh-TW"/>
        </w:rPr>
      </w:pPr>
      <w:r w:rsidRPr="00016E69">
        <w:rPr>
          <w:rStyle w:val="af7"/>
          <w:rFonts w:eastAsia="新細明體" w:cs="Arial Unicode MS"/>
          <w:kern w:val="2"/>
          <w:szCs w:val="20"/>
        </w:rPr>
        <w:footnoteRef/>
      </w:r>
      <w:r w:rsidRPr="00DA4C55">
        <w:rPr>
          <w:lang w:eastAsia="zh-TW"/>
        </w:rPr>
        <w:t xml:space="preserve"> </w:t>
      </w:r>
      <w:r w:rsidRPr="00DA4C55">
        <w:rPr>
          <w:lang w:eastAsia="zh-TW"/>
        </w:rPr>
        <w:tab/>
        <w:t>Charles M. Beach(2012)</w:t>
      </w:r>
      <w:r w:rsidRPr="00DA4C55">
        <w:rPr>
          <w:lang w:eastAsia="zh-TW"/>
        </w:rPr>
        <w:t>，加拿大評點制：優劣分析及經驗談，收錄於</w:t>
      </w:r>
      <w:r w:rsidRPr="00DA4C55">
        <w:rPr>
          <w:lang w:eastAsia="zh-TW"/>
        </w:rPr>
        <w:t>2012</w:t>
      </w:r>
      <w:r w:rsidRPr="00DA4C55">
        <w:rPr>
          <w:lang w:eastAsia="zh-TW"/>
        </w:rPr>
        <w:t>年移民政策國際研討會</w:t>
      </w:r>
      <w:r w:rsidRPr="00DA4C55">
        <w:rPr>
          <w:lang w:eastAsia="zh-TW"/>
        </w:rPr>
        <w:t>──</w:t>
      </w:r>
      <w:r w:rsidRPr="00DA4C55">
        <w:rPr>
          <w:lang w:eastAsia="zh-TW"/>
        </w:rPr>
        <w:t>全球人才競逐研討會實錄，臺北市：臺北花園大酒店。</w:t>
      </w:r>
    </w:p>
  </w:footnote>
  <w:footnote w:id="401">
    <w:p w:rsidR="00657FEF" w:rsidRPr="00DA4C55" w:rsidRDefault="00657FEF" w:rsidP="00992AB6">
      <w:pPr>
        <w:pStyle w:val="5"/>
        <w:rPr>
          <w:lang w:eastAsia="zh-TW"/>
        </w:rPr>
      </w:pPr>
      <w:r w:rsidRPr="00AF1178">
        <w:rPr>
          <w:rStyle w:val="af7"/>
          <w:rFonts w:cs="Arial Unicode MS"/>
          <w:szCs w:val="20"/>
        </w:rPr>
        <w:footnoteRef/>
      </w:r>
      <w:r w:rsidRPr="00DA4C55">
        <w:rPr>
          <w:lang w:eastAsia="zh-TW"/>
        </w:rPr>
        <w:t xml:space="preserve"> </w:t>
      </w:r>
      <w:r w:rsidRPr="00DA4C55">
        <w:rPr>
          <w:lang w:eastAsia="zh-TW"/>
        </w:rPr>
        <w:tab/>
      </w:r>
      <w:r w:rsidRPr="00DA4C55">
        <w:rPr>
          <w:lang w:eastAsia="zh-TW"/>
        </w:rPr>
        <w:t>有關移民與國境安全、國境管理及國家安全之相關議題，尚可進一步參閱以下重要之文獻：</w:t>
      </w:r>
      <w:r w:rsidRPr="00DA4C55">
        <w:rPr>
          <w:lang w:eastAsia="zh-TW"/>
        </w:rPr>
        <w:br/>
      </w:r>
      <w:r w:rsidRPr="00DA4C55">
        <w:rPr>
          <w:lang w:eastAsia="zh-TW"/>
        </w:rPr>
        <w:t>王智盛</w:t>
      </w:r>
      <w:r w:rsidRPr="00DA4C55">
        <w:rPr>
          <w:lang w:eastAsia="zh-TW"/>
        </w:rPr>
        <w:t>(2015)</w:t>
      </w:r>
      <w:r w:rsidRPr="00DA4C55">
        <w:rPr>
          <w:lang w:eastAsia="zh-TW"/>
        </w:rPr>
        <w:t>，金門開放大陸地區人民落地簽證之法政分析</w:t>
      </w:r>
      <w:r w:rsidRPr="00DA4C55">
        <w:rPr>
          <w:lang w:eastAsia="zh-TW"/>
        </w:rPr>
        <w:t>—</w:t>
      </w:r>
      <w:r w:rsidRPr="00DA4C55">
        <w:rPr>
          <w:lang w:eastAsia="zh-TW"/>
        </w:rPr>
        <w:t>國境管理與邊境旅遊之衡平思考，發表於中央警察大學移民研究中心</w:t>
      </w:r>
      <w:r w:rsidRPr="00DA4C55">
        <w:rPr>
          <w:lang w:eastAsia="zh-TW"/>
        </w:rPr>
        <w:t>2015</w:t>
      </w:r>
      <w:r w:rsidRPr="00DA4C55">
        <w:rPr>
          <w:lang w:eastAsia="zh-TW"/>
        </w:rPr>
        <w:t>年「人口移動與執法」學術研討會。</w:t>
      </w:r>
      <w:r w:rsidRPr="00DA4C55">
        <w:rPr>
          <w:lang w:eastAsia="zh-TW"/>
        </w:rPr>
        <w:br/>
      </w:r>
      <w:r w:rsidRPr="00DA4C55">
        <w:rPr>
          <w:lang w:eastAsia="zh-TW"/>
        </w:rPr>
        <w:t>王寬弘</w:t>
      </w:r>
      <w:r w:rsidRPr="00DA4C55">
        <w:rPr>
          <w:lang w:eastAsia="zh-TW"/>
        </w:rPr>
        <w:t>(2003)</w:t>
      </w:r>
      <w:r w:rsidRPr="00DA4C55">
        <w:rPr>
          <w:lang w:eastAsia="zh-TW"/>
        </w:rPr>
        <w:t>，「國境查緝走私處罰之研究」，</w:t>
      </w:r>
      <w:r w:rsidRPr="00DA4C55">
        <w:rPr>
          <w:lang w:eastAsia="zh-TW"/>
        </w:rPr>
        <w:t>2003</w:t>
      </w:r>
      <w:r w:rsidRPr="00DA4C55">
        <w:rPr>
          <w:lang w:eastAsia="zh-TW"/>
        </w:rPr>
        <w:t>年國境安全與刑事政策學術研討會。</w:t>
      </w:r>
      <w:r w:rsidRPr="00DA4C55">
        <w:rPr>
          <w:lang w:eastAsia="zh-TW"/>
        </w:rPr>
        <w:br/>
      </w:r>
      <w:r w:rsidRPr="00DA4C55">
        <w:rPr>
          <w:lang w:eastAsia="zh-TW"/>
        </w:rPr>
        <w:t>王寬弘</w:t>
      </w:r>
      <w:r w:rsidRPr="00DA4C55">
        <w:rPr>
          <w:lang w:eastAsia="zh-TW"/>
        </w:rPr>
        <w:t>(2011)</w:t>
      </w:r>
      <w:r w:rsidRPr="00DA4C55">
        <w:rPr>
          <w:lang w:eastAsia="zh-TW"/>
        </w:rPr>
        <w:t>，「大陸地區人民進入台灣相關入出境法令問題淺探」，</w:t>
      </w:r>
      <w:r w:rsidRPr="00DA4C55">
        <w:rPr>
          <w:lang w:eastAsia="zh-TW"/>
        </w:rPr>
        <w:t>2011</w:t>
      </w:r>
      <w:r w:rsidRPr="00DA4C55">
        <w:rPr>
          <w:lang w:eastAsia="zh-TW"/>
        </w:rPr>
        <w:t>年人口移動與執法學術研討會。</w:t>
      </w:r>
      <w:r w:rsidRPr="00DA4C55">
        <w:rPr>
          <w:lang w:eastAsia="zh-TW"/>
        </w:rPr>
        <w:br/>
      </w:r>
      <w:r w:rsidRPr="00DA4C55">
        <w:rPr>
          <w:lang w:eastAsia="zh-TW"/>
        </w:rPr>
        <w:t>王寬弘</w:t>
      </w:r>
      <w:r w:rsidRPr="00DA4C55">
        <w:rPr>
          <w:lang w:eastAsia="zh-TW"/>
        </w:rPr>
        <w:t>(2012)</w:t>
      </w:r>
      <w:r w:rsidRPr="00DA4C55">
        <w:rPr>
          <w:lang w:eastAsia="zh-TW"/>
        </w:rPr>
        <w:t>，「大陸地區人民進入台灣相關入出境法令問題淺探」，國土安全與國境管理學報，第</w:t>
      </w:r>
      <w:r w:rsidRPr="00DA4C55">
        <w:rPr>
          <w:lang w:eastAsia="zh-TW"/>
        </w:rPr>
        <w:t>17</w:t>
      </w:r>
      <w:r w:rsidRPr="00DA4C55">
        <w:rPr>
          <w:lang w:eastAsia="zh-TW"/>
        </w:rPr>
        <w:t>期，頁</w:t>
      </w:r>
      <w:r w:rsidRPr="00DA4C55">
        <w:rPr>
          <w:lang w:eastAsia="zh-TW"/>
        </w:rPr>
        <w:t>155-185</w:t>
      </w:r>
      <w:r w:rsidRPr="00DA4C55">
        <w:rPr>
          <w:lang w:eastAsia="zh-TW"/>
        </w:rPr>
        <w:t>。</w:t>
      </w:r>
      <w:r w:rsidRPr="00DA4C55">
        <w:rPr>
          <w:lang w:eastAsia="zh-TW"/>
        </w:rPr>
        <w:br/>
      </w:r>
      <w:r w:rsidRPr="00DA4C55">
        <w:rPr>
          <w:lang w:eastAsia="zh-TW"/>
        </w:rPr>
        <w:t>王寬弘</w:t>
      </w:r>
      <w:r w:rsidRPr="00DA4C55">
        <w:rPr>
          <w:lang w:eastAsia="zh-TW"/>
        </w:rPr>
        <w:t>(2012)</w:t>
      </w:r>
      <w:r w:rsidRPr="00DA4C55">
        <w:rPr>
          <w:lang w:eastAsia="zh-TW"/>
        </w:rPr>
        <w:t>，「我國打擊人口販運查緝困境之研究</w:t>
      </w:r>
      <w:r w:rsidRPr="00DA4C55">
        <w:rPr>
          <w:lang w:eastAsia="zh-TW"/>
        </w:rPr>
        <w:t>—</w:t>
      </w:r>
      <w:r w:rsidRPr="00DA4C55">
        <w:rPr>
          <w:lang w:eastAsia="zh-TW"/>
        </w:rPr>
        <w:t>以警察及移民機關為例」，</w:t>
      </w:r>
      <w:r w:rsidRPr="00DA4C55">
        <w:rPr>
          <w:lang w:eastAsia="zh-TW"/>
        </w:rPr>
        <w:t>2012</w:t>
      </w:r>
      <w:r w:rsidRPr="00DA4C55">
        <w:rPr>
          <w:lang w:eastAsia="zh-TW"/>
        </w:rPr>
        <w:t>年人口移動與國境執法學術研討會。</w:t>
      </w:r>
      <w:r w:rsidRPr="00DA4C55">
        <w:rPr>
          <w:lang w:eastAsia="zh-TW"/>
        </w:rPr>
        <w:br/>
      </w:r>
      <w:r w:rsidRPr="00DA4C55">
        <w:rPr>
          <w:lang w:eastAsia="zh-TW"/>
        </w:rPr>
        <w:t>王寬弘</w:t>
      </w:r>
      <w:r w:rsidRPr="00DA4C55">
        <w:rPr>
          <w:lang w:eastAsia="zh-TW"/>
        </w:rPr>
        <w:t>(2012)</w:t>
      </w:r>
      <w:r w:rsidRPr="00DA4C55">
        <w:rPr>
          <w:lang w:eastAsia="zh-TW"/>
        </w:rPr>
        <w:t>，「國境安全檢查若干法制問題之探討」，</w:t>
      </w:r>
      <w:r w:rsidRPr="00DA4C55">
        <w:rPr>
          <w:lang w:eastAsia="zh-TW"/>
        </w:rPr>
        <w:t>2012</w:t>
      </w:r>
      <w:r w:rsidRPr="00DA4C55">
        <w:rPr>
          <w:lang w:eastAsia="zh-TW"/>
        </w:rPr>
        <w:t>年國境管理與執法學術研討會。</w:t>
      </w:r>
      <w:r w:rsidRPr="00DA4C55">
        <w:rPr>
          <w:lang w:eastAsia="zh-TW"/>
        </w:rPr>
        <w:br/>
      </w:r>
      <w:r w:rsidRPr="00DA4C55">
        <w:rPr>
          <w:lang w:eastAsia="zh-TW"/>
        </w:rPr>
        <w:t>王寬弘</w:t>
      </w:r>
      <w:r w:rsidRPr="00DA4C55">
        <w:rPr>
          <w:lang w:eastAsia="zh-TW"/>
        </w:rPr>
        <w:t>(2013)</w:t>
      </w:r>
      <w:r w:rsidRPr="00DA4C55">
        <w:rPr>
          <w:lang w:eastAsia="zh-TW"/>
        </w:rPr>
        <w:t>，「國家安全法上國境安檢之概念與執法困境」，國土安全與國境管理學報，第</w:t>
      </w:r>
      <w:r w:rsidRPr="00DA4C55">
        <w:rPr>
          <w:lang w:eastAsia="zh-TW"/>
        </w:rPr>
        <w:t>20</w:t>
      </w:r>
      <w:r w:rsidRPr="00DA4C55">
        <w:rPr>
          <w:lang w:eastAsia="zh-TW"/>
        </w:rPr>
        <w:t>期，頁</w:t>
      </w:r>
      <w:r w:rsidRPr="00DA4C55">
        <w:rPr>
          <w:lang w:eastAsia="zh-TW"/>
        </w:rPr>
        <w:t>155-185</w:t>
      </w:r>
      <w:r w:rsidRPr="00DA4C55">
        <w:rPr>
          <w:lang w:eastAsia="zh-TW"/>
        </w:rPr>
        <w:t>。</w:t>
      </w:r>
      <w:r w:rsidRPr="00DA4C55">
        <w:rPr>
          <w:lang w:eastAsia="zh-TW"/>
        </w:rPr>
        <w:br/>
      </w:r>
      <w:r w:rsidRPr="00DA4C55">
        <w:rPr>
          <w:lang w:eastAsia="zh-TW"/>
        </w:rPr>
        <w:t>王寬弘</w:t>
      </w:r>
      <w:r w:rsidRPr="00DA4C55">
        <w:rPr>
          <w:lang w:eastAsia="zh-TW"/>
        </w:rPr>
        <w:t>(2014)</w:t>
      </w:r>
      <w:r w:rsidRPr="00DA4C55">
        <w:rPr>
          <w:lang w:eastAsia="zh-TW"/>
        </w:rPr>
        <w:t>，移民與國境管理，收錄於陳明傳、蔡庭榕、孟維德、王寬弘、柯雨瑞、許義寶、謝文忠、王智盛、林盈君、高佩珊等合著</w:t>
      </w:r>
      <w:r w:rsidRPr="00DA4C55">
        <w:rPr>
          <w:lang w:eastAsia="zh-TW"/>
        </w:rPr>
        <w:t>(2014)</w:t>
      </w:r>
      <w:r w:rsidRPr="00DA4C55">
        <w:rPr>
          <w:lang w:eastAsia="zh-TW"/>
        </w:rPr>
        <w:t>，移民之理論與實務，桃園：中央警察大學出版社，頁</w:t>
      </w:r>
      <w:r w:rsidRPr="00DA4C55">
        <w:rPr>
          <w:lang w:eastAsia="zh-TW"/>
        </w:rPr>
        <w:t>149-187</w:t>
      </w:r>
      <w:r>
        <w:rPr>
          <w:lang w:eastAsia="zh-TW"/>
        </w:rPr>
        <w:t>。</w:t>
      </w:r>
      <w:r w:rsidRPr="00DA4C55">
        <w:rPr>
          <w:lang w:eastAsia="zh-TW"/>
        </w:rPr>
        <w:t xml:space="preserve"> </w:t>
      </w:r>
      <w:r w:rsidRPr="00DA4C55">
        <w:rPr>
          <w:lang w:eastAsia="zh-TW"/>
        </w:rPr>
        <w:br/>
      </w:r>
      <w:r w:rsidRPr="00DA4C55">
        <w:rPr>
          <w:lang w:eastAsia="zh-TW"/>
        </w:rPr>
        <w:t>汪毓瑋</w:t>
      </w:r>
      <w:r w:rsidRPr="00DA4C55">
        <w:rPr>
          <w:lang w:eastAsia="zh-TW"/>
        </w:rPr>
        <w:t>(2010)</w:t>
      </w:r>
      <w:r w:rsidRPr="00DA4C55">
        <w:rPr>
          <w:lang w:eastAsia="zh-TW"/>
        </w:rPr>
        <w:t>，「移民政策之犯罪與安全思考及未來發展方向初探」，</w:t>
      </w:r>
      <w:r w:rsidRPr="00DA4C55">
        <w:rPr>
          <w:lang w:eastAsia="zh-TW"/>
        </w:rPr>
        <w:t xml:space="preserve">2010 </w:t>
      </w:r>
      <w:r w:rsidRPr="00DA4C55">
        <w:rPr>
          <w:lang w:eastAsia="zh-TW"/>
        </w:rPr>
        <w:t>年國境管理與移民事務研討會論文集</w:t>
      </w:r>
      <w:r w:rsidRPr="00DA4C55">
        <w:rPr>
          <w:lang w:eastAsia="zh-TW"/>
        </w:rPr>
        <w:t xml:space="preserve"> (</w:t>
      </w:r>
      <w:r w:rsidRPr="00DA4C55">
        <w:rPr>
          <w:lang w:eastAsia="zh-TW"/>
        </w:rPr>
        <w:t>龜山</w:t>
      </w:r>
      <w:r w:rsidRPr="00DA4C55">
        <w:rPr>
          <w:lang w:eastAsia="zh-TW"/>
        </w:rPr>
        <w:t>)</w:t>
      </w:r>
      <w:r w:rsidRPr="00DA4C55">
        <w:rPr>
          <w:lang w:eastAsia="zh-TW"/>
        </w:rPr>
        <w:t>，頁</w:t>
      </w:r>
      <w:r w:rsidRPr="00DA4C55">
        <w:rPr>
          <w:lang w:eastAsia="zh-TW"/>
        </w:rPr>
        <w:t xml:space="preserve"> 1</w:t>
      </w:r>
      <w:r w:rsidRPr="00DA4C55">
        <w:rPr>
          <w:lang w:eastAsia="zh-TW"/>
        </w:rPr>
        <w:t>～</w:t>
      </w:r>
      <w:r w:rsidRPr="00DA4C55">
        <w:rPr>
          <w:lang w:eastAsia="zh-TW"/>
        </w:rPr>
        <w:t>14</w:t>
      </w:r>
      <w:r w:rsidRPr="00DA4C55">
        <w:rPr>
          <w:lang w:eastAsia="zh-TW"/>
        </w:rPr>
        <w:t>。</w:t>
      </w:r>
      <w:r w:rsidRPr="00DA4C55">
        <w:rPr>
          <w:lang w:eastAsia="zh-TW"/>
        </w:rPr>
        <w:br/>
      </w:r>
      <w:r w:rsidRPr="00DA4C55">
        <w:rPr>
          <w:lang w:eastAsia="zh-TW"/>
        </w:rPr>
        <w:t>汪毓瑋</w:t>
      </w:r>
      <w:r w:rsidRPr="00DA4C55">
        <w:rPr>
          <w:lang w:eastAsia="zh-TW"/>
        </w:rPr>
        <w:t>(2010)</w:t>
      </w:r>
      <w:r w:rsidRPr="00DA4C55">
        <w:rPr>
          <w:lang w:eastAsia="zh-TW"/>
        </w:rPr>
        <w:t>，「移民與國境安全管理機制」，</w:t>
      </w:r>
      <w:r w:rsidRPr="00DA4C55">
        <w:rPr>
          <w:lang w:eastAsia="zh-TW"/>
        </w:rPr>
        <w:t>2010</w:t>
      </w:r>
      <w:r w:rsidRPr="00DA4C55">
        <w:rPr>
          <w:lang w:eastAsia="zh-TW"/>
        </w:rPr>
        <w:t>國土安全國際研討會論文集</w:t>
      </w:r>
      <w:r w:rsidRPr="00DA4C55">
        <w:rPr>
          <w:lang w:eastAsia="zh-TW"/>
        </w:rPr>
        <w:t xml:space="preserve"> (</w:t>
      </w:r>
      <w:r w:rsidRPr="00DA4C55">
        <w:rPr>
          <w:lang w:eastAsia="zh-TW"/>
        </w:rPr>
        <w:t>台北</w:t>
      </w:r>
      <w:r w:rsidRPr="00DA4C55">
        <w:rPr>
          <w:lang w:eastAsia="zh-TW"/>
        </w:rPr>
        <w:t>)</w:t>
      </w:r>
      <w:r w:rsidRPr="00DA4C55">
        <w:rPr>
          <w:lang w:eastAsia="zh-TW"/>
        </w:rPr>
        <w:t>，頁</w:t>
      </w:r>
      <w:r w:rsidRPr="00DA4C55">
        <w:rPr>
          <w:lang w:eastAsia="zh-TW"/>
        </w:rPr>
        <w:t xml:space="preserve"> 169-186</w:t>
      </w:r>
      <w:r w:rsidRPr="00DA4C55">
        <w:rPr>
          <w:lang w:eastAsia="zh-TW"/>
        </w:rPr>
        <w:t>。</w:t>
      </w:r>
      <w:r w:rsidRPr="00DA4C55">
        <w:rPr>
          <w:lang w:eastAsia="zh-TW"/>
        </w:rPr>
        <w:br/>
      </w:r>
      <w:r w:rsidRPr="00DA4C55">
        <w:rPr>
          <w:lang w:eastAsia="zh-TW"/>
        </w:rPr>
        <w:t>汪毓瑋</w:t>
      </w:r>
      <w:r w:rsidRPr="00DA4C55">
        <w:rPr>
          <w:lang w:eastAsia="zh-TW"/>
        </w:rPr>
        <w:t>(2011)</w:t>
      </w:r>
      <w:r w:rsidRPr="00DA4C55">
        <w:rPr>
          <w:lang w:eastAsia="zh-TW"/>
        </w:rPr>
        <w:t>，「強化我國吸引專技與投資移民應有作為之研究」，</w:t>
      </w:r>
      <w:r w:rsidRPr="00DA4C55">
        <w:rPr>
          <w:lang w:eastAsia="zh-TW"/>
        </w:rPr>
        <w:t xml:space="preserve">2011 </w:t>
      </w:r>
      <w:r w:rsidRPr="00DA4C55">
        <w:rPr>
          <w:lang w:eastAsia="zh-TW"/>
        </w:rPr>
        <w:t>年人口移動與執法學術研討會（龜山），頁</w:t>
      </w:r>
      <w:r w:rsidRPr="00DA4C55">
        <w:rPr>
          <w:lang w:eastAsia="zh-TW"/>
        </w:rPr>
        <w:t xml:space="preserve"> 151-167</w:t>
      </w:r>
      <w:r w:rsidRPr="00DA4C55">
        <w:rPr>
          <w:lang w:eastAsia="zh-TW"/>
        </w:rPr>
        <w:t>。</w:t>
      </w:r>
      <w:r w:rsidRPr="00DA4C55">
        <w:rPr>
          <w:lang w:eastAsia="zh-TW"/>
        </w:rPr>
        <w:br/>
      </w:r>
      <w:r w:rsidRPr="00DA4C55">
        <w:rPr>
          <w:lang w:eastAsia="zh-TW"/>
        </w:rPr>
        <w:t>高佩珊</w:t>
      </w:r>
      <w:r w:rsidRPr="00DA4C55">
        <w:rPr>
          <w:lang w:eastAsia="zh-TW"/>
        </w:rPr>
        <w:t>(2015)</w:t>
      </w:r>
      <w:r w:rsidRPr="00DA4C55">
        <w:rPr>
          <w:lang w:eastAsia="zh-TW"/>
        </w:rPr>
        <w:t>，歐盟移民問題探討，發表於中央警察大學移民研究中心</w:t>
      </w:r>
      <w:r w:rsidRPr="00DA4C55">
        <w:rPr>
          <w:lang w:eastAsia="zh-TW"/>
        </w:rPr>
        <w:t>2015</w:t>
      </w:r>
      <w:r w:rsidRPr="00DA4C55">
        <w:rPr>
          <w:lang w:eastAsia="zh-TW"/>
        </w:rPr>
        <w:t>年「人口移動與執法」學術研討會。</w:t>
      </w:r>
      <w:r w:rsidRPr="00DA4C55">
        <w:rPr>
          <w:lang w:eastAsia="zh-TW"/>
        </w:rPr>
        <w:br/>
      </w:r>
      <w:r w:rsidRPr="00DA4C55">
        <w:rPr>
          <w:lang w:eastAsia="zh-TW"/>
        </w:rPr>
        <w:t>許義寶</w:t>
      </w:r>
      <w:r w:rsidRPr="00DA4C55">
        <w:rPr>
          <w:lang w:eastAsia="zh-TW"/>
        </w:rPr>
        <w:t>(2014)</w:t>
      </w:r>
      <w:r w:rsidRPr="00DA4C55">
        <w:rPr>
          <w:lang w:eastAsia="zh-TW"/>
        </w:rPr>
        <w:t>，入出國法制與人權保障</w:t>
      </w:r>
      <w:r w:rsidRPr="00DA4C55">
        <w:rPr>
          <w:lang w:eastAsia="zh-TW"/>
        </w:rPr>
        <w:t>(</w:t>
      </w:r>
      <w:r w:rsidRPr="00DA4C55">
        <w:rPr>
          <w:lang w:eastAsia="zh-TW"/>
        </w:rPr>
        <w:t>二版</w:t>
      </w:r>
      <w:r w:rsidRPr="00DA4C55">
        <w:rPr>
          <w:lang w:eastAsia="zh-TW"/>
        </w:rPr>
        <w:t>)</w:t>
      </w:r>
      <w:r w:rsidRPr="00DA4C55">
        <w:rPr>
          <w:lang w:eastAsia="zh-TW"/>
        </w:rPr>
        <w:t>，五南。</w:t>
      </w:r>
      <w:r w:rsidRPr="00DA4C55">
        <w:rPr>
          <w:lang w:eastAsia="zh-TW"/>
        </w:rPr>
        <w:br/>
      </w:r>
      <w:r w:rsidRPr="00DA4C55">
        <w:rPr>
          <w:lang w:eastAsia="zh-TW"/>
        </w:rPr>
        <w:t>許義寶</w:t>
      </w:r>
      <w:r w:rsidRPr="00DA4C55">
        <w:rPr>
          <w:lang w:eastAsia="zh-TW"/>
        </w:rPr>
        <w:t>(2014)</w:t>
      </w:r>
      <w:r w:rsidRPr="00DA4C55">
        <w:rPr>
          <w:lang w:eastAsia="zh-TW"/>
        </w:rPr>
        <w:t>，論移民之概念與其基本權利之保障，中央警察大學國土安全與國境管理學報</w:t>
      </w:r>
      <w:r w:rsidRPr="00DA4C55">
        <w:rPr>
          <w:lang w:eastAsia="zh-TW"/>
        </w:rPr>
        <w:t xml:space="preserve">22 </w:t>
      </w:r>
      <w:r w:rsidRPr="00DA4C55">
        <w:rPr>
          <w:lang w:eastAsia="zh-TW"/>
        </w:rPr>
        <w:t>期，頁</w:t>
      </w:r>
      <w:r w:rsidRPr="00DA4C55">
        <w:rPr>
          <w:lang w:eastAsia="zh-TW"/>
        </w:rPr>
        <w:t>175-219</w:t>
      </w:r>
      <w:r w:rsidRPr="00DA4C55">
        <w:rPr>
          <w:lang w:eastAsia="zh-TW"/>
        </w:rPr>
        <w:t>。</w:t>
      </w:r>
      <w:r w:rsidRPr="00DA4C55">
        <w:rPr>
          <w:lang w:eastAsia="zh-TW"/>
        </w:rPr>
        <w:br/>
      </w:r>
      <w:r w:rsidRPr="00DA4C55">
        <w:rPr>
          <w:lang w:eastAsia="zh-TW"/>
        </w:rPr>
        <w:t>許義寶</w:t>
      </w:r>
      <w:r w:rsidRPr="00DA4C55">
        <w:rPr>
          <w:lang w:eastAsia="zh-TW"/>
        </w:rPr>
        <w:t>(2015)</w:t>
      </w:r>
      <w:r w:rsidRPr="00DA4C55">
        <w:rPr>
          <w:lang w:eastAsia="zh-TW"/>
        </w:rPr>
        <w:t>，移民人權保障之立法規範</w:t>
      </w:r>
      <w:r w:rsidRPr="00DA4C55">
        <w:rPr>
          <w:lang w:eastAsia="zh-TW"/>
        </w:rPr>
        <w:t>-</w:t>
      </w:r>
      <w:r w:rsidRPr="00DA4C55">
        <w:rPr>
          <w:lang w:eastAsia="zh-TW"/>
        </w:rPr>
        <w:t>以入出國及移民法為例，發表於中央警察大學移民研究中心</w:t>
      </w:r>
      <w:r w:rsidRPr="00DA4C55">
        <w:rPr>
          <w:lang w:eastAsia="zh-TW"/>
        </w:rPr>
        <w:t>2015</w:t>
      </w:r>
      <w:r w:rsidRPr="00DA4C55">
        <w:rPr>
          <w:lang w:eastAsia="zh-TW"/>
        </w:rPr>
        <w:t>年「人口移動與執法」學術研討會。</w:t>
      </w:r>
      <w:r w:rsidRPr="00DA4C55">
        <w:rPr>
          <w:lang w:eastAsia="zh-TW"/>
        </w:rPr>
        <w:br/>
      </w:r>
      <w:r w:rsidRPr="00DA4C55">
        <w:rPr>
          <w:lang w:eastAsia="zh-TW"/>
        </w:rPr>
        <w:t>陳明傳</w:t>
      </w:r>
      <w:r w:rsidRPr="00DA4C55">
        <w:rPr>
          <w:lang w:eastAsia="zh-TW"/>
        </w:rPr>
        <w:t>(2015)</w:t>
      </w:r>
      <w:r w:rsidRPr="00DA4C55">
        <w:rPr>
          <w:lang w:eastAsia="zh-TW"/>
        </w:rPr>
        <w:t>，各國入出國管理系統之比較研究，發表於中央警察大學移民研究中心</w:t>
      </w:r>
      <w:r w:rsidRPr="00DA4C55">
        <w:rPr>
          <w:lang w:eastAsia="zh-TW"/>
        </w:rPr>
        <w:t>2015</w:t>
      </w:r>
      <w:r w:rsidRPr="00DA4C55">
        <w:rPr>
          <w:lang w:eastAsia="zh-TW"/>
        </w:rPr>
        <w:t>年「人口移動與執法」學術研討會。</w:t>
      </w:r>
      <w:r w:rsidRPr="00DA4C55">
        <w:rPr>
          <w:lang w:eastAsia="zh-TW"/>
        </w:rPr>
        <w:br/>
      </w:r>
      <w:r w:rsidRPr="00DA4C55">
        <w:rPr>
          <w:lang w:eastAsia="zh-TW"/>
        </w:rPr>
        <w:t>陳明傳</w:t>
      </w:r>
      <w:r w:rsidRPr="00DA4C55">
        <w:rPr>
          <w:lang w:eastAsia="zh-TW"/>
        </w:rPr>
        <w:t>(2007</w:t>
      </w:r>
      <w:r w:rsidRPr="00DA4C55">
        <w:rPr>
          <w:lang w:eastAsia="zh-TW"/>
        </w:rPr>
        <w:t>）。跨國</w:t>
      </w:r>
      <w:r w:rsidRPr="00DA4C55">
        <w:rPr>
          <w:lang w:eastAsia="zh-TW"/>
        </w:rPr>
        <w:t>(</w:t>
      </w:r>
      <w:r w:rsidRPr="00DA4C55">
        <w:rPr>
          <w:lang w:eastAsia="zh-TW"/>
        </w:rPr>
        <w:t>境</w:t>
      </w:r>
      <w:r w:rsidRPr="00DA4C55">
        <w:rPr>
          <w:lang w:eastAsia="zh-TW"/>
        </w:rPr>
        <w:t>)</w:t>
      </w:r>
      <w:r w:rsidRPr="00DA4C55">
        <w:rPr>
          <w:lang w:eastAsia="zh-TW"/>
        </w:rPr>
        <w:t>犯罪與跨國犯罪學之初探，收於第一屆國土安全學術研討會論文集。桃園縣：中央警察大學。</w:t>
      </w:r>
      <w:r w:rsidRPr="00DA4C55">
        <w:rPr>
          <w:lang w:eastAsia="zh-TW"/>
        </w:rPr>
        <w:br/>
      </w:r>
      <w:r w:rsidRPr="00DA4C55">
        <w:rPr>
          <w:lang w:eastAsia="zh-TW"/>
        </w:rPr>
        <w:t>陳明傳、蔡庭榕、孟維德、王寬弘、柯雨瑞、許義寶、謝文忠、王智盛、林盈君、高佩珊等合著</w:t>
      </w:r>
      <w:r w:rsidRPr="00DA4C55">
        <w:rPr>
          <w:lang w:eastAsia="zh-TW"/>
        </w:rPr>
        <w:t>(2014)</w:t>
      </w:r>
      <w:r w:rsidRPr="00DA4C55">
        <w:rPr>
          <w:lang w:eastAsia="zh-TW"/>
        </w:rPr>
        <w:t>，移民之理論與實務，桃園：中央警察大學出版社。</w:t>
      </w:r>
      <w:r w:rsidRPr="00DA4C55">
        <w:rPr>
          <w:lang w:eastAsia="zh-TW"/>
        </w:rPr>
        <w:br/>
      </w:r>
      <w:r w:rsidRPr="00DA4C55">
        <w:rPr>
          <w:lang w:eastAsia="zh-TW"/>
        </w:rPr>
        <w:t>謝立功、張先正、汪毓瑋、謝文忠、柯文麗</w:t>
      </w:r>
      <w:r w:rsidRPr="00DA4C55">
        <w:rPr>
          <w:lang w:eastAsia="zh-TW"/>
        </w:rPr>
        <w:t>(2013)</w:t>
      </w:r>
      <w:r w:rsidRPr="00DA4C55">
        <w:rPr>
          <w:lang w:eastAsia="zh-TW"/>
        </w:rPr>
        <w:t>，美國移民政策之發展，新北市：人類智庫。</w:t>
      </w:r>
    </w:p>
  </w:footnote>
  <w:footnote w:id="402">
    <w:p w:rsidR="00657FEF" w:rsidRPr="00DA4C55" w:rsidRDefault="00657FEF" w:rsidP="00992AB6">
      <w:pPr>
        <w:pStyle w:val="5"/>
      </w:pPr>
      <w:r w:rsidRPr="00EC0EE2">
        <w:rPr>
          <w:rStyle w:val="af7"/>
          <w:rFonts w:eastAsia="新細明體" w:cs="Arial Unicode MS"/>
          <w:kern w:val="2"/>
          <w:szCs w:val="20"/>
        </w:rPr>
        <w:footnoteRef/>
      </w:r>
      <w:r w:rsidRPr="00DA4C55">
        <w:t xml:space="preserve"> </w:t>
      </w:r>
      <w:r w:rsidRPr="00DA4C55">
        <w:tab/>
      </w:r>
      <w:r w:rsidRPr="00DA4C55">
        <w:t>內政部</w:t>
      </w:r>
      <w:r w:rsidRPr="00DA4C55">
        <w:t>(2015)</w:t>
      </w:r>
      <w:r w:rsidRPr="00DA4C55">
        <w:t>，外僑居留證與永久居留證的差別？另外國人是否有其他方法停留台灣？上網瀏覽時間：</w:t>
      </w:r>
      <w:r w:rsidRPr="00DA4C55">
        <w:t>2015/09/21</w:t>
      </w:r>
      <w:r w:rsidRPr="00DA4C55">
        <w:t>，</w:t>
      </w:r>
      <w:hyperlink r:id="rId108" w:history="1">
        <w:r w:rsidRPr="00394C1A">
          <w:rPr>
            <w:rStyle w:val="a7"/>
            <w:rFonts w:ascii="Arial Unicode MS" w:eastAsia="新細明體" w:hAnsi="Arial Unicode MS" w:cs="Calibri"/>
            <w:color w:val="5F5F5F"/>
            <w:kern w:val="2"/>
            <w:sz w:val="18"/>
          </w:rPr>
          <w:t>http://webcache.googleusercontent.com/search?q=cache:HMEJpzj08uAJ:www.moi.gov.tw/chi/chi_faq/faq_detail.aspx%3Ft%3D2%26n%3D4646%26p%3D4%26f%3D10+&amp;cd=9&amp;hl=zh-TW&amp;ct=clnk&amp;gl=tw</w:t>
        </w:r>
      </w:hyperlink>
      <w:r w:rsidRPr="00DA4C55">
        <w:t>。</w:t>
      </w:r>
    </w:p>
  </w:footnote>
  <w:footnote w:id="403">
    <w:p w:rsidR="00657FEF" w:rsidRPr="008147DC" w:rsidRDefault="00657FEF" w:rsidP="00992AB6">
      <w:pPr>
        <w:pStyle w:val="5"/>
      </w:pPr>
      <w:r w:rsidRPr="00776F57">
        <w:rPr>
          <w:rStyle w:val="af7"/>
          <w:rFonts w:eastAsia="新細明體"/>
          <w:kern w:val="2"/>
          <w:szCs w:val="20"/>
        </w:rPr>
        <w:footnoteRef/>
      </w:r>
      <w:r w:rsidRPr="008147DC">
        <w:t xml:space="preserve"> </w:t>
      </w:r>
      <w:r w:rsidRPr="008147DC">
        <w:tab/>
      </w:r>
      <w:r w:rsidRPr="008147DC">
        <w:t>勞動力發展署</w:t>
      </w:r>
      <w:r w:rsidRPr="008147DC">
        <w:t>(2014)</w:t>
      </w:r>
      <w:r w:rsidRPr="008147DC">
        <w:t>，在臺畢業僑外生工作許可配額評點制申請書表，</w:t>
      </w:r>
      <w:hyperlink r:id="rId109" w:history="1">
        <w:r w:rsidRPr="00776F57">
          <w:rPr>
            <w:rStyle w:val="a7"/>
            <w:rFonts w:ascii="Arial Unicode MS" w:eastAsia="新細明體" w:hAnsi="Arial Unicode MS" w:cs="Calibri"/>
            <w:color w:val="5F5F5F"/>
            <w:kern w:val="2"/>
            <w:sz w:val="18"/>
          </w:rPr>
          <w:t>http://www.wda.gov.tw/home.jsp?pageno=201310280115&amp;acttype=view&amp;dataserno=201407030002</w:t>
        </w:r>
      </w:hyperlink>
      <w:r w:rsidRPr="008147DC">
        <w:t>。</w:t>
      </w:r>
    </w:p>
  </w:footnote>
  <w:footnote w:id="404">
    <w:p w:rsidR="00657FEF" w:rsidRPr="008147DC" w:rsidRDefault="00657FEF" w:rsidP="00992AB6">
      <w:pPr>
        <w:pStyle w:val="5"/>
        <w:rPr>
          <w:lang w:eastAsia="zh-TW"/>
        </w:rPr>
      </w:pPr>
      <w:r w:rsidRPr="00EC0EE2">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境管組同學郭力維先生惠予提供高見。</w:t>
      </w:r>
    </w:p>
  </w:footnote>
  <w:footnote w:id="405">
    <w:p w:rsidR="00657FEF" w:rsidRPr="008147DC" w:rsidRDefault="00657FEF" w:rsidP="00992AB6">
      <w:pPr>
        <w:pStyle w:val="5"/>
        <w:rPr>
          <w:lang w:eastAsia="zh-TW"/>
        </w:rPr>
      </w:pPr>
      <w:r w:rsidRPr="00EC0EE2">
        <w:rPr>
          <w:rStyle w:val="af7"/>
          <w:rFonts w:eastAsia="新細明體"/>
          <w:kern w:val="2"/>
          <w:szCs w:val="20"/>
        </w:rPr>
        <w:footnoteRef/>
      </w:r>
      <w:r w:rsidRPr="00EC0EE2">
        <w:rPr>
          <w:rFonts w:ascii="Arial Unicode MS" w:eastAsia="新細明體" w:hAnsi="Arial Unicode MS"/>
          <w:color w:val="FF6600"/>
          <w:kern w:val="2"/>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境管組同學林偉弘先生惠予提供高見。</w:t>
      </w:r>
    </w:p>
  </w:footnote>
  <w:footnote w:id="406">
    <w:p w:rsidR="00657FEF" w:rsidRPr="008147DC" w:rsidRDefault="00657FEF" w:rsidP="00992AB6">
      <w:pPr>
        <w:pStyle w:val="5"/>
        <w:rPr>
          <w:lang w:eastAsia="zh-TW"/>
        </w:rPr>
      </w:pPr>
      <w:r w:rsidRPr="00EC0EE2">
        <w:rPr>
          <w:rStyle w:val="af7"/>
          <w:rFonts w:eastAsia="新細明體"/>
          <w:kern w:val="2"/>
          <w:szCs w:val="20"/>
        </w:rPr>
        <w:footnoteRef/>
      </w:r>
      <w:r w:rsidRPr="008147DC">
        <w:rPr>
          <w:lang w:eastAsia="zh-TW"/>
        </w:rPr>
        <w:tab/>
      </w:r>
      <w:r w:rsidRPr="008147DC">
        <w:rPr>
          <w:lang w:eastAsia="zh-TW"/>
        </w:rPr>
        <w:t>感謝警大</w:t>
      </w:r>
      <w:r w:rsidRPr="008147DC">
        <w:rPr>
          <w:lang w:eastAsia="zh-TW"/>
        </w:rPr>
        <w:t>841</w:t>
      </w:r>
      <w:r w:rsidRPr="008147DC">
        <w:rPr>
          <w:lang w:eastAsia="zh-TW"/>
        </w:rPr>
        <w:t>境管組同學郭力維先生惠予提供高見。</w:t>
      </w:r>
    </w:p>
    <w:p w:rsidR="00657FEF" w:rsidRPr="008147DC" w:rsidRDefault="00657FEF" w:rsidP="00992AB6">
      <w:pPr>
        <w:pStyle w:val="5"/>
        <w:rPr>
          <w:lang w:eastAsia="zh-TW"/>
        </w:rPr>
      </w:pPr>
    </w:p>
  </w:footnote>
  <w:footnote w:id="407">
    <w:p w:rsidR="00657FEF" w:rsidRPr="008147DC" w:rsidRDefault="00657FEF" w:rsidP="00992AB6">
      <w:pPr>
        <w:pStyle w:val="5"/>
        <w:rPr>
          <w:lang w:eastAsia="zh-TW"/>
        </w:rPr>
      </w:pPr>
      <w:r w:rsidRPr="00394C1A">
        <w:rPr>
          <w:rStyle w:val="af7"/>
          <w:rFonts w:eastAsia="新細明體"/>
          <w:kern w:val="2"/>
          <w:szCs w:val="20"/>
        </w:rPr>
        <w:footnoteRef/>
      </w:r>
      <w:r w:rsidRPr="00394C1A">
        <w:rPr>
          <w:rFonts w:ascii="Arial Unicode MS" w:eastAsia="新細明體" w:hAnsi="Arial Unicode MS"/>
          <w:color w:val="FF6600"/>
          <w:kern w:val="2"/>
          <w:lang w:eastAsia="zh-TW"/>
        </w:rPr>
        <w:t xml:space="preserve"> </w:t>
      </w:r>
      <w:r w:rsidRPr="008147DC">
        <w:rPr>
          <w:lang w:eastAsia="zh-TW"/>
        </w:rPr>
        <w:tab/>
      </w:r>
      <w:r w:rsidRPr="008147DC">
        <w:rPr>
          <w:lang w:eastAsia="zh-TW"/>
        </w:rPr>
        <w:t>王如哲（</w:t>
      </w:r>
      <w:r w:rsidRPr="008147DC">
        <w:rPr>
          <w:lang w:eastAsia="zh-TW"/>
        </w:rPr>
        <w:t>2002</w:t>
      </w:r>
      <w:r w:rsidRPr="008147DC">
        <w:rPr>
          <w:lang w:eastAsia="zh-TW"/>
        </w:rPr>
        <w:t>），知識經濟與教育，臺北市：五南。在知識經濟與教育一書中對知識經濟做以下定義：知識經濟是無形之，且仰賴於人員所擁有之知能。知識經濟非常強調是一種有別於傳統經濟之新經濟，這種經濟之成長相當仰賴於個人、組織及國家層級之有效知識生產、傳播與應用。以上，請參閱：王如哲（</w:t>
      </w:r>
      <w:r w:rsidRPr="008147DC">
        <w:rPr>
          <w:lang w:eastAsia="zh-TW"/>
        </w:rPr>
        <w:t>2002</w:t>
      </w:r>
      <w:r w:rsidRPr="008147DC">
        <w:rPr>
          <w:lang w:eastAsia="zh-TW"/>
        </w:rPr>
        <w:t>），知識經濟與教育，臺北市：五南。</w:t>
      </w:r>
    </w:p>
  </w:footnote>
  <w:footnote w:id="408">
    <w:p w:rsidR="00657FEF" w:rsidRPr="008147DC" w:rsidRDefault="00657FEF" w:rsidP="00992AB6">
      <w:pPr>
        <w:pStyle w:val="5"/>
        <w:rPr>
          <w:lang w:eastAsia="zh-TW"/>
        </w:rPr>
      </w:pPr>
      <w:r w:rsidRPr="00394C1A">
        <w:rPr>
          <w:rStyle w:val="af7"/>
          <w:rFonts w:eastAsia="新細明體"/>
          <w:kern w:val="2"/>
          <w:szCs w:val="20"/>
        </w:rPr>
        <w:footnoteRef/>
      </w:r>
      <w:r w:rsidRPr="00394C1A">
        <w:rPr>
          <w:rFonts w:ascii="Arial Unicode MS" w:eastAsia="新細明體" w:hAnsi="Arial Unicode MS"/>
          <w:color w:val="FF6600"/>
          <w:kern w:val="2"/>
          <w:lang w:eastAsia="zh-TW"/>
        </w:rPr>
        <w:t xml:space="preserve"> </w:t>
      </w:r>
      <w:r w:rsidRPr="008147DC">
        <w:rPr>
          <w:lang w:eastAsia="zh-TW"/>
        </w:rPr>
        <w:tab/>
      </w:r>
      <w:r w:rsidRPr="008147DC">
        <w:rPr>
          <w:lang w:eastAsia="zh-TW"/>
        </w:rPr>
        <w:t>王孟平、張世強（</w:t>
      </w:r>
      <w:r w:rsidRPr="008147DC">
        <w:rPr>
          <w:lang w:eastAsia="zh-TW"/>
        </w:rPr>
        <w:t>2006</w:t>
      </w:r>
      <w:r w:rsidRPr="008147DC">
        <w:rPr>
          <w:lang w:eastAsia="zh-TW"/>
        </w:rPr>
        <w:t>），亞太技術勞工之國際移動與政策議題：「人才流失」或「人才交換」，國境學報第五期。</w:t>
      </w:r>
    </w:p>
  </w:footnote>
  <w:footnote w:id="409">
    <w:p w:rsidR="00657FEF" w:rsidRPr="008147DC" w:rsidRDefault="00657FEF" w:rsidP="00992AB6">
      <w:pPr>
        <w:pStyle w:val="5"/>
        <w:rPr>
          <w:lang w:eastAsia="zh-TW"/>
        </w:rPr>
      </w:pPr>
      <w:r w:rsidRPr="00394C1A">
        <w:rPr>
          <w:rStyle w:val="af7"/>
          <w:rFonts w:eastAsia="新細明體"/>
          <w:kern w:val="2"/>
          <w:szCs w:val="20"/>
        </w:rPr>
        <w:footnoteRef/>
      </w:r>
      <w:r w:rsidRPr="00394C1A">
        <w:rPr>
          <w:rFonts w:ascii="Arial Unicode MS" w:eastAsia="新細明體" w:hAnsi="Arial Unicode MS"/>
          <w:color w:val="FF6600"/>
          <w:kern w:val="2"/>
          <w:lang w:eastAsia="zh-TW"/>
        </w:rPr>
        <w:t xml:space="preserve"> </w:t>
      </w:r>
      <w:r w:rsidRPr="008147DC">
        <w:rPr>
          <w:lang w:eastAsia="zh-TW"/>
        </w:rPr>
        <w:tab/>
      </w:r>
      <w:r w:rsidRPr="008147DC">
        <w:rPr>
          <w:lang w:eastAsia="zh-TW"/>
        </w:rPr>
        <w:t>有關移民與國境安全、國境管理及國家安全之相關議題，尚可進一步參閱以下重要之文獻：</w:t>
      </w:r>
      <w:r w:rsidRPr="008147DC">
        <w:rPr>
          <w:lang w:eastAsia="zh-TW"/>
        </w:rPr>
        <w:br/>
      </w:r>
      <w:r w:rsidRPr="008147DC">
        <w:rPr>
          <w:lang w:eastAsia="zh-TW"/>
        </w:rPr>
        <w:t>王智盛（</w:t>
      </w:r>
      <w:r w:rsidRPr="008147DC">
        <w:rPr>
          <w:lang w:eastAsia="zh-TW"/>
        </w:rPr>
        <w:t>2015</w:t>
      </w:r>
      <w:r w:rsidRPr="008147DC">
        <w:rPr>
          <w:lang w:eastAsia="zh-TW"/>
        </w:rPr>
        <w:t>），金門開放大陸地區人民落地簽證之法政分析</w:t>
      </w:r>
      <w:r w:rsidRPr="008147DC">
        <w:rPr>
          <w:spacing w:val="-12"/>
          <w:lang w:eastAsia="zh-TW"/>
        </w:rPr>
        <w:t>─</w:t>
      </w:r>
      <w:r w:rsidRPr="008147DC">
        <w:rPr>
          <w:lang w:eastAsia="zh-TW"/>
        </w:rPr>
        <w:t>─</w:t>
      </w:r>
      <w:r w:rsidRPr="008147DC">
        <w:rPr>
          <w:lang w:eastAsia="zh-TW"/>
        </w:rPr>
        <w:t>國境管理與邊境旅遊之衡平思考，發表於中央警察大學移民研究中心</w:t>
      </w:r>
      <w:r w:rsidRPr="008147DC">
        <w:rPr>
          <w:lang w:eastAsia="zh-TW"/>
        </w:rPr>
        <w:t>2015</w:t>
      </w:r>
      <w:r w:rsidRPr="008147DC">
        <w:rPr>
          <w:lang w:eastAsia="zh-TW"/>
        </w:rPr>
        <w:t>年「人口移動與執法」學術研討會。</w:t>
      </w:r>
      <w:r w:rsidRPr="008147DC">
        <w:rPr>
          <w:lang w:eastAsia="zh-TW"/>
        </w:rPr>
        <w:br/>
      </w:r>
      <w:r w:rsidRPr="008147DC">
        <w:rPr>
          <w:lang w:eastAsia="zh-TW"/>
        </w:rPr>
        <w:t>王智盛（</w:t>
      </w:r>
      <w:r w:rsidRPr="008147DC">
        <w:rPr>
          <w:lang w:eastAsia="zh-TW"/>
        </w:rPr>
        <w:t>2015</w:t>
      </w:r>
      <w:r w:rsidRPr="008147DC">
        <w:rPr>
          <w:lang w:eastAsia="zh-TW"/>
        </w:rPr>
        <w:t>），陸客來台中轉的國境管理政策與法制分析</w:t>
      </w:r>
      <w:r w:rsidRPr="008147DC">
        <w:rPr>
          <w:spacing w:val="-20"/>
          <w:lang w:eastAsia="zh-TW"/>
        </w:rPr>
        <w:t>，</w:t>
      </w:r>
      <w:r w:rsidRPr="008147DC">
        <w:rPr>
          <w:lang w:eastAsia="zh-TW"/>
        </w:rPr>
        <w:t>中央警察大學國境警察學系</w:t>
      </w:r>
      <w:r w:rsidRPr="008147DC">
        <w:rPr>
          <w:lang w:eastAsia="zh-TW"/>
        </w:rPr>
        <w:t>2015</w:t>
      </w:r>
      <w:r w:rsidRPr="008147DC">
        <w:rPr>
          <w:lang w:eastAsia="zh-TW"/>
        </w:rPr>
        <w:t>年『國境管理與執法』學術研討會論文集。</w:t>
      </w:r>
      <w:r w:rsidRPr="008147DC">
        <w:rPr>
          <w:lang w:eastAsia="zh-TW"/>
        </w:rPr>
        <w:br/>
      </w:r>
      <w:r w:rsidRPr="008147DC">
        <w:rPr>
          <w:lang w:eastAsia="zh-TW"/>
        </w:rPr>
        <w:t>王寬弘（</w:t>
      </w:r>
      <w:r w:rsidRPr="008147DC">
        <w:rPr>
          <w:lang w:eastAsia="zh-TW"/>
        </w:rPr>
        <w:t>2003</w:t>
      </w:r>
      <w:r w:rsidRPr="008147DC">
        <w:rPr>
          <w:lang w:eastAsia="zh-TW"/>
        </w:rPr>
        <w:t>），「國境查緝走私處罰之研究」，</w:t>
      </w:r>
      <w:r w:rsidRPr="008147DC">
        <w:rPr>
          <w:lang w:eastAsia="zh-TW"/>
        </w:rPr>
        <w:t>2003</w:t>
      </w:r>
      <w:r w:rsidRPr="008147DC">
        <w:rPr>
          <w:lang w:eastAsia="zh-TW"/>
        </w:rPr>
        <w:t>年國境安全與刑事政策學術研討會。</w:t>
      </w:r>
      <w:r w:rsidRPr="008147DC">
        <w:rPr>
          <w:lang w:eastAsia="zh-TW"/>
        </w:rPr>
        <w:br/>
      </w:r>
      <w:r w:rsidRPr="008147DC">
        <w:rPr>
          <w:lang w:eastAsia="zh-TW"/>
        </w:rPr>
        <w:t>王寬弘（</w:t>
      </w:r>
      <w:r w:rsidRPr="008147DC">
        <w:rPr>
          <w:lang w:eastAsia="zh-TW"/>
        </w:rPr>
        <w:t>2011</w:t>
      </w:r>
      <w:r w:rsidRPr="008147DC">
        <w:rPr>
          <w:lang w:eastAsia="zh-TW"/>
        </w:rPr>
        <w:t>），「大陸地區人民進入台灣相關入出境法令問題淺探」，</w:t>
      </w:r>
      <w:r w:rsidRPr="008147DC">
        <w:rPr>
          <w:lang w:eastAsia="zh-TW"/>
        </w:rPr>
        <w:t>2011</w:t>
      </w:r>
      <w:r w:rsidRPr="008147DC">
        <w:rPr>
          <w:lang w:eastAsia="zh-TW"/>
        </w:rPr>
        <w:t>年人口移動與執法學術研討會。</w:t>
      </w:r>
      <w:r w:rsidRPr="008147DC">
        <w:rPr>
          <w:lang w:eastAsia="zh-TW"/>
        </w:rPr>
        <w:br/>
      </w:r>
      <w:r w:rsidRPr="008147DC">
        <w:rPr>
          <w:lang w:eastAsia="zh-TW"/>
        </w:rPr>
        <w:t>王寬弘（</w:t>
      </w:r>
      <w:r w:rsidRPr="008147DC">
        <w:rPr>
          <w:lang w:eastAsia="zh-TW"/>
        </w:rPr>
        <w:t>2012</w:t>
      </w:r>
      <w:r w:rsidRPr="008147DC">
        <w:rPr>
          <w:lang w:eastAsia="zh-TW"/>
        </w:rPr>
        <w:t>），「大陸地區人民進入台灣相關入出境法令問題淺探」，國土安全與國境管理學報，第</w:t>
      </w:r>
      <w:r w:rsidRPr="008147DC">
        <w:rPr>
          <w:lang w:eastAsia="zh-TW"/>
        </w:rPr>
        <w:t>17</w:t>
      </w:r>
      <w:r w:rsidRPr="008147DC">
        <w:rPr>
          <w:lang w:eastAsia="zh-TW"/>
        </w:rPr>
        <w:t>期，頁</w:t>
      </w:r>
      <w:r w:rsidRPr="008147DC">
        <w:rPr>
          <w:lang w:eastAsia="zh-TW"/>
        </w:rPr>
        <w:t>155-185</w:t>
      </w:r>
      <w:r w:rsidRPr="008147DC">
        <w:rPr>
          <w:lang w:eastAsia="zh-TW"/>
        </w:rPr>
        <w:t>。</w:t>
      </w:r>
      <w:r w:rsidRPr="008147DC">
        <w:rPr>
          <w:lang w:eastAsia="zh-TW"/>
        </w:rPr>
        <w:br/>
      </w:r>
      <w:r w:rsidRPr="008147DC">
        <w:rPr>
          <w:lang w:eastAsia="zh-TW"/>
        </w:rPr>
        <w:t>王寬弘（</w:t>
      </w:r>
      <w:r w:rsidRPr="008147DC">
        <w:rPr>
          <w:lang w:eastAsia="zh-TW"/>
        </w:rPr>
        <w:t>2012</w:t>
      </w:r>
      <w:r w:rsidRPr="008147DC">
        <w:rPr>
          <w:lang w:eastAsia="zh-TW"/>
        </w:rPr>
        <w:t>），「我國打擊人口販運查緝困境之研究</w:t>
      </w:r>
      <w:r w:rsidRPr="008147DC">
        <w:rPr>
          <w:spacing w:val="-12"/>
          <w:lang w:eastAsia="zh-TW"/>
        </w:rPr>
        <w:t>─</w:t>
      </w:r>
      <w:r w:rsidRPr="008147DC">
        <w:rPr>
          <w:lang w:eastAsia="zh-TW"/>
        </w:rPr>
        <w:t>─</w:t>
      </w:r>
      <w:r w:rsidRPr="008147DC">
        <w:rPr>
          <w:lang w:eastAsia="zh-TW"/>
        </w:rPr>
        <w:t>以警察及移民機關為例」，</w:t>
      </w:r>
      <w:r w:rsidRPr="008147DC">
        <w:rPr>
          <w:lang w:eastAsia="zh-TW"/>
        </w:rPr>
        <w:t>2012</w:t>
      </w:r>
      <w:r w:rsidRPr="008147DC">
        <w:rPr>
          <w:lang w:eastAsia="zh-TW"/>
        </w:rPr>
        <w:t>年人口移動與國境執法學術研討會。</w:t>
      </w:r>
      <w:r w:rsidRPr="008147DC">
        <w:rPr>
          <w:lang w:eastAsia="zh-TW"/>
        </w:rPr>
        <w:br/>
      </w:r>
      <w:r w:rsidRPr="008147DC">
        <w:rPr>
          <w:lang w:eastAsia="zh-TW"/>
        </w:rPr>
        <w:t>王寬弘（</w:t>
      </w:r>
      <w:r w:rsidRPr="008147DC">
        <w:rPr>
          <w:lang w:eastAsia="zh-TW"/>
        </w:rPr>
        <w:t>2012</w:t>
      </w:r>
      <w:r w:rsidRPr="008147DC">
        <w:rPr>
          <w:lang w:eastAsia="zh-TW"/>
        </w:rPr>
        <w:t>），「國境安全檢查若干法制問題之探討」，</w:t>
      </w:r>
      <w:r w:rsidRPr="008147DC">
        <w:rPr>
          <w:lang w:eastAsia="zh-TW"/>
        </w:rPr>
        <w:t>2012</w:t>
      </w:r>
      <w:r w:rsidRPr="008147DC">
        <w:rPr>
          <w:lang w:eastAsia="zh-TW"/>
        </w:rPr>
        <w:t>年國境管理與執法學術研討會。</w:t>
      </w:r>
      <w:r w:rsidRPr="008147DC">
        <w:rPr>
          <w:lang w:eastAsia="zh-TW"/>
        </w:rPr>
        <w:br/>
      </w:r>
      <w:r w:rsidRPr="008147DC">
        <w:rPr>
          <w:lang w:eastAsia="zh-TW"/>
        </w:rPr>
        <w:t>王寬弘（</w:t>
      </w:r>
      <w:r w:rsidRPr="008147DC">
        <w:rPr>
          <w:lang w:eastAsia="zh-TW"/>
        </w:rPr>
        <w:t>2013</w:t>
      </w:r>
      <w:r w:rsidRPr="008147DC">
        <w:rPr>
          <w:lang w:eastAsia="zh-TW"/>
        </w:rPr>
        <w:t>），「國家安全法上國境安檢之概念與執法困境」，國土安全與國境管理學報，第</w:t>
      </w:r>
      <w:r w:rsidRPr="008147DC">
        <w:rPr>
          <w:lang w:eastAsia="zh-TW"/>
        </w:rPr>
        <w:t>20</w:t>
      </w:r>
      <w:r w:rsidRPr="008147DC">
        <w:rPr>
          <w:lang w:eastAsia="zh-TW"/>
        </w:rPr>
        <w:t>期，頁</w:t>
      </w:r>
      <w:r w:rsidRPr="008147DC">
        <w:rPr>
          <w:lang w:eastAsia="zh-TW"/>
        </w:rPr>
        <w:t>155-185</w:t>
      </w:r>
      <w:r w:rsidRPr="008147DC">
        <w:rPr>
          <w:lang w:eastAsia="zh-TW"/>
        </w:rPr>
        <w:t>。</w:t>
      </w:r>
      <w:r w:rsidRPr="008147DC">
        <w:rPr>
          <w:lang w:eastAsia="zh-TW"/>
        </w:rPr>
        <w:br/>
      </w:r>
      <w:r w:rsidRPr="008147DC">
        <w:rPr>
          <w:lang w:eastAsia="zh-TW"/>
        </w:rPr>
        <w:t>王寬弘（</w:t>
      </w:r>
      <w:r w:rsidRPr="008147DC">
        <w:rPr>
          <w:lang w:eastAsia="zh-TW"/>
        </w:rPr>
        <w:t>2014</w:t>
      </w:r>
      <w:r w:rsidRPr="008147DC">
        <w:rPr>
          <w:lang w:eastAsia="zh-TW"/>
        </w:rPr>
        <w:t>），移民與國境管理，收錄於陳明傳、蔡庭榕、孟維德、王寬弘、柯雨瑞、許義寶、謝文忠、王智盛、林盈君、高佩珊等合著（</w:t>
      </w:r>
      <w:r w:rsidRPr="008147DC">
        <w:rPr>
          <w:lang w:eastAsia="zh-TW"/>
        </w:rPr>
        <w:t>2014</w:t>
      </w:r>
      <w:r w:rsidRPr="008147DC">
        <w:rPr>
          <w:lang w:eastAsia="zh-TW"/>
        </w:rPr>
        <w:t>），移民之理論與實務，桃園：中央警察大學出版社，頁</w:t>
      </w:r>
      <w:r w:rsidRPr="008147DC">
        <w:rPr>
          <w:lang w:eastAsia="zh-TW"/>
        </w:rPr>
        <w:t>149-187</w:t>
      </w:r>
      <w:r>
        <w:rPr>
          <w:lang w:eastAsia="zh-TW"/>
        </w:rPr>
        <w:t>。</w:t>
      </w:r>
      <w:r w:rsidRPr="008147DC">
        <w:rPr>
          <w:lang w:eastAsia="zh-TW"/>
        </w:rPr>
        <w:br/>
      </w:r>
      <w:r w:rsidRPr="008147DC">
        <w:rPr>
          <w:lang w:eastAsia="zh-TW"/>
        </w:rPr>
        <w:t>王寬弘、詹雪雍（</w:t>
      </w:r>
      <w:r w:rsidRPr="008147DC">
        <w:rPr>
          <w:lang w:eastAsia="zh-TW"/>
        </w:rPr>
        <w:t>2015</w:t>
      </w:r>
      <w:r w:rsidRPr="008147DC">
        <w:rPr>
          <w:lang w:eastAsia="zh-TW"/>
        </w:rPr>
        <w:t>），國境警察業務委外可行性之分析，中央警察大學國境警察學系</w:t>
      </w:r>
      <w:r w:rsidRPr="008147DC">
        <w:rPr>
          <w:lang w:eastAsia="zh-TW"/>
        </w:rPr>
        <w:t>2015</w:t>
      </w:r>
      <w:r w:rsidRPr="008147DC">
        <w:rPr>
          <w:lang w:eastAsia="zh-TW"/>
        </w:rPr>
        <w:t>年『國境管理與執法』學術研討會論文集。</w:t>
      </w:r>
      <w:r w:rsidRPr="008147DC">
        <w:rPr>
          <w:lang w:eastAsia="zh-TW"/>
        </w:rPr>
        <w:br/>
      </w:r>
      <w:r w:rsidRPr="008147DC">
        <w:rPr>
          <w:lang w:eastAsia="zh-TW"/>
        </w:rPr>
        <w:t>汪毓瑋（</w:t>
      </w:r>
      <w:r w:rsidRPr="008147DC">
        <w:rPr>
          <w:lang w:eastAsia="zh-TW"/>
        </w:rPr>
        <w:t>2010</w:t>
      </w:r>
      <w:r w:rsidRPr="008147DC">
        <w:rPr>
          <w:lang w:eastAsia="zh-TW"/>
        </w:rPr>
        <w:t>），「移民政策之犯罪與安全思考及未來發展方向初探」，</w:t>
      </w:r>
      <w:r w:rsidRPr="008147DC">
        <w:rPr>
          <w:lang w:eastAsia="zh-TW"/>
        </w:rPr>
        <w:t xml:space="preserve">2010 </w:t>
      </w:r>
      <w:r w:rsidRPr="008147DC">
        <w:rPr>
          <w:lang w:eastAsia="zh-TW"/>
        </w:rPr>
        <w:t>年國境管理與移民事務研討會論文集（龜山），頁</w:t>
      </w:r>
      <w:r w:rsidRPr="008147DC">
        <w:rPr>
          <w:lang w:eastAsia="zh-TW"/>
        </w:rPr>
        <w:t>1</w:t>
      </w:r>
      <w:r w:rsidRPr="008147DC">
        <w:rPr>
          <w:lang w:eastAsia="zh-TW"/>
        </w:rPr>
        <w:t>～</w:t>
      </w:r>
      <w:r w:rsidRPr="008147DC">
        <w:rPr>
          <w:lang w:eastAsia="zh-TW"/>
        </w:rPr>
        <w:t>14</w:t>
      </w:r>
      <w:r w:rsidRPr="008147DC">
        <w:rPr>
          <w:lang w:eastAsia="zh-TW"/>
        </w:rPr>
        <w:t>。</w:t>
      </w:r>
      <w:r w:rsidRPr="008147DC">
        <w:rPr>
          <w:lang w:eastAsia="zh-TW"/>
        </w:rPr>
        <w:br/>
      </w:r>
      <w:r w:rsidRPr="008147DC">
        <w:rPr>
          <w:lang w:eastAsia="zh-TW"/>
        </w:rPr>
        <w:t>汪毓瑋（</w:t>
      </w:r>
      <w:r w:rsidRPr="008147DC">
        <w:rPr>
          <w:lang w:eastAsia="zh-TW"/>
        </w:rPr>
        <w:t>2010</w:t>
      </w:r>
      <w:r w:rsidRPr="008147DC">
        <w:rPr>
          <w:lang w:eastAsia="zh-TW"/>
        </w:rPr>
        <w:t>），「移民與國境安全管理機制」，</w:t>
      </w:r>
      <w:r w:rsidRPr="008147DC">
        <w:rPr>
          <w:lang w:eastAsia="zh-TW"/>
        </w:rPr>
        <w:t>2010</w:t>
      </w:r>
      <w:r w:rsidRPr="008147DC">
        <w:rPr>
          <w:lang w:eastAsia="zh-TW"/>
        </w:rPr>
        <w:t>國土安全國際研討會論文集</w:t>
      </w:r>
      <w:r w:rsidRPr="008147DC">
        <w:rPr>
          <w:lang w:eastAsia="zh-TW"/>
        </w:rPr>
        <w:t xml:space="preserve"> </w:t>
      </w:r>
      <w:r w:rsidRPr="008147DC">
        <w:rPr>
          <w:lang w:eastAsia="zh-TW"/>
        </w:rPr>
        <w:t>（台北），頁</w:t>
      </w:r>
      <w:r w:rsidRPr="008147DC">
        <w:rPr>
          <w:lang w:eastAsia="zh-TW"/>
        </w:rPr>
        <w:t>169-186</w:t>
      </w:r>
      <w:r w:rsidRPr="008147DC">
        <w:rPr>
          <w:lang w:eastAsia="zh-TW"/>
        </w:rPr>
        <w:t>。</w:t>
      </w:r>
      <w:r w:rsidRPr="008147DC">
        <w:rPr>
          <w:lang w:eastAsia="zh-TW"/>
        </w:rPr>
        <w:br/>
      </w:r>
      <w:r w:rsidRPr="008147DC">
        <w:rPr>
          <w:lang w:eastAsia="zh-TW"/>
        </w:rPr>
        <w:t>汪毓瑋（</w:t>
      </w:r>
      <w:r w:rsidRPr="008147DC">
        <w:rPr>
          <w:lang w:eastAsia="zh-TW"/>
        </w:rPr>
        <w:t>2011</w:t>
      </w:r>
      <w:r w:rsidRPr="008147DC">
        <w:rPr>
          <w:lang w:eastAsia="zh-TW"/>
        </w:rPr>
        <w:t>），「強化我國吸引專技與投資移民應有作為之研究」，</w:t>
      </w:r>
      <w:r w:rsidRPr="008147DC">
        <w:rPr>
          <w:lang w:eastAsia="zh-TW"/>
        </w:rPr>
        <w:t>2011</w:t>
      </w:r>
      <w:r w:rsidRPr="008147DC">
        <w:rPr>
          <w:lang w:eastAsia="zh-TW"/>
        </w:rPr>
        <w:t>年人口移動與執法學術研討會（龜山），頁</w:t>
      </w:r>
      <w:r w:rsidRPr="008147DC">
        <w:rPr>
          <w:lang w:eastAsia="zh-TW"/>
        </w:rPr>
        <w:t>151-167</w:t>
      </w:r>
      <w:r w:rsidRPr="008147DC">
        <w:rPr>
          <w:lang w:eastAsia="zh-TW"/>
        </w:rPr>
        <w:t>。</w:t>
      </w:r>
      <w:r w:rsidRPr="008147DC">
        <w:rPr>
          <w:lang w:eastAsia="zh-TW"/>
        </w:rPr>
        <w:br/>
      </w:r>
      <w:r w:rsidRPr="008147DC">
        <w:rPr>
          <w:lang w:eastAsia="zh-TW"/>
        </w:rPr>
        <w:t>汪毓瑋（</w:t>
      </w:r>
      <w:r w:rsidRPr="008147DC">
        <w:rPr>
          <w:lang w:eastAsia="zh-TW"/>
        </w:rPr>
        <w:t>2015</w:t>
      </w:r>
      <w:r w:rsidRPr="008147DC">
        <w:rPr>
          <w:lang w:eastAsia="zh-TW"/>
        </w:rPr>
        <w:t>），整合性國境管理之實踐與問題探討，中央警察大學國境警察學系</w:t>
      </w:r>
      <w:r w:rsidRPr="008147DC">
        <w:rPr>
          <w:lang w:eastAsia="zh-TW"/>
        </w:rPr>
        <w:t>2015</w:t>
      </w:r>
      <w:r w:rsidRPr="008147DC">
        <w:rPr>
          <w:lang w:eastAsia="zh-TW"/>
        </w:rPr>
        <w:t>年『國境管理與執法』學術研討會論文集。</w:t>
      </w:r>
      <w:r w:rsidRPr="008147DC">
        <w:rPr>
          <w:lang w:eastAsia="zh-TW"/>
        </w:rPr>
        <w:br/>
      </w:r>
      <w:r w:rsidRPr="008147DC">
        <w:rPr>
          <w:lang w:eastAsia="zh-TW"/>
        </w:rPr>
        <w:t>高佩珊（</w:t>
      </w:r>
      <w:r w:rsidRPr="008147DC">
        <w:rPr>
          <w:lang w:eastAsia="zh-TW"/>
        </w:rPr>
        <w:t>2015</w:t>
      </w:r>
      <w:r w:rsidRPr="008147DC">
        <w:rPr>
          <w:lang w:eastAsia="zh-TW"/>
        </w:rPr>
        <w:t>），歐盟移民問題探討，發表於中央警察大學移民研究中心</w:t>
      </w:r>
      <w:r w:rsidRPr="008147DC">
        <w:rPr>
          <w:lang w:eastAsia="zh-TW"/>
        </w:rPr>
        <w:t>2015</w:t>
      </w:r>
      <w:r w:rsidRPr="008147DC">
        <w:rPr>
          <w:lang w:eastAsia="zh-TW"/>
        </w:rPr>
        <w:t>年「人口移動與執法」學術研討會。</w:t>
      </w:r>
      <w:r w:rsidRPr="008147DC">
        <w:rPr>
          <w:lang w:eastAsia="zh-TW"/>
        </w:rPr>
        <w:br/>
      </w:r>
      <w:r w:rsidRPr="008147DC">
        <w:rPr>
          <w:lang w:eastAsia="zh-TW"/>
        </w:rPr>
        <w:t>許義寶（</w:t>
      </w:r>
      <w:r w:rsidRPr="008147DC">
        <w:rPr>
          <w:lang w:eastAsia="zh-TW"/>
        </w:rPr>
        <w:t>2014</w:t>
      </w:r>
      <w:r w:rsidRPr="008147DC">
        <w:rPr>
          <w:lang w:eastAsia="zh-TW"/>
        </w:rPr>
        <w:t>），入出國法制與人權保障（二版），五南。</w:t>
      </w:r>
      <w:r w:rsidRPr="008147DC">
        <w:rPr>
          <w:lang w:eastAsia="zh-TW"/>
        </w:rPr>
        <w:br/>
      </w:r>
      <w:r w:rsidRPr="008147DC">
        <w:rPr>
          <w:lang w:eastAsia="zh-TW"/>
        </w:rPr>
        <w:t>許義寶（</w:t>
      </w:r>
      <w:r w:rsidRPr="008147DC">
        <w:rPr>
          <w:lang w:eastAsia="zh-TW"/>
        </w:rPr>
        <w:t>2014</w:t>
      </w:r>
      <w:r w:rsidRPr="008147DC">
        <w:rPr>
          <w:lang w:eastAsia="zh-TW"/>
        </w:rPr>
        <w:t>），論移民之概念與其基本權利之保障，中央警察大學國土安全與國境管理學報</w:t>
      </w:r>
      <w:r w:rsidRPr="008147DC">
        <w:rPr>
          <w:lang w:eastAsia="zh-TW"/>
        </w:rPr>
        <w:t>22</w:t>
      </w:r>
      <w:r w:rsidRPr="008147DC">
        <w:rPr>
          <w:lang w:eastAsia="zh-TW"/>
        </w:rPr>
        <w:t>期，頁</w:t>
      </w:r>
      <w:r w:rsidRPr="008147DC">
        <w:rPr>
          <w:lang w:eastAsia="zh-TW"/>
        </w:rPr>
        <w:t>175-219</w:t>
      </w:r>
      <w:r w:rsidRPr="008147DC">
        <w:rPr>
          <w:lang w:eastAsia="zh-TW"/>
        </w:rPr>
        <w:t>。</w:t>
      </w:r>
      <w:r w:rsidRPr="008147DC">
        <w:rPr>
          <w:lang w:eastAsia="zh-TW"/>
        </w:rPr>
        <w:br/>
      </w:r>
      <w:r w:rsidRPr="008147DC">
        <w:rPr>
          <w:lang w:eastAsia="zh-TW"/>
        </w:rPr>
        <w:t>許義寶（</w:t>
      </w:r>
      <w:r w:rsidRPr="008147DC">
        <w:rPr>
          <w:lang w:eastAsia="zh-TW"/>
        </w:rPr>
        <w:t>2015</w:t>
      </w:r>
      <w:r w:rsidRPr="008147DC">
        <w:rPr>
          <w:lang w:eastAsia="zh-TW"/>
        </w:rPr>
        <w:t>），航空保安管理機關任務與職權之研究，中央警察大學國境警察學系</w:t>
      </w:r>
      <w:r w:rsidRPr="008147DC">
        <w:rPr>
          <w:lang w:eastAsia="zh-TW"/>
        </w:rPr>
        <w:t>2015</w:t>
      </w:r>
      <w:r w:rsidRPr="008147DC">
        <w:rPr>
          <w:lang w:eastAsia="zh-TW"/>
        </w:rPr>
        <w:t>年『國境管理與執法』學術研討會論文集。</w:t>
      </w:r>
      <w:r w:rsidRPr="008147DC">
        <w:rPr>
          <w:lang w:eastAsia="zh-TW"/>
        </w:rPr>
        <w:br/>
      </w:r>
      <w:r w:rsidRPr="008147DC">
        <w:rPr>
          <w:lang w:eastAsia="zh-TW"/>
        </w:rPr>
        <w:t>許義寶（</w:t>
      </w:r>
      <w:r w:rsidRPr="008147DC">
        <w:rPr>
          <w:lang w:eastAsia="zh-TW"/>
        </w:rPr>
        <w:t>2015</w:t>
      </w:r>
      <w:r w:rsidRPr="008147DC">
        <w:rPr>
          <w:lang w:eastAsia="zh-TW"/>
        </w:rPr>
        <w:t>），移民人權保障之立法規範</w:t>
      </w:r>
      <w:r w:rsidRPr="008147DC">
        <w:rPr>
          <w:spacing w:val="-12"/>
          <w:lang w:eastAsia="zh-TW"/>
        </w:rPr>
        <w:t>─</w:t>
      </w:r>
      <w:r w:rsidRPr="008147DC">
        <w:rPr>
          <w:lang w:eastAsia="zh-TW"/>
        </w:rPr>
        <w:t>─</w:t>
      </w:r>
      <w:r w:rsidRPr="008147DC">
        <w:rPr>
          <w:lang w:eastAsia="zh-TW"/>
        </w:rPr>
        <w:t>以入出國及移民法為例，發表於中央警察大學移民研究中心</w:t>
      </w:r>
      <w:r w:rsidRPr="008147DC">
        <w:rPr>
          <w:lang w:eastAsia="zh-TW"/>
        </w:rPr>
        <w:t>2015</w:t>
      </w:r>
      <w:r w:rsidRPr="008147DC">
        <w:rPr>
          <w:lang w:eastAsia="zh-TW"/>
        </w:rPr>
        <w:t>年「人口移動與執法」學術研討會。</w:t>
      </w:r>
      <w:r w:rsidRPr="008147DC">
        <w:rPr>
          <w:lang w:eastAsia="zh-TW"/>
        </w:rPr>
        <w:br/>
      </w:r>
      <w:r w:rsidRPr="008147DC">
        <w:rPr>
          <w:lang w:eastAsia="zh-TW"/>
        </w:rPr>
        <w:t>陳明傳（</w:t>
      </w:r>
      <w:r w:rsidRPr="008147DC">
        <w:rPr>
          <w:lang w:eastAsia="zh-TW"/>
        </w:rPr>
        <w:t>2007</w:t>
      </w:r>
      <w:r w:rsidRPr="008147DC">
        <w:rPr>
          <w:lang w:eastAsia="zh-TW"/>
        </w:rPr>
        <w:t>）。跨國（境）犯罪與跨國犯罪學之初探，收於第一屆國土安全學術研討會論文集。桃園縣：中央警察大學。</w:t>
      </w:r>
      <w:r w:rsidRPr="008147DC">
        <w:rPr>
          <w:lang w:eastAsia="zh-TW"/>
        </w:rPr>
        <w:br/>
      </w:r>
      <w:r w:rsidRPr="008147DC">
        <w:rPr>
          <w:lang w:eastAsia="zh-TW"/>
        </w:rPr>
        <w:t>陳明傳（</w:t>
      </w:r>
      <w:r w:rsidRPr="008147DC">
        <w:rPr>
          <w:lang w:eastAsia="zh-TW"/>
        </w:rPr>
        <w:t>2015</w:t>
      </w:r>
      <w:r w:rsidRPr="008147DC">
        <w:rPr>
          <w:lang w:eastAsia="zh-TW"/>
        </w:rPr>
        <w:t>），各國入出國管理系統之比較研究，發表於中央警察大學移民研究中心</w:t>
      </w:r>
      <w:r w:rsidRPr="008147DC">
        <w:rPr>
          <w:lang w:eastAsia="zh-TW"/>
        </w:rPr>
        <w:t>2015</w:t>
      </w:r>
      <w:r w:rsidRPr="008147DC">
        <w:rPr>
          <w:lang w:eastAsia="zh-TW"/>
        </w:rPr>
        <w:t>年「人口移動與執法」學術研討會。</w:t>
      </w:r>
      <w:r w:rsidRPr="008147DC">
        <w:rPr>
          <w:lang w:eastAsia="zh-TW"/>
        </w:rPr>
        <w:br/>
      </w:r>
      <w:r w:rsidRPr="008147DC">
        <w:rPr>
          <w:lang w:eastAsia="zh-TW"/>
        </w:rPr>
        <w:t>陳明傳、蔡庭榕、孟維德、王寬弘、柯雨瑞、許義寶、謝文忠、王智盛、林盈君、高佩珊等合著（</w:t>
      </w:r>
      <w:r w:rsidRPr="008147DC">
        <w:rPr>
          <w:lang w:eastAsia="zh-TW"/>
        </w:rPr>
        <w:t>2014</w:t>
      </w:r>
      <w:r w:rsidRPr="008147DC">
        <w:rPr>
          <w:lang w:eastAsia="zh-TW"/>
        </w:rPr>
        <w:t>），移民之理論與實務，桃園：中央警察大學出版社。</w:t>
      </w:r>
      <w:r w:rsidRPr="008147DC">
        <w:rPr>
          <w:lang w:eastAsia="zh-TW"/>
        </w:rPr>
        <w:br/>
      </w:r>
      <w:r w:rsidRPr="008147DC">
        <w:rPr>
          <w:lang w:eastAsia="zh-TW"/>
        </w:rPr>
        <w:t>黃文志（</w:t>
      </w:r>
      <w:r w:rsidRPr="008147DC">
        <w:rPr>
          <w:lang w:eastAsia="zh-TW"/>
        </w:rPr>
        <w:t>2015</w:t>
      </w:r>
      <w:r w:rsidRPr="008147DC">
        <w:rPr>
          <w:lang w:eastAsia="zh-TW"/>
        </w:rPr>
        <w:t>），情報導向之國際執法合作：我國警察聯絡官之經驗與實踐，中央警察大學國境警察學系</w:t>
      </w:r>
      <w:r w:rsidRPr="008147DC">
        <w:rPr>
          <w:lang w:eastAsia="zh-TW"/>
        </w:rPr>
        <w:t>2015</w:t>
      </w:r>
      <w:r w:rsidRPr="008147DC">
        <w:rPr>
          <w:lang w:eastAsia="zh-TW"/>
        </w:rPr>
        <w:t>年『國境管理與執法』學術研討會論文集。</w:t>
      </w:r>
      <w:r w:rsidRPr="008147DC">
        <w:rPr>
          <w:lang w:eastAsia="zh-TW"/>
        </w:rPr>
        <w:br/>
      </w:r>
      <w:r w:rsidRPr="008147DC">
        <w:rPr>
          <w:lang w:eastAsia="zh-TW"/>
        </w:rPr>
        <w:t>謝立功、張先正、汪毓瑋、謝文忠、柯文麗（</w:t>
      </w:r>
      <w:r w:rsidRPr="008147DC">
        <w:rPr>
          <w:lang w:eastAsia="zh-TW"/>
        </w:rPr>
        <w:t>2013</w:t>
      </w:r>
      <w:r w:rsidRPr="008147DC">
        <w:rPr>
          <w:lang w:eastAsia="zh-TW"/>
        </w:rPr>
        <w:t>），美國移民政策之發展，新北市：人類智庫。</w:t>
      </w:r>
    </w:p>
  </w:footnote>
  <w:footnote w:id="410">
    <w:p w:rsidR="00657FEF" w:rsidRPr="008147DC" w:rsidRDefault="00657FEF" w:rsidP="00992AB6">
      <w:pPr>
        <w:pStyle w:val="5"/>
        <w:rPr>
          <w:lang w:eastAsia="zh-TW"/>
        </w:rPr>
      </w:pPr>
      <w:r w:rsidRPr="00394C1A">
        <w:rPr>
          <w:rStyle w:val="af7"/>
          <w:rFonts w:eastAsia="新細明體"/>
          <w:kern w:val="2"/>
          <w:szCs w:val="20"/>
        </w:rPr>
        <w:footnoteRef/>
      </w:r>
      <w:r w:rsidRPr="00394C1A">
        <w:rPr>
          <w:rStyle w:val="af7"/>
          <w:rFonts w:eastAsia="新細明體"/>
          <w:kern w:val="2"/>
          <w:szCs w:val="20"/>
          <w:lang w:eastAsia="zh-TW"/>
        </w:rPr>
        <w:t xml:space="preserve"> </w:t>
      </w:r>
      <w:r w:rsidRPr="008147DC">
        <w:rPr>
          <w:lang w:eastAsia="zh-TW"/>
        </w:rPr>
        <w:tab/>
      </w:r>
      <w:r w:rsidRPr="008147DC">
        <w:rPr>
          <w:lang w:eastAsia="zh-TW"/>
        </w:rPr>
        <w:t>行政院國家發展委員會（</w:t>
      </w:r>
      <w:r w:rsidRPr="008147DC">
        <w:rPr>
          <w:lang w:eastAsia="zh-TW"/>
        </w:rPr>
        <w:t>2014</w:t>
      </w:r>
      <w:r w:rsidRPr="008147DC">
        <w:rPr>
          <w:lang w:eastAsia="zh-TW"/>
        </w:rPr>
        <w:t>），「強化優秀僑外生留臺工作行動計畫」，台北市：國家發展委員會，頁</w:t>
      </w:r>
      <w:r w:rsidRPr="008147DC">
        <w:rPr>
          <w:lang w:eastAsia="zh-TW"/>
        </w:rPr>
        <w:t>4</w:t>
      </w:r>
      <w:r w:rsidRPr="008147DC">
        <w:rPr>
          <w:lang w:eastAsia="zh-TW"/>
        </w:rPr>
        <w:t>。</w:t>
      </w:r>
    </w:p>
  </w:footnote>
  <w:footnote w:id="411">
    <w:p w:rsidR="00657FEF" w:rsidRPr="008147DC" w:rsidRDefault="00657FEF" w:rsidP="00992AB6">
      <w:pPr>
        <w:pStyle w:val="5"/>
        <w:rPr>
          <w:lang w:eastAsia="zh-TW"/>
        </w:rPr>
      </w:pPr>
      <w:r w:rsidRPr="00394C1A">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王如哲（</w:t>
      </w:r>
      <w:r w:rsidRPr="008147DC">
        <w:rPr>
          <w:lang w:eastAsia="zh-TW"/>
        </w:rPr>
        <w:t>2002</w:t>
      </w:r>
      <w:r w:rsidRPr="008147DC">
        <w:rPr>
          <w:lang w:eastAsia="zh-TW"/>
        </w:rPr>
        <w:t>），知識經濟與教育，臺北市：五南。來自歐洲之</w:t>
      </w:r>
      <w:r w:rsidRPr="008147DC">
        <w:rPr>
          <w:lang w:eastAsia="zh-TW"/>
        </w:rPr>
        <w:t>OECD</w:t>
      </w:r>
      <w:r w:rsidRPr="008147DC">
        <w:rPr>
          <w:lang w:eastAsia="zh-TW"/>
        </w:rPr>
        <w:t>（經濟合作發展組織）於</w:t>
      </w:r>
      <w:r w:rsidRPr="008147DC">
        <w:rPr>
          <w:lang w:eastAsia="zh-TW"/>
        </w:rPr>
        <w:t>1994</w:t>
      </w:r>
      <w:r w:rsidRPr="008147DC">
        <w:rPr>
          <w:lang w:eastAsia="zh-TW"/>
        </w:rPr>
        <w:t>年出版之</w:t>
      </w:r>
      <w:r w:rsidRPr="008147DC">
        <w:rPr>
          <w:lang w:eastAsia="zh-TW"/>
        </w:rPr>
        <w:t>Canberra Manual</w:t>
      </w:r>
      <w:r w:rsidRPr="008147DC">
        <w:rPr>
          <w:lang w:eastAsia="zh-TW"/>
        </w:rPr>
        <w:t>坎培拉手冊。坎培拉手冊</w:t>
      </w:r>
      <w:r w:rsidRPr="008147DC">
        <w:rPr>
          <w:spacing w:val="-8"/>
          <w:lang w:eastAsia="zh-TW"/>
        </w:rPr>
        <w:t>─</w:t>
      </w:r>
      <w:r w:rsidRPr="008147DC">
        <w:rPr>
          <w:lang w:eastAsia="zh-TW"/>
        </w:rPr>
        <w:t>─</w:t>
      </w:r>
      <w:r w:rsidRPr="008147DC">
        <w:rPr>
          <w:lang w:eastAsia="zh-TW"/>
        </w:rPr>
        <w:t>教育學科分類依據，將</w:t>
      </w:r>
      <w:r w:rsidRPr="008147DC">
        <w:rPr>
          <w:lang w:eastAsia="zh-TW"/>
        </w:rPr>
        <w:t>ISCED</w:t>
      </w:r>
      <w:r w:rsidRPr="008147DC">
        <w:rPr>
          <w:lang w:eastAsia="zh-TW"/>
        </w:rPr>
        <w:t>學群分為</w:t>
      </w:r>
      <w:r w:rsidRPr="008147DC">
        <w:rPr>
          <w:lang w:eastAsia="zh-TW"/>
        </w:rPr>
        <w:t>6</w:t>
      </w:r>
      <w:r w:rsidRPr="008147DC">
        <w:rPr>
          <w:lang w:eastAsia="zh-TW"/>
        </w:rPr>
        <w:t>大類：自然科學、工程與科技、農業科學、醫學科學、社會科學、人文，詳見：</w:t>
      </w:r>
      <w:r w:rsidRPr="008147DC">
        <w:rPr>
          <w:lang w:eastAsia="zh-TW"/>
        </w:rPr>
        <w:t xml:space="preserve">Organization for Economic Co-operation and Development </w:t>
      </w:r>
      <w:r w:rsidRPr="008147DC">
        <w:rPr>
          <w:lang w:eastAsia="zh-TW"/>
        </w:rPr>
        <w:t>（</w:t>
      </w:r>
      <w:r w:rsidRPr="008147DC">
        <w:rPr>
          <w:lang w:eastAsia="zh-TW"/>
        </w:rPr>
        <w:t>OECD</w:t>
      </w:r>
      <w:r w:rsidRPr="008147DC">
        <w:rPr>
          <w:lang w:eastAsia="zh-TW"/>
        </w:rPr>
        <w:t>，經濟合作發展組織）（</w:t>
      </w:r>
      <w:r w:rsidRPr="008147DC">
        <w:rPr>
          <w:lang w:eastAsia="zh-TW"/>
        </w:rPr>
        <w:t>1994</w:t>
      </w:r>
      <w:r w:rsidRPr="008147DC">
        <w:rPr>
          <w:lang w:eastAsia="zh-TW"/>
        </w:rPr>
        <w:t>），</w:t>
      </w:r>
      <w:r w:rsidRPr="008147DC">
        <w:rPr>
          <w:lang w:eastAsia="zh-TW"/>
        </w:rPr>
        <w:t>Canberra Manual</w:t>
      </w:r>
      <w:r w:rsidRPr="008147DC">
        <w:rPr>
          <w:lang w:eastAsia="zh-TW"/>
        </w:rPr>
        <w:t>坎培拉手冊，</w:t>
      </w:r>
      <w:r w:rsidRPr="008147DC">
        <w:rPr>
          <w:lang w:eastAsia="zh-TW"/>
        </w:rPr>
        <w:t>p.43</w:t>
      </w:r>
      <w:r w:rsidRPr="008147DC">
        <w:rPr>
          <w:lang w:eastAsia="zh-TW"/>
        </w:rPr>
        <w:t>。</w:t>
      </w:r>
    </w:p>
  </w:footnote>
  <w:footnote w:id="412">
    <w:p w:rsidR="00657FEF" w:rsidRPr="008147DC" w:rsidRDefault="00657FEF" w:rsidP="00992AB6">
      <w:pPr>
        <w:pStyle w:val="5"/>
        <w:rPr>
          <w:lang w:eastAsia="zh-TW"/>
        </w:rPr>
      </w:pPr>
      <w:r w:rsidRPr="00394C1A">
        <w:rPr>
          <w:rStyle w:val="af7"/>
          <w:rFonts w:eastAsia="新細明體"/>
          <w:kern w:val="2"/>
          <w:szCs w:val="20"/>
        </w:rPr>
        <w:footnoteRef/>
      </w:r>
      <w:r w:rsidRPr="00394C1A">
        <w:rPr>
          <w:rFonts w:ascii="Arial Unicode MS" w:eastAsia="新細明體" w:hAnsi="Arial Unicode MS"/>
          <w:color w:val="FF6600"/>
          <w:kern w:val="2"/>
          <w:lang w:eastAsia="zh-TW"/>
        </w:rPr>
        <w:t xml:space="preserve"> </w:t>
      </w:r>
      <w:r w:rsidRPr="008147DC">
        <w:rPr>
          <w:lang w:eastAsia="zh-TW"/>
        </w:rPr>
        <w:tab/>
      </w:r>
      <w:r w:rsidRPr="008147DC">
        <w:rPr>
          <w:lang w:eastAsia="zh-TW"/>
        </w:rPr>
        <w:t>王孟平、張世強（</w:t>
      </w:r>
      <w:r w:rsidRPr="008147DC">
        <w:rPr>
          <w:lang w:eastAsia="zh-TW"/>
        </w:rPr>
        <w:t>2006</w:t>
      </w:r>
      <w:r w:rsidRPr="008147DC">
        <w:rPr>
          <w:lang w:eastAsia="zh-TW"/>
        </w:rPr>
        <w:t>），亞太技術勞工之國際移動與政策議題：「人才流失」或「人才交換」，收於國境學報第五期。</w:t>
      </w:r>
    </w:p>
  </w:footnote>
  <w:footnote w:id="413">
    <w:p w:rsidR="00657FEF" w:rsidRPr="008147DC" w:rsidRDefault="00657FEF" w:rsidP="00992AB6">
      <w:pPr>
        <w:pStyle w:val="5"/>
      </w:pPr>
      <w:r w:rsidRPr="00394C1A">
        <w:rPr>
          <w:rStyle w:val="af7"/>
          <w:rFonts w:eastAsia="新細明體"/>
          <w:kern w:val="2"/>
          <w:szCs w:val="20"/>
        </w:rPr>
        <w:footnoteRef/>
      </w:r>
      <w:r w:rsidRPr="008147DC">
        <w:rPr>
          <w:rStyle w:val="af7"/>
          <w:rFonts w:asciiTheme="minorEastAsia" w:eastAsiaTheme="minorEastAsia" w:hAnsiTheme="minorEastAsia"/>
          <w:szCs w:val="20"/>
        </w:rPr>
        <w:t xml:space="preserve"> </w:t>
      </w:r>
      <w:r w:rsidRPr="008147DC">
        <w:tab/>
        <w:t>Shklyar, A. N. (2012). High-skilled comes, high-skilled leaves: Needs and interests of high-skilled immigrants in Malmö and Lund.</w:t>
      </w:r>
    </w:p>
  </w:footnote>
  <w:footnote w:id="414">
    <w:p w:rsidR="00657FEF" w:rsidRPr="008147DC" w:rsidRDefault="00657FEF" w:rsidP="00992AB6">
      <w:pPr>
        <w:pStyle w:val="5"/>
      </w:pPr>
      <w:r w:rsidRPr="00394C1A">
        <w:rPr>
          <w:rStyle w:val="af7"/>
          <w:rFonts w:eastAsia="新細明體"/>
          <w:kern w:val="2"/>
          <w:szCs w:val="20"/>
        </w:rPr>
        <w:footnoteRef/>
      </w:r>
      <w:r w:rsidRPr="008147DC">
        <w:rPr>
          <w:rStyle w:val="af7"/>
          <w:rFonts w:asciiTheme="minorEastAsia" w:eastAsiaTheme="minorEastAsia" w:hAnsiTheme="minorEastAsia"/>
          <w:szCs w:val="20"/>
        </w:rPr>
        <w:t xml:space="preserve"> </w:t>
      </w:r>
      <w:r w:rsidRPr="008147DC">
        <w:tab/>
      </w:r>
      <w:r w:rsidRPr="008147DC">
        <w:t>有關於技術移民定義，尚可參閱以下之重要文獻：</w:t>
      </w:r>
      <w:r w:rsidRPr="008147DC">
        <w:br/>
        <w:t>Brettell, C. B., &amp; Hollifield, J. F. (Eds.). (2014). Migration theory: Talking across disciplines. Routledge.</w:t>
      </w:r>
      <w:r w:rsidRPr="008147DC">
        <w:br/>
        <w:t>Lowell, B. L. (2002). Policy responses to the international mobility of skilled labour.</w:t>
      </w:r>
      <w:r w:rsidRPr="008147DC">
        <w:br/>
        <w:t>Lowell, B. L., &amp; Batalova, J. (2005). International migration of highly skilled workers: methodological and public policy issues. In Population Association of America 2005 Annual Meeting Program.</w:t>
      </w:r>
      <w:r w:rsidRPr="008147DC">
        <w:br/>
        <w:t>Koser, K., &amp; Salt, J. (1997). The geography of highly skilled international migration.International Journal of Population Geography, 3(4), pp285-303.</w:t>
      </w:r>
      <w:r w:rsidRPr="008147DC">
        <w:br/>
        <w:t>Razin, A., &amp; Sadka, E. (1999). Migration and pension with international capital mobility. Journal of Public Economics, 74(1), pp141-150.</w:t>
      </w:r>
      <w:r w:rsidRPr="008147DC">
        <w:br/>
        <w:t>Shklyar, A. N.(2012). High-skilled comes, high-skilled leaves: Needs and interests of high-skilled immigrants in Malmö and Lund.</w:t>
      </w:r>
    </w:p>
  </w:footnote>
  <w:footnote w:id="415">
    <w:p w:rsidR="00657FEF" w:rsidRPr="008147DC" w:rsidRDefault="00657FEF" w:rsidP="00992AB6">
      <w:pPr>
        <w:pStyle w:val="5"/>
        <w:rPr>
          <w:lang w:eastAsia="zh-TW"/>
        </w:rPr>
      </w:pPr>
      <w:r w:rsidRPr="00394C1A">
        <w:rPr>
          <w:rStyle w:val="af7"/>
          <w:rFonts w:eastAsia="新細明體"/>
          <w:kern w:val="2"/>
          <w:szCs w:val="20"/>
        </w:rPr>
        <w:footnoteRef/>
      </w:r>
      <w:r w:rsidRPr="008147DC">
        <w:rPr>
          <w:rStyle w:val="af7"/>
          <w:rFonts w:asciiTheme="minorEastAsia" w:eastAsiaTheme="minorEastAsia" w:hAnsiTheme="minorEastAsia"/>
          <w:szCs w:val="20"/>
          <w:lang w:eastAsia="zh-TW"/>
        </w:rPr>
        <w:t xml:space="preserve"> </w:t>
      </w:r>
      <w:r w:rsidRPr="008147DC">
        <w:rPr>
          <w:lang w:eastAsia="zh-TW"/>
        </w:rPr>
        <w:tab/>
      </w:r>
      <w:r w:rsidRPr="008147DC">
        <w:rPr>
          <w:lang w:eastAsia="zh-TW"/>
        </w:rPr>
        <w:t>黃慶堂（</w:t>
      </w:r>
      <w:r w:rsidRPr="008147DC">
        <w:rPr>
          <w:lang w:eastAsia="zh-TW"/>
        </w:rPr>
        <w:t>2008</w:t>
      </w:r>
      <w:r w:rsidRPr="008147DC">
        <w:rPr>
          <w:lang w:eastAsia="zh-TW"/>
        </w:rPr>
        <w:t>），專技移民與投資移民對我國經濟之影響，收於第二屆「國境安全與人口移動」學術研討會論文集。</w:t>
      </w:r>
    </w:p>
  </w:footnote>
  <w:footnote w:id="416">
    <w:p w:rsidR="00657FEF" w:rsidRPr="008147DC" w:rsidRDefault="00657FEF" w:rsidP="00992AB6">
      <w:pPr>
        <w:pStyle w:val="5"/>
        <w:rPr>
          <w:lang w:eastAsia="zh-TW"/>
        </w:rPr>
      </w:pPr>
      <w:r w:rsidRPr="00394C1A">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有關於移民之定義及其內涵，尚可參閱以下之重要文獻：</w:t>
      </w:r>
      <w:r w:rsidRPr="008147DC">
        <w:rPr>
          <w:lang w:eastAsia="zh-TW"/>
        </w:rPr>
        <w:br/>
        <w:t>Charles M. Beach</w:t>
      </w:r>
      <w:r w:rsidRPr="008147DC">
        <w:rPr>
          <w:lang w:eastAsia="zh-TW"/>
        </w:rPr>
        <w:t>（</w:t>
      </w:r>
      <w:r w:rsidRPr="008147DC">
        <w:rPr>
          <w:lang w:eastAsia="zh-TW"/>
        </w:rPr>
        <w:t>2012</w:t>
      </w:r>
      <w:r w:rsidRPr="008147DC">
        <w:rPr>
          <w:lang w:eastAsia="zh-TW"/>
        </w:rPr>
        <w:t>），加拿大評點制：優劣分析及經驗談，收錄於</w:t>
      </w:r>
      <w:r w:rsidRPr="008147DC">
        <w:rPr>
          <w:lang w:eastAsia="zh-TW"/>
        </w:rPr>
        <w:t>2012</w:t>
      </w:r>
      <w:r w:rsidRPr="008147DC">
        <w:rPr>
          <w:lang w:eastAsia="zh-TW"/>
        </w:rPr>
        <w:t>年移民政策國際研討會</w:t>
      </w:r>
      <w:r w:rsidRPr="008147DC">
        <w:rPr>
          <w:spacing w:val="-8"/>
          <w:lang w:eastAsia="zh-TW"/>
        </w:rPr>
        <w:t>─</w:t>
      </w:r>
      <w:r w:rsidRPr="008147DC">
        <w:rPr>
          <w:lang w:eastAsia="zh-TW"/>
        </w:rPr>
        <w:t>─</w:t>
      </w:r>
      <w:r w:rsidRPr="008147DC">
        <w:rPr>
          <w:lang w:eastAsia="zh-TW"/>
        </w:rPr>
        <w:t>全球人才競逐研討會實錄，臺北市：臺北花園大酒店。</w:t>
      </w:r>
      <w:r w:rsidRPr="008147DC">
        <w:rPr>
          <w:lang w:eastAsia="zh-TW"/>
        </w:rPr>
        <w:br/>
      </w:r>
      <w:r w:rsidRPr="008147DC">
        <w:rPr>
          <w:lang w:eastAsia="zh-TW"/>
        </w:rPr>
        <w:t>內政部入出國及移民署（</w:t>
      </w:r>
      <w:r w:rsidRPr="008147DC">
        <w:rPr>
          <w:lang w:eastAsia="zh-TW"/>
        </w:rPr>
        <w:t>2009</w:t>
      </w:r>
      <w:r w:rsidRPr="008147DC">
        <w:rPr>
          <w:lang w:eastAsia="zh-TW"/>
        </w:rPr>
        <w:t>），移民行政白皮書，台北市：移民署。</w:t>
      </w:r>
      <w:r w:rsidRPr="008147DC">
        <w:rPr>
          <w:lang w:eastAsia="zh-TW"/>
        </w:rPr>
        <w:br/>
      </w:r>
      <w:r w:rsidRPr="008147DC">
        <w:rPr>
          <w:lang w:eastAsia="zh-TW"/>
        </w:rPr>
        <w:t>王寬弘（</w:t>
      </w:r>
      <w:r w:rsidRPr="008147DC">
        <w:rPr>
          <w:lang w:eastAsia="zh-TW"/>
        </w:rPr>
        <w:t>2011</w:t>
      </w:r>
      <w:r w:rsidRPr="008147DC">
        <w:rPr>
          <w:lang w:eastAsia="zh-TW"/>
        </w:rPr>
        <w:t>），「大陸地區人民進入台灣相關入出境法令問題淺探」，</w:t>
      </w:r>
      <w:r w:rsidRPr="008147DC">
        <w:rPr>
          <w:lang w:eastAsia="zh-TW"/>
        </w:rPr>
        <w:t>2011</w:t>
      </w:r>
      <w:r w:rsidRPr="008147DC">
        <w:rPr>
          <w:lang w:eastAsia="zh-TW"/>
        </w:rPr>
        <w:t>年人口移動與執法學術研討會。</w:t>
      </w:r>
      <w:r w:rsidRPr="008147DC">
        <w:rPr>
          <w:lang w:eastAsia="zh-TW"/>
        </w:rPr>
        <w:br/>
      </w:r>
      <w:r w:rsidRPr="008147DC">
        <w:rPr>
          <w:lang w:eastAsia="zh-TW"/>
        </w:rPr>
        <w:t>王寬弘（</w:t>
      </w:r>
      <w:r w:rsidRPr="008147DC">
        <w:rPr>
          <w:lang w:eastAsia="zh-TW"/>
        </w:rPr>
        <w:t>2012</w:t>
      </w:r>
      <w:r w:rsidRPr="008147DC">
        <w:rPr>
          <w:lang w:eastAsia="zh-TW"/>
        </w:rPr>
        <w:t>），「大陸地區人民進入台灣相關入出境法令問題淺探」，國土安全與國境管理學報，第</w:t>
      </w:r>
      <w:r w:rsidRPr="008147DC">
        <w:rPr>
          <w:lang w:eastAsia="zh-TW"/>
        </w:rPr>
        <w:t>17</w:t>
      </w:r>
      <w:r w:rsidRPr="008147DC">
        <w:rPr>
          <w:lang w:eastAsia="zh-TW"/>
        </w:rPr>
        <w:t>期，頁</w:t>
      </w:r>
      <w:r w:rsidRPr="008147DC">
        <w:rPr>
          <w:lang w:eastAsia="zh-TW"/>
        </w:rPr>
        <w:t>155-185</w:t>
      </w:r>
      <w:r w:rsidRPr="008147DC">
        <w:rPr>
          <w:lang w:eastAsia="zh-TW"/>
        </w:rPr>
        <w:t>。</w:t>
      </w:r>
      <w:r w:rsidRPr="008147DC">
        <w:rPr>
          <w:lang w:eastAsia="zh-TW"/>
        </w:rPr>
        <w:br/>
      </w:r>
      <w:r w:rsidRPr="008147DC">
        <w:rPr>
          <w:lang w:eastAsia="zh-TW"/>
        </w:rPr>
        <w:t>王寬弘（</w:t>
      </w:r>
      <w:r w:rsidRPr="008147DC">
        <w:rPr>
          <w:lang w:eastAsia="zh-TW"/>
        </w:rPr>
        <w:t>2012</w:t>
      </w:r>
      <w:r w:rsidRPr="008147DC">
        <w:rPr>
          <w:lang w:eastAsia="zh-TW"/>
        </w:rPr>
        <w:t>），「我國打擊人口販運查緝困境之研究</w:t>
      </w:r>
      <w:r w:rsidRPr="008147DC">
        <w:rPr>
          <w:spacing w:val="-8"/>
          <w:lang w:eastAsia="zh-TW"/>
        </w:rPr>
        <w:t>─</w:t>
      </w:r>
      <w:r w:rsidRPr="008147DC">
        <w:rPr>
          <w:lang w:eastAsia="zh-TW"/>
        </w:rPr>
        <w:t>─</w:t>
      </w:r>
      <w:r w:rsidRPr="008147DC">
        <w:rPr>
          <w:lang w:eastAsia="zh-TW"/>
        </w:rPr>
        <w:t>以警察及移民機關為例」，</w:t>
      </w:r>
      <w:r w:rsidRPr="008147DC">
        <w:rPr>
          <w:lang w:eastAsia="zh-TW"/>
        </w:rPr>
        <w:t>2012</w:t>
      </w:r>
      <w:r w:rsidRPr="008147DC">
        <w:rPr>
          <w:lang w:eastAsia="zh-TW"/>
        </w:rPr>
        <w:t>年人口移動與國境執法學術研討會。</w:t>
      </w:r>
      <w:r w:rsidRPr="008147DC">
        <w:rPr>
          <w:lang w:eastAsia="zh-TW"/>
        </w:rPr>
        <w:br/>
      </w:r>
      <w:r w:rsidRPr="008147DC">
        <w:rPr>
          <w:lang w:eastAsia="zh-TW"/>
        </w:rPr>
        <w:t>王寬弘（</w:t>
      </w:r>
      <w:r w:rsidRPr="008147DC">
        <w:rPr>
          <w:lang w:eastAsia="zh-TW"/>
        </w:rPr>
        <w:t>2014</w:t>
      </w:r>
      <w:r w:rsidRPr="008147DC">
        <w:rPr>
          <w:lang w:eastAsia="zh-TW"/>
        </w:rPr>
        <w:t>），移民與國境管理，收錄於陳明傳、蔡庭榕、孟維德、王寬弘、柯雨瑞、許義寶、謝文忠、王智盛、林盈君、高佩珊等合著（</w:t>
      </w:r>
      <w:r w:rsidRPr="008147DC">
        <w:rPr>
          <w:lang w:eastAsia="zh-TW"/>
        </w:rPr>
        <w:t>2014</w:t>
      </w:r>
      <w:r w:rsidRPr="008147DC">
        <w:rPr>
          <w:lang w:eastAsia="zh-TW"/>
        </w:rPr>
        <w:t>），移民之理論與實務，桃園：中央警察大學出版社。</w:t>
      </w:r>
      <w:r w:rsidRPr="008147DC">
        <w:rPr>
          <w:lang w:eastAsia="zh-TW"/>
        </w:rPr>
        <w:br/>
      </w:r>
      <w:r w:rsidRPr="008147DC">
        <w:rPr>
          <w:lang w:eastAsia="zh-TW"/>
        </w:rPr>
        <w:t>行政院研究發展考核委員會（</w:t>
      </w:r>
      <w:r w:rsidRPr="008147DC">
        <w:rPr>
          <w:lang w:eastAsia="zh-TW"/>
        </w:rPr>
        <w:t>2011</w:t>
      </w:r>
      <w:r w:rsidRPr="008147DC">
        <w:rPr>
          <w:lang w:eastAsia="zh-TW"/>
        </w:rPr>
        <w:t>），各國移民參政權之比較研究，台北市：行政院研究發展考核委員會。</w:t>
      </w:r>
      <w:r w:rsidRPr="008147DC">
        <w:rPr>
          <w:lang w:eastAsia="zh-TW"/>
        </w:rPr>
        <w:br/>
      </w:r>
      <w:r w:rsidRPr="008147DC">
        <w:rPr>
          <w:lang w:eastAsia="zh-TW"/>
        </w:rPr>
        <w:t>何雨畊（</w:t>
      </w:r>
      <w:r w:rsidRPr="008147DC">
        <w:rPr>
          <w:lang w:eastAsia="zh-TW"/>
        </w:rPr>
        <w:t>2007</w:t>
      </w:r>
      <w:r w:rsidRPr="008147DC">
        <w:rPr>
          <w:lang w:eastAsia="zh-TW"/>
        </w:rPr>
        <w:t>），我國移民政策之探討</w:t>
      </w:r>
      <w:r w:rsidRPr="008147DC">
        <w:rPr>
          <w:spacing w:val="-8"/>
          <w:lang w:eastAsia="zh-TW"/>
        </w:rPr>
        <w:t>─</w:t>
      </w:r>
      <w:r w:rsidRPr="008147DC">
        <w:rPr>
          <w:lang w:eastAsia="zh-TW"/>
        </w:rPr>
        <w:t>─</w:t>
      </w:r>
      <w:r w:rsidRPr="008147DC">
        <w:rPr>
          <w:lang w:eastAsia="zh-TW"/>
        </w:rPr>
        <w:t>吸引國外專業移民之研究，中央警察大學外事警察研究所碩士論文。</w:t>
      </w:r>
      <w:r w:rsidRPr="008147DC">
        <w:rPr>
          <w:lang w:eastAsia="zh-TW"/>
        </w:rPr>
        <w:br/>
      </w:r>
      <w:r w:rsidRPr="008147DC">
        <w:rPr>
          <w:lang w:eastAsia="zh-TW"/>
        </w:rPr>
        <w:t>吳孟璇（</w:t>
      </w:r>
      <w:r w:rsidRPr="008147DC">
        <w:rPr>
          <w:lang w:eastAsia="zh-TW"/>
        </w:rPr>
        <w:t>2009</w:t>
      </w:r>
      <w:r w:rsidRPr="008147DC">
        <w:rPr>
          <w:lang w:eastAsia="zh-TW"/>
        </w:rPr>
        <w:t>），臺灣專業人力移民及投資移民政策之研究，逢甲大學公共政策研究所碩士論文。</w:t>
      </w:r>
      <w:r w:rsidRPr="008147DC">
        <w:rPr>
          <w:lang w:eastAsia="zh-TW"/>
        </w:rPr>
        <w:br/>
      </w:r>
      <w:r w:rsidRPr="008147DC">
        <w:rPr>
          <w:lang w:eastAsia="zh-TW"/>
        </w:rPr>
        <w:t>汪毓瑋（</w:t>
      </w:r>
      <w:r w:rsidRPr="008147DC">
        <w:rPr>
          <w:lang w:eastAsia="zh-TW"/>
        </w:rPr>
        <w:t>2011</w:t>
      </w:r>
      <w:r w:rsidRPr="008147DC">
        <w:rPr>
          <w:lang w:eastAsia="zh-TW"/>
        </w:rPr>
        <w:t>），「強化我國吸引專技與投資移民應有作為之研究」，</w:t>
      </w:r>
      <w:r w:rsidRPr="008147DC">
        <w:rPr>
          <w:lang w:eastAsia="zh-TW"/>
        </w:rPr>
        <w:t>2011</w:t>
      </w:r>
      <w:r w:rsidRPr="008147DC">
        <w:rPr>
          <w:lang w:eastAsia="zh-TW"/>
        </w:rPr>
        <w:t>年人口移動與執法學術研討會（龜山），頁</w:t>
      </w:r>
      <w:r w:rsidRPr="008147DC">
        <w:rPr>
          <w:lang w:eastAsia="zh-TW"/>
        </w:rPr>
        <w:t>151-167</w:t>
      </w:r>
      <w:r w:rsidRPr="008147DC">
        <w:rPr>
          <w:lang w:eastAsia="zh-TW"/>
        </w:rPr>
        <w:t>。</w:t>
      </w:r>
      <w:r w:rsidRPr="008147DC">
        <w:rPr>
          <w:lang w:eastAsia="zh-TW"/>
        </w:rPr>
        <w:br/>
      </w:r>
      <w:r w:rsidRPr="008147DC">
        <w:rPr>
          <w:lang w:eastAsia="zh-TW"/>
        </w:rPr>
        <w:t>汪毓瑋（</w:t>
      </w:r>
      <w:r w:rsidRPr="008147DC">
        <w:rPr>
          <w:lang w:eastAsia="zh-TW"/>
        </w:rPr>
        <w:t>2011</w:t>
      </w:r>
      <w:r w:rsidRPr="008147DC">
        <w:rPr>
          <w:lang w:eastAsia="zh-TW"/>
        </w:rPr>
        <w:t>），強化我國吸引專技與投資移民應有作為之研究，收於「人口移動與執法」學術研討會論文集。</w:t>
      </w:r>
      <w:r w:rsidRPr="008147DC">
        <w:rPr>
          <w:lang w:eastAsia="zh-TW"/>
        </w:rPr>
        <w:br/>
      </w:r>
      <w:r w:rsidRPr="008147DC">
        <w:rPr>
          <w:lang w:eastAsia="zh-TW"/>
        </w:rPr>
        <w:t>林愛玲（</w:t>
      </w:r>
      <w:r w:rsidRPr="008147DC">
        <w:rPr>
          <w:lang w:eastAsia="zh-TW"/>
        </w:rPr>
        <w:t>2011</w:t>
      </w:r>
      <w:r w:rsidRPr="008147DC">
        <w:rPr>
          <w:lang w:eastAsia="zh-TW"/>
        </w:rPr>
        <w:t>），臺灣與澳洲高級專業人才移民政策之比較研究</w:t>
      </w:r>
      <w:r w:rsidRPr="008147DC">
        <w:rPr>
          <w:spacing w:val="-8"/>
          <w:lang w:eastAsia="zh-TW"/>
        </w:rPr>
        <w:t>─</w:t>
      </w:r>
      <w:r w:rsidRPr="008147DC">
        <w:rPr>
          <w:lang w:eastAsia="zh-TW"/>
        </w:rPr>
        <w:t>─</w:t>
      </w:r>
      <w:r w:rsidRPr="008147DC">
        <w:rPr>
          <w:lang w:eastAsia="zh-TW"/>
        </w:rPr>
        <w:t>全球化現象下專技移民之消長，中央警察大學外事警察研究所碩士論文。</w:t>
      </w:r>
      <w:r w:rsidRPr="008147DC">
        <w:rPr>
          <w:lang w:eastAsia="zh-TW"/>
        </w:rPr>
        <w:br/>
      </w:r>
      <w:r w:rsidRPr="008147DC">
        <w:rPr>
          <w:lang w:eastAsia="zh-TW"/>
        </w:rPr>
        <w:t>施念慧（</w:t>
      </w:r>
      <w:r w:rsidRPr="008147DC">
        <w:rPr>
          <w:lang w:eastAsia="zh-TW"/>
        </w:rPr>
        <w:t>2008</w:t>
      </w:r>
      <w:r w:rsidRPr="008147DC">
        <w:rPr>
          <w:lang w:eastAsia="zh-TW"/>
        </w:rPr>
        <w:t>），論我國之外國人永久居留制度</w:t>
      </w:r>
      <w:r w:rsidRPr="008147DC">
        <w:rPr>
          <w:spacing w:val="-8"/>
          <w:lang w:eastAsia="zh-TW"/>
        </w:rPr>
        <w:t>─</w:t>
      </w:r>
      <w:r w:rsidRPr="008147DC">
        <w:rPr>
          <w:lang w:eastAsia="zh-TW"/>
        </w:rPr>
        <w:t>─</w:t>
      </w:r>
      <w:r w:rsidRPr="008147DC">
        <w:rPr>
          <w:lang w:eastAsia="zh-TW"/>
        </w:rPr>
        <w:t>與加拿大、德國、新加坡比較，中央警察大學外事警察研究所碩士論文。</w:t>
      </w:r>
      <w:r w:rsidRPr="008147DC">
        <w:rPr>
          <w:lang w:eastAsia="zh-TW"/>
        </w:rPr>
        <w:br/>
      </w:r>
      <w:r w:rsidRPr="008147DC">
        <w:rPr>
          <w:lang w:eastAsia="zh-TW"/>
        </w:rPr>
        <w:t>馬福美（</w:t>
      </w:r>
      <w:r w:rsidRPr="008147DC">
        <w:rPr>
          <w:lang w:eastAsia="zh-TW"/>
        </w:rPr>
        <w:t>2008</w:t>
      </w:r>
      <w:r w:rsidRPr="008147DC">
        <w:rPr>
          <w:lang w:eastAsia="zh-TW"/>
        </w:rPr>
        <w:t>），我國移民法制之研究，國立臺灣師範大學政治學研究所碩士論文。</w:t>
      </w:r>
      <w:r w:rsidRPr="008147DC">
        <w:rPr>
          <w:lang w:eastAsia="zh-TW"/>
        </w:rPr>
        <w:br/>
      </w:r>
      <w:r w:rsidRPr="008147DC">
        <w:rPr>
          <w:lang w:eastAsia="zh-TW"/>
        </w:rPr>
        <w:t>高佩珊（</w:t>
      </w:r>
      <w:r w:rsidRPr="008147DC">
        <w:rPr>
          <w:lang w:eastAsia="zh-TW"/>
        </w:rPr>
        <w:t>2015</w:t>
      </w:r>
      <w:r w:rsidRPr="008147DC">
        <w:rPr>
          <w:lang w:eastAsia="zh-TW"/>
        </w:rPr>
        <w:t>），歐盟移民問題探討，發表於中央警察大學移民研究中心</w:t>
      </w:r>
      <w:r w:rsidRPr="008147DC">
        <w:rPr>
          <w:lang w:eastAsia="zh-TW"/>
        </w:rPr>
        <w:t>2015</w:t>
      </w:r>
      <w:r w:rsidRPr="008147DC">
        <w:rPr>
          <w:lang w:eastAsia="zh-TW"/>
        </w:rPr>
        <w:t>年「人口移動與執法」學術研討會。</w:t>
      </w:r>
      <w:r w:rsidRPr="008147DC">
        <w:rPr>
          <w:lang w:eastAsia="zh-TW"/>
        </w:rPr>
        <w:br/>
      </w:r>
      <w:r w:rsidRPr="008147DC">
        <w:rPr>
          <w:lang w:eastAsia="zh-TW"/>
        </w:rPr>
        <w:t>許義寶（</w:t>
      </w:r>
      <w:r w:rsidRPr="008147DC">
        <w:rPr>
          <w:lang w:eastAsia="zh-TW"/>
        </w:rPr>
        <w:t>2014</w:t>
      </w:r>
      <w:r w:rsidRPr="008147DC">
        <w:rPr>
          <w:lang w:eastAsia="zh-TW"/>
        </w:rPr>
        <w:t>），入出國法制與人權保障（二版），五南。</w:t>
      </w:r>
      <w:r w:rsidRPr="008147DC">
        <w:rPr>
          <w:lang w:eastAsia="zh-TW"/>
        </w:rPr>
        <w:br/>
      </w:r>
      <w:r w:rsidRPr="008147DC">
        <w:rPr>
          <w:lang w:eastAsia="zh-TW"/>
        </w:rPr>
        <w:t>許義寶（</w:t>
      </w:r>
      <w:r w:rsidRPr="008147DC">
        <w:rPr>
          <w:lang w:eastAsia="zh-TW"/>
        </w:rPr>
        <w:t>2014</w:t>
      </w:r>
      <w:r w:rsidRPr="008147DC">
        <w:rPr>
          <w:lang w:eastAsia="zh-TW"/>
        </w:rPr>
        <w:t>），論移民之概念與其基本權利之保障，中央警察大學國土安全與國境管理學報</w:t>
      </w:r>
      <w:r w:rsidRPr="008147DC">
        <w:rPr>
          <w:lang w:eastAsia="zh-TW"/>
        </w:rPr>
        <w:t xml:space="preserve">22 </w:t>
      </w:r>
      <w:r w:rsidRPr="008147DC">
        <w:rPr>
          <w:lang w:eastAsia="zh-TW"/>
        </w:rPr>
        <w:t>期，頁</w:t>
      </w:r>
      <w:r w:rsidRPr="008147DC">
        <w:rPr>
          <w:lang w:eastAsia="zh-TW"/>
        </w:rPr>
        <w:t>175-219</w:t>
      </w:r>
      <w:r w:rsidRPr="008147DC">
        <w:rPr>
          <w:lang w:eastAsia="zh-TW"/>
        </w:rPr>
        <w:t>。</w:t>
      </w:r>
      <w:r w:rsidRPr="008147DC">
        <w:rPr>
          <w:lang w:eastAsia="zh-TW"/>
        </w:rPr>
        <w:br/>
      </w:r>
      <w:r w:rsidRPr="008147DC">
        <w:rPr>
          <w:lang w:eastAsia="zh-TW"/>
        </w:rPr>
        <w:t>許義寶（</w:t>
      </w:r>
      <w:r w:rsidRPr="008147DC">
        <w:rPr>
          <w:lang w:eastAsia="zh-TW"/>
        </w:rPr>
        <w:t>2015</w:t>
      </w:r>
      <w:r w:rsidRPr="008147DC">
        <w:rPr>
          <w:lang w:eastAsia="zh-TW"/>
        </w:rPr>
        <w:t>），移民人權保障之立法規範</w:t>
      </w:r>
      <w:r w:rsidRPr="008147DC">
        <w:rPr>
          <w:spacing w:val="-8"/>
          <w:lang w:eastAsia="zh-TW"/>
        </w:rPr>
        <w:t>─</w:t>
      </w:r>
      <w:r w:rsidRPr="008147DC">
        <w:rPr>
          <w:lang w:eastAsia="zh-TW"/>
        </w:rPr>
        <w:t>─</w:t>
      </w:r>
      <w:r w:rsidRPr="008147DC">
        <w:rPr>
          <w:lang w:eastAsia="zh-TW"/>
        </w:rPr>
        <w:t>以入出國及移民法為例，發表於中央警察大學移民研究中心</w:t>
      </w:r>
      <w:r w:rsidRPr="008147DC">
        <w:rPr>
          <w:lang w:eastAsia="zh-TW"/>
        </w:rPr>
        <w:t>2015</w:t>
      </w:r>
      <w:r w:rsidRPr="008147DC">
        <w:rPr>
          <w:lang w:eastAsia="zh-TW"/>
        </w:rPr>
        <w:t>年「人口移動與執法」學術研討會。</w:t>
      </w:r>
      <w:r w:rsidRPr="008147DC">
        <w:rPr>
          <w:lang w:eastAsia="zh-TW"/>
        </w:rPr>
        <w:br/>
      </w:r>
      <w:r w:rsidRPr="008147DC">
        <w:rPr>
          <w:lang w:eastAsia="zh-TW"/>
        </w:rPr>
        <w:t>陳明傳（</w:t>
      </w:r>
      <w:r w:rsidRPr="008147DC">
        <w:rPr>
          <w:lang w:eastAsia="zh-TW"/>
        </w:rPr>
        <w:t>2015</w:t>
      </w:r>
      <w:r w:rsidRPr="008147DC">
        <w:rPr>
          <w:lang w:eastAsia="zh-TW"/>
        </w:rPr>
        <w:t>），各國入出國管理系統之比較研究，發表於中央警察大學移民研究中心</w:t>
      </w:r>
      <w:r w:rsidRPr="008147DC">
        <w:rPr>
          <w:lang w:eastAsia="zh-TW"/>
        </w:rPr>
        <w:t>2015</w:t>
      </w:r>
      <w:r w:rsidRPr="008147DC">
        <w:rPr>
          <w:lang w:eastAsia="zh-TW"/>
        </w:rPr>
        <w:t>年「人口移動與執法」學術研討會。</w:t>
      </w:r>
      <w:r w:rsidRPr="008147DC">
        <w:rPr>
          <w:lang w:eastAsia="zh-TW"/>
        </w:rPr>
        <w:br/>
      </w:r>
      <w:r w:rsidRPr="008147DC">
        <w:rPr>
          <w:lang w:eastAsia="zh-TW"/>
        </w:rPr>
        <w:t>陳明傳、蔡庭榕、孟維德、王寬弘、柯雨瑞、許義寶、謝文忠、王智盛、林盈君、高佩珊等合著（</w:t>
      </w:r>
      <w:r w:rsidRPr="008147DC">
        <w:rPr>
          <w:lang w:eastAsia="zh-TW"/>
        </w:rPr>
        <w:t>2014</w:t>
      </w:r>
      <w:r w:rsidRPr="008147DC">
        <w:rPr>
          <w:lang w:eastAsia="zh-TW"/>
        </w:rPr>
        <w:t>），移民之理論與實務，桃園：中央警察大學出版社。</w:t>
      </w:r>
      <w:r w:rsidRPr="008147DC">
        <w:rPr>
          <w:lang w:eastAsia="zh-TW"/>
        </w:rPr>
        <w:br/>
      </w:r>
      <w:r w:rsidRPr="008147DC">
        <w:rPr>
          <w:lang w:eastAsia="zh-TW"/>
        </w:rPr>
        <w:t>黃慶堂（</w:t>
      </w:r>
      <w:r w:rsidRPr="008147DC">
        <w:rPr>
          <w:lang w:eastAsia="zh-TW"/>
        </w:rPr>
        <w:t>2008</w:t>
      </w:r>
      <w:r w:rsidRPr="008147DC">
        <w:rPr>
          <w:lang w:eastAsia="zh-TW"/>
        </w:rPr>
        <w:t>），專技移民與投資移民對我國經濟之影響，收於第二屆「國境安全與人口移動」學術研討會論文集。</w:t>
      </w:r>
      <w:r w:rsidRPr="008147DC">
        <w:rPr>
          <w:lang w:eastAsia="zh-TW"/>
        </w:rPr>
        <w:br/>
      </w:r>
      <w:r w:rsidRPr="008147DC">
        <w:rPr>
          <w:lang w:eastAsia="zh-TW"/>
        </w:rPr>
        <w:t>謝立功、張先正、汪毓瑋、謝文忠、柯文麗（</w:t>
      </w:r>
      <w:r w:rsidRPr="008147DC">
        <w:rPr>
          <w:lang w:eastAsia="zh-TW"/>
        </w:rPr>
        <w:t>2013</w:t>
      </w:r>
      <w:r w:rsidRPr="008147DC">
        <w:rPr>
          <w:lang w:eastAsia="zh-TW"/>
        </w:rPr>
        <w:t>），美國移民政策之發展，新北市：人類智庫。</w:t>
      </w:r>
    </w:p>
  </w:footnote>
  <w:footnote w:id="417">
    <w:p w:rsidR="00657FEF" w:rsidRPr="008147DC" w:rsidRDefault="00657FEF" w:rsidP="00992AB6">
      <w:pPr>
        <w:pStyle w:val="5"/>
        <w:rPr>
          <w:lang w:eastAsia="zh-TW"/>
        </w:rPr>
      </w:pPr>
      <w:r w:rsidRPr="00E6315D">
        <w:rPr>
          <w:rStyle w:val="af7"/>
          <w:rFonts w:eastAsia="新細明體"/>
          <w:kern w:val="2"/>
          <w:szCs w:val="20"/>
        </w:rPr>
        <w:footnoteRef/>
      </w:r>
      <w:r w:rsidRPr="00E6315D">
        <w:rPr>
          <w:rFonts w:ascii="Arial Unicode MS" w:eastAsia="新細明體" w:hAnsi="Arial Unicode MS"/>
          <w:color w:val="FF6600"/>
          <w:kern w:val="2"/>
          <w:lang w:eastAsia="zh-TW"/>
        </w:rPr>
        <w:t xml:space="preserve"> </w:t>
      </w:r>
      <w:r w:rsidRPr="008147DC">
        <w:rPr>
          <w:lang w:eastAsia="zh-TW"/>
        </w:rPr>
        <w:tab/>
      </w:r>
      <w:r w:rsidRPr="008147DC">
        <w:rPr>
          <w:lang w:eastAsia="zh-TW"/>
        </w:rPr>
        <w:t>吳學燕（</w:t>
      </w:r>
      <w:r w:rsidRPr="008147DC">
        <w:rPr>
          <w:lang w:eastAsia="zh-TW"/>
        </w:rPr>
        <w:t>2011</w:t>
      </w:r>
      <w:r w:rsidRPr="008147DC">
        <w:rPr>
          <w:lang w:eastAsia="zh-TW"/>
        </w:rPr>
        <w:t>），移民政策與法規，台北市：文笙書局。</w:t>
      </w:r>
    </w:p>
  </w:footnote>
  <w:footnote w:id="418">
    <w:p w:rsidR="00657FEF" w:rsidRPr="008147DC" w:rsidRDefault="00657FEF" w:rsidP="00306B20">
      <w:pPr>
        <w:pStyle w:val="5"/>
        <w:jc w:val="left"/>
        <w:rPr>
          <w:lang w:eastAsia="zh-TW"/>
        </w:rPr>
      </w:pPr>
      <w:r w:rsidRPr="00525791">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外國專業人員係指依雇主聘僱外國人許可及管理辦法第二條第一款規定之第一類外國人（白領）。</w:t>
      </w:r>
    </w:p>
  </w:footnote>
  <w:footnote w:id="419">
    <w:p w:rsidR="00657FEF" w:rsidRPr="008147DC" w:rsidRDefault="00657FEF" w:rsidP="00306B20">
      <w:pPr>
        <w:pStyle w:val="5"/>
        <w:jc w:val="left"/>
        <w:rPr>
          <w:lang w:val="da-DK"/>
        </w:rPr>
      </w:pPr>
      <w:r w:rsidRPr="00525791">
        <w:rPr>
          <w:rStyle w:val="af7"/>
          <w:rFonts w:eastAsia="新細明體"/>
          <w:kern w:val="2"/>
          <w:szCs w:val="20"/>
        </w:rPr>
        <w:footnoteRef/>
      </w:r>
      <w:r w:rsidRPr="008147DC">
        <w:rPr>
          <w:rStyle w:val="af7"/>
          <w:rFonts w:asciiTheme="minorEastAsia" w:eastAsiaTheme="minorEastAsia" w:hAnsiTheme="minorEastAsia"/>
          <w:szCs w:val="20"/>
          <w:lang w:val="da-DK"/>
        </w:rPr>
        <w:t xml:space="preserve"> </w:t>
      </w:r>
      <w:r w:rsidRPr="008147DC">
        <w:rPr>
          <w:lang w:val="da-DK"/>
        </w:rPr>
        <w:tab/>
      </w:r>
      <w:r w:rsidRPr="008147DC">
        <w:t>勞動部統計處</w:t>
      </w:r>
      <w:r w:rsidRPr="008147DC">
        <w:rPr>
          <w:lang w:val="da-DK"/>
        </w:rPr>
        <w:t>，</w:t>
      </w:r>
      <w:r w:rsidRPr="008147DC">
        <w:t>檢索日期</w:t>
      </w:r>
      <w:r w:rsidRPr="008147DC">
        <w:rPr>
          <w:lang w:val="da-DK"/>
        </w:rPr>
        <w:t>：</w:t>
      </w:r>
      <w:r w:rsidRPr="008147DC">
        <w:rPr>
          <w:lang w:val="da-DK"/>
        </w:rPr>
        <w:t>2018</w:t>
      </w:r>
      <w:r w:rsidRPr="008147DC">
        <w:t>年</w:t>
      </w:r>
      <w:r w:rsidRPr="008147DC">
        <w:rPr>
          <w:lang w:val="da-DK"/>
        </w:rPr>
        <w:t>6</w:t>
      </w:r>
      <w:r w:rsidRPr="008147DC">
        <w:t>月</w:t>
      </w:r>
      <w:r w:rsidRPr="008147DC">
        <w:rPr>
          <w:lang w:val="da-DK"/>
        </w:rPr>
        <w:t>10</w:t>
      </w:r>
      <w:r w:rsidRPr="008147DC">
        <w:t>日</w:t>
      </w:r>
      <w:r w:rsidRPr="008147DC">
        <w:rPr>
          <w:lang w:val="da-DK"/>
        </w:rPr>
        <w:t>，</w:t>
      </w:r>
      <w:hyperlink r:id="rId110" w:history="1">
        <w:r w:rsidRPr="0063266B">
          <w:rPr>
            <w:rStyle w:val="a7"/>
            <w:rFonts w:ascii="Arial Unicode MS" w:eastAsia="新細明體" w:hAnsi="Arial Unicode MS" w:cs="Calibri"/>
            <w:color w:val="5F5F5F"/>
            <w:kern w:val="2"/>
            <w:sz w:val="18"/>
          </w:rPr>
          <w:t>https://statdb.mol.gov.tw/evta/jspProxy.aspx?sys=100&amp;kind=10&amp;type=1&amp;funid=wqrymenu2&amp;cparm1=wq06&amp;rdm=jjKrnap9</w:t>
        </w:r>
      </w:hyperlink>
      <w:r w:rsidRPr="008147DC">
        <w:t>。</w:t>
      </w:r>
    </w:p>
  </w:footnote>
  <w:footnote w:id="420">
    <w:p w:rsidR="00657FEF" w:rsidRPr="008147DC" w:rsidRDefault="00657FEF" w:rsidP="00992AB6">
      <w:pPr>
        <w:pStyle w:val="5"/>
        <w:rPr>
          <w:lang w:eastAsia="zh-TW"/>
        </w:rPr>
      </w:pPr>
      <w:r w:rsidRPr="00525791">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參照外國人停留居留及永久居留辦法第</w:t>
      </w:r>
      <w:r w:rsidRPr="008147DC">
        <w:rPr>
          <w:lang w:eastAsia="zh-TW"/>
        </w:rPr>
        <w:t>11</w:t>
      </w:r>
      <w:r w:rsidRPr="008147DC">
        <w:rPr>
          <w:lang w:eastAsia="zh-TW"/>
        </w:rPr>
        <w:t>條第</w:t>
      </w:r>
      <w:r w:rsidRPr="008147DC">
        <w:rPr>
          <w:lang w:eastAsia="zh-TW"/>
        </w:rPr>
        <w:t>3</w:t>
      </w:r>
      <w:r w:rsidRPr="008147DC">
        <w:rPr>
          <w:lang w:eastAsia="zh-TW"/>
        </w:rPr>
        <w:t>項規定。</w:t>
      </w:r>
    </w:p>
  </w:footnote>
  <w:footnote w:id="421">
    <w:p w:rsidR="00657FEF" w:rsidRPr="008147DC" w:rsidRDefault="00657FEF" w:rsidP="00992AB6">
      <w:pPr>
        <w:pStyle w:val="5"/>
        <w:rPr>
          <w:lang w:eastAsia="zh-TW"/>
        </w:rPr>
      </w:pPr>
      <w:r w:rsidRPr="00E6315D">
        <w:rPr>
          <w:rStyle w:val="af7"/>
          <w:rFonts w:eastAsia="新細明體"/>
          <w:kern w:val="2"/>
          <w:szCs w:val="20"/>
        </w:rPr>
        <w:footnoteRef/>
      </w:r>
      <w:r w:rsidRPr="00E6315D">
        <w:rPr>
          <w:rFonts w:ascii="Arial Unicode MS" w:eastAsia="新細明體" w:hAnsi="Arial Unicode MS"/>
          <w:color w:val="FF6600"/>
          <w:kern w:val="2"/>
          <w:lang w:eastAsia="zh-TW"/>
        </w:rPr>
        <w:t xml:space="preserve"> </w:t>
      </w:r>
      <w:r w:rsidRPr="008147DC">
        <w:rPr>
          <w:lang w:eastAsia="zh-TW"/>
        </w:rPr>
        <w:tab/>
      </w:r>
      <w:r w:rsidRPr="008147DC">
        <w:rPr>
          <w:lang w:eastAsia="zh-TW"/>
        </w:rPr>
        <w:t>中華民國一百零三年八月十八日內政部台內移字第</w:t>
      </w:r>
      <w:r w:rsidRPr="008147DC">
        <w:rPr>
          <w:lang w:eastAsia="zh-TW"/>
        </w:rPr>
        <w:t>1030953218</w:t>
      </w:r>
      <w:r w:rsidRPr="008147DC">
        <w:rPr>
          <w:lang w:eastAsia="zh-TW"/>
        </w:rPr>
        <w:t>號函分行，修正第</w:t>
      </w:r>
      <w:r w:rsidRPr="008147DC">
        <w:rPr>
          <w:lang w:eastAsia="zh-TW"/>
        </w:rPr>
        <w:t>2</w:t>
      </w:r>
      <w:r w:rsidRPr="008147DC">
        <w:rPr>
          <w:lang w:eastAsia="zh-TW"/>
        </w:rPr>
        <w:t>、</w:t>
      </w:r>
      <w:r w:rsidRPr="008147DC">
        <w:rPr>
          <w:lang w:eastAsia="zh-TW"/>
        </w:rPr>
        <w:t>3</w:t>
      </w:r>
      <w:r w:rsidRPr="008147DC">
        <w:rPr>
          <w:lang w:eastAsia="zh-TW"/>
        </w:rPr>
        <w:t>、</w:t>
      </w:r>
      <w:r w:rsidRPr="008147DC">
        <w:rPr>
          <w:lang w:eastAsia="zh-TW"/>
        </w:rPr>
        <w:t>6</w:t>
      </w:r>
      <w:r w:rsidRPr="008147DC">
        <w:rPr>
          <w:lang w:eastAsia="zh-TW"/>
        </w:rPr>
        <w:t>點規定，並自中華民國一百零三年九月一日生效。</w:t>
      </w:r>
    </w:p>
  </w:footnote>
  <w:footnote w:id="422">
    <w:p w:rsidR="00657FEF" w:rsidRPr="008147DC" w:rsidRDefault="00657FEF" w:rsidP="00992AB6">
      <w:pPr>
        <w:pStyle w:val="5"/>
        <w:rPr>
          <w:lang w:eastAsia="zh-TW"/>
        </w:rPr>
      </w:pPr>
      <w:r w:rsidRPr="00E6315D">
        <w:rPr>
          <w:rStyle w:val="af7"/>
          <w:rFonts w:eastAsia="新細明體"/>
          <w:kern w:val="2"/>
        </w:rPr>
        <w:footnoteRef/>
      </w:r>
      <w:r w:rsidRPr="00E6315D">
        <w:rPr>
          <w:rFonts w:ascii="Arial Unicode MS" w:eastAsia="新細明體" w:hAnsi="Arial Unicode MS"/>
          <w:color w:val="FF6600"/>
          <w:kern w:val="2"/>
          <w:lang w:eastAsia="zh-TW"/>
        </w:rPr>
        <w:t xml:space="preserve"> </w:t>
      </w:r>
      <w:r w:rsidRPr="008147DC">
        <w:rPr>
          <w:lang w:eastAsia="zh-TW"/>
        </w:rPr>
        <w:t>服務站，乃指移民署所屬各縣市之服務站。</w:t>
      </w:r>
    </w:p>
  </w:footnote>
  <w:footnote w:id="423">
    <w:p w:rsidR="00657FEF" w:rsidRPr="008147DC" w:rsidRDefault="00657FEF" w:rsidP="00992AB6">
      <w:pPr>
        <w:pStyle w:val="5"/>
        <w:rPr>
          <w:lang w:eastAsia="zh-TW"/>
        </w:rPr>
      </w:pPr>
      <w:r w:rsidRPr="00E6315D">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此修正為行政命令交付審查案，</w:t>
      </w:r>
      <w:r w:rsidRPr="008147DC">
        <w:rPr>
          <w:lang w:eastAsia="zh-TW"/>
        </w:rPr>
        <w:t>103</w:t>
      </w:r>
      <w:r w:rsidRPr="008147DC">
        <w:rPr>
          <w:lang w:eastAsia="zh-TW"/>
        </w:rPr>
        <w:t>年</w:t>
      </w:r>
      <w:r w:rsidRPr="008147DC">
        <w:rPr>
          <w:lang w:eastAsia="zh-TW"/>
        </w:rPr>
        <w:t>11</w:t>
      </w:r>
      <w:r w:rsidRPr="008147DC">
        <w:rPr>
          <w:lang w:eastAsia="zh-TW"/>
        </w:rPr>
        <w:t>月</w:t>
      </w:r>
      <w:r w:rsidRPr="008147DC">
        <w:rPr>
          <w:lang w:eastAsia="zh-TW"/>
        </w:rPr>
        <w:t>6</w:t>
      </w:r>
      <w:r w:rsidRPr="008147DC">
        <w:rPr>
          <w:lang w:eastAsia="zh-TW"/>
        </w:rPr>
        <w:t>日已由內政部發文台立議字第</w:t>
      </w:r>
      <w:r w:rsidRPr="008147DC">
        <w:rPr>
          <w:lang w:eastAsia="zh-TW"/>
        </w:rPr>
        <w:t>1030705536</w:t>
      </w:r>
      <w:r w:rsidRPr="008147DC">
        <w:rPr>
          <w:lang w:eastAsia="zh-TW"/>
        </w:rPr>
        <w:t>號立法院。</w:t>
      </w:r>
    </w:p>
  </w:footnote>
  <w:footnote w:id="424">
    <w:p w:rsidR="00657FEF" w:rsidRPr="008147DC" w:rsidRDefault="00657FEF" w:rsidP="00992AB6">
      <w:pPr>
        <w:pStyle w:val="5"/>
        <w:rPr>
          <w:lang w:eastAsia="zh-TW"/>
        </w:rPr>
      </w:pPr>
      <w:r w:rsidRPr="00E6315D">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依據「外國人從事就業服務法第四十六條第一項第一款至第六款工作資格及審查標準」第</w:t>
      </w:r>
      <w:r w:rsidRPr="008147DC">
        <w:rPr>
          <w:lang w:eastAsia="zh-TW"/>
        </w:rPr>
        <w:t>8</w:t>
      </w:r>
      <w:r w:rsidRPr="008147DC">
        <w:rPr>
          <w:lang w:eastAsia="zh-TW"/>
        </w:rPr>
        <w:t>條規定，外國人受聘僱從事專門性技術性工作，其薪資不得低於中央主管機關公告之月平均薪資，該薪資標準目前為新臺幣</w:t>
      </w:r>
      <w:r w:rsidRPr="008147DC">
        <w:rPr>
          <w:lang w:eastAsia="zh-TW"/>
        </w:rPr>
        <w:t>47,971</w:t>
      </w:r>
      <w:r w:rsidRPr="008147DC">
        <w:rPr>
          <w:lang w:eastAsia="zh-TW"/>
        </w:rPr>
        <w:t>元。</w:t>
      </w:r>
    </w:p>
  </w:footnote>
  <w:footnote w:id="425">
    <w:p w:rsidR="00657FEF" w:rsidRPr="008147DC" w:rsidRDefault="00657FEF" w:rsidP="00992AB6">
      <w:pPr>
        <w:pStyle w:val="5"/>
        <w:rPr>
          <w:lang w:eastAsia="zh-TW"/>
        </w:rPr>
      </w:pPr>
      <w:r w:rsidRPr="00E6315D">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中華民國一百零三年七月一日勞動部勞動發管字第</w:t>
      </w:r>
      <w:r w:rsidRPr="008147DC">
        <w:rPr>
          <w:lang w:eastAsia="zh-TW"/>
        </w:rPr>
        <w:t>1031809840</w:t>
      </w:r>
      <w:r w:rsidRPr="008147DC">
        <w:rPr>
          <w:lang w:eastAsia="zh-TW"/>
        </w:rPr>
        <w:t>號令增訂「外國人從事就業服務法第四十六條第一項第一款至第六款工作資格及審查標準」第</w:t>
      </w:r>
      <w:r w:rsidRPr="008147DC">
        <w:rPr>
          <w:lang w:eastAsia="zh-TW"/>
        </w:rPr>
        <w:t>5-1</w:t>
      </w:r>
      <w:r w:rsidRPr="008147DC">
        <w:rPr>
          <w:lang w:eastAsia="zh-TW"/>
        </w:rPr>
        <w:t>條條文：在我國公立或經立案之私立大專以上校院畢業之外國留學生、僑生或其他華裔學生，除符合本標準其他規定外，依附表計算之累計點數滿七十點者，得受聘僱從事第四條之工作，不受前條規定之限制。中央主管機關應就前項許可之人數數額、申請期間、申請文件及核發許可程序公告之。另修正發布第</w:t>
      </w:r>
      <w:r w:rsidRPr="008147DC">
        <w:rPr>
          <w:lang w:eastAsia="zh-TW"/>
        </w:rPr>
        <w:t>6</w:t>
      </w:r>
      <w:r w:rsidRPr="008147DC">
        <w:rPr>
          <w:lang w:eastAsia="zh-TW"/>
        </w:rPr>
        <w:t>條條文：為因應產業環境變動，協助企業延攬專門性、技術性工作人員，經中央主管機關會商中央目的事業主管機關專案同意者，依第五條第二款受聘僱之外國人，得不受工作經驗之限制。</w:t>
      </w:r>
    </w:p>
  </w:footnote>
  <w:footnote w:id="426">
    <w:p w:rsidR="00657FEF" w:rsidRPr="00E6315D" w:rsidRDefault="00657FEF" w:rsidP="00992AB6">
      <w:pPr>
        <w:pStyle w:val="5"/>
      </w:pPr>
      <w:r w:rsidRPr="00E6315D">
        <w:rPr>
          <w:rStyle w:val="af7"/>
          <w:rFonts w:eastAsia="新細明體"/>
          <w:kern w:val="2"/>
        </w:rPr>
        <w:footnoteRef/>
      </w:r>
      <w:r w:rsidRPr="008147DC">
        <w:t xml:space="preserve"> </w:t>
      </w:r>
      <w:r w:rsidRPr="008147DC">
        <w:t>國家發展委員會</w:t>
      </w:r>
      <w:r w:rsidRPr="008147DC">
        <w:t>(2018)</w:t>
      </w:r>
      <w:r w:rsidRPr="008147DC">
        <w:t>，「外國專業人才延攬及僱用法」</w:t>
      </w:r>
      <w:r w:rsidRPr="0048564D">
        <w:rPr>
          <w:color w:val="5F5F5F"/>
        </w:rPr>
        <w:t>，</w:t>
      </w:r>
      <w:hyperlink r:id="rId111" w:history="1">
        <w:r w:rsidRPr="0048564D">
          <w:rPr>
            <w:rStyle w:val="a7"/>
            <w:rFonts w:ascii="Arial Unicode MS" w:eastAsia="新細明體" w:hAnsi="Arial Unicode MS" w:cs="Calibri"/>
            <w:color w:val="5F5F5F"/>
            <w:kern w:val="2"/>
            <w:sz w:val="18"/>
          </w:rPr>
          <w:t>https://foreigntalentact.ndc.gov.tw</w:t>
        </w:r>
      </w:hyperlink>
      <w:r w:rsidRPr="0048564D">
        <w:rPr>
          <w:rStyle w:val="af7"/>
          <w:rFonts w:asciiTheme="minorEastAsia" w:eastAsiaTheme="minorEastAsia" w:hAnsiTheme="minorEastAsia"/>
          <w:color w:val="5F5F5F"/>
        </w:rPr>
        <w:t>。</w:t>
      </w:r>
    </w:p>
  </w:footnote>
  <w:footnote w:id="427">
    <w:p w:rsidR="00657FEF" w:rsidRPr="00E6315D" w:rsidRDefault="00657FEF" w:rsidP="00992AB6">
      <w:pPr>
        <w:pStyle w:val="5"/>
      </w:pPr>
      <w:r w:rsidRPr="00E6315D">
        <w:rPr>
          <w:rStyle w:val="af7"/>
          <w:rFonts w:eastAsia="新細明體"/>
          <w:kern w:val="2"/>
        </w:rPr>
        <w:footnoteRef/>
      </w:r>
      <w:r w:rsidRPr="00E6315D">
        <w:rPr>
          <w:color w:val="FF6600"/>
        </w:rPr>
        <w:t xml:space="preserve"> </w:t>
      </w:r>
      <w:r w:rsidRPr="00E6315D">
        <w:t>國家發展委員會</w:t>
      </w:r>
      <w:r w:rsidRPr="00E6315D">
        <w:t>(2018)</w:t>
      </w:r>
      <w:r w:rsidRPr="00E6315D">
        <w:t>，「外國專業人才延攬及僱用法」</w:t>
      </w:r>
      <w:r w:rsidRPr="0048564D">
        <w:rPr>
          <w:color w:val="5F5F5F"/>
        </w:rPr>
        <w:t>，</w:t>
      </w:r>
      <w:hyperlink r:id="rId112" w:history="1">
        <w:r w:rsidRPr="0048564D">
          <w:rPr>
            <w:rStyle w:val="a7"/>
            <w:rFonts w:ascii="Arial Unicode MS" w:eastAsia="新細明體" w:hAnsi="Arial Unicode MS" w:cs="Calibri"/>
            <w:color w:val="5F5F5F"/>
            <w:kern w:val="2"/>
            <w:sz w:val="18"/>
          </w:rPr>
          <w:t>https://foreigntalentact.ndc.gov.tw</w:t>
        </w:r>
      </w:hyperlink>
      <w:r w:rsidRPr="0048564D">
        <w:rPr>
          <w:rStyle w:val="af7"/>
          <w:rFonts w:asciiTheme="minorEastAsia" w:eastAsiaTheme="minorEastAsia" w:hAnsiTheme="minorEastAsia"/>
          <w:color w:val="5F5F5F"/>
        </w:rPr>
        <w:t>。</w:t>
      </w:r>
    </w:p>
  </w:footnote>
  <w:footnote w:id="428">
    <w:p w:rsidR="00657FEF" w:rsidRPr="00E6315D" w:rsidRDefault="00657FEF" w:rsidP="00992AB6">
      <w:pPr>
        <w:pStyle w:val="5"/>
      </w:pPr>
      <w:r w:rsidRPr="00E6315D">
        <w:rPr>
          <w:rStyle w:val="af7"/>
          <w:rFonts w:eastAsia="新細明體"/>
          <w:kern w:val="2"/>
        </w:rPr>
        <w:footnoteRef/>
      </w:r>
      <w:r w:rsidRPr="00E6315D">
        <w:t xml:space="preserve"> </w:t>
      </w:r>
      <w:r w:rsidRPr="00E6315D">
        <w:t>國家發展委員會</w:t>
      </w:r>
      <w:r w:rsidRPr="00E6315D">
        <w:t>(2018)</w:t>
      </w:r>
      <w:r w:rsidRPr="00E6315D">
        <w:t>，「外國專業人才延攬及僱用法」</w:t>
      </w:r>
      <w:r w:rsidRPr="0048564D">
        <w:rPr>
          <w:color w:val="5F5F5F"/>
        </w:rPr>
        <w:t>，</w:t>
      </w:r>
      <w:hyperlink r:id="rId113" w:history="1">
        <w:r w:rsidRPr="0048564D">
          <w:rPr>
            <w:rStyle w:val="a7"/>
            <w:rFonts w:ascii="Arial Unicode MS" w:eastAsia="新細明體" w:hAnsi="Arial Unicode MS" w:cs="Calibri"/>
            <w:color w:val="5F5F5F"/>
            <w:kern w:val="2"/>
            <w:sz w:val="18"/>
          </w:rPr>
          <w:t>https://foreigntalentact.ndc.gov.tw</w:t>
        </w:r>
      </w:hyperlink>
      <w:r w:rsidRPr="0048564D">
        <w:rPr>
          <w:rStyle w:val="af7"/>
          <w:rFonts w:asciiTheme="minorEastAsia" w:eastAsiaTheme="minorEastAsia" w:hAnsiTheme="minorEastAsia"/>
          <w:color w:val="5F5F5F"/>
        </w:rPr>
        <w:t>。</w:t>
      </w:r>
    </w:p>
  </w:footnote>
  <w:footnote w:id="429">
    <w:p w:rsidR="00657FEF" w:rsidRPr="008147DC" w:rsidRDefault="00657FEF" w:rsidP="00992AB6">
      <w:pPr>
        <w:pStyle w:val="5"/>
        <w:rPr>
          <w:lang w:eastAsia="zh-TW"/>
        </w:rPr>
      </w:pPr>
      <w:r w:rsidRPr="00525791">
        <w:rPr>
          <w:rStyle w:val="af7"/>
          <w:rFonts w:eastAsia="新細明體"/>
          <w:kern w:val="2"/>
        </w:rPr>
        <w:footnoteRef/>
      </w:r>
      <w:r w:rsidRPr="008147DC">
        <w:rPr>
          <w:lang w:eastAsia="zh-TW"/>
        </w:rPr>
        <w:t>原立法理由指出：依就業服務法第四十三條規定「除本法另有規定外，外國人未經雇主申請許可，不得在中華民國境內工作。」為優化我國文化藝術就業環境，爰於第一項明定外國專業人才為藝術工作者，得不經雇主申請，逕向勞動部申請許可在我國從事藝術工作，不受就業服務法第四十三條規定之限制；另就此類由藝術工作者自行申請之許可，明定許可期間最長為三年，必要時得申請延期，每次最長為三年。第二項明定外國藝術工作者之工作資格、審查基準、申請許可、廢止許可、聘僱管理及其他相關事項之辦法，由勞動部會商文化部定之。以上，請參閱：立法院第</w:t>
      </w:r>
      <w:r w:rsidRPr="008147DC">
        <w:rPr>
          <w:lang w:eastAsia="zh-TW"/>
        </w:rPr>
        <w:t>9</w:t>
      </w:r>
      <w:r w:rsidRPr="008147DC">
        <w:rPr>
          <w:lang w:eastAsia="zh-TW"/>
        </w:rPr>
        <w:t>屆第</w:t>
      </w:r>
      <w:r w:rsidRPr="008147DC">
        <w:rPr>
          <w:lang w:eastAsia="zh-TW"/>
        </w:rPr>
        <w:t>3</w:t>
      </w:r>
      <w:r w:rsidRPr="008147DC">
        <w:rPr>
          <w:lang w:eastAsia="zh-TW"/>
        </w:rPr>
        <w:t>會期第</w:t>
      </w:r>
      <w:r w:rsidRPr="008147DC">
        <w:rPr>
          <w:lang w:eastAsia="zh-TW"/>
        </w:rPr>
        <w:t>12</w:t>
      </w:r>
      <w:r w:rsidRPr="008147DC">
        <w:rPr>
          <w:lang w:eastAsia="zh-TW"/>
        </w:rPr>
        <w:t>次會議議案關係文書院總第</w:t>
      </w:r>
      <w:r w:rsidRPr="008147DC">
        <w:rPr>
          <w:lang w:eastAsia="zh-TW"/>
        </w:rPr>
        <w:t>1537</w:t>
      </w:r>
      <w:r w:rsidRPr="008147DC">
        <w:rPr>
          <w:lang w:eastAsia="zh-TW"/>
        </w:rPr>
        <w:t>號政府提案第</w:t>
      </w:r>
      <w:r w:rsidRPr="008147DC">
        <w:rPr>
          <w:lang w:eastAsia="zh-TW"/>
        </w:rPr>
        <w:t>15963</w:t>
      </w:r>
      <w:r w:rsidRPr="008147DC">
        <w:rPr>
          <w:lang w:eastAsia="zh-TW"/>
        </w:rPr>
        <w:t>號</w:t>
      </w:r>
      <w:r w:rsidRPr="008147DC">
        <w:rPr>
          <w:lang w:eastAsia="zh-TW"/>
        </w:rPr>
        <w:t>---</w:t>
      </w:r>
      <w:r w:rsidRPr="008147DC">
        <w:rPr>
          <w:lang w:eastAsia="zh-TW"/>
        </w:rPr>
        <w:t>案由：行政院函請審議「外國專業人才延攬及僱用法草案」案</w:t>
      </w:r>
      <w:r>
        <w:rPr>
          <w:lang w:eastAsia="zh-TW"/>
        </w:rPr>
        <w:t>。</w:t>
      </w:r>
      <w:r w:rsidRPr="008147DC">
        <w:rPr>
          <w:lang w:eastAsia="zh-TW"/>
        </w:rPr>
        <w:t xml:space="preserve"> </w:t>
      </w:r>
    </w:p>
  </w:footnote>
  <w:footnote w:id="430">
    <w:p w:rsidR="00657FEF" w:rsidRPr="008147DC" w:rsidRDefault="00657FEF" w:rsidP="00992AB6">
      <w:pPr>
        <w:pStyle w:val="5"/>
        <w:rPr>
          <w:lang w:eastAsia="zh-TW"/>
        </w:rPr>
      </w:pPr>
      <w:r w:rsidRPr="00525791">
        <w:rPr>
          <w:rStyle w:val="af7"/>
          <w:rFonts w:eastAsia="新細明體"/>
          <w:kern w:val="2"/>
        </w:rPr>
        <w:footnoteRef/>
      </w:r>
      <w:r w:rsidRPr="008147DC">
        <w:rPr>
          <w:lang w:eastAsia="zh-TW"/>
        </w:rPr>
        <w:t>原立法理由指出：依入出國及移民法第三條第七款規定「停留：指在臺灣地區居住期間未逾六個月。」爰於第一項明定外國專業人才擬在我國從事專業工作，須長期尋職者，得向駐外館處申請核發一年效期、多次入國、停留期限六個月及未加註限制不准延期或其他限制之停留簽證；期滿有繼續停留之必要者，得於停留期限屆滿前，向內政部移民署申請延期，並得免出國，總停留期限最長為一年，不受入出國及移民法第三條第七款不得逾六個月之限制。考量來我國尋職者仍以轉換為正式聘僱為宜，為避免此項放寬措施有遭濫用之虞，爰於第二項明定外國專業人才依第一項規定取得停留簽證者，自總停留期限屆滿之日起三年內，不得再依該項規定申請核發停留簽證。為有效管控長期尋職停留簽證措施，爰於第三項明定其核發人數由外交部會同內政部，並會商主管機關及中央目的事業主管機關，視人才需求及申請狀況每年公告之。第四項明定第一項申請之條件、程序、審查及其他相關事項之辦法，由外交部會同內政部並會商中央目的事業主管機關，視人才需求定之。以上，請參閱：立法院第</w:t>
      </w:r>
      <w:r w:rsidRPr="008147DC">
        <w:rPr>
          <w:lang w:eastAsia="zh-TW"/>
        </w:rPr>
        <w:t>9</w:t>
      </w:r>
      <w:r w:rsidRPr="008147DC">
        <w:rPr>
          <w:lang w:eastAsia="zh-TW"/>
        </w:rPr>
        <w:t>屆第</w:t>
      </w:r>
      <w:r w:rsidRPr="008147DC">
        <w:rPr>
          <w:lang w:eastAsia="zh-TW"/>
        </w:rPr>
        <w:t>3</w:t>
      </w:r>
      <w:r w:rsidRPr="008147DC">
        <w:rPr>
          <w:lang w:eastAsia="zh-TW"/>
        </w:rPr>
        <w:t>會期第</w:t>
      </w:r>
      <w:r w:rsidRPr="008147DC">
        <w:rPr>
          <w:lang w:eastAsia="zh-TW"/>
        </w:rPr>
        <w:t>12</w:t>
      </w:r>
      <w:r w:rsidRPr="008147DC">
        <w:rPr>
          <w:lang w:eastAsia="zh-TW"/>
        </w:rPr>
        <w:t>次會議議案關係文書院總第</w:t>
      </w:r>
      <w:r w:rsidRPr="008147DC">
        <w:rPr>
          <w:lang w:eastAsia="zh-TW"/>
        </w:rPr>
        <w:t>1537</w:t>
      </w:r>
      <w:r w:rsidRPr="008147DC">
        <w:rPr>
          <w:lang w:eastAsia="zh-TW"/>
        </w:rPr>
        <w:t>號政府提案第</w:t>
      </w:r>
      <w:r w:rsidRPr="008147DC">
        <w:rPr>
          <w:lang w:eastAsia="zh-TW"/>
        </w:rPr>
        <w:t>15963</w:t>
      </w:r>
      <w:r w:rsidRPr="008147DC">
        <w:rPr>
          <w:lang w:eastAsia="zh-TW"/>
        </w:rPr>
        <w:t>號</w:t>
      </w:r>
      <w:r w:rsidRPr="008147DC">
        <w:rPr>
          <w:lang w:eastAsia="zh-TW"/>
        </w:rPr>
        <w:t>---</w:t>
      </w:r>
      <w:r w:rsidRPr="008147DC">
        <w:rPr>
          <w:lang w:eastAsia="zh-TW"/>
        </w:rPr>
        <w:t>案由：行政院函請審議「外國專業人才延攬及僱用法草案」案</w:t>
      </w:r>
      <w:r>
        <w:rPr>
          <w:lang w:eastAsia="zh-TW"/>
        </w:rPr>
        <w:t>。</w:t>
      </w:r>
      <w:r w:rsidRPr="008147DC">
        <w:rPr>
          <w:lang w:eastAsia="zh-TW"/>
        </w:rPr>
        <w:t xml:space="preserve"> </w:t>
      </w:r>
    </w:p>
  </w:footnote>
  <w:footnote w:id="431">
    <w:p w:rsidR="00657FEF" w:rsidRPr="008147DC" w:rsidRDefault="00657FEF" w:rsidP="00992AB6">
      <w:pPr>
        <w:pStyle w:val="5"/>
      </w:pPr>
      <w:r w:rsidRPr="00E6315D">
        <w:rPr>
          <w:rStyle w:val="af7"/>
          <w:rFonts w:eastAsia="新細明體"/>
          <w:kern w:val="2"/>
        </w:rPr>
        <w:footnoteRef/>
      </w:r>
      <w:r w:rsidRPr="00E6315D">
        <w:rPr>
          <w:color w:val="FF6600"/>
        </w:rPr>
        <w:t xml:space="preserve"> </w:t>
      </w:r>
      <w:r w:rsidRPr="008147DC">
        <w:t>國家發展委員會</w:t>
      </w:r>
      <w:r w:rsidRPr="008147DC">
        <w:t>(2018)</w:t>
      </w:r>
      <w:r w:rsidRPr="008147DC">
        <w:t>，「外國專業人才延攬及僱用法」</w:t>
      </w:r>
      <w:r w:rsidRPr="0048564D">
        <w:rPr>
          <w:color w:val="5F5F5F"/>
        </w:rPr>
        <w:t>，</w:t>
      </w:r>
      <w:hyperlink r:id="rId114" w:history="1">
        <w:r w:rsidRPr="0048564D">
          <w:rPr>
            <w:rStyle w:val="a7"/>
            <w:rFonts w:ascii="Arial Unicode MS" w:eastAsia="新細明體" w:hAnsi="Arial Unicode MS" w:cs="Calibri"/>
            <w:color w:val="5F5F5F"/>
            <w:kern w:val="2"/>
            <w:sz w:val="18"/>
          </w:rPr>
          <w:t>https://foreigntalentact.ndc.gov.tw</w:t>
        </w:r>
      </w:hyperlink>
      <w:r w:rsidRPr="0048564D">
        <w:rPr>
          <w:rStyle w:val="af7"/>
          <w:rFonts w:asciiTheme="minorEastAsia" w:eastAsiaTheme="minorEastAsia" w:hAnsiTheme="minorEastAsia"/>
          <w:color w:val="5F5F5F"/>
        </w:rPr>
        <w:t>。</w:t>
      </w:r>
    </w:p>
  </w:footnote>
  <w:footnote w:id="432">
    <w:p w:rsidR="00657FEF" w:rsidRPr="008147DC" w:rsidRDefault="00657FEF" w:rsidP="00992AB6">
      <w:pPr>
        <w:pStyle w:val="5"/>
      </w:pPr>
      <w:r w:rsidRPr="00E6315D">
        <w:rPr>
          <w:rStyle w:val="af7"/>
          <w:rFonts w:eastAsia="新細明體"/>
          <w:kern w:val="2"/>
        </w:rPr>
        <w:footnoteRef/>
      </w:r>
      <w:r w:rsidRPr="008147DC">
        <w:t xml:space="preserve"> </w:t>
      </w:r>
      <w:r w:rsidRPr="008147DC">
        <w:t>國家發展委員會</w:t>
      </w:r>
      <w:r w:rsidRPr="008147DC">
        <w:t>(2018)</w:t>
      </w:r>
      <w:r w:rsidRPr="008147DC">
        <w:t>，「外國專業人才延攬及僱用法」，</w:t>
      </w:r>
      <w:hyperlink r:id="rId115" w:history="1">
        <w:r w:rsidRPr="00E6315D">
          <w:rPr>
            <w:rStyle w:val="a7"/>
            <w:rFonts w:asciiTheme="majorHAnsi" w:eastAsiaTheme="majorEastAsia" w:hAnsiTheme="majorHAnsi" w:cstheme="majorBidi"/>
            <w:color w:val="5F5F5F"/>
            <w:sz w:val="20"/>
            <w:szCs w:val="22"/>
          </w:rPr>
          <w:t>https://foreigntalentact.ndc.gov.tw</w:t>
        </w:r>
      </w:hyperlink>
      <w:r w:rsidRPr="008147DC">
        <w:rPr>
          <w:rStyle w:val="af7"/>
          <w:rFonts w:asciiTheme="minorEastAsia" w:eastAsiaTheme="minorEastAsia" w:hAnsiTheme="minorEastAsia"/>
        </w:rPr>
        <w:t>。</w:t>
      </w:r>
    </w:p>
  </w:footnote>
  <w:footnote w:id="433">
    <w:p w:rsidR="00657FEF" w:rsidRPr="008147DC" w:rsidRDefault="00657FEF" w:rsidP="00992AB6">
      <w:pPr>
        <w:pStyle w:val="5"/>
        <w:rPr>
          <w:lang w:eastAsia="zh-TW"/>
        </w:rPr>
      </w:pPr>
      <w:r w:rsidRPr="00E6315D">
        <w:rPr>
          <w:rStyle w:val="af7"/>
          <w:rFonts w:eastAsia="新細明體"/>
          <w:kern w:val="2"/>
        </w:rPr>
        <w:footnoteRef/>
      </w:r>
      <w:r w:rsidRPr="008147DC">
        <w:rPr>
          <w:lang w:eastAsia="zh-TW"/>
        </w:rPr>
        <w:t xml:space="preserve">  </w:t>
      </w:r>
      <w:r w:rsidRPr="008147DC">
        <w:rPr>
          <w:lang w:eastAsia="zh-TW"/>
        </w:rPr>
        <w:t>請參閱「外國專業人才延攬及僱用法」第</w:t>
      </w:r>
      <w:r w:rsidRPr="008147DC">
        <w:rPr>
          <w:lang w:eastAsia="zh-TW"/>
        </w:rPr>
        <w:t>4</w:t>
      </w:r>
      <w:r w:rsidRPr="008147DC">
        <w:rPr>
          <w:lang w:eastAsia="zh-TW"/>
        </w:rPr>
        <w:t>條第</w:t>
      </w:r>
      <w:r w:rsidRPr="008147DC">
        <w:rPr>
          <w:lang w:eastAsia="zh-TW"/>
        </w:rPr>
        <w:t>4</w:t>
      </w:r>
      <w:r w:rsidRPr="008147DC">
        <w:rPr>
          <w:lang w:eastAsia="zh-TW"/>
        </w:rPr>
        <w:t>款規定。</w:t>
      </w:r>
    </w:p>
  </w:footnote>
  <w:footnote w:id="434">
    <w:p w:rsidR="00657FEF" w:rsidRPr="008147DC" w:rsidRDefault="00657FEF" w:rsidP="00992AB6">
      <w:pPr>
        <w:pStyle w:val="5"/>
        <w:rPr>
          <w:lang w:eastAsia="zh-TW"/>
        </w:rPr>
      </w:pPr>
      <w:r w:rsidRPr="00E6315D">
        <w:rPr>
          <w:rStyle w:val="af7"/>
          <w:rFonts w:eastAsia="新細明體"/>
          <w:kern w:val="2"/>
        </w:rPr>
        <w:footnoteRef/>
      </w:r>
      <w:r w:rsidRPr="008147DC">
        <w:rPr>
          <w:lang w:eastAsia="zh-TW"/>
        </w:rPr>
        <w:t xml:space="preserve">  </w:t>
      </w:r>
      <w:r w:rsidRPr="008147DC">
        <w:rPr>
          <w:lang w:eastAsia="zh-TW"/>
        </w:rPr>
        <w:t>請參閱「外國專業人才延攬及僱用法」第</w:t>
      </w:r>
      <w:r w:rsidRPr="008147DC">
        <w:rPr>
          <w:lang w:eastAsia="zh-TW"/>
        </w:rPr>
        <w:t>8</w:t>
      </w:r>
      <w:r w:rsidRPr="008147DC">
        <w:rPr>
          <w:lang w:eastAsia="zh-TW"/>
        </w:rPr>
        <w:t>條及第</w:t>
      </w:r>
      <w:r w:rsidRPr="008147DC">
        <w:rPr>
          <w:lang w:eastAsia="zh-TW"/>
        </w:rPr>
        <w:t>9</w:t>
      </w:r>
      <w:r w:rsidRPr="008147DC">
        <w:rPr>
          <w:lang w:eastAsia="zh-TW"/>
        </w:rPr>
        <w:t>款規定。</w:t>
      </w:r>
    </w:p>
  </w:footnote>
  <w:footnote w:id="435">
    <w:p w:rsidR="00657FEF" w:rsidRPr="008147DC" w:rsidRDefault="00657FEF" w:rsidP="00992AB6">
      <w:pPr>
        <w:pStyle w:val="5"/>
      </w:pPr>
      <w:r w:rsidRPr="00525791">
        <w:rPr>
          <w:rStyle w:val="af7"/>
          <w:rFonts w:eastAsia="新細明體"/>
          <w:kern w:val="2"/>
        </w:rPr>
        <w:footnoteRef/>
      </w:r>
      <w:r w:rsidRPr="008147DC">
        <w:t xml:space="preserve"> </w:t>
      </w:r>
      <w:r w:rsidRPr="008147DC">
        <w:t>行政院賴院長記者會</w:t>
      </w:r>
      <w:r w:rsidRPr="008147DC">
        <w:t>(2018)</w:t>
      </w:r>
      <w:r w:rsidRPr="008147DC">
        <w:t>，</w:t>
      </w:r>
      <w:r w:rsidRPr="008147DC">
        <w:t>20180515</w:t>
      </w:r>
      <w:r w:rsidRPr="008147DC">
        <w:t>新經濟移民法規劃重點記者會</w:t>
      </w:r>
      <w:r w:rsidRPr="008147DC">
        <w:t>(</w:t>
      </w:r>
      <w:r w:rsidRPr="008147DC">
        <w:t>簡報</w:t>
      </w:r>
      <w:r w:rsidRPr="008147DC">
        <w:t>)(2018)</w:t>
      </w:r>
      <w:r w:rsidRPr="008147DC">
        <w:t>，</w:t>
      </w:r>
      <w:hyperlink r:id="rId116" w:history="1">
        <w:r w:rsidRPr="00525791">
          <w:rPr>
            <w:rStyle w:val="a7"/>
            <w:rFonts w:ascii="Arial Unicode MS" w:eastAsia="新細明體" w:hAnsi="Arial Unicode MS" w:cs="Calibri"/>
            <w:color w:val="5F5F5F"/>
            <w:kern w:val="2"/>
            <w:sz w:val="18"/>
          </w:rPr>
          <w:t>https://www.slideshare.net/OpenMic1/20180515</w:t>
        </w:r>
      </w:hyperlink>
      <w:r w:rsidRPr="008147DC">
        <w:t>。</w:t>
      </w:r>
    </w:p>
  </w:footnote>
  <w:footnote w:id="436">
    <w:p w:rsidR="00657FEF" w:rsidRPr="00525791" w:rsidRDefault="00657FEF" w:rsidP="00992AB6">
      <w:pPr>
        <w:pStyle w:val="5"/>
        <w:rPr>
          <w:lang w:eastAsia="zh-TW"/>
        </w:rPr>
      </w:pPr>
      <w:r w:rsidRPr="00525791">
        <w:rPr>
          <w:rStyle w:val="af7"/>
          <w:rFonts w:eastAsia="新細明體"/>
          <w:kern w:val="2"/>
        </w:rPr>
        <w:footnoteRef/>
      </w:r>
      <w:r w:rsidRPr="008147DC">
        <w:rPr>
          <w:lang w:eastAsia="zh-TW"/>
        </w:rPr>
        <w:t xml:space="preserve">  </w:t>
      </w:r>
      <w:r w:rsidRPr="008147DC">
        <w:rPr>
          <w:lang w:eastAsia="zh-TW"/>
        </w:rPr>
        <w:t>行政院，賴揆：規劃新經濟移民法</w:t>
      </w:r>
      <w:r w:rsidRPr="008147DC">
        <w:rPr>
          <w:lang w:eastAsia="zh-TW"/>
        </w:rPr>
        <w:t xml:space="preserve"> </w:t>
      </w:r>
      <w:r w:rsidRPr="008147DC">
        <w:rPr>
          <w:lang w:eastAsia="zh-TW"/>
        </w:rPr>
        <w:t>促進國家發展生生不息，行政院新聞網，</w:t>
      </w:r>
      <w:r w:rsidRPr="008147DC">
        <w:rPr>
          <w:lang w:eastAsia="zh-TW"/>
        </w:rPr>
        <w:t>2018</w:t>
      </w:r>
      <w:r w:rsidRPr="008147DC">
        <w:rPr>
          <w:lang w:eastAsia="zh-TW"/>
        </w:rPr>
        <w:t>年</w:t>
      </w:r>
      <w:r w:rsidRPr="008147DC">
        <w:rPr>
          <w:lang w:eastAsia="zh-TW"/>
        </w:rPr>
        <w:t>5</w:t>
      </w:r>
      <w:r w:rsidRPr="008147DC">
        <w:rPr>
          <w:lang w:eastAsia="zh-TW"/>
        </w:rPr>
        <w:t>月</w:t>
      </w:r>
      <w:r w:rsidRPr="008147DC">
        <w:rPr>
          <w:lang w:eastAsia="zh-TW"/>
        </w:rPr>
        <w:t>15</w:t>
      </w:r>
      <w:r w:rsidRPr="008147DC">
        <w:rPr>
          <w:lang w:eastAsia="zh-TW"/>
        </w:rPr>
        <w:t>日，網址：</w:t>
      </w:r>
      <w:hyperlink r:id="rId117" w:history="1">
        <w:r w:rsidRPr="00E6315D">
          <w:rPr>
            <w:rStyle w:val="a7"/>
            <w:rFonts w:ascii="Arial Unicode MS" w:eastAsia="新細明體" w:hAnsi="Arial Unicode MS" w:cs="Calibri"/>
            <w:color w:val="5F5F5F"/>
            <w:kern w:val="2"/>
            <w:sz w:val="18"/>
            <w:lang w:eastAsia="zh-TW"/>
          </w:rPr>
          <w:t>https://www.ey.gov.tw/Page/9277F759E41CCD91/a351bde1-50bc-47b7-bbe9-fdf5c4cbd4e9</w:t>
        </w:r>
      </w:hyperlink>
      <w:r w:rsidRPr="00525791">
        <w:rPr>
          <w:rStyle w:val="a7"/>
          <w:rFonts w:ascii="Arial Unicode MS" w:eastAsia="新細明體" w:hAnsi="Arial Unicode MS" w:cs="Calibri"/>
          <w:color w:val="5F5F5F"/>
          <w:kern w:val="2"/>
          <w:sz w:val="18"/>
          <w:u w:val="none"/>
          <w:lang w:eastAsia="zh-TW"/>
        </w:rPr>
        <w:t>，瀏覽日期：</w:t>
      </w:r>
      <w:r w:rsidRPr="00525791">
        <w:rPr>
          <w:rStyle w:val="a7"/>
          <w:rFonts w:ascii="Arial Unicode MS" w:eastAsia="新細明體" w:hAnsi="Arial Unicode MS" w:cs="Calibri"/>
          <w:color w:val="5F5F5F"/>
          <w:kern w:val="2"/>
          <w:sz w:val="18"/>
          <w:u w:val="none"/>
          <w:lang w:eastAsia="zh-TW"/>
        </w:rPr>
        <w:t>2018</w:t>
      </w:r>
      <w:r w:rsidRPr="00525791">
        <w:rPr>
          <w:rStyle w:val="a7"/>
          <w:rFonts w:ascii="Arial Unicode MS" w:eastAsia="新細明體" w:hAnsi="Arial Unicode MS" w:cs="Calibri"/>
          <w:color w:val="5F5F5F"/>
          <w:kern w:val="2"/>
          <w:sz w:val="18"/>
          <w:u w:val="none"/>
          <w:lang w:eastAsia="zh-TW"/>
        </w:rPr>
        <w:t>年</w:t>
      </w:r>
      <w:r w:rsidRPr="00525791">
        <w:rPr>
          <w:rStyle w:val="a7"/>
          <w:rFonts w:ascii="Arial Unicode MS" w:eastAsia="新細明體" w:hAnsi="Arial Unicode MS" w:cs="Calibri"/>
          <w:color w:val="5F5F5F"/>
          <w:kern w:val="2"/>
          <w:sz w:val="18"/>
          <w:u w:val="none"/>
          <w:lang w:eastAsia="zh-TW"/>
        </w:rPr>
        <w:t>6</w:t>
      </w:r>
      <w:r w:rsidRPr="00525791">
        <w:rPr>
          <w:rStyle w:val="a7"/>
          <w:rFonts w:ascii="Arial Unicode MS" w:eastAsia="新細明體" w:hAnsi="Arial Unicode MS" w:cs="Calibri"/>
          <w:color w:val="5F5F5F"/>
          <w:kern w:val="2"/>
          <w:sz w:val="18"/>
          <w:u w:val="none"/>
          <w:lang w:eastAsia="zh-TW"/>
        </w:rPr>
        <w:t>月</w:t>
      </w:r>
      <w:r w:rsidRPr="00525791">
        <w:rPr>
          <w:rStyle w:val="a7"/>
          <w:rFonts w:ascii="Arial Unicode MS" w:eastAsia="新細明體" w:hAnsi="Arial Unicode MS" w:cs="Calibri"/>
          <w:color w:val="5F5F5F"/>
          <w:kern w:val="2"/>
          <w:sz w:val="18"/>
          <w:u w:val="none"/>
          <w:lang w:eastAsia="zh-TW"/>
        </w:rPr>
        <w:t>11</w:t>
      </w:r>
      <w:r w:rsidRPr="00525791">
        <w:rPr>
          <w:rStyle w:val="a7"/>
          <w:rFonts w:ascii="Arial Unicode MS" w:eastAsia="新細明體" w:hAnsi="Arial Unicode MS" w:cs="Calibri"/>
          <w:color w:val="5F5F5F"/>
          <w:kern w:val="2"/>
          <w:sz w:val="18"/>
          <w:u w:val="none"/>
          <w:lang w:eastAsia="zh-TW"/>
        </w:rPr>
        <w:t>日</w:t>
      </w:r>
      <w:r w:rsidRPr="00525791">
        <w:rPr>
          <w:lang w:eastAsia="zh-TW"/>
        </w:rPr>
        <w:t>。</w:t>
      </w:r>
    </w:p>
    <w:p w:rsidR="00657FEF" w:rsidRPr="008147DC" w:rsidRDefault="00657FEF" w:rsidP="00992AB6">
      <w:pPr>
        <w:pStyle w:val="5"/>
      </w:pPr>
      <w:r w:rsidRPr="008147DC">
        <w:t>行政院賴院長記者會</w:t>
      </w:r>
      <w:r w:rsidRPr="008147DC">
        <w:t>(2018)</w:t>
      </w:r>
      <w:r w:rsidRPr="008147DC">
        <w:t>，</w:t>
      </w:r>
      <w:r w:rsidRPr="008147DC">
        <w:t>20180515</w:t>
      </w:r>
      <w:r w:rsidRPr="008147DC">
        <w:t>新經濟移民法規劃重點記者會</w:t>
      </w:r>
      <w:r w:rsidRPr="008147DC">
        <w:t>(</w:t>
      </w:r>
      <w:r w:rsidRPr="008147DC">
        <w:t>簡報</w:t>
      </w:r>
      <w:r w:rsidRPr="008147DC">
        <w:t>)(2018)</w:t>
      </w:r>
      <w:r w:rsidRPr="008147DC">
        <w:t>，</w:t>
      </w:r>
      <w:hyperlink r:id="rId118" w:history="1">
        <w:r w:rsidRPr="00525791">
          <w:rPr>
            <w:rStyle w:val="a7"/>
            <w:rFonts w:ascii="Arial Unicode MS" w:eastAsia="新細明體" w:hAnsi="Arial Unicode MS" w:cs="Calibri"/>
            <w:color w:val="5F5F5F"/>
            <w:kern w:val="2"/>
            <w:sz w:val="18"/>
          </w:rPr>
          <w:t>https://www.slideshare.net/OpenMic1/20180515</w:t>
        </w:r>
      </w:hyperlink>
      <w:r w:rsidRPr="008147DC">
        <w:t>。</w:t>
      </w:r>
    </w:p>
  </w:footnote>
  <w:footnote w:id="437">
    <w:p w:rsidR="00657FEF" w:rsidRPr="008147DC" w:rsidRDefault="00657FEF" w:rsidP="00992AB6">
      <w:pPr>
        <w:pStyle w:val="5"/>
      </w:pPr>
      <w:r w:rsidRPr="00525791">
        <w:rPr>
          <w:rStyle w:val="af7"/>
          <w:rFonts w:eastAsia="新細明體"/>
          <w:kern w:val="2"/>
        </w:rPr>
        <w:footnoteRef/>
      </w:r>
      <w:r w:rsidRPr="00525791">
        <w:rPr>
          <w:color w:val="FF6600"/>
        </w:rPr>
        <w:t xml:space="preserve"> </w:t>
      </w:r>
      <w:r w:rsidRPr="008147DC">
        <w:t>行政院賴院長記者會</w:t>
      </w:r>
      <w:r w:rsidRPr="008147DC">
        <w:t>(2018)</w:t>
      </w:r>
      <w:r w:rsidRPr="008147DC">
        <w:t>，</w:t>
      </w:r>
      <w:r w:rsidRPr="008147DC">
        <w:t>20180515</w:t>
      </w:r>
      <w:r w:rsidRPr="008147DC">
        <w:t>新經濟移民法規劃重點記者會</w:t>
      </w:r>
      <w:r w:rsidRPr="008147DC">
        <w:t>(</w:t>
      </w:r>
      <w:r w:rsidRPr="008147DC">
        <w:t>簡報</w:t>
      </w:r>
      <w:r w:rsidRPr="008147DC">
        <w:t>)(2018)</w:t>
      </w:r>
      <w:r w:rsidRPr="008147DC">
        <w:t>，</w:t>
      </w:r>
      <w:hyperlink r:id="rId119" w:history="1">
        <w:r w:rsidRPr="00525791">
          <w:rPr>
            <w:rStyle w:val="a7"/>
            <w:rFonts w:ascii="Arial Unicode MS" w:eastAsia="新細明體" w:hAnsi="Arial Unicode MS" w:cs="Calibri"/>
            <w:color w:val="5F5F5F"/>
            <w:kern w:val="2"/>
            <w:sz w:val="18"/>
          </w:rPr>
          <w:t>https://www.slideshare.net/OpenMic1/20180515</w:t>
        </w:r>
      </w:hyperlink>
      <w:r w:rsidRPr="008147DC">
        <w:t>。</w:t>
      </w:r>
    </w:p>
  </w:footnote>
  <w:footnote w:id="438">
    <w:p w:rsidR="00657FEF" w:rsidRPr="008147DC" w:rsidRDefault="00657FEF" w:rsidP="00992AB6">
      <w:pPr>
        <w:pStyle w:val="5"/>
      </w:pPr>
      <w:r w:rsidRPr="00525791">
        <w:rPr>
          <w:rStyle w:val="af7"/>
          <w:rFonts w:eastAsia="新細明體"/>
          <w:kern w:val="2"/>
        </w:rPr>
        <w:footnoteRef/>
      </w:r>
      <w:r w:rsidRPr="008147DC">
        <w:t xml:space="preserve"> </w:t>
      </w:r>
      <w:r w:rsidRPr="008147DC">
        <w:t>行政院賴院長記者會</w:t>
      </w:r>
      <w:r w:rsidRPr="008147DC">
        <w:t>(2018)</w:t>
      </w:r>
      <w:r w:rsidRPr="008147DC">
        <w:t>，</w:t>
      </w:r>
      <w:r w:rsidRPr="008147DC">
        <w:t>20180515</w:t>
      </w:r>
      <w:r w:rsidRPr="008147DC">
        <w:t>新經濟移民法規劃重點記者會</w:t>
      </w:r>
      <w:r w:rsidRPr="008147DC">
        <w:t>(</w:t>
      </w:r>
      <w:r w:rsidRPr="008147DC">
        <w:t>簡報</w:t>
      </w:r>
      <w:r w:rsidRPr="008147DC">
        <w:t>)(2018)</w:t>
      </w:r>
      <w:r w:rsidRPr="008147DC">
        <w:t>，</w:t>
      </w:r>
      <w:hyperlink r:id="rId120" w:history="1">
        <w:r w:rsidRPr="00525791">
          <w:rPr>
            <w:rStyle w:val="a7"/>
            <w:rFonts w:ascii="Arial Unicode MS" w:eastAsia="新細明體" w:hAnsi="Arial Unicode MS" w:cs="Calibri"/>
            <w:color w:val="5F5F5F"/>
            <w:kern w:val="2"/>
            <w:sz w:val="18"/>
          </w:rPr>
          <w:t>https://www.slideshare.net/OpenMic1/20180515</w:t>
        </w:r>
      </w:hyperlink>
      <w:r w:rsidRPr="008147DC">
        <w:t>。</w:t>
      </w:r>
    </w:p>
  </w:footnote>
  <w:footnote w:id="439">
    <w:p w:rsidR="00657FEF" w:rsidRPr="008147DC" w:rsidRDefault="00657FEF" w:rsidP="00992AB6">
      <w:pPr>
        <w:pStyle w:val="5"/>
      </w:pPr>
      <w:r w:rsidRPr="00525791">
        <w:rPr>
          <w:rStyle w:val="af7"/>
          <w:rFonts w:eastAsia="新細明體"/>
          <w:kern w:val="2"/>
        </w:rPr>
        <w:footnoteRef/>
      </w:r>
      <w:r w:rsidRPr="008147DC">
        <w:t xml:space="preserve"> </w:t>
      </w:r>
      <w:r w:rsidRPr="008147DC">
        <w:t>行政院賴院長記者會</w:t>
      </w:r>
      <w:r w:rsidRPr="008147DC">
        <w:t>(2018)</w:t>
      </w:r>
      <w:r w:rsidRPr="008147DC">
        <w:t>，</w:t>
      </w:r>
      <w:r w:rsidRPr="008147DC">
        <w:t>20180515</w:t>
      </w:r>
      <w:r w:rsidRPr="008147DC">
        <w:t>新經濟移民法規劃重點記者會</w:t>
      </w:r>
      <w:r w:rsidRPr="008147DC">
        <w:t>(</w:t>
      </w:r>
      <w:r w:rsidRPr="008147DC">
        <w:t>簡報</w:t>
      </w:r>
      <w:r w:rsidRPr="008147DC">
        <w:t>)(2018)</w:t>
      </w:r>
      <w:r w:rsidRPr="008147DC">
        <w:t>，</w:t>
      </w:r>
      <w:hyperlink r:id="rId121" w:history="1">
        <w:r w:rsidRPr="00525791">
          <w:rPr>
            <w:rStyle w:val="a7"/>
            <w:rFonts w:ascii="Arial Unicode MS" w:eastAsia="新細明體" w:hAnsi="Arial Unicode MS" w:cs="Calibri"/>
            <w:color w:val="5F5F5F"/>
            <w:kern w:val="2"/>
            <w:sz w:val="18"/>
          </w:rPr>
          <w:t>https://www.slideshare.net/OpenMic1/20180515</w:t>
        </w:r>
      </w:hyperlink>
      <w:r w:rsidRPr="008147DC">
        <w:t>。</w:t>
      </w:r>
    </w:p>
  </w:footnote>
  <w:footnote w:id="440">
    <w:p w:rsidR="00657FEF" w:rsidRPr="008147DC" w:rsidRDefault="00657FEF" w:rsidP="00992AB6">
      <w:pPr>
        <w:pStyle w:val="5"/>
      </w:pPr>
      <w:r w:rsidRPr="00E84370">
        <w:rPr>
          <w:rStyle w:val="af7"/>
          <w:rFonts w:eastAsia="新細明體"/>
          <w:kern w:val="2"/>
        </w:rPr>
        <w:footnoteRef/>
      </w:r>
      <w:r w:rsidRPr="008147DC">
        <w:t xml:space="preserve"> </w:t>
      </w:r>
      <w:r w:rsidRPr="008147DC">
        <w:t>行政院賴院長記者會</w:t>
      </w:r>
      <w:r w:rsidRPr="008147DC">
        <w:t>(2018)</w:t>
      </w:r>
      <w:r w:rsidRPr="008147DC">
        <w:t>，</w:t>
      </w:r>
      <w:r w:rsidRPr="008147DC">
        <w:t>20180515</w:t>
      </w:r>
      <w:r w:rsidRPr="008147DC">
        <w:t>新經濟移民法規劃重點記者會</w:t>
      </w:r>
      <w:r w:rsidRPr="008147DC">
        <w:t>(</w:t>
      </w:r>
      <w:r w:rsidRPr="008147DC">
        <w:t>簡報</w:t>
      </w:r>
      <w:r w:rsidRPr="008147DC">
        <w:t>)(2018)</w:t>
      </w:r>
      <w:r w:rsidRPr="008147DC">
        <w:t>，</w:t>
      </w:r>
      <w:hyperlink r:id="rId122" w:history="1">
        <w:r w:rsidRPr="00E84370">
          <w:rPr>
            <w:rStyle w:val="a7"/>
            <w:rFonts w:ascii="Arial Unicode MS" w:eastAsia="新細明體" w:hAnsi="Arial Unicode MS" w:cs="Calibri"/>
            <w:color w:val="5F5F5F"/>
            <w:kern w:val="2"/>
            <w:sz w:val="18"/>
          </w:rPr>
          <w:t>https://www.slideshare.net/OpenMic1/20180515</w:t>
        </w:r>
      </w:hyperlink>
      <w:r w:rsidRPr="008147DC">
        <w:t>。</w:t>
      </w:r>
    </w:p>
  </w:footnote>
  <w:footnote w:id="441">
    <w:p w:rsidR="00657FEF" w:rsidRPr="008147DC" w:rsidRDefault="00657FEF" w:rsidP="00992AB6">
      <w:pPr>
        <w:pStyle w:val="5"/>
      </w:pPr>
      <w:r w:rsidRPr="00E84370">
        <w:rPr>
          <w:rStyle w:val="af7"/>
          <w:rFonts w:eastAsia="新細明體"/>
          <w:kern w:val="2"/>
        </w:rPr>
        <w:footnoteRef/>
      </w:r>
      <w:r w:rsidRPr="008147DC">
        <w:t xml:space="preserve"> </w:t>
      </w:r>
      <w:r w:rsidRPr="008147DC">
        <w:t>行政院賴院長記者會</w:t>
      </w:r>
      <w:r w:rsidRPr="008147DC">
        <w:t>(2018)</w:t>
      </w:r>
      <w:r w:rsidRPr="008147DC">
        <w:t>，</w:t>
      </w:r>
      <w:r w:rsidRPr="008147DC">
        <w:t>20180515</w:t>
      </w:r>
      <w:r w:rsidRPr="008147DC">
        <w:t>新經濟移民法規劃重點記者會</w:t>
      </w:r>
      <w:r w:rsidRPr="008147DC">
        <w:t>(</w:t>
      </w:r>
      <w:r w:rsidRPr="008147DC">
        <w:t>簡報</w:t>
      </w:r>
      <w:r w:rsidRPr="008147DC">
        <w:t>)(2018)</w:t>
      </w:r>
      <w:r w:rsidRPr="008147DC">
        <w:t>，</w:t>
      </w:r>
      <w:hyperlink r:id="rId123" w:history="1">
        <w:r w:rsidRPr="00E84370">
          <w:rPr>
            <w:rStyle w:val="a7"/>
            <w:rFonts w:ascii="Arial Unicode MS" w:eastAsia="新細明體" w:hAnsi="Arial Unicode MS" w:cs="Calibri"/>
            <w:color w:val="5F5F5F"/>
            <w:kern w:val="2"/>
            <w:sz w:val="18"/>
          </w:rPr>
          <w:t>https://www.slideshare.net/OpenMic1/20180515</w:t>
        </w:r>
      </w:hyperlink>
      <w:r w:rsidRPr="008147DC">
        <w:t>。</w:t>
      </w:r>
    </w:p>
  </w:footnote>
  <w:footnote w:id="442">
    <w:p w:rsidR="00657FEF" w:rsidRPr="008147DC" w:rsidRDefault="00657FEF" w:rsidP="00992AB6">
      <w:pPr>
        <w:pStyle w:val="5"/>
        <w:rPr>
          <w:lang w:eastAsia="zh-TW"/>
        </w:rPr>
      </w:pPr>
      <w:r w:rsidRPr="00E84370">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外國人停留居留及永久居留辦法第</w:t>
      </w:r>
      <w:r w:rsidRPr="008147DC">
        <w:rPr>
          <w:lang w:eastAsia="zh-TW"/>
        </w:rPr>
        <w:t>11</w:t>
      </w:r>
      <w:r w:rsidRPr="008147DC">
        <w:rPr>
          <w:lang w:eastAsia="zh-TW"/>
        </w:rPr>
        <w:t>條第</w:t>
      </w:r>
      <w:r w:rsidRPr="008147DC">
        <w:rPr>
          <w:lang w:eastAsia="zh-TW"/>
        </w:rPr>
        <w:t>3</w:t>
      </w:r>
      <w:r w:rsidRPr="008147DC">
        <w:rPr>
          <w:lang w:eastAsia="zh-TW"/>
        </w:rPr>
        <w:t>項規定，外國人申請永久居留，於合法連續居留五年期間，每次出國在三個月以內者，得免附第一項第四款文件（健康檢查合格證明）及第六款之本國刑事紀錄證明。</w:t>
      </w:r>
    </w:p>
  </w:footnote>
  <w:footnote w:id="443">
    <w:p w:rsidR="00657FEF" w:rsidRPr="008147DC" w:rsidRDefault="00657FEF" w:rsidP="00992AB6">
      <w:pPr>
        <w:pStyle w:val="5"/>
        <w:rPr>
          <w:lang w:eastAsia="zh-TW"/>
        </w:rPr>
      </w:pPr>
      <w:r w:rsidRPr="00E84370">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行政院研究發展考核委員會（</w:t>
      </w:r>
      <w:r w:rsidRPr="008147DC">
        <w:rPr>
          <w:lang w:eastAsia="zh-TW"/>
        </w:rPr>
        <w:t>2011</w:t>
      </w:r>
      <w:r w:rsidRPr="008147DC">
        <w:rPr>
          <w:lang w:eastAsia="zh-TW"/>
        </w:rPr>
        <w:t>），各國移民參政權之比較研究，台北市：行政院研究發展考核委員會。研究內容分析多個國家，不少國家適時給予移民有部分選舉權、參政權及服公職權利。以紐西蘭為例，永久居留居民可享有部分選舉權、被選舉權及服公職權利。另澳洲之英國籍永久居留居民亦享有地方選舉之選舉權及服公職權利。</w:t>
      </w:r>
    </w:p>
  </w:footnote>
  <w:footnote w:id="444">
    <w:p w:rsidR="00657FEF" w:rsidRPr="008147DC" w:rsidRDefault="00657FEF" w:rsidP="00992AB6">
      <w:pPr>
        <w:pStyle w:val="5"/>
        <w:rPr>
          <w:lang w:eastAsia="zh-TW"/>
        </w:rPr>
      </w:pPr>
      <w:r w:rsidRPr="00306B20">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中國時報社論述（</w:t>
      </w:r>
      <w:r w:rsidRPr="008147DC">
        <w:rPr>
          <w:lang w:eastAsia="zh-TW"/>
        </w:rPr>
        <w:t>2016</w:t>
      </w:r>
      <w:r w:rsidRPr="008147DC">
        <w:rPr>
          <w:lang w:eastAsia="zh-TW"/>
        </w:rPr>
        <w:t>），招回鎖國幽靈，是亂台、害台，中國時報</w:t>
      </w:r>
      <w:r w:rsidRPr="008147DC">
        <w:rPr>
          <w:lang w:eastAsia="zh-TW"/>
        </w:rPr>
        <w:t>A15</w:t>
      </w:r>
      <w:r w:rsidRPr="008147DC">
        <w:rPr>
          <w:lang w:eastAsia="zh-TW"/>
        </w:rPr>
        <w:t>版，</w:t>
      </w:r>
      <w:r w:rsidRPr="008147DC">
        <w:rPr>
          <w:lang w:eastAsia="zh-TW"/>
        </w:rPr>
        <w:t>2016</w:t>
      </w:r>
      <w:r w:rsidRPr="008147DC">
        <w:rPr>
          <w:lang w:eastAsia="zh-TW"/>
        </w:rPr>
        <w:t>年</w:t>
      </w:r>
      <w:r w:rsidRPr="008147DC">
        <w:rPr>
          <w:lang w:eastAsia="zh-TW"/>
        </w:rPr>
        <w:t>2</w:t>
      </w:r>
      <w:r w:rsidRPr="008147DC">
        <w:rPr>
          <w:lang w:eastAsia="zh-TW"/>
        </w:rPr>
        <w:t>月</w:t>
      </w:r>
      <w:r w:rsidRPr="008147DC">
        <w:rPr>
          <w:lang w:eastAsia="zh-TW"/>
        </w:rPr>
        <w:t>25</w:t>
      </w:r>
      <w:r w:rsidRPr="008147DC">
        <w:rPr>
          <w:lang w:eastAsia="zh-TW"/>
        </w:rPr>
        <w:t>日。</w:t>
      </w:r>
    </w:p>
  </w:footnote>
  <w:footnote w:id="445">
    <w:p w:rsidR="00657FEF" w:rsidRPr="008147DC" w:rsidRDefault="00657FEF" w:rsidP="00992AB6">
      <w:pPr>
        <w:pStyle w:val="5"/>
        <w:rPr>
          <w:lang w:val="es-ES"/>
        </w:rPr>
      </w:pPr>
      <w:r w:rsidRPr="00306B20">
        <w:rPr>
          <w:rStyle w:val="af7"/>
          <w:rFonts w:eastAsia="新細明體"/>
          <w:kern w:val="2"/>
          <w:szCs w:val="20"/>
        </w:rPr>
        <w:footnoteRef/>
      </w:r>
      <w:r w:rsidRPr="00306B20">
        <w:rPr>
          <w:rFonts w:ascii="Arial Unicode MS" w:eastAsia="新細明體" w:hAnsi="Arial Unicode MS"/>
          <w:color w:val="FF6600"/>
          <w:kern w:val="2"/>
          <w:lang w:val="es-ES"/>
        </w:rPr>
        <w:t xml:space="preserve"> </w:t>
      </w:r>
      <w:r w:rsidRPr="008147DC">
        <w:rPr>
          <w:lang w:val="es-ES"/>
        </w:rPr>
        <w:tab/>
      </w:r>
      <w:r w:rsidRPr="008147DC">
        <w:t>陳智華</w:t>
      </w:r>
      <w:r w:rsidRPr="008147DC">
        <w:rPr>
          <w:lang w:val="es-ES"/>
        </w:rPr>
        <w:t>（</w:t>
      </w:r>
      <w:r w:rsidRPr="008147DC">
        <w:rPr>
          <w:lang w:val="es-ES"/>
        </w:rPr>
        <w:t>2016</w:t>
      </w:r>
      <w:r w:rsidRPr="008147DC">
        <w:rPr>
          <w:lang w:val="es-ES"/>
        </w:rPr>
        <w:t>），</w:t>
      </w:r>
      <w:r w:rsidRPr="008147DC">
        <w:t>外籍白領人才鬆綁案暫緩</w:t>
      </w:r>
      <w:r w:rsidRPr="008147DC">
        <w:rPr>
          <w:lang w:val="es-ES"/>
        </w:rPr>
        <w:t>，</w:t>
      </w:r>
      <w:r w:rsidRPr="008147DC">
        <w:t>外界質疑有政治風向</w:t>
      </w:r>
      <w:r w:rsidRPr="008147DC">
        <w:rPr>
          <w:lang w:val="es-ES"/>
        </w:rPr>
        <w:t>，</w:t>
      </w:r>
      <w:r w:rsidRPr="008147DC">
        <w:t>上網瀏灠時間</w:t>
      </w:r>
      <w:r w:rsidRPr="008147DC">
        <w:rPr>
          <w:lang w:val="es-ES"/>
        </w:rPr>
        <w:t>：</w:t>
      </w:r>
      <w:hyperlink r:id="rId124" w:history="1">
        <w:r w:rsidRPr="00306B20">
          <w:rPr>
            <w:rStyle w:val="a7"/>
            <w:rFonts w:ascii="Arial Unicode MS" w:eastAsia="新細明體" w:hAnsi="Arial Unicode MS" w:cs="Calibri"/>
            <w:color w:val="5F5F5F"/>
            <w:kern w:val="2"/>
            <w:sz w:val="18"/>
          </w:rPr>
          <w:t>http://udn.com/news/story/9095/1461048-%E7%9C%8B%E6%94%BF%E6%B2%BB%E9%A2%A8%E5%90%91%EF%BC%9F%E5%A4%96%E7%B1%8D%E7%99%BD%E9%A0%98%E3%80%81%E5%83%91%E5%A4%96%E7%94%9F%E7%95%99%E5%8F%B0%E9%AC%86%E7%B6%81-%E7%B7%A9%E8%AD%B0</w:t>
        </w:r>
      </w:hyperlink>
      <w:r w:rsidRPr="008147DC">
        <w:t>。</w:t>
      </w:r>
    </w:p>
  </w:footnote>
  <w:footnote w:id="446">
    <w:p w:rsidR="00657FEF" w:rsidRPr="008147DC" w:rsidRDefault="00657FEF" w:rsidP="00992AB6">
      <w:pPr>
        <w:pStyle w:val="5"/>
        <w:rPr>
          <w:lang w:eastAsia="zh-TW"/>
        </w:rPr>
      </w:pPr>
      <w:r w:rsidRPr="00306B20">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課程名稱：人口移動理論與實務。</w:t>
      </w:r>
    </w:p>
  </w:footnote>
  <w:footnote w:id="447">
    <w:p w:rsidR="00657FEF" w:rsidRPr="008147DC" w:rsidRDefault="00657FEF" w:rsidP="00992AB6">
      <w:pPr>
        <w:pStyle w:val="5"/>
        <w:rPr>
          <w:lang w:eastAsia="zh-TW"/>
        </w:rPr>
      </w:pPr>
      <w:r w:rsidRPr="00306B20">
        <w:rPr>
          <w:rStyle w:val="af7"/>
          <w:rFonts w:eastAsia="新細明體"/>
          <w:kern w:val="2"/>
          <w:szCs w:val="20"/>
        </w:rPr>
        <w:footnoteRef/>
      </w:r>
      <w:r w:rsidRPr="008147DC">
        <w:rPr>
          <w:rStyle w:val="af7"/>
          <w:rFonts w:asciiTheme="minorEastAsia" w:eastAsiaTheme="minorEastAsia" w:hAnsiTheme="minorEastAsia"/>
          <w:szCs w:val="20"/>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國境系境管組洪姍渝同學之高見。</w:t>
      </w:r>
    </w:p>
  </w:footnote>
  <w:footnote w:id="448">
    <w:p w:rsidR="00657FEF" w:rsidRPr="008147DC" w:rsidRDefault="00657FEF" w:rsidP="00992AB6">
      <w:pPr>
        <w:pStyle w:val="5"/>
        <w:rPr>
          <w:lang w:eastAsia="zh-TW"/>
        </w:rPr>
      </w:pPr>
      <w:r w:rsidRPr="00306B20">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國境系境管組吳佳承同學之高見。</w:t>
      </w:r>
    </w:p>
  </w:footnote>
  <w:footnote w:id="449">
    <w:p w:rsidR="00657FEF" w:rsidRPr="008147DC" w:rsidRDefault="00657FEF" w:rsidP="00992AB6">
      <w:pPr>
        <w:pStyle w:val="5"/>
        <w:rPr>
          <w:lang w:eastAsia="zh-TW"/>
        </w:rPr>
      </w:pPr>
      <w:r w:rsidRPr="00306B20">
        <w:rPr>
          <w:rStyle w:val="af7"/>
          <w:rFonts w:eastAsia="新細明體"/>
          <w:kern w:val="2"/>
          <w:szCs w:val="20"/>
        </w:rPr>
        <w:footnoteRef/>
      </w:r>
      <w:r w:rsidRPr="00306B20">
        <w:rPr>
          <w:rFonts w:ascii="Arial Unicode MS" w:eastAsia="新細明體" w:hAnsi="Arial Unicode MS"/>
          <w:color w:val="FF6600"/>
          <w:kern w:val="2"/>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國境系境管組陳又綾同學之高見。</w:t>
      </w:r>
    </w:p>
  </w:footnote>
  <w:footnote w:id="450">
    <w:p w:rsidR="00657FEF" w:rsidRPr="008147DC" w:rsidRDefault="00657FEF" w:rsidP="00992AB6">
      <w:pPr>
        <w:pStyle w:val="5"/>
        <w:rPr>
          <w:lang w:eastAsia="zh-TW"/>
        </w:rPr>
      </w:pPr>
      <w:r w:rsidRPr="00306B20">
        <w:rPr>
          <w:rStyle w:val="af7"/>
          <w:rFonts w:eastAsia="新細明體"/>
          <w:kern w:val="2"/>
          <w:szCs w:val="20"/>
        </w:rPr>
        <w:footnoteRef/>
      </w:r>
      <w:r w:rsidRPr="00306B20">
        <w:rPr>
          <w:rFonts w:ascii="Arial Unicode MS" w:eastAsia="新細明體" w:hAnsi="Arial Unicode MS"/>
          <w:color w:val="FF6600"/>
          <w:kern w:val="2"/>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國境系境管組吳冠儒同學之高見。</w:t>
      </w:r>
    </w:p>
  </w:footnote>
  <w:footnote w:id="451">
    <w:p w:rsidR="00657FEF" w:rsidRPr="008147DC" w:rsidRDefault="00657FEF" w:rsidP="00992AB6">
      <w:pPr>
        <w:pStyle w:val="5"/>
        <w:rPr>
          <w:lang w:eastAsia="zh-TW"/>
        </w:rPr>
      </w:pPr>
      <w:r w:rsidRPr="00306B20">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國境系境管組林偉弘同學之高見。</w:t>
      </w:r>
    </w:p>
  </w:footnote>
  <w:footnote w:id="452">
    <w:p w:rsidR="00657FEF" w:rsidRPr="008147DC" w:rsidRDefault="00657FEF" w:rsidP="00992AB6">
      <w:pPr>
        <w:pStyle w:val="5"/>
        <w:rPr>
          <w:lang w:eastAsia="zh-TW"/>
        </w:rPr>
      </w:pPr>
      <w:r w:rsidRPr="00321574">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警大外事所碩士班課程，課程名稱：主要移入國移民政策與法制。</w:t>
      </w:r>
    </w:p>
  </w:footnote>
  <w:footnote w:id="453">
    <w:p w:rsidR="00657FEF" w:rsidRPr="008147DC" w:rsidRDefault="00657FEF" w:rsidP="00992AB6">
      <w:pPr>
        <w:pStyle w:val="5"/>
        <w:rPr>
          <w:lang w:eastAsia="zh-TW"/>
        </w:rPr>
      </w:pPr>
      <w:r w:rsidRPr="00321574">
        <w:rPr>
          <w:rStyle w:val="af7"/>
          <w:rFonts w:eastAsia="新細明體"/>
          <w:kern w:val="2"/>
          <w:szCs w:val="20"/>
        </w:rPr>
        <w:footnoteRef/>
      </w:r>
      <w:r w:rsidRPr="00321574">
        <w:rPr>
          <w:rFonts w:ascii="Arial Unicode MS" w:eastAsia="新細明體" w:hAnsi="Arial Unicode MS"/>
          <w:color w:val="FF6600"/>
          <w:kern w:val="2"/>
          <w:lang w:eastAsia="zh-TW"/>
        </w:rPr>
        <w:t xml:space="preserve"> </w:t>
      </w:r>
      <w:r w:rsidRPr="008147DC">
        <w:rPr>
          <w:lang w:eastAsia="zh-TW"/>
        </w:rPr>
        <w:tab/>
      </w:r>
      <w:r w:rsidRPr="008147DC">
        <w:rPr>
          <w:lang w:eastAsia="zh-TW"/>
        </w:rPr>
        <w:t>行政院國家發展委員會（</w:t>
      </w:r>
      <w:r w:rsidRPr="008147DC">
        <w:rPr>
          <w:lang w:eastAsia="zh-TW"/>
        </w:rPr>
        <w:t>2014</w:t>
      </w:r>
      <w:r w:rsidRPr="008147DC">
        <w:rPr>
          <w:lang w:eastAsia="zh-TW"/>
        </w:rPr>
        <w:t>），「強化優秀僑外生留臺工作行動計畫」，台北市：國家發展委員會，頁</w:t>
      </w:r>
      <w:r w:rsidRPr="008147DC">
        <w:rPr>
          <w:lang w:eastAsia="zh-TW"/>
        </w:rPr>
        <w:t>1-20</w:t>
      </w:r>
      <w:r w:rsidRPr="008147DC">
        <w:rPr>
          <w:lang w:eastAsia="zh-TW"/>
        </w:rPr>
        <w:t>。</w:t>
      </w:r>
    </w:p>
  </w:footnote>
  <w:footnote w:id="454">
    <w:p w:rsidR="00657FEF" w:rsidRPr="008147DC" w:rsidRDefault="00657FEF" w:rsidP="00992AB6">
      <w:pPr>
        <w:pStyle w:val="5"/>
        <w:rPr>
          <w:lang w:eastAsia="zh-TW"/>
        </w:rPr>
      </w:pPr>
      <w:r w:rsidRPr="00321574">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行政院國家發展委員會（</w:t>
      </w:r>
      <w:r w:rsidRPr="008147DC">
        <w:rPr>
          <w:lang w:eastAsia="zh-TW"/>
        </w:rPr>
        <w:t>2014</w:t>
      </w:r>
      <w:r w:rsidRPr="008147DC">
        <w:rPr>
          <w:lang w:eastAsia="zh-TW"/>
        </w:rPr>
        <w:t>），「強化優秀僑外生留臺工作行動計畫」，台北市：國家發展委員會，頁</w:t>
      </w:r>
      <w:r w:rsidRPr="008147DC">
        <w:rPr>
          <w:lang w:eastAsia="zh-TW"/>
        </w:rPr>
        <w:t>1-20</w:t>
      </w:r>
      <w:r w:rsidRPr="008147DC">
        <w:rPr>
          <w:lang w:eastAsia="zh-TW"/>
        </w:rPr>
        <w:t>。</w:t>
      </w:r>
    </w:p>
  </w:footnote>
  <w:footnote w:id="455">
    <w:p w:rsidR="00657FEF" w:rsidRPr="008147DC" w:rsidRDefault="00657FEF" w:rsidP="00992AB6">
      <w:pPr>
        <w:pStyle w:val="5"/>
        <w:rPr>
          <w:lang w:eastAsia="zh-TW"/>
        </w:rPr>
      </w:pPr>
      <w:r w:rsidRPr="00321574">
        <w:rPr>
          <w:rStyle w:val="af7"/>
          <w:rFonts w:eastAsia="新細明體"/>
          <w:kern w:val="2"/>
          <w:szCs w:val="20"/>
        </w:rPr>
        <w:footnoteRef/>
      </w:r>
      <w:r w:rsidRPr="00321574">
        <w:rPr>
          <w:rFonts w:ascii="Arial Unicode MS" w:eastAsia="新細明體" w:hAnsi="Arial Unicode MS"/>
          <w:color w:val="FF6600"/>
          <w:kern w:val="2"/>
          <w:lang w:eastAsia="zh-TW"/>
        </w:rPr>
        <w:t xml:space="preserve"> </w:t>
      </w:r>
      <w:r w:rsidRPr="008147DC">
        <w:rPr>
          <w:lang w:eastAsia="zh-TW"/>
        </w:rPr>
        <w:tab/>
      </w:r>
      <w:r w:rsidRPr="008147DC">
        <w:rPr>
          <w:lang w:eastAsia="zh-TW"/>
        </w:rPr>
        <w:t>行政院國家發展委員會（</w:t>
      </w:r>
      <w:r w:rsidRPr="008147DC">
        <w:rPr>
          <w:lang w:eastAsia="zh-TW"/>
        </w:rPr>
        <w:t>2014</w:t>
      </w:r>
      <w:r w:rsidRPr="008147DC">
        <w:rPr>
          <w:lang w:eastAsia="zh-TW"/>
        </w:rPr>
        <w:t>），「強化優秀僑外生留臺工作行動計畫」，台北市：國家發展委員會，頁</w:t>
      </w:r>
      <w:r w:rsidRPr="008147DC">
        <w:rPr>
          <w:lang w:eastAsia="zh-TW"/>
        </w:rPr>
        <w:t>1-20</w:t>
      </w:r>
      <w:r w:rsidRPr="008147DC">
        <w:rPr>
          <w:lang w:eastAsia="zh-TW"/>
        </w:rPr>
        <w:t>。</w:t>
      </w:r>
    </w:p>
  </w:footnote>
  <w:footnote w:id="456">
    <w:p w:rsidR="00657FEF" w:rsidRPr="008147DC" w:rsidRDefault="00657FEF" w:rsidP="00992AB6">
      <w:pPr>
        <w:pStyle w:val="5"/>
        <w:rPr>
          <w:lang w:val="es-ES"/>
        </w:rPr>
      </w:pPr>
      <w:r w:rsidRPr="00321574">
        <w:rPr>
          <w:rStyle w:val="af7"/>
          <w:rFonts w:eastAsia="新細明體"/>
          <w:kern w:val="2"/>
          <w:szCs w:val="20"/>
        </w:rPr>
        <w:footnoteRef/>
      </w:r>
      <w:r w:rsidRPr="008147DC">
        <w:rPr>
          <w:lang w:val="es-ES"/>
        </w:rPr>
        <w:t xml:space="preserve"> </w:t>
      </w:r>
      <w:r w:rsidRPr="008147DC">
        <w:rPr>
          <w:lang w:val="es-ES"/>
        </w:rPr>
        <w:tab/>
      </w:r>
      <w:r w:rsidRPr="008147DC">
        <w:t>陳智華</w:t>
      </w:r>
      <w:r w:rsidRPr="008147DC">
        <w:rPr>
          <w:lang w:val="es-ES"/>
        </w:rPr>
        <w:t>（</w:t>
      </w:r>
      <w:r w:rsidRPr="008147DC">
        <w:rPr>
          <w:lang w:val="es-ES"/>
        </w:rPr>
        <w:t>2016</w:t>
      </w:r>
      <w:r w:rsidRPr="008147DC">
        <w:rPr>
          <w:lang w:val="es-ES"/>
        </w:rPr>
        <w:t>），</w:t>
      </w:r>
      <w:r w:rsidRPr="008147DC">
        <w:t>外籍白領人才鬆綁案暫緩</w:t>
      </w:r>
      <w:r w:rsidRPr="008147DC">
        <w:rPr>
          <w:lang w:val="es-ES"/>
        </w:rPr>
        <w:t>，</w:t>
      </w:r>
      <w:r w:rsidRPr="008147DC">
        <w:t>外界質疑有政治風向</w:t>
      </w:r>
      <w:r w:rsidRPr="008147DC">
        <w:rPr>
          <w:lang w:val="es-ES"/>
        </w:rPr>
        <w:t>，</w:t>
      </w:r>
      <w:r w:rsidRPr="008147DC">
        <w:t>上網瀏灠時間</w:t>
      </w:r>
      <w:r w:rsidRPr="008147DC">
        <w:rPr>
          <w:lang w:val="es-ES"/>
        </w:rPr>
        <w:t>：</w:t>
      </w:r>
      <w:hyperlink r:id="rId125" w:history="1">
        <w:r w:rsidRPr="00321574">
          <w:rPr>
            <w:rStyle w:val="a7"/>
            <w:rFonts w:ascii="Arial Unicode MS" w:eastAsia="新細明體" w:hAnsi="Arial Unicode MS" w:cs="Calibri"/>
            <w:color w:val="5F5F5F"/>
            <w:kern w:val="2"/>
            <w:sz w:val="18"/>
            <w:lang w:val="es-ES"/>
          </w:rPr>
          <w:t>http://udn.com/news/story/9095/1461048-%E7%9C%8B%E6%94%BF%E6%B2%BB%E9%A2%A8%E5%90%91%EF%BC%9F%E5%A4%96%E7%B1%8D%E7%99%BD%E9%A0%98%E3%80%81%E5%83%91%E5%A4%96%E7%94%9F%E7%95%99%E5%8F%B0%E9%AC%86%E7%B6%81-%E7%B7%A9%E8%AD%B0</w:t>
        </w:r>
      </w:hyperlink>
      <w:r w:rsidRPr="008147DC">
        <w:t>。</w:t>
      </w:r>
    </w:p>
  </w:footnote>
  <w:footnote w:id="457">
    <w:p w:rsidR="00657FEF" w:rsidRPr="008147DC" w:rsidRDefault="00657FEF" w:rsidP="00992AB6">
      <w:pPr>
        <w:pStyle w:val="5"/>
        <w:rPr>
          <w:lang w:eastAsia="zh-TW"/>
        </w:rPr>
      </w:pPr>
      <w:r w:rsidRPr="00321574">
        <w:rPr>
          <w:rStyle w:val="af7"/>
          <w:rFonts w:eastAsia="新細明體"/>
          <w:kern w:val="2"/>
          <w:szCs w:val="20"/>
        </w:rPr>
        <w:footnoteRef/>
      </w:r>
      <w:r w:rsidRPr="008147DC">
        <w:rPr>
          <w:rStyle w:val="af7"/>
          <w:rFonts w:asciiTheme="minorEastAsia" w:eastAsiaTheme="minorEastAsia" w:hAnsiTheme="minorEastAsia"/>
          <w:szCs w:val="20"/>
          <w:lang w:eastAsia="zh-TW"/>
        </w:rPr>
        <w:t xml:space="preserve"> </w:t>
      </w:r>
      <w:r w:rsidRPr="008147DC">
        <w:rPr>
          <w:lang w:eastAsia="zh-TW"/>
        </w:rPr>
        <w:tab/>
      </w:r>
      <w:r w:rsidRPr="008147DC">
        <w:rPr>
          <w:lang w:eastAsia="zh-TW"/>
        </w:rPr>
        <w:t>課程名稱：人口移動理論與實務。</w:t>
      </w:r>
    </w:p>
  </w:footnote>
  <w:footnote w:id="458">
    <w:p w:rsidR="00657FEF" w:rsidRPr="008147DC" w:rsidRDefault="00657FEF" w:rsidP="00992AB6">
      <w:pPr>
        <w:pStyle w:val="5"/>
        <w:rPr>
          <w:lang w:eastAsia="zh-TW"/>
        </w:rPr>
      </w:pPr>
      <w:r w:rsidRPr="00321574">
        <w:rPr>
          <w:rStyle w:val="af7"/>
          <w:rFonts w:eastAsia="新細明體"/>
          <w:kern w:val="2"/>
          <w:szCs w:val="20"/>
        </w:rPr>
        <w:footnoteRef/>
      </w:r>
      <w:r w:rsidRPr="00321574">
        <w:rPr>
          <w:rFonts w:ascii="Arial Unicode MS" w:eastAsia="新細明體" w:hAnsi="Arial Unicode MS"/>
          <w:color w:val="FF6600"/>
          <w:kern w:val="2"/>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國境系境管組洪姍渝同學之高見。</w:t>
      </w:r>
    </w:p>
  </w:footnote>
  <w:footnote w:id="459">
    <w:p w:rsidR="00657FEF" w:rsidRPr="008147DC" w:rsidRDefault="00657FEF" w:rsidP="00992AB6">
      <w:pPr>
        <w:pStyle w:val="5"/>
        <w:rPr>
          <w:lang w:eastAsia="zh-TW"/>
        </w:rPr>
      </w:pPr>
      <w:r w:rsidRPr="00321574">
        <w:rPr>
          <w:rStyle w:val="af7"/>
          <w:rFonts w:eastAsia="新細明體"/>
          <w:kern w:val="2"/>
          <w:szCs w:val="20"/>
        </w:rPr>
        <w:footnoteRef/>
      </w:r>
      <w:r w:rsidRPr="00321574">
        <w:rPr>
          <w:rFonts w:ascii="Arial Unicode MS" w:eastAsia="新細明體" w:hAnsi="Arial Unicode MS"/>
          <w:color w:val="FF6600"/>
          <w:kern w:val="2"/>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國境系境管組吳佳承同學之高見。</w:t>
      </w:r>
    </w:p>
  </w:footnote>
  <w:footnote w:id="460">
    <w:p w:rsidR="00657FEF" w:rsidRPr="008147DC" w:rsidRDefault="00657FEF" w:rsidP="00992AB6">
      <w:pPr>
        <w:pStyle w:val="5"/>
        <w:rPr>
          <w:lang w:eastAsia="zh-TW"/>
        </w:rPr>
      </w:pPr>
      <w:r w:rsidRPr="00AC655E">
        <w:rPr>
          <w:rStyle w:val="af7"/>
          <w:rFonts w:eastAsia="新細明體"/>
          <w:kern w:val="2"/>
          <w:szCs w:val="20"/>
        </w:rPr>
        <w:footnoteRef/>
      </w:r>
      <w:r w:rsidRPr="008147DC">
        <w:rPr>
          <w:rStyle w:val="af7"/>
          <w:rFonts w:asciiTheme="minorEastAsia" w:eastAsiaTheme="minorEastAsia" w:hAnsiTheme="minorEastAsia"/>
          <w:szCs w:val="20"/>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國境系境管組郭力維同學之高見。</w:t>
      </w:r>
    </w:p>
  </w:footnote>
  <w:footnote w:id="461">
    <w:p w:rsidR="00657FEF" w:rsidRPr="008147DC" w:rsidRDefault="00657FEF" w:rsidP="00992AB6">
      <w:pPr>
        <w:pStyle w:val="5"/>
        <w:rPr>
          <w:lang w:eastAsia="zh-TW"/>
        </w:rPr>
      </w:pPr>
      <w:r w:rsidRPr="00AC655E">
        <w:rPr>
          <w:rStyle w:val="af7"/>
          <w:rFonts w:eastAsia="新細明體"/>
          <w:kern w:val="2"/>
          <w:szCs w:val="20"/>
        </w:rPr>
        <w:footnoteRef/>
      </w:r>
      <w:r w:rsidRPr="00AC655E">
        <w:rPr>
          <w:rFonts w:ascii="Arial Unicode MS" w:eastAsia="新細明體" w:hAnsi="Arial Unicode MS"/>
          <w:color w:val="FF6600"/>
          <w:kern w:val="2"/>
          <w:lang w:eastAsia="zh-TW"/>
        </w:rPr>
        <w:t xml:space="preserve"> </w:t>
      </w:r>
      <w:r w:rsidRPr="008147DC">
        <w:rPr>
          <w:lang w:eastAsia="zh-TW"/>
        </w:rPr>
        <w:tab/>
      </w:r>
      <w:r w:rsidRPr="008147DC">
        <w:rPr>
          <w:lang w:eastAsia="zh-TW"/>
        </w:rPr>
        <w:t>感謝警大</w:t>
      </w:r>
      <w:r w:rsidRPr="008147DC">
        <w:rPr>
          <w:lang w:eastAsia="zh-TW"/>
        </w:rPr>
        <w:t>841</w:t>
      </w:r>
      <w:r w:rsidRPr="008147DC">
        <w:rPr>
          <w:lang w:eastAsia="zh-TW"/>
        </w:rPr>
        <w:t>國境系境管組李鎔全同學之高見。</w:t>
      </w:r>
    </w:p>
  </w:footnote>
  <w:footnote w:id="462">
    <w:p w:rsidR="00657FEF" w:rsidRPr="008147DC" w:rsidRDefault="00657FEF" w:rsidP="00992AB6">
      <w:pPr>
        <w:pStyle w:val="5"/>
        <w:rPr>
          <w:lang w:eastAsia="zh-TW"/>
        </w:rPr>
      </w:pPr>
      <w:r w:rsidRPr="00306B20">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孟維德（</w:t>
      </w:r>
      <w:r w:rsidRPr="008147DC">
        <w:rPr>
          <w:lang w:eastAsia="zh-TW"/>
        </w:rPr>
        <w:t>2014</w:t>
      </w:r>
      <w:r w:rsidRPr="008147DC">
        <w:rPr>
          <w:lang w:eastAsia="zh-TW"/>
        </w:rPr>
        <w:t>），犯罪分析與安全治理（增訂新版），臺北：五南圖書。</w:t>
      </w:r>
    </w:p>
  </w:footnote>
  <w:footnote w:id="463">
    <w:p w:rsidR="00657FEF" w:rsidRPr="008147DC" w:rsidRDefault="00657FEF" w:rsidP="00992AB6">
      <w:pPr>
        <w:pStyle w:val="5"/>
        <w:rPr>
          <w:lang w:eastAsia="zh-TW"/>
        </w:rPr>
      </w:pPr>
      <w:r w:rsidRPr="00321574">
        <w:rPr>
          <w:rStyle w:val="af7"/>
          <w:rFonts w:eastAsia="新細明體"/>
          <w:kern w:val="2"/>
        </w:rPr>
        <w:footnoteRef/>
      </w:r>
      <w:r w:rsidRPr="00321574">
        <w:rPr>
          <w:rFonts w:ascii="Arial Unicode MS" w:eastAsia="新細明體" w:hAnsi="Arial Unicode MS"/>
          <w:color w:val="FF6600"/>
          <w:kern w:val="2"/>
          <w:lang w:eastAsia="zh-TW"/>
        </w:rPr>
        <w:t xml:space="preserve"> </w:t>
      </w:r>
      <w:r w:rsidRPr="008147DC">
        <w:rPr>
          <w:lang w:eastAsia="zh-TW"/>
        </w:rPr>
        <w:t>國籍法第</w:t>
      </w:r>
      <w:r w:rsidRPr="008147DC">
        <w:rPr>
          <w:lang w:eastAsia="zh-TW"/>
        </w:rPr>
        <w:t>3</w:t>
      </w:r>
      <w:r w:rsidRPr="008147DC">
        <w:rPr>
          <w:lang w:eastAsia="zh-TW"/>
        </w:rPr>
        <w:t>條之「品行端正，且無警察刑事紀錄證明之刑事案件紀錄」之立法說明，如下所述：</w:t>
      </w:r>
    </w:p>
    <w:p w:rsidR="00657FEF" w:rsidRPr="00321574" w:rsidRDefault="00657FEF" w:rsidP="00992AB6">
      <w:pPr>
        <w:pStyle w:val="5"/>
        <w:rPr>
          <w:color w:val="5F5F5F"/>
          <w:lang w:eastAsia="zh-TW"/>
        </w:rPr>
      </w:pPr>
      <w:r w:rsidRPr="008147DC">
        <w:rPr>
          <w:lang w:eastAsia="zh-TW"/>
        </w:rPr>
        <w:t>一、配合警察刑事紀錄證明核發條例用語，修正第一項第三款為「品行端正，且無警察刑事紀錄證明之刑事案</w:t>
      </w:r>
      <w:r w:rsidRPr="00321574">
        <w:rPr>
          <w:color w:val="5F5F5F"/>
          <w:lang w:eastAsia="zh-TW"/>
        </w:rPr>
        <w:t>件紀錄」。</w:t>
      </w:r>
    </w:p>
    <w:p w:rsidR="00657FEF" w:rsidRPr="00321574" w:rsidRDefault="00657FEF" w:rsidP="00992AB6">
      <w:pPr>
        <w:pStyle w:val="5"/>
        <w:rPr>
          <w:lang w:eastAsia="zh-TW"/>
        </w:rPr>
      </w:pPr>
      <w:r w:rsidRPr="00321574">
        <w:rPr>
          <w:lang w:eastAsia="zh-TW"/>
        </w:rPr>
        <w:t>二、第一項三款所稱「品行端正</w:t>
      </w:r>
      <w:r w:rsidRPr="00321574">
        <w:rPr>
          <w:lang w:eastAsia="zh-TW"/>
        </w:rPr>
        <w:t xml:space="preserve"> </w:t>
      </w:r>
      <w:r w:rsidRPr="00321574">
        <w:rPr>
          <w:lang w:eastAsia="zh-TW"/>
        </w:rPr>
        <w:t>」，係指無下列行為：</w:t>
      </w:r>
    </w:p>
    <w:p w:rsidR="00657FEF" w:rsidRPr="00321574" w:rsidRDefault="00657FEF" w:rsidP="00992AB6">
      <w:pPr>
        <w:pStyle w:val="5"/>
        <w:rPr>
          <w:lang w:eastAsia="zh-TW"/>
        </w:rPr>
      </w:pPr>
      <w:r w:rsidRPr="00321574">
        <w:rPr>
          <w:lang w:eastAsia="zh-TW"/>
        </w:rPr>
        <w:t>（一）違反社會秩序維護法中第二章妨害善良風俗之行為。</w:t>
      </w:r>
    </w:p>
    <w:p w:rsidR="00657FEF" w:rsidRPr="00321574" w:rsidRDefault="00657FEF" w:rsidP="00992AB6">
      <w:pPr>
        <w:pStyle w:val="5"/>
        <w:rPr>
          <w:lang w:eastAsia="zh-TW"/>
        </w:rPr>
      </w:pPr>
      <w:r w:rsidRPr="00321574">
        <w:rPr>
          <w:lang w:eastAsia="zh-TW"/>
        </w:rPr>
        <w:t>（二）妨害婚姻或家庭，經檢察官提起公訴。但經法院判決無罪或不受理確定者，不在此限。</w:t>
      </w:r>
    </w:p>
    <w:p w:rsidR="00657FEF" w:rsidRPr="00321574" w:rsidRDefault="00657FEF" w:rsidP="00992AB6">
      <w:pPr>
        <w:pStyle w:val="5"/>
        <w:rPr>
          <w:lang w:eastAsia="zh-TW"/>
        </w:rPr>
      </w:pPr>
      <w:r w:rsidRPr="00321574">
        <w:rPr>
          <w:lang w:eastAsia="zh-TW"/>
        </w:rPr>
        <w:t>（三）從事、媒合或教唆他人坐檯陪酒或脫衣陪酒。</w:t>
      </w:r>
    </w:p>
    <w:p w:rsidR="00657FEF" w:rsidRPr="00321574" w:rsidRDefault="00657FEF" w:rsidP="00992AB6">
      <w:pPr>
        <w:pStyle w:val="5"/>
        <w:rPr>
          <w:lang w:eastAsia="zh-TW"/>
        </w:rPr>
      </w:pPr>
      <w:r w:rsidRPr="00321574">
        <w:rPr>
          <w:lang w:eastAsia="zh-TW"/>
        </w:rPr>
        <w:t>（四）經相關機查獲走私或運送、販賣違禁品。</w:t>
      </w:r>
    </w:p>
    <w:p w:rsidR="00657FEF" w:rsidRPr="008147DC" w:rsidRDefault="00657FEF" w:rsidP="00992AB6">
      <w:pPr>
        <w:pStyle w:val="5"/>
        <w:rPr>
          <w:lang w:eastAsia="zh-TW"/>
        </w:rPr>
      </w:pPr>
      <w:r w:rsidRPr="008147DC">
        <w:rPr>
          <w:lang w:eastAsia="zh-TW"/>
        </w:rPr>
        <w:t>（五）出於自願施用毒品。</w:t>
      </w:r>
    </w:p>
    <w:p w:rsidR="00657FEF" w:rsidRPr="008147DC" w:rsidRDefault="00657FEF" w:rsidP="00992AB6">
      <w:pPr>
        <w:pStyle w:val="5"/>
        <w:rPr>
          <w:lang w:eastAsia="zh-TW"/>
        </w:rPr>
      </w:pPr>
      <w:r w:rsidRPr="008147DC">
        <w:rPr>
          <w:lang w:eastAsia="zh-TW"/>
        </w:rPr>
        <w:t>（六）其他經內政部認定為品行不端行為。</w:t>
      </w:r>
    </w:p>
    <w:p w:rsidR="00657FEF" w:rsidRPr="008147DC" w:rsidRDefault="00657FEF" w:rsidP="00992AB6">
      <w:pPr>
        <w:pStyle w:val="5"/>
        <w:rPr>
          <w:lang w:eastAsia="zh-TW"/>
        </w:rPr>
      </w:pPr>
      <w:r w:rsidRPr="008147DC">
        <w:rPr>
          <w:lang w:eastAsia="zh-TW"/>
        </w:rPr>
        <w:t>三、第二項增列品行端正要件之認定，由內政部定之等法律授權文字，以資明確。</w:t>
      </w:r>
    </w:p>
  </w:footnote>
  <w:footnote w:id="464">
    <w:p w:rsidR="00657FEF" w:rsidRPr="00321574" w:rsidRDefault="00657FEF" w:rsidP="00992AB6">
      <w:pPr>
        <w:pStyle w:val="5"/>
        <w:rPr>
          <w:lang w:eastAsia="zh-TW"/>
        </w:rPr>
      </w:pPr>
      <w:r w:rsidRPr="00321574">
        <w:rPr>
          <w:rStyle w:val="af7"/>
          <w:rFonts w:eastAsia="新細明體"/>
          <w:kern w:val="2"/>
          <w:szCs w:val="20"/>
        </w:rPr>
        <w:footnoteRef/>
      </w:r>
      <w:r w:rsidRPr="00321574">
        <w:rPr>
          <w:lang w:eastAsia="zh-TW"/>
        </w:rPr>
        <w:t xml:space="preserve"> </w:t>
      </w:r>
      <w:r w:rsidRPr="00321574">
        <w:rPr>
          <w:lang w:eastAsia="zh-TW"/>
        </w:rPr>
        <w:t>國籍法修正條文第四條之立法說明，如下所述：</w:t>
      </w:r>
    </w:p>
    <w:p w:rsidR="00657FEF" w:rsidRPr="00321574" w:rsidRDefault="00657FEF" w:rsidP="00992AB6">
      <w:pPr>
        <w:pStyle w:val="5"/>
        <w:rPr>
          <w:lang w:eastAsia="zh-TW"/>
        </w:rPr>
      </w:pPr>
      <w:r w:rsidRPr="00321574">
        <w:rPr>
          <w:lang w:eastAsia="zh-TW"/>
        </w:rPr>
        <w:t>一、外國人喪失國人配偶身分，因家暴遭受身體或精神虐待等因素經法院依家庭暴力防治法核發民事保護令，其後離婚未再婚，因離婚原因不可歸責於外籍配偶；或於配偶死亡後未再婚且有扶養其配偶父母，誠屬可貴，宜比照我國國民配偶之身分適用較寬鬆之規定，爰增訂第一項第二款</w:t>
      </w:r>
      <w:r>
        <w:rPr>
          <w:lang w:eastAsia="zh-TW"/>
        </w:rPr>
        <w:t>。</w:t>
      </w:r>
    </w:p>
    <w:p w:rsidR="00657FEF" w:rsidRPr="00321574" w:rsidRDefault="00657FEF" w:rsidP="00992AB6">
      <w:pPr>
        <w:pStyle w:val="5"/>
        <w:rPr>
          <w:lang w:eastAsia="zh-TW"/>
        </w:rPr>
      </w:pPr>
      <w:r w:rsidRPr="00321574">
        <w:rPr>
          <w:lang w:eastAsia="zh-TW"/>
        </w:rPr>
        <w:t>二、考量喪偶或離婚後之外籍配偶以及與我國人無婚姻關係之外國人或無國籍人，對婚姻或認領等所生無行為能力或限制行為能力之我國籍子女行使負擔權利義務或監護時，其承擔教養我國籍子女之責任，並善盡為人父母之職責，誠屬有心加入我國社會，且因係單親家庭，須同時負擔家庭經濟，處境更加困難，如無法比照我國國民配偶之身分適用較寬鬆之規定，與人情相違，為利外國籍或無國籍父或母教養照護其子女，爰增訂第一項第三款規定，現行第二款至第四款款次遞移為第四款至第六款。</w:t>
      </w:r>
    </w:p>
  </w:footnote>
  <w:footnote w:id="465">
    <w:p w:rsidR="00657FEF" w:rsidRPr="00321574" w:rsidRDefault="00657FEF" w:rsidP="00992AB6">
      <w:pPr>
        <w:pStyle w:val="5"/>
        <w:rPr>
          <w:lang w:eastAsia="zh-TW"/>
        </w:rPr>
      </w:pPr>
      <w:r w:rsidRPr="00321574">
        <w:rPr>
          <w:rStyle w:val="af7"/>
          <w:rFonts w:eastAsia="新細明體"/>
          <w:kern w:val="2"/>
          <w:szCs w:val="20"/>
        </w:rPr>
        <w:footnoteRef/>
      </w:r>
      <w:r w:rsidRPr="00321574">
        <w:rPr>
          <w:rFonts w:ascii="Arial Unicode MS" w:eastAsia="新細明體" w:hAnsi="Arial Unicode MS"/>
          <w:color w:val="FF6600"/>
          <w:kern w:val="2"/>
          <w:lang w:eastAsia="zh-TW"/>
        </w:rPr>
        <w:t xml:space="preserve"> </w:t>
      </w:r>
      <w:r w:rsidRPr="00321574">
        <w:rPr>
          <w:lang w:eastAsia="zh-TW"/>
        </w:rPr>
        <w:t>國籍法修正條文第九條之立法說明，如下所述：</w:t>
      </w:r>
    </w:p>
    <w:p w:rsidR="00657FEF" w:rsidRPr="00321574" w:rsidRDefault="00657FEF" w:rsidP="00992AB6">
      <w:pPr>
        <w:pStyle w:val="5"/>
        <w:rPr>
          <w:lang w:eastAsia="zh-TW"/>
        </w:rPr>
      </w:pPr>
      <w:r w:rsidRPr="00321574">
        <w:rPr>
          <w:lang w:eastAsia="zh-TW"/>
        </w:rPr>
        <w:t>綜觀目前國際人才競逐，為提升國家競爭力，部分國家積極增加誘因吸引外國籍人才，如韓國自二零一零年一月起，新修訂之國籍法已有條件允許雙重（多重）國籍，其適用對象為對韓國有特殊重大貢獻及傑出專才之外國人。而我國於延攬優秀專業人才時，囿於相關法令限制，致誘因不足，失去攬才、留才先機。為避免全面開放雙重國籍疑慮及兼顧現實需要，爰增列第三項第一款及第二款，使有殊勳於我國者（現行條文第六條）或由中央目的事業主管機關推薦科技、經濟、教育、文化、藝術、體育及其他領域之高級專業人才，有助中華民國利益，並經內政部邀請社會公正人士及相關機關共同審核通過者，申請歸化無須喪失原有國籍。</w:t>
      </w:r>
    </w:p>
    <w:p w:rsidR="00657FEF" w:rsidRPr="00321574" w:rsidRDefault="00657FEF" w:rsidP="00992AB6">
      <w:pPr>
        <w:pStyle w:val="5"/>
        <w:rPr>
          <w:lang w:eastAsia="zh-TW"/>
        </w:rPr>
      </w:pPr>
      <w:r w:rsidRPr="00321574">
        <w:rPr>
          <w:lang w:eastAsia="zh-TW"/>
        </w:rPr>
        <w:t>為期第三項第二款高級專業人才有一致之認定標準，爰作第四項規定。另第三項第二款所定</w:t>
      </w:r>
      <w:r w:rsidRPr="00321574">
        <w:rPr>
          <w:lang w:eastAsia="zh-TW"/>
        </w:rPr>
        <w:t xml:space="preserve">  </w:t>
      </w:r>
      <w:r w:rsidRPr="00321574">
        <w:rPr>
          <w:lang w:eastAsia="zh-TW"/>
        </w:rPr>
        <w:t>「其他領域」包括民主、人權、宗教、金融、醫學、公路、高速鐵路、捷運系統、電信、飛航、航運、深水建設、氣象或地震等領域，為避免遺漏，未來於高級專業人才認定標準詳細規範，以求周延。</w:t>
      </w:r>
    </w:p>
  </w:footnote>
  <w:footnote w:id="466">
    <w:p w:rsidR="00657FEF" w:rsidRPr="00321574" w:rsidRDefault="00657FEF" w:rsidP="00992AB6">
      <w:pPr>
        <w:pStyle w:val="5"/>
        <w:rPr>
          <w:lang w:eastAsia="zh-TW"/>
        </w:rPr>
      </w:pPr>
      <w:r w:rsidRPr="00321574">
        <w:rPr>
          <w:rStyle w:val="af7"/>
          <w:rFonts w:eastAsia="新細明體"/>
          <w:kern w:val="2"/>
          <w:szCs w:val="20"/>
        </w:rPr>
        <w:footnoteRef/>
      </w:r>
      <w:r w:rsidRPr="00321574">
        <w:rPr>
          <w:rFonts w:ascii="Arial Unicode MS" w:eastAsia="新細明體" w:hAnsi="Arial Unicode MS"/>
          <w:color w:val="FF6600"/>
          <w:kern w:val="2"/>
          <w:lang w:eastAsia="zh-TW"/>
        </w:rPr>
        <w:t xml:space="preserve"> </w:t>
      </w:r>
      <w:r w:rsidRPr="00321574">
        <w:rPr>
          <w:lang w:eastAsia="zh-TW"/>
        </w:rPr>
        <w:t>國籍法修正條文第十一條之立法說明，如下所述：</w:t>
      </w:r>
    </w:p>
    <w:p w:rsidR="00657FEF" w:rsidRPr="00321574" w:rsidRDefault="00657FEF" w:rsidP="00992AB6">
      <w:pPr>
        <w:pStyle w:val="5"/>
        <w:rPr>
          <w:lang w:eastAsia="zh-TW"/>
        </w:rPr>
      </w:pPr>
      <w:r w:rsidRPr="00321574">
        <w:rPr>
          <w:lang w:eastAsia="zh-TW"/>
        </w:rPr>
        <w:t>一、現行實務上，如父或母一方為外國人，因離婚或我國籍配偶死亡致婚姻關係消滅，其未成年子女為取得外國籍之父或母之國籍須先喪失我國國籍時，因父或母本係外國人，因此無法依現行第二項規定隨同父或母喪失我國國籍，又不符合現行第一項第一款及第二款得申請喪失國籍之規定，僅得俟成年後，符合第一項第五款規定始得申請喪失我國國籍。已成年子女受監護宣告如由其外國籍父或母監護，欲申請喪失我國國籍隨同其外國籍父或母生活，依現行規定，亦有無法喪失中華民國國籍之困擾，另現行第一項第四款為外國人之養子女得喪失中華民國國籍之規定，未考量無行為能力人或限制行為能力人為外國人收養者之最佳利益，均有待解決。</w:t>
      </w:r>
    </w:p>
    <w:p w:rsidR="00657FEF" w:rsidRPr="00321574" w:rsidRDefault="00657FEF" w:rsidP="00992AB6">
      <w:pPr>
        <w:pStyle w:val="5"/>
        <w:rPr>
          <w:lang w:eastAsia="zh-TW"/>
        </w:rPr>
      </w:pPr>
      <w:r w:rsidRPr="00321574">
        <w:rPr>
          <w:lang w:eastAsia="zh-TW"/>
        </w:rPr>
        <w:t>二、目前國人與外國人通婚頻繁，亦有為外國人收養情形，基於人權保障宜尊重其子女選擇國籍之自由，並考量無行為能力或限制行為能力之子女或養子女與外國籍父、母、養父或養母隨同生活之最佳利益，解決子女或養子女與外國籍父、母、養父或養母不同國籍困擾，爰將現行條文第一項第一款、第二款及第四款之情事予以合併，列為修正條文第一項第一款，凡由外國籍父、母、養父或養母行使負擔權利義務或監護之無行為能力人或限制行為能力人，為取得同一國籍且隨同至中華民國領域外生活，得申請喪失國籍。現行第一項第三款、第五款移列為修正條文第一項第二款、第三款。</w:t>
      </w:r>
    </w:p>
  </w:footnote>
  <w:footnote w:id="467">
    <w:p w:rsidR="00657FEF" w:rsidRPr="00321574" w:rsidRDefault="00657FEF" w:rsidP="00992AB6">
      <w:pPr>
        <w:pStyle w:val="5"/>
        <w:rPr>
          <w:lang w:eastAsia="zh-TW"/>
        </w:rPr>
      </w:pPr>
      <w:r w:rsidRPr="0044169F">
        <w:rPr>
          <w:rStyle w:val="af7"/>
          <w:rFonts w:eastAsia="新細明體"/>
          <w:kern w:val="2"/>
          <w:szCs w:val="20"/>
        </w:rPr>
        <w:footnoteRef/>
      </w:r>
      <w:r w:rsidRPr="00321574">
        <w:rPr>
          <w:lang w:eastAsia="zh-TW"/>
        </w:rPr>
        <w:t xml:space="preserve">  </w:t>
      </w:r>
      <w:r w:rsidRPr="00321574">
        <w:rPr>
          <w:lang w:eastAsia="zh-TW"/>
        </w:rPr>
        <w:t>國籍法修正條文第十九條之立法說明，如下所述：修正條文第九條第一項已對未補提喪失原有國籍證明之歸化者規定行使撤銷權之除斥期間，爰明定作為本條之除外規定。</w:t>
      </w:r>
    </w:p>
  </w:footnote>
  <w:footnote w:id="468">
    <w:p w:rsidR="00657FEF" w:rsidRPr="008147DC" w:rsidRDefault="00657FEF" w:rsidP="00992AB6">
      <w:pPr>
        <w:pStyle w:val="5"/>
        <w:rPr>
          <w:lang w:eastAsia="zh-TW"/>
        </w:rPr>
      </w:pPr>
      <w:r w:rsidRPr="00321574">
        <w:rPr>
          <w:rStyle w:val="af7"/>
          <w:rFonts w:eastAsia="新細明體"/>
          <w:kern w:val="2"/>
        </w:rPr>
        <w:footnoteRef/>
      </w:r>
      <w:r w:rsidRPr="008147DC">
        <w:rPr>
          <w:lang w:eastAsia="zh-TW"/>
        </w:rPr>
        <w:t xml:space="preserve"> </w:t>
      </w:r>
      <w:r w:rsidRPr="008147DC">
        <w:rPr>
          <w:lang w:eastAsia="zh-TW"/>
        </w:rPr>
        <w:t>內政部原始版本之國籍法修正草案總說明之中，在撤銷國籍之行政程序方面，並未有須經過內政部之審查會，並賦予當事人有陳述意見之行政聽證之機會之條文修正提案，此部分係為新增。</w:t>
      </w:r>
    </w:p>
  </w:footnote>
  <w:footnote w:id="469">
    <w:p w:rsidR="00657FEF" w:rsidRPr="008147DC" w:rsidRDefault="00657FEF" w:rsidP="00992AB6">
      <w:pPr>
        <w:pStyle w:val="5"/>
        <w:rPr>
          <w:lang w:eastAsia="zh-TW"/>
        </w:rPr>
      </w:pPr>
      <w:r w:rsidRPr="00321574">
        <w:rPr>
          <w:rStyle w:val="af7"/>
          <w:rFonts w:eastAsia="新細明體"/>
          <w:kern w:val="2"/>
          <w:szCs w:val="20"/>
        </w:rPr>
        <w:footnoteRef/>
      </w:r>
      <w:r w:rsidRPr="008147DC">
        <w:rPr>
          <w:shd w:val="clear" w:color="auto" w:fill="FFFFFF"/>
        </w:rPr>
        <w:t xml:space="preserve"> </w:t>
      </w:r>
      <w:r w:rsidRPr="008147DC">
        <w:rPr>
          <w:shd w:val="clear" w:color="auto" w:fill="FFFFFF"/>
        </w:rPr>
        <w:tab/>
        <w:t>Razin, A., &amp; Sadka, E. (1999). Migration and pension with international capital mobility.</w:t>
      </w:r>
      <w:r w:rsidRPr="008147DC">
        <w:rPr>
          <w:rStyle w:val="apple-converted-space"/>
          <w:rFonts w:asciiTheme="minorEastAsia" w:eastAsiaTheme="minorEastAsia" w:hAnsiTheme="minorEastAsia"/>
          <w:shd w:val="clear" w:color="auto" w:fill="FFFFFF"/>
        </w:rPr>
        <w:t> </w:t>
      </w:r>
      <w:r w:rsidRPr="008147DC">
        <w:rPr>
          <w:shd w:val="clear" w:color="auto" w:fill="FFFFFF"/>
          <w:lang w:eastAsia="zh-TW"/>
        </w:rPr>
        <w:t>Journal of Public Economics,</w:t>
      </w:r>
      <w:r w:rsidRPr="008147DC">
        <w:rPr>
          <w:rStyle w:val="apple-converted-space"/>
          <w:rFonts w:asciiTheme="minorEastAsia" w:eastAsiaTheme="minorEastAsia" w:hAnsiTheme="minorEastAsia"/>
          <w:shd w:val="clear" w:color="auto" w:fill="FFFFFF"/>
          <w:lang w:eastAsia="zh-TW"/>
        </w:rPr>
        <w:t> </w:t>
      </w:r>
      <w:r w:rsidRPr="008147DC">
        <w:rPr>
          <w:shd w:val="clear" w:color="auto" w:fill="FFFFFF"/>
          <w:lang w:eastAsia="zh-TW"/>
        </w:rPr>
        <w:t>74(1), pp141-150.</w:t>
      </w:r>
    </w:p>
  </w:footnote>
  <w:footnote w:id="470">
    <w:p w:rsidR="00657FEF" w:rsidRPr="008147DC" w:rsidRDefault="00657FEF" w:rsidP="00992AB6">
      <w:pPr>
        <w:pStyle w:val="5"/>
        <w:rPr>
          <w:lang w:eastAsia="zh-TW"/>
        </w:rPr>
      </w:pPr>
      <w:r w:rsidRPr="00306B20">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柯雨瑞（</w:t>
      </w:r>
      <w:r w:rsidRPr="008147DC">
        <w:rPr>
          <w:lang w:eastAsia="zh-TW"/>
        </w:rPr>
        <w:t>2004</w:t>
      </w:r>
      <w:r w:rsidRPr="008147DC">
        <w:rPr>
          <w:lang w:eastAsia="zh-TW"/>
        </w:rPr>
        <w:t>），我國移民管理機關之組織定為與未來發展</w:t>
      </w:r>
      <w:r w:rsidRPr="008147DC">
        <w:rPr>
          <w:spacing w:val="-8"/>
          <w:lang w:eastAsia="zh-TW"/>
        </w:rPr>
        <w:t>─</w:t>
      </w:r>
      <w:r w:rsidRPr="008147DC">
        <w:rPr>
          <w:lang w:eastAsia="zh-TW"/>
        </w:rPr>
        <w:t>─</w:t>
      </w:r>
      <w:r w:rsidRPr="008147DC">
        <w:rPr>
          <w:lang w:eastAsia="zh-TW"/>
        </w:rPr>
        <w:t>美國聯邦移民管理機關之啟示，警學叢刊，</w:t>
      </w:r>
      <w:r w:rsidRPr="008147DC">
        <w:rPr>
          <w:lang w:eastAsia="zh-TW"/>
        </w:rPr>
        <w:t>34</w:t>
      </w:r>
      <w:r w:rsidRPr="008147DC">
        <w:rPr>
          <w:lang w:eastAsia="zh-TW"/>
        </w:rPr>
        <w:t>卷</w:t>
      </w:r>
      <w:r w:rsidRPr="008147DC">
        <w:rPr>
          <w:lang w:eastAsia="zh-TW"/>
        </w:rPr>
        <w:t>6</w:t>
      </w:r>
      <w:r w:rsidRPr="008147DC">
        <w:rPr>
          <w:lang w:eastAsia="zh-TW"/>
        </w:rPr>
        <w:t>期，頁</w:t>
      </w:r>
      <w:r w:rsidRPr="008147DC">
        <w:rPr>
          <w:lang w:eastAsia="zh-TW"/>
        </w:rPr>
        <w:t>179-180</w:t>
      </w:r>
      <w:r w:rsidRPr="008147DC">
        <w:rPr>
          <w:lang w:eastAsia="zh-TW"/>
        </w:rPr>
        <w:t>。</w:t>
      </w:r>
    </w:p>
  </w:footnote>
  <w:footnote w:id="471">
    <w:p w:rsidR="00657FEF" w:rsidRPr="008147DC" w:rsidRDefault="00657FEF" w:rsidP="00992AB6">
      <w:pPr>
        <w:pStyle w:val="5"/>
        <w:rPr>
          <w:lang w:eastAsia="zh-TW"/>
        </w:rPr>
      </w:pPr>
      <w:r w:rsidRPr="00992AB6">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知識管理整體效益之發揮仍需要結合「人」、「資訊科技」、「知識」及「分享」等四大要素，以期能開發成員之思考、創造力、並提升機關組織之整體競爭力，以上，請參閱：簡吉照（</w:t>
      </w:r>
      <w:r w:rsidRPr="008147DC">
        <w:rPr>
          <w:lang w:eastAsia="zh-TW"/>
        </w:rPr>
        <w:t>2002</w:t>
      </w:r>
      <w:r w:rsidRPr="008147DC">
        <w:rPr>
          <w:lang w:eastAsia="zh-TW"/>
        </w:rPr>
        <w:t>），知識管理我國警察人力資源發展之新策略，警學叢刊，</w:t>
      </w:r>
      <w:r w:rsidRPr="008147DC">
        <w:rPr>
          <w:lang w:eastAsia="zh-TW"/>
        </w:rPr>
        <w:t>32</w:t>
      </w:r>
      <w:r w:rsidRPr="008147DC">
        <w:rPr>
          <w:lang w:eastAsia="zh-TW"/>
        </w:rPr>
        <w:t>卷</w:t>
      </w:r>
      <w:r w:rsidRPr="008147DC">
        <w:rPr>
          <w:lang w:eastAsia="zh-TW"/>
        </w:rPr>
        <w:t>5</w:t>
      </w:r>
      <w:r w:rsidRPr="008147DC">
        <w:rPr>
          <w:lang w:eastAsia="zh-TW"/>
        </w:rPr>
        <w:t>期，頁</w:t>
      </w:r>
      <w:r w:rsidRPr="008147DC">
        <w:rPr>
          <w:lang w:eastAsia="zh-TW"/>
        </w:rPr>
        <w:t>293-294</w:t>
      </w:r>
      <w:r w:rsidRPr="008147DC">
        <w:rPr>
          <w:lang w:eastAsia="zh-TW"/>
        </w:rPr>
        <w:t>。</w:t>
      </w:r>
    </w:p>
  </w:footnote>
  <w:footnote w:id="472">
    <w:p w:rsidR="00657FEF" w:rsidRPr="008147DC" w:rsidRDefault="00657FEF" w:rsidP="00306B20">
      <w:pPr>
        <w:pStyle w:val="5"/>
        <w:jc w:val="left"/>
      </w:pPr>
      <w:r w:rsidRPr="00321574">
        <w:rPr>
          <w:rStyle w:val="af7"/>
          <w:rFonts w:eastAsia="新細明體"/>
          <w:kern w:val="2"/>
        </w:rPr>
        <w:footnoteRef/>
      </w:r>
      <w:r w:rsidRPr="008147DC">
        <w:t xml:space="preserve"> </w:t>
      </w:r>
      <w:r w:rsidRPr="008147DC">
        <w:t>大陸國台辦</w:t>
      </w:r>
      <w:r w:rsidRPr="008147DC">
        <w:t>31</w:t>
      </w:r>
      <w:r w:rsidRPr="008147DC">
        <w:t>條惠台措施全文，奇摩理財網，</w:t>
      </w:r>
      <w:r w:rsidRPr="008147DC">
        <w:t>2018</w:t>
      </w:r>
      <w:r w:rsidRPr="008147DC">
        <w:t>年</w:t>
      </w:r>
      <w:r w:rsidRPr="008147DC">
        <w:t>3</w:t>
      </w:r>
      <w:r w:rsidRPr="008147DC">
        <w:t>月</w:t>
      </w:r>
      <w:r w:rsidRPr="008147DC">
        <w:t>1</w:t>
      </w:r>
      <w:r w:rsidRPr="008147DC">
        <w:t>日，網址：</w:t>
      </w:r>
      <w:hyperlink r:id="rId126" w:history="1">
        <w:r w:rsidRPr="009A7CC3">
          <w:rPr>
            <w:rStyle w:val="a7"/>
            <w:rFonts w:ascii="Arial Unicode MS" w:eastAsia="新細明體" w:hAnsi="Arial Unicode MS" w:cs="Calibri"/>
            <w:color w:val="5F5F5F"/>
            <w:kern w:val="2"/>
            <w:sz w:val="18"/>
            <w:lang w:eastAsia="zh-TW" w:bidi="ar-SA"/>
          </w:rPr>
          <w:t>https://tw.money.yahoo.com/%E5%A4%A7%E9%99%B8%E5%9C%8B%E5%8F%B0%E8%BE%A631%E6%A2%9D%E6%83%A0%E5%8F%B0%E6%8E%AA%E6%96%BD%E5%85%A8%E6%96%87030333400.html?guccounter=1</w:t>
        </w:r>
      </w:hyperlink>
      <w:r w:rsidRPr="009A7CC3">
        <w:rPr>
          <w:color w:val="5F5F5F"/>
        </w:rPr>
        <w:t>，瀏覽</w:t>
      </w:r>
      <w:r w:rsidRPr="008147DC">
        <w:t>日期：</w:t>
      </w:r>
      <w:r w:rsidRPr="008147DC">
        <w:t>2018</w:t>
      </w:r>
      <w:r w:rsidRPr="008147DC">
        <w:t>年</w:t>
      </w:r>
      <w:r w:rsidRPr="008147DC">
        <w:t>6</w:t>
      </w:r>
      <w:r w:rsidRPr="008147DC">
        <w:t>月</w:t>
      </w:r>
      <w:r w:rsidRPr="008147DC">
        <w:t>10</w:t>
      </w:r>
      <w:r w:rsidRPr="008147DC">
        <w:t>日。</w:t>
      </w:r>
    </w:p>
  </w:footnote>
  <w:footnote w:id="473">
    <w:p w:rsidR="00657FEF" w:rsidRPr="008147DC" w:rsidRDefault="00657FEF" w:rsidP="00992AB6">
      <w:pPr>
        <w:pStyle w:val="5"/>
        <w:rPr>
          <w:lang w:eastAsia="zh-TW"/>
        </w:rPr>
      </w:pPr>
      <w:r w:rsidRPr="00AB7AEA">
        <w:rPr>
          <w:rStyle w:val="af7"/>
          <w:szCs w:val="20"/>
        </w:rPr>
        <w:footnoteRef/>
      </w:r>
      <w:r w:rsidRPr="008147DC">
        <w:rPr>
          <w:lang w:eastAsia="zh-TW"/>
        </w:rPr>
        <w:t xml:space="preserve"> </w:t>
      </w:r>
      <w:r w:rsidRPr="008147DC">
        <w:rPr>
          <w:lang w:eastAsia="zh-TW"/>
        </w:rPr>
        <w:tab/>
      </w:r>
      <w:r w:rsidRPr="008147DC">
        <w:rPr>
          <w:lang w:eastAsia="zh-TW"/>
        </w:rPr>
        <w:t>有關於本文之此一觀點，謝立功教授亦於「型塑尊重多元，欣賞差異之移民社會」乙文中指出，台灣人民實宜欣賞外來之多元文化，達到多元、不同族群，於台灣共同生活之目標。以上，請參閱：謝立功、張先正、汪毓瑋、謝文忠、柯文麗（</w:t>
      </w:r>
      <w:r w:rsidRPr="008147DC">
        <w:rPr>
          <w:lang w:eastAsia="zh-TW"/>
        </w:rPr>
        <w:t>2013</w:t>
      </w:r>
      <w:r w:rsidRPr="008147DC">
        <w:rPr>
          <w:lang w:eastAsia="zh-TW"/>
        </w:rPr>
        <w:t>），美國移民政策之發展，新北市：人類智庫，頁</w:t>
      </w:r>
      <w:r w:rsidRPr="008147DC">
        <w:rPr>
          <w:lang w:eastAsia="zh-TW"/>
        </w:rPr>
        <w:t>2-3</w:t>
      </w:r>
      <w:r w:rsidRPr="008147DC">
        <w:rPr>
          <w:lang w:eastAsia="zh-TW"/>
        </w:rPr>
        <w:t>。</w:t>
      </w:r>
    </w:p>
  </w:footnote>
  <w:footnote w:id="474">
    <w:p w:rsidR="00657FEF" w:rsidRPr="00321574" w:rsidRDefault="00657FEF" w:rsidP="00992AB6">
      <w:pPr>
        <w:pStyle w:val="5"/>
      </w:pPr>
      <w:r w:rsidRPr="00AB7AEA">
        <w:rPr>
          <w:rStyle w:val="af7"/>
          <w:szCs w:val="20"/>
        </w:rPr>
        <w:footnoteRef/>
      </w:r>
      <w:r w:rsidRPr="008147DC">
        <w:rPr>
          <w:rStyle w:val="af7"/>
          <w:rFonts w:asciiTheme="minorEastAsia" w:eastAsiaTheme="minorEastAsia" w:hAnsiTheme="minorEastAsia"/>
          <w:szCs w:val="20"/>
        </w:rPr>
        <w:t xml:space="preserve"> </w:t>
      </w:r>
      <w:r w:rsidRPr="008147DC">
        <w:tab/>
      </w:r>
      <w:r w:rsidRPr="008147DC">
        <w:t>中華民國統計資訊網（</w:t>
      </w:r>
      <w:r w:rsidRPr="008147DC">
        <w:t>2015</w:t>
      </w:r>
      <w:r w:rsidRPr="008147DC">
        <w:t>），</w:t>
      </w:r>
      <w:r w:rsidRPr="008147DC">
        <w:t>104</w:t>
      </w:r>
      <w:r w:rsidRPr="008147DC">
        <w:t>年</w:t>
      </w:r>
      <w:r w:rsidRPr="008147DC">
        <w:t>5</w:t>
      </w:r>
      <w:r w:rsidRPr="008147DC">
        <w:t>月底工業及服務業受僱員工人數為</w:t>
      </w:r>
      <w:r w:rsidRPr="008147DC">
        <w:t>736</w:t>
      </w:r>
      <w:r w:rsidRPr="008147DC">
        <w:t>萬</w:t>
      </w:r>
      <w:r w:rsidRPr="008147DC">
        <w:t>4</w:t>
      </w:r>
      <w:r w:rsidRPr="008147DC">
        <w:t>千人，本月薪資平均為</w:t>
      </w:r>
      <w:r w:rsidRPr="008147DC">
        <w:t>43,845</w:t>
      </w:r>
      <w:r w:rsidRPr="008147DC">
        <w:t>元，上網瀏覽時間：</w:t>
      </w:r>
      <w:r w:rsidRPr="008147DC">
        <w:t>2015/0</w:t>
      </w:r>
      <w:r w:rsidRPr="00321574">
        <w:t>8/21</w:t>
      </w:r>
      <w:r w:rsidRPr="00321574">
        <w:t>，</w:t>
      </w:r>
      <w:hyperlink r:id="rId127" w:history="1">
        <w:r w:rsidRPr="00321574">
          <w:rPr>
            <w:rStyle w:val="a7"/>
            <w:rFonts w:ascii="Arial Unicode MS" w:eastAsia="新細明體" w:hAnsi="Arial Unicode MS" w:cs="Calibri"/>
            <w:color w:val="5F5F5F"/>
            <w:kern w:val="2"/>
            <w:sz w:val="18"/>
          </w:rPr>
          <w:t>http://www.stat.gov.tw/ct.asp?xItem=37889&amp;ctNode=527&amp;mp=4</w:t>
        </w:r>
      </w:hyperlink>
      <w:r w:rsidRPr="00321574">
        <w:t>。</w:t>
      </w:r>
    </w:p>
  </w:footnote>
  <w:footnote w:id="475">
    <w:p w:rsidR="00657FEF" w:rsidRPr="00321574" w:rsidRDefault="00657FEF" w:rsidP="00992AB6">
      <w:pPr>
        <w:pStyle w:val="5"/>
      </w:pPr>
      <w:r w:rsidRPr="00321574">
        <w:rPr>
          <w:rStyle w:val="af7"/>
          <w:szCs w:val="20"/>
        </w:rPr>
        <w:footnoteRef/>
      </w:r>
      <w:r w:rsidRPr="00321574">
        <w:rPr>
          <w:rStyle w:val="af7"/>
          <w:rFonts w:asciiTheme="minorEastAsia" w:eastAsiaTheme="minorEastAsia" w:hAnsiTheme="minorEastAsia"/>
          <w:szCs w:val="20"/>
        </w:rPr>
        <w:t xml:space="preserve"> </w:t>
      </w:r>
      <w:r w:rsidRPr="00321574">
        <w:tab/>
      </w:r>
      <w:r w:rsidRPr="00321574">
        <w:t>陳香如、郭哲瑋，台灣薪資停滯之可能原因與解決方式，上網瀏覽時間：</w:t>
      </w:r>
      <w:r w:rsidRPr="00321574">
        <w:t>2015/08/21</w:t>
      </w:r>
      <w:r w:rsidRPr="00321574">
        <w:t>，</w:t>
      </w:r>
      <w:hyperlink r:id="rId128" w:history="1">
        <w:r w:rsidRPr="00321574">
          <w:rPr>
            <w:rStyle w:val="a7"/>
            <w:rFonts w:ascii="Arial Unicode MS" w:eastAsia="新細明體" w:hAnsi="Arial Unicode MS" w:cs="Calibri"/>
            <w:color w:val="5F5F5F"/>
            <w:kern w:val="2"/>
            <w:sz w:val="18"/>
          </w:rPr>
          <w:t>http://webcache.googleusercontent.com/search?q=cache:gwfUELdUzosJ:www.econ.sinica.edu.tw/webtools/thumbnail/download//%3Ffd%3D2013092817171360825_PDoc%26Pname%3D%25E7%25B6%2593%25E6%25BF%259F%25E5%25B9%25B4%25E9%2591%2591%25E5%25B0%2588%25E8%25AB%2596_sc.pdf+&amp;cd=5&amp;hl=zh-TW&amp;ct=clnk&amp;gl=tw</w:t>
        </w:r>
      </w:hyperlink>
      <w:r w:rsidRPr="00321574">
        <w:t>。</w:t>
      </w:r>
    </w:p>
  </w:footnote>
  <w:footnote w:id="476">
    <w:p w:rsidR="00657FEF" w:rsidRPr="00992AB6" w:rsidRDefault="00657FEF" w:rsidP="00992AB6">
      <w:pPr>
        <w:pStyle w:val="5"/>
      </w:pPr>
      <w:r w:rsidRPr="00306B20">
        <w:rPr>
          <w:rStyle w:val="af7"/>
          <w:rFonts w:eastAsia="新細明體" w:cstheme="majorBidi"/>
          <w:kern w:val="2"/>
          <w:szCs w:val="20"/>
        </w:rPr>
        <w:footnoteRef/>
      </w:r>
      <w:r w:rsidRPr="00992AB6">
        <w:t xml:space="preserve"> </w:t>
      </w:r>
      <w:r w:rsidRPr="00992AB6">
        <w:tab/>
      </w:r>
      <w:r w:rsidRPr="00992AB6">
        <w:t>林向愷（</w:t>
      </w:r>
      <w:r w:rsidRPr="00992AB6">
        <w:t>2008</w:t>
      </w:r>
      <w:r w:rsidRPr="00992AB6">
        <w:t>），全球化與台灣面臨的經濟問題，上網瀏覽時間：</w:t>
      </w:r>
      <w:r w:rsidRPr="00992AB6">
        <w:t>2015/08/21</w:t>
      </w:r>
      <w:r w:rsidRPr="00992AB6">
        <w:t>，</w:t>
      </w:r>
      <w:hyperlink r:id="rId129" w:history="1">
        <w:r w:rsidRPr="00306B20">
          <w:rPr>
            <w:rStyle w:val="a7"/>
            <w:rFonts w:ascii="Arial Unicode MS" w:eastAsia="新細明體" w:hAnsi="Arial Unicode MS" w:cs="Calibri"/>
            <w:color w:val="5F5F5F"/>
            <w:kern w:val="2"/>
            <w:sz w:val="18"/>
          </w:rPr>
          <w:t>http://www.taiwanncf.org.tw/ttforum/44/44-05.pdf</w:t>
        </w:r>
      </w:hyperlink>
      <w:r w:rsidRPr="00992AB6">
        <w:t>。</w:t>
      </w:r>
    </w:p>
  </w:footnote>
  <w:footnote w:id="477">
    <w:p w:rsidR="00657FEF" w:rsidRPr="00321574" w:rsidRDefault="00657FEF" w:rsidP="00992AB6">
      <w:pPr>
        <w:pStyle w:val="5"/>
      </w:pPr>
      <w:r w:rsidRPr="00AB7AEA">
        <w:rPr>
          <w:rStyle w:val="af7"/>
          <w:szCs w:val="20"/>
        </w:rPr>
        <w:footnoteRef/>
      </w:r>
      <w:r w:rsidRPr="008147DC">
        <w:t xml:space="preserve"> </w:t>
      </w:r>
      <w:r w:rsidRPr="008147DC">
        <w:tab/>
      </w:r>
      <w:r w:rsidRPr="008147DC">
        <w:t>闕士淵（</w:t>
      </w:r>
      <w:r w:rsidRPr="008147DC">
        <w:t>2014</w:t>
      </w:r>
      <w:r w:rsidRPr="008147DC">
        <w:t>），搶外籍專業人才：《國籍法》修正案允許雙重國籍，上網瀏覽時間：</w:t>
      </w:r>
      <w:r w:rsidRPr="008147DC">
        <w:t>2015/08/21</w:t>
      </w:r>
      <w:r w:rsidRPr="008147DC">
        <w:t>，</w:t>
      </w:r>
      <w:hyperlink r:id="rId130" w:history="1">
        <w:r w:rsidRPr="00321574">
          <w:rPr>
            <w:rStyle w:val="a7"/>
            <w:rFonts w:ascii="Arial Unicode MS" w:eastAsia="新細明體" w:hAnsi="Arial Unicode MS" w:cs="Calibri"/>
            <w:color w:val="5F5F5F"/>
            <w:kern w:val="2"/>
            <w:sz w:val="18"/>
          </w:rPr>
          <w:t>http://www.thenewslens.com/post/104036/</w:t>
        </w:r>
      </w:hyperlink>
      <w:r w:rsidRPr="00321574">
        <w:t>。</w:t>
      </w:r>
    </w:p>
  </w:footnote>
  <w:footnote w:id="478">
    <w:p w:rsidR="00657FEF" w:rsidRPr="00321574" w:rsidRDefault="00657FEF" w:rsidP="00992AB6">
      <w:pPr>
        <w:pStyle w:val="5"/>
      </w:pPr>
      <w:r w:rsidRPr="00AB7AEA">
        <w:rPr>
          <w:rStyle w:val="af7"/>
          <w:szCs w:val="20"/>
        </w:rPr>
        <w:footnoteRef/>
      </w:r>
      <w:r w:rsidRPr="00AB7AEA">
        <w:rPr>
          <w:color w:val="FF6600"/>
        </w:rPr>
        <w:t xml:space="preserve"> </w:t>
      </w:r>
      <w:r w:rsidRPr="008147DC">
        <w:tab/>
      </w:r>
      <w:r w:rsidRPr="008147DC">
        <w:t>中時電子報（</w:t>
      </w:r>
      <w:r w:rsidRPr="008147DC">
        <w:t>2015</w:t>
      </w:r>
      <w:r w:rsidRPr="008147DC">
        <w:t>），社論－剝極而復　台灣新思維的新契機，</w:t>
      </w:r>
      <w:r w:rsidRPr="008147DC">
        <w:t>2015</w:t>
      </w:r>
      <w:r w:rsidRPr="008147DC">
        <w:t>年</w:t>
      </w:r>
      <w:r w:rsidRPr="008147DC">
        <w:t>08</w:t>
      </w:r>
      <w:r w:rsidRPr="008147DC">
        <w:t>月</w:t>
      </w:r>
      <w:r w:rsidRPr="008147DC">
        <w:t>08</w:t>
      </w:r>
      <w:r w:rsidRPr="008147DC">
        <w:t>日，上網瀏覽時間：</w:t>
      </w:r>
      <w:r w:rsidRPr="008147DC">
        <w:t>2015/08/21</w:t>
      </w:r>
      <w:r w:rsidRPr="008147DC">
        <w:t>，</w:t>
      </w:r>
      <w:hyperlink r:id="rId131" w:history="1">
        <w:r w:rsidRPr="00321574">
          <w:rPr>
            <w:rStyle w:val="a7"/>
            <w:rFonts w:ascii="Arial Unicode MS" w:eastAsia="新細明體" w:hAnsi="Arial Unicode MS" w:cs="Calibri"/>
            <w:color w:val="5F5F5F"/>
            <w:kern w:val="2"/>
            <w:sz w:val="18"/>
          </w:rPr>
          <w:t>http://www.chinatimes.com/newspapers/ 20150808000507-260109</w:t>
        </w:r>
      </w:hyperlink>
      <w:r w:rsidRPr="00321574">
        <w:t>。</w:t>
      </w:r>
    </w:p>
  </w:footnote>
  <w:footnote w:id="479">
    <w:p w:rsidR="00657FEF" w:rsidRPr="008147DC" w:rsidRDefault="00657FEF" w:rsidP="00992AB6">
      <w:pPr>
        <w:pStyle w:val="5"/>
        <w:rPr>
          <w:lang w:eastAsia="zh-TW"/>
        </w:rPr>
      </w:pPr>
      <w:r w:rsidRPr="00AB7AEA">
        <w:rPr>
          <w:rStyle w:val="af7"/>
          <w:szCs w:val="20"/>
        </w:rPr>
        <w:footnoteRef/>
      </w:r>
      <w:r w:rsidRPr="008147DC">
        <w:rPr>
          <w:rStyle w:val="af7"/>
          <w:rFonts w:asciiTheme="minorEastAsia" w:eastAsiaTheme="minorEastAsia" w:hAnsiTheme="minorEastAsia"/>
          <w:szCs w:val="20"/>
          <w:lang w:eastAsia="zh-TW"/>
        </w:rPr>
        <w:t xml:space="preserve"> </w:t>
      </w:r>
      <w:r w:rsidRPr="008147DC">
        <w:rPr>
          <w:lang w:eastAsia="zh-TW"/>
        </w:rPr>
        <w:tab/>
      </w:r>
      <w:r w:rsidRPr="008147DC">
        <w:rPr>
          <w:lang w:eastAsia="zh-TW"/>
        </w:rPr>
        <w:t>行政院研究發展考核委員會（</w:t>
      </w:r>
      <w:r w:rsidRPr="008147DC">
        <w:rPr>
          <w:lang w:eastAsia="zh-TW"/>
        </w:rPr>
        <w:t>2011</w:t>
      </w:r>
      <w:r w:rsidRPr="008147DC">
        <w:rPr>
          <w:lang w:eastAsia="zh-TW"/>
        </w:rPr>
        <w:t>），各國移民參政權之比較研究，台北市：行政院研究發展考核委員會。</w:t>
      </w:r>
    </w:p>
  </w:footnote>
  <w:footnote w:id="480">
    <w:p w:rsidR="00657FEF" w:rsidRPr="008147DC" w:rsidRDefault="00657FEF" w:rsidP="00992AB6">
      <w:pPr>
        <w:pStyle w:val="5"/>
        <w:rPr>
          <w:lang w:eastAsia="zh-TW"/>
        </w:rPr>
      </w:pPr>
      <w:r w:rsidRPr="00AB7AEA">
        <w:rPr>
          <w:rStyle w:val="af7"/>
          <w:szCs w:val="20"/>
        </w:rPr>
        <w:footnoteRef/>
      </w:r>
      <w:r w:rsidRPr="008147DC">
        <w:rPr>
          <w:lang w:eastAsia="zh-TW"/>
        </w:rPr>
        <w:t xml:space="preserve"> </w:t>
      </w:r>
      <w:r w:rsidRPr="008147DC">
        <w:rPr>
          <w:lang w:eastAsia="zh-TW"/>
        </w:rPr>
        <w:tab/>
      </w:r>
      <w:r w:rsidRPr="008147DC">
        <w:rPr>
          <w:lang w:eastAsia="zh-TW"/>
        </w:rPr>
        <w:t>黃齡玉（</w:t>
      </w:r>
      <w:r w:rsidRPr="008147DC">
        <w:rPr>
          <w:lang w:eastAsia="zh-TW"/>
        </w:rPr>
        <w:t>2006</w:t>
      </w:r>
      <w:r w:rsidRPr="008147DC">
        <w:rPr>
          <w:lang w:eastAsia="zh-TW"/>
        </w:rPr>
        <w:t>），考察美國移民政策之現況（行政院考察報告），台北：行政院。</w:t>
      </w:r>
    </w:p>
  </w:footnote>
  <w:footnote w:id="481">
    <w:p w:rsidR="00657FEF" w:rsidRPr="008147DC" w:rsidRDefault="00657FEF" w:rsidP="00992AB6">
      <w:pPr>
        <w:pStyle w:val="5"/>
        <w:rPr>
          <w:lang w:val="es-ES"/>
        </w:rPr>
      </w:pPr>
      <w:r w:rsidRPr="00AB7AEA">
        <w:rPr>
          <w:rStyle w:val="af7"/>
          <w:szCs w:val="20"/>
        </w:rPr>
        <w:footnoteRef/>
      </w:r>
      <w:r w:rsidRPr="008147DC">
        <w:rPr>
          <w:lang w:val="es-ES"/>
        </w:rPr>
        <w:t xml:space="preserve"> </w:t>
      </w:r>
      <w:r w:rsidRPr="008147DC">
        <w:rPr>
          <w:lang w:val="es-ES"/>
        </w:rPr>
        <w:tab/>
      </w:r>
      <w:r w:rsidRPr="008147DC">
        <w:t>李順德、陳宛茜</w:t>
      </w:r>
      <w:r w:rsidRPr="008147DC">
        <w:rPr>
          <w:lang w:val="es-ES"/>
        </w:rPr>
        <w:t>（</w:t>
      </w:r>
      <w:r w:rsidRPr="008147DC">
        <w:rPr>
          <w:lang w:val="es-ES"/>
        </w:rPr>
        <w:t>2015</w:t>
      </w:r>
      <w:r w:rsidRPr="008147DC">
        <w:rPr>
          <w:lang w:val="es-ES"/>
        </w:rPr>
        <w:t>），</w:t>
      </w:r>
      <w:r w:rsidRPr="008147DC">
        <w:t>南向政策整合</w:t>
      </w:r>
      <w:r w:rsidRPr="008147DC">
        <w:rPr>
          <w:lang w:val="es-ES"/>
        </w:rPr>
        <w:t>，</w:t>
      </w:r>
      <w:r w:rsidRPr="008147DC">
        <w:t>新住民事務協調會報成軍</w:t>
      </w:r>
      <w:r w:rsidRPr="008147DC">
        <w:rPr>
          <w:lang w:val="es-ES"/>
        </w:rPr>
        <w:t>，</w:t>
      </w:r>
      <w:r w:rsidRPr="008147DC">
        <w:t>上網瀏覽時間</w:t>
      </w:r>
      <w:r w:rsidRPr="008147DC">
        <w:rPr>
          <w:lang w:val="es-ES"/>
        </w:rPr>
        <w:t>：</w:t>
      </w:r>
      <w:r w:rsidRPr="008147DC">
        <w:rPr>
          <w:lang w:val="es-ES"/>
        </w:rPr>
        <w:t>2015/08/21</w:t>
      </w:r>
      <w:r w:rsidRPr="008147DC">
        <w:rPr>
          <w:lang w:val="es-ES"/>
        </w:rPr>
        <w:t>，</w:t>
      </w:r>
      <w:hyperlink r:id="rId132" w:history="1">
        <w:r w:rsidRPr="00321574">
          <w:rPr>
            <w:rStyle w:val="a7"/>
            <w:rFonts w:ascii="Arial Unicode MS" w:eastAsia="新細明體" w:hAnsi="Arial Unicode MS" w:cs="Calibri"/>
            <w:color w:val="5F5F5F"/>
            <w:kern w:val="2"/>
            <w:sz w:val="18"/>
          </w:rPr>
          <w:t>http://udn.com/news/story/7314/1020724-%E5%8D%97%E5%90%91%E6%94%BF%E7%AD%96%E6%95%B4%E5%90%88-%E6%96%B0%E4%BD%8F%E6%B0%91%E4%BA%8B%E5%8B%99%E5%8D%94%E8%AA%BF%E6%9C%83%E5%A0%B1%E6%88%90%E8%BB%8D</w:t>
        </w:r>
      </w:hyperlink>
      <w:r w:rsidRPr="008147DC">
        <w:t>。</w:t>
      </w:r>
    </w:p>
  </w:footnote>
  <w:footnote w:id="482">
    <w:p w:rsidR="00657FEF" w:rsidRPr="008147DC" w:rsidRDefault="00657FEF" w:rsidP="00992AB6">
      <w:pPr>
        <w:pStyle w:val="5"/>
        <w:rPr>
          <w:lang w:eastAsia="zh-TW"/>
        </w:rPr>
      </w:pPr>
      <w:r w:rsidRPr="00AB7AEA">
        <w:rPr>
          <w:rStyle w:val="af7"/>
          <w:rFonts w:eastAsia="新細明體"/>
          <w:kern w:val="2"/>
        </w:rPr>
        <w:footnoteRef/>
      </w:r>
      <w:r w:rsidRPr="008147DC">
        <w:rPr>
          <w:lang w:eastAsia="zh-TW"/>
        </w:rPr>
        <w:t xml:space="preserve"> </w:t>
      </w:r>
      <w:r w:rsidRPr="008147DC">
        <w:rPr>
          <w:lang w:eastAsia="zh-TW"/>
        </w:rPr>
        <w:t>夏曉鵑，「資本國際化下的國際婚姻</w:t>
      </w:r>
      <w:r w:rsidRPr="008147DC">
        <w:rPr>
          <w:lang w:eastAsia="zh-TW"/>
        </w:rPr>
        <w:t>-</w:t>
      </w:r>
      <w:r w:rsidRPr="008147DC">
        <w:rPr>
          <w:lang w:eastAsia="zh-TW"/>
        </w:rPr>
        <w:t>以臺灣的外籍新娘現象為例」，臺灣社會研究季刊（臺北），第</w:t>
      </w:r>
      <w:r w:rsidRPr="008147DC">
        <w:rPr>
          <w:lang w:eastAsia="zh-TW"/>
        </w:rPr>
        <w:t>39</w:t>
      </w:r>
      <w:r w:rsidRPr="008147DC">
        <w:rPr>
          <w:lang w:eastAsia="zh-TW"/>
        </w:rPr>
        <w:t>期（</w:t>
      </w:r>
      <w:r w:rsidRPr="008147DC">
        <w:rPr>
          <w:lang w:eastAsia="zh-TW"/>
        </w:rPr>
        <w:t>2000</w:t>
      </w:r>
      <w:r w:rsidRPr="008147DC">
        <w:rPr>
          <w:lang w:eastAsia="zh-TW"/>
        </w:rPr>
        <w:t>年</w:t>
      </w:r>
      <w:r w:rsidRPr="008147DC">
        <w:rPr>
          <w:lang w:eastAsia="zh-TW"/>
        </w:rPr>
        <w:t>9</w:t>
      </w:r>
      <w:r w:rsidRPr="008147DC">
        <w:rPr>
          <w:lang w:eastAsia="zh-TW"/>
        </w:rPr>
        <w:t>月），頁</w:t>
      </w:r>
      <w:r w:rsidRPr="008147DC">
        <w:rPr>
          <w:lang w:eastAsia="zh-TW"/>
        </w:rPr>
        <w:t>47</w:t>
      </w:r>
      <w:r w:rsidRPr="008147DC">
        <w:rPr>
          <w:lang w:eastAsia="zh-TW"/>
        </w:rPr>
        <w:t>。</w:t>
      </w:r>
    </w:p>
  </w:footnote>
  <w:footnote w:id="483">
    <w:p w:rsidR="00657FEF" w:rsidRPr="008147DC" w:rsidRDefault="00657FEF" w:rsidP="00992AB6">
      <w:pPr>
        <w:pStyle w:val="5"/>
      </w:pPr>
      <w:r w:rsidRPr="00AF1178">
        <w:rPr>
          <w:rStyle w:val="af7"/>
        </w:rPr>
        <w:footnoteRef/>
      </w:r>
      <w:r w:rsidRPr="008147DC">
        <w:t xml:space="preserve"> </w:t>
      </w:r>
      <w:r w:rsidRPr="008147DC">
        <w:t>內政部，「縣市外裔、外籍與大陸配偶人數」，</w:t>
      </w:r>
      <w:r w:rsidRPr="008147DC">
        <w:t>2015</w:t>
      </w:r>
      <w:r w:rsidRPr="008147DC">
        <w:t>年</w:t>
      </w:r>
      <w:r w:rsidRPr="008147DC">
        <w:t>12</w:t>
      </w:r>
      <w:r w:rsidRPr="008147DC">
        <w:t>月</w:t>
      </w:r>
      <w:r w:rsidRPr="008147DC">
        <w:t>10</w:t>
      </w:r>
      <w:r w:rsidRPr="008147DC">
        <w:t>日瀏覽，《戶政司全球資訊網》，</w:t>
      </w:r>
      <w:hyperlink r:id="rId133" w:history="1">
        <w:r w:rsidRPr="008A0D9F">
          <w:rPr>
            <w:rStyle w:val="a7"/>
            <w:rFonts w:ascii="Arial Unicode MS" w:eastAsia="新細明體" w:hAnsi="Arial Unicode MS" w:cs="Calibri"/>
            <w:color w:val="5F5F5F"/>
            <w:kern w:val="2"/>
            <w:sz w:val="18"/>
          </w:rPr>
          <w:t>http://www.ris.gov.tw/346</w:t>
        </w:r>
      </w:hyperlink>
      <w:r w:rsidRPr="008147DC">
        <w:t>。</w:t>
      </w:r>
    </w:p>
  </w:footnote>
  <w:footnote w:id="484">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桃園市的比率為</w:t>
      </w:r>
      <w:r w:rsidRPr="008147DC">
        <w:rPr>
          <w:lang w:eastAsia="zh-TW"/>
        </w:rPr>
        <w:t>2.64%</w:t>
      </w:r>
      <w:r w:rsidRPr="008147DC">
        <w:rPr>
          <w:lang w:eastAsia="zh-TW"/>
        </w:rPr>
        <w:t>，其餘依序為：新北市占</w:t>
      </w:r>
      <w:r w:rsidRPr="008147DC">
        <w:rPr>
          <w:lang w:eastAsia="zh-TW"/>
        </w:rPr>
        <w:t>2.49%</w:t>
      </w:r>
      <w:r w:rsidRPr="008147DC">
        <w:rPr>
          <w:lang w:eastAsia="zh-TW"/>
        </w:rPr>
        <w:t>、台北市占</w:t>
      </w:r>
      <w:r w:rsidRPr="008147DC">
        <w:rPr>
          <w:lang w:eastAsia="zh-TW"/>
        </w:rPr>
        <w:t>2.12%</w:t>
      </w:r>
      <w:r w:rsidRPr="008147DC">
        <w:rPr>
          <w:lang w:eastAsia="zh-TW"/>
        </w:rPr>
        <w:t>、高雄市占</w:t>
      </w:r>
      <w:r w:rsidRPr="008147DC">
        <w:rPr>
          <w:lang w:eastAsia="zh-TW"/>
        </w:rPr>
        <w:t>2.13%</w:t>
      </w:r>
      <w:r w:rsidRPr="008147DC">
        <w:rPr>
          <w:lang w:eastAsia="zh-TW"/>
        </w:rPr>
        <w:t>。</w:t>
      </w:r>
    </w:p>
  </w:footnote>
  <w:footnote w:id="485">
    <w:p w:rsidR="00657FEF" w:rsidRPr="008147DC" w:rsidRDefault="00657FEF" w:rsidP="00992AB6">
      <w:pPr>
        <w:pStyle w:val="5"/>
        <w:rPr>
          <w:lang w:eastAsia="zh-TW"/>
        </w:rPr>
      </w:pPr>
      <w:r w:rsidRPr="00AF1178">
        <w:rPr>
          <w:rStyle w:val="af7"/>
        </w:rPr>
        <w:footnoteRef/>
      </w:r>
      <w:r w:rsidRPr="00AF1178">
        <w:rPr>
          <w:color w:val="FF6600"/>
          <w:lang w:eastAsia="zh-TW"/>
        </w:rPr>
        <w:t xml:space="preserve"> </w:t>
      </w:r>
      <w:r w:rsidRPr="008147DC">
        <w:rPr>
          <w:lang w:eastAsia="zh-TW"/>
        </w:rPr>
        <w:t>夏曉鵑，「資本國際化下的國際婚姻</w:t>
      </w:r>
      <w:r w:rsidRPr="008147DC">
        <w:rPr>
          <w:lang w:eastAsia="zh-TW"/>
        </w:rPr>
        <w:t>-</w:t>
      </w:r>
      <w:r w:rsidRPr="008147DC">
        <w:rPr>
          <w:lang w:eastAsia="zh-TW"/>
        </w:rPr>
        <w:t>以臺灣的外籍新娘現象為例」，頁</w:t>
      </w:r>
      <w:r w:rsidRPr="008147DC">
        <w:rPr>
          <w:lang w:eastAsia="zh-TW"/>
        </w:rPr>
        <w:t>47</w:t>
      </w:r>
      <w:r w:rsidRPr="008147DC">
        <w:rPr>
          <w:lang w:eastAsia="zh-TW"/>
        </w:rPr>
        <w:t>。</w:t>
      </w:r>
    </w:p>
  </w:footnote>
  <w:footnote w:id="486">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劉珠利，婦女主義理論的觀點對大陸及外籍配偶現況之啟示，社區發展季刊（臺北），第</w:t>
      </w:r>
      <w:r w:rsidRPr="008147DC">
        <w:rPr>
          <w:lang w:eastAsia="zh-TW"/>
        </w:rPr>
        <w:t xml:space="preserve">105 </w:t>
      </w:r>
      <w:r w:rsidRPr="008147DC">
        <w:rPr>
          <w:lang w:eastAsia="zh-TW"/>
        </w:rPr>
        <w:t>期（</w:t>
      </w:r>
      <w:r w:rsidRPr="008147DC">
        <w:rPr>
          <w:lang w:eastAsia="zh-TW"/>
        </w:rPr>
        <w:t>2004</w:t>
      </w:r>
      <w:r w:rsidRPr="008147DC">
        <w:rPr>
          <w:lang w:eastAsia="zh-TW"/>
        </w:rPr>
        <w:t>年</w:t>
      </w:r>
      <w:r w:rsidRPr="008147DC">
        <w:rPr>
          <w:lang w:eastAsia="zh-TW"/>
        </w:rPr>
        <w:t>3</w:t>
      </w:r>
      <w:r w:rsidRPr="008147DC">
        <w:rPr>
          <w:lang w:eastAsia="zh-TW"/>
        </w:rPr>
        <w:t>月），頁</w:t>
      </w:r>
      <w:r w:rsidRPr="008147DC">
        <w:rPr>
          <w:lang w:eastAsia="zh-TW"/>
        </w:rPr>
        <w:t>48</w:t>
      </w:r>
      <w:r w:rsidRPr="008147DC">
        <w:rPr>
          <w:lang w:eastAsia="zh-TW"/>
        </w:rPr>
        <w:t>。</w:t>
      </w:r>
    </w:p>
  </w:footnote>
  <w:footnote w:id="487">
    <w:p w:rsidR="00657FEF" w:rsidRPr="008147DC" w:rsidRDefault="00657FEF" w:rsidP="00992AB6">
      <w:pPr>
        <w:pStyle w:val="5"/>
        <w:rPr>
          <w:lang w:eastAsia="zh-TW"/>
        </w:rPr>
      </w:pPr>
      <w:r w:rsidRPr="00AF1178">
        <w:rPr>
          <w:rStyle w:val="af7"/>
        </w:rPr>
        <w:footnoteRef/>
      </w:r>
      <w:r w:rsidRPr="00AF1178">
        <w:rPr>
          <w:color w:val="FF6600"/>
          <w:lang w:eastAsia="zh-TW"/>
        </w:rPr>
        <w:t xml:space="preserve"> </w:t>
      </w:r>
      <w:r w:rsidRPr="008147DC">
        <w:rPr>
          <w:lang w:eastAsia="zh-TW"/>
        </w:rPr>
        <w:t>內政部移民署，「外籍配偶人數與大陸配偶人數」，</w:t>
      </w:r>
      <w:r w:rsidRPr="008147DC">
        <w:rPr>
          <w:lang w:eastAsia="zh-TW"/>
        </w:rPr>
        <w:t>2015</w:t>
      </w:r>
      <w:r w:rsidRPr="008147DC">
        <w:rPr>
          <w:lang w:eastAsia="zh-TW"/>
        </w:rPr>
        <w:t>年</w:t>
      </w:r>
      <w:r w:rsidRPr="008147DC">
        <w:rPr>
          <w:lang w:eastAsia="zh-TW"/>
        </w:rPr>
        <w:t>11</w:t>
      </w:r>
      <w:r w:rsidRPr="008147DC">
        <w:rPr>
          <w:lang w:eastAsia="zh-TW"/>
        </w:rPr>
        <w:t>月</w:t>
      </w:r>
      <w:r w:rsidRPr="008147DC">
        <w:rPr>
          <w:lang w:eastAsia="zh-TW"/>
        </w:rPr>
        <w:t>25</w:t>
      </w:r>
      <w:r w:rsidRPr="008147DC">
        <w:rPr>
          <w:lang w:eastAsia="zh-TW"/>
        </w:rPr>
        <w:t>日瀏覽，《內政部移民署》網站：</w:t>
      </w:r>
    </w:p>
    <w:p w:rsidR="00657FEF" w:rsidRPr="002B171C" w:rsidRDefault="00657FEF" w:rsidP="00992AB6">
      <w:pPr>
        <w:pStyle w:val="5"/>
        <w:rPr>
          <w:color w:val="5F5F5F"/>
        </w:rPr>
      </w:pPr>
      <w:r w:rsidRPr="002B171C">
        <w:rPr>
          <w:color w:val="5F5F5F"/>
          <w:lang w:eastAsia="zh-TW"/>
        </w:rPr>
        <w:t xml:space="preserve"> </w:t>
      </w:r>
      <w:hyperlink r:id="rId134" w:history="1">
        <w:r w:rsidRPr="002B171C">
          <w:rPr>
            <w:rStyle w:val="a7"/>
            <w:rFonts w:ascii="Arial Unicode MS" w:eastAsia="新細明體" w:hAnsi="Arial Unicode MS" w:cs="Calibri"/>
            <w:color w:val="5F5F5F"/>
            <w:kern w:val="2"/>
            <w:sz w:val="18"/>
          </w:rPr>
          <w:t>http://www.immigration.gov.tw/ lp.asp?ctNode=29699&amp;CtUnit=16434&amp;BaseDSD=7&amp;mp=1</w:t>
        </w:r>
      </w:hyperlink>
      <w:r w:rsidRPr="002B171C">
        <w:rPr>
          <w:color w:val="5F5F5F"/>
        </w:rPr>
        <w:t>。</w:t>
      </w:r>
    </w:p>
  </w:footnote>
  <w:footnote w:id="488">
    <w:p w:rsidR="00657FEF" w:rsidRPr="008147DC" w:rsidRDefault="00657FEF" w:rsidP="00992AB6">
      <w:pPr>
        <w:pStyle w:val="5"/>
        <w:rPr>
          <w:lang w:eastAsia="zh-TW"/>
        </w:rPr>
      </w:pPr>
      <w:r w:rsidRPr="00AF1178">
        <w:rPr>
          <w:rStyle w:val="af7"/>
        </w:rPr>
        <w:footnoteRef/>
      </w:r>
      <w:r w:rsidRPr="00AF1178">
        <w:rPr>
          <w:color w:val="FF6600"/>
          <w:lang w:eastAsia="zh-TW"/>
        </w:rPr>
        <w:t xml:space="preserve"> </w:t>
      </w:r>
      <w:r w:rsidRPr="008147DC">
        <w:rPr>
          <w:lang w:eastAsia="zh-TW"/>
        </w:rPr>
        <w:t>黃翠紋、孟維德，「大陸籍女性婚姻移民者觸法行為影響因素及其輔導對策之研究」，內政部委託專題研究報告（</w:t>
      </w:r>
      <w:r w:rsidRPr="008147DC">
        <w:rPr>
          <w:lang w:eastAsia="zh-TW"/>
        </w:rPr>
        <w:t>2007</w:t>
      </w:r>
      <w:r w:rsidRPr="008147DC">
        <w:rPr>
          <w:lang w:eastAsia="zh-TW"/>
        </w:rPr>
        <w:t>年），頁</w:t>
      </w:r>
      <w:r w:rsidRPr="008147DC">
        <w:rPr>
          <w:lang w:eastAsia="zh-TW"/>
        </w:rPr>
        <w:t>4</w:t>
      </w:r>
      <w:r w:rsidRPr="008147DC">
        <w:rPr>
          <w:lang w:eastAsia="zh-TW"/>
        </w:rPr>
        <w:t>。</w:t>
      </w:r>
    </w:p>
  </w:footnote>
  <w:footnote w:id="489">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黃翠紋、周坤寶，「我國婚姻移民輔導之實施現況評估」，警學叢刊（桃園），第</w:t>
      </w:r>
      <w:r w:rsidRPr="008147DC">
        <w:rPr>
          <w:lang w:eastAsia="zh-TW"/>
        </w:rPr>
        <w:t>42</w:t>
      </w:r>
      <w:r w:rsidRPr="008147DC">
        <w:rPr>
          <w:lang w:eastAsia="zh-TW"/>
        </w:rPr>
        <w:t>卷第</w:t>
      </w:r>
      <w:r w:rsidRPr="008147DC">
        <w:rPr>
          <w:lang w:eastAsia="zh-TW"/>
        </w:rPr>
        <w:t>3</w:t>
      </w:r>
      <w:r w:rsidRPr="008147DC">
        <w:rPr>
          <w:lang w:eastAsia="zh-TW"/>
        </w:rPr>
        <w:t>期（</w:t>
      </w:r>
      <w:r w:rsidRPr="008147DC">
        <w:rPr>
          <w:lang w:eastAsia="zh-TW"/>
        </w:rPr>
        <w:t>2011</w:t>
      </w:r>
      <w:r w:rsidRPr="008147DC">
        <w:rPr>
          <w:lang w:eastAsia="zh-TW"/>
        </w:rPr>
        <w:t>年</w:t>
      </w:r>
      <w:r w:rsidRPr="008147DC">
        <w:rPr>
          <w:lang w:eastAsia="zh-TW"/>
        </w:rPr>
        <w:t>11</w:t>
      </w:r>
      <w:r w:rsidRPr="008147DC">
        <w:rPr>
          <w:lang w:eastAsia="zh-TW"/>
        </w:rPr>
        <w:t>月），頁</w:t>
      </w:r>
      <w:r w:rsidRPr="008147DC">
        <w:rPr>
          <w:lang w:eastAsia="zh-TW"/>
        </w:rPr>
        <w:t>79</w:t>
      </w:r>
      <w:r w:rsidRPr="008147DC">
        <w:rPr>
          <w:lang w:eastAsia="zh-TW"/>
        </w:rPr>
        <w:t>。</w:t>
      </w:r>
    </w:p>
  </w:footnote>
  <w:footnote w:id="490">
    <w:p w:rsidR="00657FEF" w:rsidRPr="008147DC" w:rsidRDefault="00657FEF" w:rsidP="00992AB6">
      <w:pPr>
        <w:pStyle w:val="5"/>
      </w:pPr>
      <w:r w:rsidRPr="00AF1178">
        <w:rPr>
          <w:rStyle w:val="af7"/>
        </w:rPr>
        <w:footnoteRef/>
      </w:r>
      <w:r w:rsidRPr="008147DC">
        <w:t xml:space="preserve"> Renzetti, C., “Economic stress and domestic violence,” Harrisburg, PA: VAWnet: National Online Resource Center on Domestic Violence</w:t>
      </w:r>
      <w:r w:rsidRPr="008147DC">
        <w:t>（</w:t>
      </w:r>
      <w:r w:rsidRPr="008147DC">
        <w:t>2009</w:t>
      </w:r>
      <w:r w:rsidRPr="008147DC">
        <w:t>）</w:t>
      </w:r>
      <w:r w:rsidRPr="008147DC">
        <w:t>, pp. 77-80.</w:t>
      </w:r>
    </w:p>
  </w:footnote>
  <w:footnote w:id="491">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孟維德，跨國犯罪（臺北：五南圖書出版股份有限公司，</w:t>
      </w:r>
      <w:r w:rsidRPr="008147DC">
        <w:rPr>
          <w:lang w:eastAsia="zh-TW"/>
        </w:rPr>
        <w:t>2014</w:t>
      </w:r>
      <w:r w:rsidRPr="008147DC">
        <w:rPr>
          <w:lang w:eastAsia="zh-TW"/>
        </w:rPr>
        <w:t>年），頁</w:t>
      </w:r>
      <w:r w:rsidRPr="008147DC">
        <w:rPr>
          <w:lang w:eastAsia="zh-TW"/>
        </w:rPr>
        <w:t>47-49</w:t>
      </w:r>
      <w:r w:rsidRPr="008147DC">
        <w:rPr>
          <w:lang w:eastAsia="zh-TW"/>
        </w:rPr>
        <w:t>。</w:t>
      </w:r>
    </w:p>
  </w:footnote>
  <w:footnote w:id="492">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徐榮崇，「跨國的移置與鑲嵌</w:t>
      </w:r>
      <w:r w:rsidRPr="008147DC">
        <w:rPr>
          <w:lang w:eastAsia="zh-TW"/>
        </w:rPr>
        <w:t>-</w:t>
      </w:r>
      <w:r w:rsidRPr="008147DC">
        <w:rPr>
          <w:lang w:eastAsia="zh-TW"/>
        </w:rPr>
        <w:t>談加拿大臺灣僑民的移民動機與居住地選擇」，臺北市立教育大學學報（臺北），第</w:t>
      </w:r>
      <w:r w:rsidRPr="008147DC">
        <w:rPr>
          <w:lang w:eastAsia="zh-TW"/>
        </w:rPr>
        <w:t xml:space="preserve"> 39 </w:t>
      </w:r>
      <w:r w:rsidRPr="008147DC">
        <w:rPr>
          <w:lang w:eastAsia="zh-TW"/>
        </w:rPr>
        <w:t>卷第</w:t>
      </w:r>
      <w:r w:rsidRPr="008147DC">
        <w:rPr>
          <w:lang w:eastAsia="zh-TW"/>
        </w:rPr>
        <w:t>2</w:t>
      </w:r>
      <w:r w:rsidRPr="008147DC">
        <w:rPr>
          <w:lang w:eastAsia="zh-TW"/>
        </w:rPr>
        <w:t>期（</w:t>
      </w:r>
      <w:r w:rsidRPr="008147DC">
        <w:rPr>
          <w:lang w:eastAsia="zh-TW"/>
        </w:rPr>
        <w:t>2008</w:t>
      </w:r>
      <w:r w:rsidRPr="008147DC">
        <w:rPr>
          <w:lang w:eastAsia="zh-TW"/>
        </w:rPr>
        <w:t>年），頁</w:t>
      </w:r>
      <w:r w:rsidRPr="008147DC">
        <w:rPr>
          <w:lang w:eastAsia="zh-TW"/>
        </w:rPr>
        <w:t>44-45</w:t>
      </w:r>
      <w:r>
        <w:rPr>
          <w:lang w:eastAsia="zh-TW"/>
        </w:rPr>
        <w:t>。</w:t>
      </w:r>
    </w:p>
  </w:footnote>
  <w:footnote w:id="493">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毛兆莉，「外籍新娘婚姻暴力被害人特質與警察處理經驗之研究</w:t>
      </w:r>
      <w:r w:rsidRPr="008147DC">
        <w:rPr>
          <w:lang w:eastAsia="zh-TW"/>
        </w:rPr>
        <w:t>─</w:t>
      </w:r>
      <w:r w:rsidRPr="008147DC">
        <w:rPr>
          <w:lang w:eastAsia="zh-TW"/>
        </w:rPr>
        <w:t>以基隆市為例」，中央警察大學行政管理研究所碩士論文（</w:t>
      </w:r>
      <w:r w:rsidRPr="008147DC">
        <w:rPr>
          <w:lang w:eastAsia="zh-TW"/>
        </w:rPr>
        <w:t>2007</w:t>
      </w:r>
      <w:r w:rsidRPr="008147DC">
        <w:rPr>
          <w:lang w:eastAsia="zh-TW"/>
        </w:rPr>
        <w:t>年），頁</w:t>
      </w:r>
      <w:r w:rsidRPr="008147DC">
        <w:rPr>
          <w:lang w:eastAsia="zh-TW"/>
        </w:rPr>
        <w:t>106-107</w:t>
      </w:r>
      <w:r w:rsidRPr="008147DC">
        <w:rPr>
          <w:lang w:eastAsia="zh-TW"/>
        </w:rPr>
        <w:t>。</w:t>
      </w:r>
    </w:p>
  </w:footnote>
  <w:footnote w:id="494">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林冠儀、游琇雅，「探討父權結構下之社會建構：以台灣新移民女性為例」，家庭教育雙月刊（嘉義），第</w:t>
      </w:r>
      <w:r w:rsidRPr="008147DC">
        <w:rPr>
          <w:lang w:eastAsia="zh-TW"/>
        </w:rPr>
        <w:t xml:space="preserve"> 41 </w:t>
      </w:r>
      <w:r w:rsidRPr="008147DC">
        <w:rPr>
          <w:lang w:eastAsia="zh-TW"/>
        </w:rPr>
        <w:t>期（</w:t>
      </w:r>
      <w:r w:rsidRPr="008147DC">
        <w:rPr>
          <w:lang w:eastAsia="zh-TW"/>
        </w:rPr>
        <w:t>2013</w:t>
      </w:r>
      <w:r w:rsidRPr="008147DC">
        <w:rPr>
          <w:lang w:eastAsia="zh-TW"/>
        </w:rPr>
        <w:t>年</w:t>
      </w:r>
      <w:r w:rsidRPr="008147DC">
        <w:rPr>
          <w:lang w:eastAsia="zh-TW"/>
        </w:rPr>
        <w:t>1</w:t>
      </w:r>
      <w:r w:rsidRPr="008147DC">
        <w:rPr>
          <w:lang w:eastAsia="zh-TW"/>
        </w:rPr>
        <w:t>月），頁</w:t>
      </w:r>
      <w:r w:rsidRPr="008147DC">
        <w:rPr>
          <w:lang w:eastAsia="zh-TW"/>
        </w:rPr>
        <w:t>76-77</w:t>
      </w:r>
      <w:r w:rsidRPr="008147DC">
        <w:rPr>
          <w:lang w:eastAsia="zh-TW"/>
        </w:rPr>
        <w:t>。</w:t>
      </w:r>
    </w:p>
  </w:footnote>
  <w:footnote w:id="495">
    <w:p w:rsidR="00657FEF" w:rsidRPr="008147DC" w:rsidRDefault="00657FEF" w:rsidP="00992AB6">
      <w:pPr>
        <w:pStyle w:val="5"/>
      </w:pPr>
      <w:r w:rsidRPr="00AF1178">
        <w:rPr>
          <w:rStyle w:val="af7"/>
        </w:rPr>
        <w:footnoteRef/>
      </w:r>
      <w:r w:rsidRPr="008147DC">
        <w:t xml:space="preserve"> Chesney-Lind, M. &amp; L. Pasko, Girls, women, and crime</w:t>
      </w:r>
      <w:r w:rsidRPr="008147DC">
        <w:t>（</w:t>
      </w:r>
      <w:r w:rsidRPr="008147DC">
        <w:t>Los Angeles, CA: Sage Publications, 2013), pp.89-91.</w:t>
      </w:r>
    </w:p>
  </w:footnote>
  <w:footnote w:id="496">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方維保、曾豔，「文明衝突中的身分追認</w:t>
      </w:r>
      <w:r w:rsidRPr="008147DC">
        <w:rPr>
          <w:lang w:eastAsia="zh-TW"/>
        </w:rPr>
        <w:t>—</w:t>
      </w:r>
      <w:r w:rsidRPr="008147DC">
        <w:rPr>
          <w:lang w:eastAsia="zh-TW"/>
        </w:rPr>
        <w:t>論嚴歌苓的小說創作」（</w:t>
      </w:r>
      <w:r w:rsidRPr="008147DC">
        <w:rPr>
          <w:lang w:eastAsia="zh-TW"/>
        </w:rPr>
        <w:t>2005</w:t>
      </w:r>
      <w:r w:rsidRPr="008147DC">
        <w:rPr>
          <w:lang w:eastAsia="zh-TW"/>
        </w:rPr>
        <w:t>年），</w:t>
      </w:r>
      <w:r w:rsidRPr="008147DC">
        <w:rPr>
          <w:lang w:eastAsia="zh-TW"/>
        </w:rPr>
        <w:t>2015</w:t>
      </w:r>
      <w:r w:rsidRPr="008147DC">
        <w:rPr>
          <w:lang w:eastAsia="zh-TW"/>
        </w:rPr>
        <w:t>年</w:t>
      </w:r>
      <w:r w:rsidRPr="008147DC">
        <w:rPr>
          <w:lang w:eastAsia="zh-TW"/>
        </w:rPr>
        <w:t>5</w:t>
      </w:r>
      <w:r w:rsidRPr="008147DC">
        <w:rPr>
          <w:lang w:eastAsia="zh-TW"/>
        </w:rPr>
        <w:t>月</w:t>
      </w:r>
      <w:r w:rsidRPr="008147DC">
        <w:rPr>
          <w:lang w:eastAsia="zh-TW"/>
        </w:rPr>
        <w:t>9</w:t>
      </w:r>
      <w:r w:rsidRPr="008147DC">
        <w:rPr>
          <w:lang w:eastAsia="zh-TW"/>
        </w:rPr>
        <w:t>日瀏覽，《中國安徽師範大學》，</w:t>
      </w:r>
    </w:p>
    <w:p w:rsidR="00657FEF" w:rsidRPr="008147DC" w:rsidRDefault="00657FEF" w:rsidP="00992AB6">
      <w:pPr>
        <w:pStyle w:val="5"/>
      </w:pPr>
      <w:r w:rsidRPr="008147DC">
        <w:rPr>
          <w:lang w:eastAsia="zh-TW"/>
        </w:rPr>
        <w:t xml:space="preserve"> </w:t>
      </w:r>
      <w:hyperlink r:id="rId135" w:history="1">
        <w:r w:rsidRPr="001C57C4">
          <w:rPr>
            <w:rStyle w:val="a7"/>
            <w:rFonts w:ascii="Arial Unicode MS" w:eastAsia="新細明體" w:hAnsi="Arial Unicode MS" w:cs="Calibri"/>
            <w:color w:val="5F5F5F"/>
            <w:kern w:val="2"/>
            <w:sz w:val="18"/>
          </w:rPr>
          <w:t>http://www.fgu.edu.tw/~wclrc/drafts/China/fang-wei-bao/ fang-wei-bao_02.htm</w:t>
        </w:r>
      </w:hyperlink>
      <w:r w:rsidRPr="008147DC">
        <w:t>。</w:t>
      </w:r>
    </w:p>
  </w:footnote>
  <w:footnote w:id="497">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薛雅惠，「東南亞新移民之原鄉文化」，在林彩岫主編，多元文化教育</w:t>
      </w:r>
      <w:r w:rsidRPr="008147DC">
        <w:rPr>
          <w:lang w:eastAsia="zh-TW"/>
        </w:rPr>
        <w:t xml:space="preserve">: </w:t>
      </w:r>
      <w:r w:rsidRPr="008147DC">
        <w:rPr>
          <w:lang w:eastAsia="zh-TW"/>
        </w:rPr>
        <w:t>新移民的原生文化與在地適應，（臺北：五南圖書出版公司，</w:t>
      </w:r>
      <w:r w:rsidRPr="008147DC">
        <w:rPr>
          <w:lang w:eastAsia="zh-TW"/>
        </w:rPr>
        <w:t>2012</w:t>
      </w:r>
      <w:r w:rsidRPr="008147DC">
        <w:rPr>
          <w:lang w:eastAsia="zh-TW"/>
        </w:rPr>
        <w:t>年），頁</w:t>
      </w:r>
      <w:r w:rsidRPr="008147DC">
        <w:rPr>
          <w:lang w:eastAsia="zh-TW"/>
        </w:rPr>
        <w:t>67-68</w:t>
      </w:r>
      <w:r w:rsidRPr="008147DC">
        <w:rPr>
          <w:lang w:eastAsia="zh-TW"/>
        </w:rPr>
        <w:t>。</w:t>
      </w:r>
    </w:p>
  </w:footnote>
  <w:footnote w:id="498">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黃逸珊，「臺灣地區大陸女性配偶生活適應之研究－以桃園縣個案為例」，中央警察大學犯罪防治研究所碩士論文（</w:t>
      </w:r>
      <w:r w:rsidRPr="008147DC">
        <w:rPr>
          <w:lang w:eastAsia="zh-TW"/>
        </w:rPr>
        <w:t>2005</w:t>
      </w:r>
      <w:r w:rsidRPr="008147DC">
        <w:rPr>
          <w:lang w:eastAsia="zh-TW"/>
        </w:rPr>
        <w:t>年），頁</w:t>
      </w:r>
      <w:r w:rsidRPr="008147DC">
        <w:rPr>
          <w:lang w:eastAsia="zh-TW"/>
        </w:rPr>
        <w:t>47-48</w:t>
      </w:r>
      <w:r w:rsidRPr="008147DC">
        <w:rPr>
          <w:lang w:eastAsia="zh-TW"/>
        </w:rPr>
        <w:t>。</w:t>
      </w:r>
    </w:p>
  </w:footnote>
  <w:footnote w:id="499">
    <w:p w:rsidR="00657FEF" w:rsidRPr="008147DC" w:rsidRDefault="00657FEF" w:rsidP="00992AB6">
      <w:pPr>
        <w:pStyle w:val="5"/>
        <w:rPr>
          <w:lang w:eastAsia="zh-TW"/>
        </w:rPr>
      </w:pPr>
      <w:r w:rsidRPr="00AF1178">
        <w:rPr>
          <w:rStyle w:val="af7"/>
        </w:rPr>
        <w:footnoteRef/>
      </w:r>
      <w:r w:rsidRPr="00AF1178">
        <w:rPr>
          <w:color w:val="FF6600"/>
          <w:lang w:eastAsia="zh-TW"/>
        </w:rPr>
        <w:t xml:space="preserve"> </w:t>
      </w:r>
      <w:r w:rsidRPr="008147DC">
        <w:rPr>
          <w:lang w:eastAsia="zh-TW"/>
        </w:rPr>
        <w:t>李瑞金、張美智，「從文化觀點探討東南亞外籍配偶在臺灣之生活適應」，社區發展季刊（臺北），第</w:t>
      </w:r>
      <w:r w:rsidRPr="008147DC">
        <w:rPr>
          <w:lang w:eastAsia="zh-TW"/>
        </w:rPr>
        <w:t>105</w:t>
      </w:r>
      <w:r w:rsidRPr="008147DC">
        <w:rPr>
          <w:lang w:eastAsia="zh-TW"/>
        </w:rPr>
        <w:t>期（</w:t>
      </w:r>
      <w:r w:rsidRPr="008147DC">
        <w:rPr>
          <w:lang w:eastAsia="zh-TW"/>
        </w:rPr>
        <w:t>2004</w:t>
      </w:r>
      <w:r w:rsidRPr="008147DC">
        <w:rPr>
          <w:lang w:eastAsia="zh-TW"/>
        </w:rPr>
        <w:t>年</w:t>
      </w:r>
      <w:r w:rsidRPr="008147DC">
        <w:rPr>
          <w:lang w:eastAsia="zh-TW"/>
        </w:rPr>
        <w:t>3</w:t>
      </w:r>
      <w:r w:rsidRPr="008147DC">
        <w:rPr>
          <w:lang w:eastAsia="zh-TW"/>
        </w:rPr>
        <w:t>月），頁</w:t>
      </w:r>
      <w:r w:rsidRPr="008147DC">
        <w:rPr>
          <w:lang w:eastAsia="zh-TW"/>
        </w:rPr>
        <w:t>103</w:t>
      </w:r>
      <w:r w:rsidRPr="008147DC">
        <w:rPr>
          <w:lang w:eastAsia="zh-TW"/>
        </w:rPr>
        <w:t>；潘淑滿，「從婚姻移民現象剖析公民權的實踐與限制」，社區發展季刊（臺北），第</w:t>
      </w:r>
      <w:r w:rsidRPr="008147DC">
        <w:rPr>
          <w:lang w:eastAsia="zh-TW"/>
        </w:rPr>
        <w:t xml:space="preserve">105 </w:t>
      </w:r>
      <w:r w:rsidRPr="008147DC">
        <w:rPr>
          <w:lang w:eastAsia="zh-TW"/>
        </w:rPr>
        <w:t>期（</w:t>
      </w:r>
      <w:r w:rsidRPr="008147DC">
        <w:rPr>
          <w:lang w:eastAsia="zh-TW"/>
        </w:rPr>
        <w:t>2004</w:t>
      </w:r>
      <w:r w:rsidRPr="008147DC">
        <w:rPr>
          <w:lang w:eastAsia="zh-TW"/>
        </w:rPr>
        <w:t>年</w:t>
      </w:r>
      <w:r w:rsidRPr="008147DC">
        <w:rPr>
          <w:lang w:eastAsia="zh-TW"/>
        </w:rPr>
        <w:t>3</w:t>
      </w:r>
      <w:r w:rsidRPr="008147DC">
        <w:rPr>
          <w:lang w:eastAsia="zh-TW"/>
        </w:rPr>
        <w:t>月），頁</w:t>
      </w:r>
      <w:r w:rsidRPr="008147DC">
        <w:rPr>
          <w:lang w:eastAsia="zh-TW"/>
        </w:rPr>
        <w:t>34</w:t>
      </w:r>
      <w:r w:rsidRPr="008147DC">
        <w:rPr>
          <w:lang w:eastAsia="zh-TW"/>
        </w:rPr>
        <w:t>。</w:t>
      </w:r>
    </w:p>
  </w:footnote>
  <w:footnote w:id="500">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黃翠紋，婦幼安全政策分析（臺北：五南圖書出版股份有限公司，</w:t>
      </w:r>
      <w:r w:rsidRPr="008147DC">
        <w:rPr>
          <w:lang w:eastAsia="zh-TW"/>
        </w:rPr>
        <w:t>2013</w:t>
      </w:r>
      <w:r w:rsidRPr="008147DC">
        <w:rPr>
          <w:lang w:eastAsia="zh-TW"/>
        </w:rPr>
        <w:t>年</w:t>
      </w:r>
      <w:r w:rsidRPr="008147DC">
        <w:rPr>
          <w:lang w:eastAsia="zh-TW"/>
        </w:rPr>
        <w:t>8</w:t>
      </w:r>
      <w:r w:rsidRPr="008147DC">
        <w:rPr>
          <w:lang w:eastAsia="zh-TW"/>
        </w:rPr>
        <w:t>月），頁</w:t>
      </w:r>
      <w:r w:rsidRPr="008147DC">
        <w:rPr>
          <w:lang w:eastAsia="zh-TW"/>
        </w:rPr>
        <w:t>265-267</w:t>
      </w:r>
      <w:r w:rsidRPr="008147DC">
        <w:rPr>
          <w:lang w:eastAsia="zh-TW"/>
        </w:rPr>
        <w:t>。</w:t>
      </w:r>
    </w:p>
  </w:footnote>
  <w:footnote w:id="501">
    <w:p w:rsidR="00657FEF" w:rsidRPr="008147DC" w:rsidRDefault="00657FEF" w:rsidP="00992AB6">
      <w:pPr>
        <w:pStyle w:val="5"/>
      </w:pPr>
      <w:r w:rsidRPr="00AF1178">
        <w:rPr>
          <w:rStyle w:val="af7"/>
        </w:rPr>
        <w:footnoteRef/>
      </w:r>
      <w:r w:rsidRPr="008147DC">
        <w:t xml:space="preserve"> Hamby, S., Battered women’s protective strategies ( Oxford, UK: Oxford University Press, 2014 ), pp. 34-39.</w:t>
      </w:r>
      <w:r w:rsidRPr="008147DC">
        <w:t>；</w:t>
      </w:r>
    </w:p>
  </w:footnote>
  <w:footnote w:id="502">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辛炳隆、鄭津津、林淑慧，「我國婚姻移民勞動工作權益保障及促進之研究」，行政院國家發展委員會委託研究報告（</w:t>
      </w:r>
      <w:r w:rsidRPr="008147DC">
        <w:rPr>
          <w:lang w:eastAsia="zh-TW"/>
        </w:rPr>
        <w:t>2014</w:t>
      </w:r>
      <w:r w:rsidRPr="008147DC">
        <w:rPr>
          <w:lang w:eastAsia="zh-TW"/>
        </w:rPr>
        <w:t>年），頁</w:t>
      </w:r>
      <w:r w:rsidRPr="008147DC">
        <w:rPr>
          <w:lang w:eastAsia="zh-TW"/>
        </w:rPr>
        <w:t>165-170</w:t>
      </w:r>
      <w:r w:rsidRPr="008147DC">
        <w:rPr>
          <w:lang w:eastAsia="zh-TW"/>
        </w:rPr>
        <w:t>。潘淑滿，「從婚姻移民現象剖析公民權的實踐與限制」，頁</w:t>
      </w:r>
      <w:r w:rsidRPr="008147DC">
        <w:rPr>
          <w:lang w:eastAsia="zh-TW"/>
        </w:rPr>
        <w:t>35</w:t>
      </w:r>
      <w:r w:rsidRPr="008147DC">
        <w:rPr>
          <w:lang w:eastAsia="zh-TW"/>
        </w:rPr>
        <w:t>。</w:t>
      </w:r>
    </w:p>
  </w:footnote>
  <w:footnote w:id="503">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孟維德、黃翠紋，「女性新移民家庭暴力被害人警政系統服務之實施現況、困境與分析」，內政部委託研究報告（</w:t>
      </w:r>
      <w:r w:rsidRPr="008147DC">
        <w:rPr>
          <w:lang w:eastAsia="zh-TW"/>
        </w:rPr>
        <w:t>2011</w:t>
      </w:r>
      <w:r w:rsidRPr="008147DC">
        <w:rPr>
          <w:lang w:eastAsia="zh-TW"/>
        </w:rPr>
        <w:t>年），頁</w:t>
      </w:r>
      <w:r w:rsidRPr="008147DC">
        <w:rPr>
          <w:lang w:eastAsia="zh-TW"/>
        </w:rPr>
        <w:t>215-216</w:t>
      </w:r>
      <w:r w:rsidRPr="008147DC">
        <w:rPr>
          <w:lang w:eastAsia="zh-TW"/>
        </w:rPr>
        <w:t>。</w:t>
      </w:r>
    </w:p>
  </w:footnote>
  <w:footnote w:id="504">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桃園縣政府，「外籍配偶服務專案報告」，桃園縣政府九十八年度第二次婦女權益促進委員會報告（</w:t>
      </w:r>
      <w:r w:rsidRPr="008147DC">
        <w:rPr>
          <w:lang w:eastAsia="zh-TW"/>
        </w:rPr>
        <w:t>2009</w:t>
      </w:r>
      <w:r w:rsidRPr="008147DC">
        <w:rPr>
          <w:lang w:eastAsia="zh-TW"/>
        </w:rPr>
        <w:t>年），頁</w:t>
      </w:r>
      <w:r w:rsidRPr="008147DC">
        <w:rPr>
          <w:lang w:eastAsia="zh-TW"/>
        </w:rPr>
        <w:t>4-5</w:t>
      </w:r>
      <w:r w:rsidRPr="008147DC">
        <w:rPr>
          <w:lang w:eastAsia="zh-TW"/>
        </w:rPr>
        <w:t>。</w:t>
      </w:r>
    </w:p>
  </w:footnote>
  <w:footnote w:id="505">
    <w:p w:rsidR="00657FEF" w:rsidRPr="008147DC" w:rsidRDefault="00657FEF" w:rsidP="00992AB6">
      <w:pPr>
        <w:pStyle w:val="5"/>
        <w:rPr>
          <w:lang w:eastAsia="zh-TW"/>
        </w:rPr>
      </w:pPr>
      <w:r w:rsidRPr="00AF1178">
        <w:rPr>
          <w:rStyle w:val="af7"/>
        </w:rPr>
        <w:footnoteRef/>
      </w:r>
      <w:r w:rsidRPr="008147DC">
        <w:rPr>
          <w:lang w:eastAsia="zh-TW"/>
        </w:rPr>
        <w:t xml:space="preserve"> </w:t>
      </w:r>
      <w:r w:rsidRPr="008147DC">
        <w:rPr>
          <w:lang w:eastAsia="zh-TW"/>
        </w:rPr>
        <w:t>黃翠紋、周坤寶，「我國婚姻移民輔導之實施現況評估」，頁</w:t>
      </w:r>
      <w:r w:rsidRPr="008147DC">
        <w:rPr>
          <w:lang w:eastAsia="zh-TW"/>
        </w:rPr>
        <w:t>78-79</w:t>
      </w:r>
      <w:r w:rsidRPr="008147DC">
        <w:rPr>
          <w:lang w:eastAsia="zh-TW"/>
        </w:rPr>
        <w:t>。</w:t>
      </w:r>
    </w:p>
  </w:footnote>
  <w:footnote w:id="506">
    <w:p w:rsidR="00657FEF" w:rsidRPr="008147DC" w:rsidRDefault="00657FEF" w:rsidP="00992AB6">
      <w:pPr>
        <w:pStyle w:val="5"/>
        <w:rPr>
          <w:lang w:eastAsia="zh-TW"/>
        </w:rPr>
      </w:pPr>
      <w:r w:rsidRPr="00A66DFC">
        <w:rPr>
          <w:rStyle w:val="af7"/>
          <w:rFonts w:eastAsia="新細明體"/>
          <w:kern w:val="2"/>
        </w:rPr>
        <w:footnoteRef/>
      </w:r>
      <w:r w:rsidRPr="008147DC">
        <w:rPr>
          <w:lang w:eastAsia="zh-TW"/>
        </w:rPr>
        <w:t xml:space="preserve"> </w:t>
      </w:r>
      <w:r w:rsidRPr="008147DC">
        <w:rPr>
          <w:lang w:eastAsia="zh-TW"/>
        </w:rPr>
        <w:t>辛炳隆、鄭津津、林淑慧，「我國婚姻移民勞動工作權益保障及促進之研究」，行政院國家發展委員會委託研究報告（</w:t>
      </w:r>
      <w:r w:rsidRPr="008147DC">
        <w:rPr>
          <w:lang w:eastAsia="zh-TW"/>
        </w:rPr>
        <w:t>2014</w:t>
      </w:r>
      <w:r w:rsidRPr="008147DC">
        <w:rPr>
          <w:lang w:eastAsia="zh-TW"/>
        </w:rPr>
        <w:t>年），頁</w:t>
      </w:r>
      <w:r w:rsidRPr="008147DC">
        <w:rPr>
          <w:lang w:eastAsia="zh-TW"/>
        </w:rPr>
        <w:t>165</w:t>
      </w:r>
      <w:r w:rsidRPr="008147DC">
        <w:rPr>
          <w:lang w:eastAsia="zh-TW"/>
        </w:rPr>
        <w:t>。</w:t>
      </w:r>
    </w:p>
  </w:footnote>
  <w:footnote w:id="507">
    <w:p w:rsidR="00657FEF" w:rsidRPr="008147DC" w:rsidRDefault="00657FEF" w:rsidP="00992AB6">
      <w:pPr>
        <w:pStyle w:val="5"/>
        <w:rPr>
          <w:lang w:eastAsia="zh-TW"/>
        </w:rPr>
      </w:pPr>
      <w:r w:rsidRPr="004B5698">
        <w:rPr>
          <w:rStyle w:val="af7"/>
        </w:rPr>
        <w:footnoteRef/>
      </w:r>
      <w:r w:rsidRPr="004B5698">
        <w:rPr>
          <w:color w:val="FF6600"/>
          <w:lang w:eastAsia="zh-TW"/>
        </w:rPr>
        <w:t xml:space="preserve"> </w:t>
      </w:r>
      <w:r w:rsidRPr="008147DC">
        <w:rPr>
          <w:lang w:eastAsia="zh-TW"/>
        </w:rPr>
        <w:t>潘淑滿，「從婚姻移民現象剖析公民權的實踐與限制」，頁</w:t>
      </w:r>
      <w:r w:rsidRPr="008147DC">
        <w:rPr>
          <w:lang w:eastAsia="zh-TW"/>
        </w:rPr>
        <w:t>33</w:t>
      </w:r>
      <w:r w:rsidRPr="008147DC">
        <w:rPr>
          <w:lang w:eastAsia="zh-TW"/>
        </w:rPr>
        <w:t>。</w:t>
      </w:r>
    </w:p>
  </w:footnote>
  <w:footnote w:id="508">
    <w:p w:rsidR="00657FEF" w:rsidRPr="008147DC" w:rsidRDefault="00657FEF" w:rsidP="00992AB6">
      <w:pPr>
        <w:pStyle w:val="5"/>
        <w:rPr>
          <w:lang w:eastAsia="zh-TW"/>
        </w:rPr>
      </w:pPr>
      <w:r w:rsidRPr="003276F8">
        <w:rPr>
          <w:rStyle w:val="af7"/>
          <w:rFonts w:eastAsia="新細明體"/>
          <w:kern w:val="2"/>
        </w:rPr>
        <w:footnoteRef/>
      </w:r>
      <w:r w:rsidRPr="008147DC">
        <w:rPr>
          <w:lang w:eastAsia="zh-TW"/>
        </w:rPr>
        <w:t>柯雨瑞（</w:t>
      </w:r>
      <w:r w:rsidRPr="008147DC">
        <w:rPr>
          <w:lang w:eastAsia="zh-TW"/>
        </w:rPr>
        <w:t>Jui-Rey, Ko</w:t>
      </w:r>
      <w:r w:rsidRPr="008147DC">
        <w:rPr>
          <w:lang w:eastAsia="zh-TW"/>
        </w:rPr>
        <w:t>），中央警察大學犯罪防治研究所法學博士，曾任內政部警政署保安警察第三總隊第二大隊</w:t>
      </w:r>
      <w:r w:rsidRPr="008147DC">
        <w:rPr>
          <w:lang w:eastAsia="zh-TW"/>
        </w:rPr>
        <w:t>(</w:t>
      </w:r>
      <w:r w:rsidRPr="008147DC">
        <w:rPr>
          <w:lang w:eastAsia="zh-TW"/>
        </w:rPr>
        <w:t>基隆</w:t>
      </w:r>
      <w:r w:rsidRPr="008147DC">
        <w:rPr>
          <w:lang w:eastAsia="zh-TW"/>
        </w:rPr>
        <w:t>)</w:t>
      </w:r>
      <w:r w:rsidRPr="008147DC">
        <w:rPr>
          <w:lang w:eastAsia="zh-TW"/>
        </w:rPr>
        <w:t>分隊長、第一大隊</w:t>
      </w:r>
      <w:r w:rsidRPr="008147DC">
        <w:rPr>
          <w:lang w:eastAsia="zh-TW"/>
        </w:rPr>
        <w:t>(</w:t>
      </w:r>
      <w:r w:rsidRPr="008147DC">
        <w:rPr>
          <w:lang w:eastAsia="zh-TW"/>
        </w:rPr>
        <w:t>臺北</w:t>
      </w:r>
      <w:r w:rsidRPr="008147DC">
        <w:rPr>
          <w:lang w:eastAsia="zh-TW"/>
        </w:rPr>
        <w:t>)</w:t>
      </w:r>
      <w:r w:rsidRPr="008147DC">
        <w:rPr>
          <w:lang w:eastAsia="zh-TW"/>
        </w:rPr>
        <w:t>警務員，中央警察大學助教、講師、副教授，現為中央警察大學國境警察學系專任教授。</w:t>
      </w:r>
    </w:p>
  </w:footnote>
  <w:footnote w:id="509">
    <w:p w:rsidR="00657FEF" w:rsidRPr="008147DC" w:rsidRDefault="00657FEF" w:rsidP="00992AB6">
      <w:pPr>
        <w:pStyle w:val="5"/>
        <w:rPr>
          <w:lang w:eastAsia="zh-TW"/>
        </w:rPr>
      </w:pPr>
      <w:r w:rsidRPr="003276F8">
        <w:rPr>
          <w:rStyle w:val="af7"/>
          <w:rFonts w:eastAsia="新細明體"/>
          <w:kern w:val="2"/>
        </w:rPr>
        <w:footnoteRef/>
      </w:r>
      <w:r w:rsidRPr="008147DC">
        <w:rPr>
          <w:lang w:eastAsia="zh-TW"/>
        </w:rPr>
        <w:t>蔡政杰</w:t>
      </w:r>
      <w:r w:rsidRPr="008147DC">
        <w:rPr>
          <w:lang w:val="fr-FR" w:eastAsia="zh-TW"/>
        </w:rPr>
        <w:t>（</w:t>
      </w:r>
      <w:r w:rsidRPr="008147DC">
        <w:rPr>
          <w:lang w:val="fr-FR" w:eastAsia="zh-TW"/>
        </w:rPr>
        <w:t>Chen-Chien, Tsai</w:t>
      </w:r>
      <w:r w:rsidRPr="008147DC">
        <w:rPr>
          <w:lang w:val="fr-FR" w:eastAsia="zh-TW"/>
        </w:rPr>
        <w:t>），</w:t>
      </w:r>
      <w:r w:rsidRPr="008147DC">
        <w:rPr>
          <w:lang w:eastAsia="zh-TW"/>
        </w:rPr>
        <w:t>中央警察大學外事警察研究所</w:t>
      </w:r>
      <w:r w:rsidRPr="008147DC">
        <w:rPr>
          <w:lang w:eastAsia="zh-TW"/>
        </w:rPr>
        <w:t>(</w:t>
      </w:r>
      <w:r w:rsidRPr="008147DC">
        <w:rPr>
          <w:lang w:eastAsia="zh-TW"/>
        </w:rPr>
        <w:t>國境組</w:t>
      </w:r>
      <w:r w:rsidRPr="008147DC">
        <w:rPr>
          <w:lang w:eastAsia="zh-TW"/>
        </w:rPr>
        <w:t>)</w:t>
      </w:r>
      <w:r w:rsidRPr="008147DC">
        <w:rPr>
          <w:lang w:eastAsia="zh-TW"/>
        </w:rPr>
        <w:t>碩士，中國文化大學政治所博士</w:t>
      </w:r>
      <w:r w:rsidRPr="008147DC">
        <w:rPr>
          <w:lang w:eastAsia="zh-HK"/>
        </w:rPr>
        <w:t>候選人</w:t>
      </w:r>
      <w:r w:rsidRPr="008147DC">
        <w:rPr>
          <w:lang w:eastAsia="zh-TW"/>
        </w:rPr>
        <w:t>。曾任內政部警政署保安警察第三總隊隊員、偵查員，臺北縣政府警察局新店分局警員，臺北市政府警察局文山第二分局警員，內政部移民署助理員、科員、專員、視察兼副隊長，現為內政部移民署入出國事務組視察、中央警察大學國境警察學系兼任講師。</w:t>
      </w:r>
    </w:p>
  </w:footnote>
  <w:footnote w:id="510">
    <w:p w:rsidR="00657FEF" w:rsidRPr="00255B89" w:rsidRDefault="00657FEF" w:rsidP="00AB30F1">
      <w:pPr>
        <w:pStyle w:val="5"/>
        <w:jc w:val="left"/>
        <w:rPr>
          <w:color w:val="5F5F5F"/>
        </w:rPr>
      </w:pPr>
      <w:r w:rsidRPr="00E6315D">
        <w:rPr>
          <w:rStyle w:val="af7"/>
          <w:rFonts w:eastAsia="新細明體"/>
          <w:kern w:val="2"/>
        </w:rPr>
        <w:footnoteRef/>
      </w:r>
      <w:r w:rsidRPr="008147DC">
        <w:t xml:space="preserve"> </w:t>
      </w:r>
      <w:r w:rsidRPr="008147DC">
        <w:t>數據來源：內政部移民署官方網站，＜</w:t>
      </w:r>
      <w:hyperlink r:id="rId136" w:history="1">
        <w:r w:rsidRPr="00255B89">
          <w:rPr>
            <w:rStyle w:val="a7"/>
            <w:rFonts w:ascii="Arial Unicode MS" w:eastAsia="新細明體" w:hAnsi="Arial Unicode MS" w:cs="Calibri"/>
            <w:color w:val="5F5F5F"/>
            <w:kern w:val="2"/>
            <w:sz w:val="18"/>
          </w:rPr>
          <w:t>http://www.immigration.gov.tw/ct.asp?xItem=1324434&amp;ctNode=29699&amp;mp=1</w:t>
        </w:r>
      </w:hyperlink>
      <w:r w:rsidRPr="00255B89">
        <w:rPr>
          <w:color w:val="5F5F5F"/>
        </w:rPr>
        <w:t>＞，統計期間至</w:t>
      </w:r>
      <w:r w:rsidRPr="00255B89">
        <w:rPr>
          <w:color w:val="5F5F5F"/>
        </w:rPr>
        <w:t>2017</w:t>
      </w:r>
      <w:r w:rsidRPr="00255B89">
        <w:rPr>
          <w:color w:val="5F5F5F"/>
          <w:lang w:eastAsia="zh-HK"/>
        </w:rPr>
        <w:t>年</w:t>
      </w:r>
      <w:r w:rsidRPr="00255B89">
        <w:rPr>
          <w:color w:val="5F5F5F"/>
          <w:lang w:eastAsia="zh-HK"/>
        </w:rPr>
        <w:t>12</w:t>
      </w:r>
      <w:r w:rsidRPr="00255B89">
        <w:rPr>
          <w:color w:val="5F5F5F"/>
        </w:rPr>
        <w:t>月止。</w:t>
      </w:r>
    </w:p>
  </w:footnote>
  <w:footnote w:id="511">
    <w:p w:rsidR="00657FEF" w:rsidRPr="00255B89" w:rsidRDefault="00657FEF" w:rsidP="00992AB6">
      <w:pPr>
        <w:pStyle w:val="5"/>
        <w:rPr>
          <w:color w:val="5F5F5F"/>
        </w:rPr>
      </w:pPr>
      <w:r w:rsidRPr="00E6315D">
        <w:rPr>
          <w:rStyle w:val="af7"/>
          <w:rFonts w:eastAsia="新細明體"/>
          <w:kern w:val="2"/>
        </w:rPr>
        <w:footnoteRef/>
      </w:r>
      <w:r w:rsidRPr="00E6315D">
        <w:t xml:space="preserve"> </w:t>
      </w:r>
      <w:r w:rsidRPr="00E6315D">
        <w:t>陳華興，新移民逾</w:t>
      </w:r>
      <w:r w:rsidRPr="00E6315D">
        <w:t>15</w:t>
      </w:r>
      <w:r w:rsidRPr="00E6315D">
        <w:t>萬　桃園將成立新住民委員會，台灣好新聞，</w:t>
      </w:r>
      <w:r w:rsidRPr="00E6315D">
        <w:t>2016</w:t>
      </w:r>
      <w:r w:rsidRPr="00E6315D">
        <w:t>年</w:t>
      </w:r>
      <w:r w:rsidRPr="00E6315D">
        <w:t>12</w:t>
      </w:r>
      <w:r w:rsidRPr="00E6315D">
        <w:t>月</w:t>
      </w:r>
      <w:r w:rsidRPr="00E6315D">
        <w:t>12</w:t>
      </w:r>
      <w:r w:rsidRPr="00E6315D">
        <w:t>日，＜</w:t>
      </w:r>
      <w:hyperlink r:id="rId137" w:history="1">
        <w:r w:rsidRPr="00255B89">
          <w:rPr>
            <w:rStyle w:val="a7"/>
            <w:rFonts w:ascii="Arial Unicode MS" w:eastAsia="新細明體" w:hAnsi="Arial Unicode MS" w:cs="Calibri"/>
            <w:color w:val="5F5F5F"/>
            <w:kern w:val="2"/>
            <w:sz w:val="18"/>
          </w:rPr>
          <w:t>http://n.yam.com/taiwanhot/place/20161212/20161212011745.html</w:t>
        </w:r>
      </w:hyperlink>
      <w:r w:rsidRPr="00255B89">
        <w:rPr>
          <w:color w:val="5F5F5F"/>
        </w:rPr>
        <w:t>＞。</w:t>
      </w:r>
    </w:p>
  </w:footnote>
  <w:footnote w:id="512">
    <w:p w:rsidR="00657FEF" w:rsidRPr="00255B89" w:rsidRDefault="00657FEF" w:rsidP="00992AB6">
      <w:pPr>
        <w:pStyle w:val="5"/>
        <w:rPr>
          <w:color w:val="5F5F5F"/>
          <w:lang w:eastAsia="zh-TW"/>
        </w:rPr>
      </w:pPr>
      <w:r w:rsidRPr="00E6315D">
        <w:rPr>
          <w:rStyle w:val="af7"/>
          <w:rFonts w:eastAsia="新細明體"/>
          <w:kern w:val="2"/>
        </w:rPr>
        <w:footnoteRef/>
      </w:r>
      <w:r w:rsidRPr="00E6315D">
        <w:rPr>
          <w:lang w:eastAsia="zh-TW"/>
        </w:rPr>
        <w:t xml:space="preserve"> </w:t>
      </w:r>
      <w:r w:rsidRPr="00E6315D">
        <w:rPr>
          <w:lang w:eastAsia="zh-TW"/>
        </w:rPr>
        <w:t>鄭鴻達，改善移民處境</w:t>
      </w:r>
      <w:r w:rsidRPr="00E6315D">
        <w:rPr>
          <w:lang w:eastAsia="zh-TW"/>
        </w:rPr>
        <w:t xml:space="preserve"> </w:t>
      </w:r>
      <w:r w:rsidRPr="00E6315D">
        <w:rPr>
          <w:lang w:eastAsia="zh-TW"/>
        </w:rPr>
        <w:t>立委提修「新住民基本法」，</w:t>
      </w:r>
      <w:r w:rsidRPr="00E6315D">
        <w:rPr>
          <w:lang w:eastAsia="zh-HK"/>
        </w:rPr>
        <w:t>自由時報電子報，</w:t>
      </w:r>
      <w:r w:rsidRPr="00E6315D">
        <w:rPr>
          <w:lang w:eastAsia="zh-TW"/>
        </w:rPr>
        <w:t>2018</w:t>
      </w:r>
      <w:r w:rsidRPr="00E6315D">
        <w:rPr>
          <w:lang w:eastAsia="zh-HK"/>
        </w:rPr>
        <w:t>年</w:t>
      </w:r>
      <w:r w:rsidRPr="00E6315D">
        <w:rPr>
          <w:lang w:eastAsia="zh-HK"/>
        </w:rPr>
        <w:t>1</w:t>
      </w:r>
      <w:r w:rsidRPr="00E6315D">
        <w:rPr>
          <w:lang w:eastAsia="zh-HK"/>
        </w:rPr>
        <w:t>月</w:t>
      </w:r>
      <w:r w:rsidRPr="00E6315D">
        <w:rPr>
          <w:lang w:eastAsia="zh-HK"/>
        </w:rPr>
        <w:t>5</w:t>
      </w:r>
      <w:r w:rsidRPr="00E6315D">
        <w:rPr>
          <w:lang w:eastAsia="zh-HK"/>
        </w:rPr>
        <w:t>日，</w:t>
      </w:r>
      <w:r w:rsidRPr="00E6315D">
        <w:rPr>
          <w:lang w:eastAsia="zh-TW"/>
        </w:rPr>
        <w:t>＜</w:t>
      </w:r>
      <w:hyperlink r:id="rId138" w:history="1">
        <w:r w:rsidRPr="00255B89">
          <w:rPr>
            <w:rStyle w:val="a7"/>
            <w:rFonts w:ascii="Arial Unicode MS" w:eastAsia="新細明體" w:hAnsi="Arial Unicode MS" w:cs="Calibri"/>
            <w:color w:val="5F5F5F"/>
            <w:kern w:val="2"/>
            <w:sz w:val="18"/>
            <w:lang w:eastAsia="zh-TW"/>
          </w:rPr>
          <w:t>http://news.ltn.com.tw/news/politics/breakingnews/2303145</w:t>
        </w:r>
      </w:hyperlink>
      <w:r w:rsidRPr="00255B89">
        <w:rPr>
          <w:color w:val="5F5F5F"/>
          <w:lang w:eastAsia="zh-TW"/>
        </w:rPr>
        <w:t>＞，</w:t>
      </w:r>
      <w:r w:rsidRPr="00255B89">
        <w:rPr>
          <w:color w:val="5F5F5F"/>
          <w:lang w:eastAsia="zh-HK"/>
        </w:rPr>
        <w:t>瀏覽日期：</w:t>
      </w:r>
      <w:r w:rsidRPr="00255B89">
        <w:rPr>
          <w:color w:val="5F5F5F"/>
          <w:lang w:eastAsia="zh-HK"/>
        </w:rPr>
        <w:t>2018</w:t>
      </w:r>
      <w:r w:rsidRPr="00255B89">
        <w:rPr>
          <w:color w:val="5F5F5F"/>
          <w:lang w:eastAsia="zh-HK"/>
        </w:rPr>
        <w:t>年</w:t>
      </w:r>
      <w:r w:rsidRPr="00255B89">
        <w:rPr>
          <w:color w:val="5F5F5F"/>
          <w:lang w:eastAsia="zh-HK"/>
        </w:rPr>
        <w:t>6</w:t>
      </w:r>
      <w:r w:rsidRPr="00255B89">
        <w:rPr>
          <w:color w:val="5F5F5F"/>
          <w:lang w:eastAsia="zh-HK"/>
        </w:rPr>
        <w:t>月</w:t>
      </w:r>
      <w:r w:rsidRPr="00255B89">
        <w:rPr>
          <w:color w:val="5F5F5F"/>
          <w:lang w:eastAsia="zh-HK"/>
        </w:rPr>
        <w:t>7</w:t>
      </w:r>
      <w:r w:rsidRPr="00255B89">
        <w:rPr>
          <w:color w:val="5F5F5F"/>
          <w:lang w:eastAsia="zh-HK"/>
        </w:rPr>
        <w:t>日。</w:t>
      </w:r>
    </w:p>
  </w:footnote>
  <w:footnote w:id="513">
    <w:p w:rsidR="00657FEF" w:rsidRPr="008147DC" w:rsidRDefault="00657FEF" w:rsidP="00992AB6">
      <w:pPr>
        <w:pStyle w:val="5"/>
        <w:rPr>
          <w:lang w:eastAsia="zh-TW"/>
        </w:rPr>
      </w:pPr>
      <w:r w:rsidRPr="00E6315D">
        <w:rPr>
          <w:rStyle w:val="af7"/>
          <w:rFonts w:eastAsia="新細明體"/>
          <w:kern w:val="2"/>
        </w:rPr>
        <w:footnoteRef/>
      </w:r>
      <w:r w:rsidRPr="008147DC">
        <w:rPr>
          <w:lang w:eastAsia="zh-TW"/>
        </w:rPr>
        <w:t xml:space="preserve">  </w:t>
      </w:r>
      <w:r w:rsidRPr="008147DC">
        <w:rPr>
          <w:lang w:eastAsia="zh-TW"/>
        </w:rPr>
        <w:t>柯雨瑞、蔡政杰，婚姻移民人權與國境安全管理之折衝與拉扯，國土安全與移民政策，臺北市：獨立作家，頁</w:t>
      </w:r>
      <w:r w:rsidRPr="008147DC">
        <w:rPr>
          <w:lang w:eastAsia="zh-TW"/>
        </w:rPr>
        <w:t>219-251</w:t>
      </w:r>
      <w:r w:rsidRPr="008147DC">
        <w:rPr>
          <w:lang w:eastAsia="zh-TW"/>
        </w:rPr>
        <w:t>。</w:t>
      </w:r>
    </w:p>
  </w:footnote>
  <w:footnote w:id="514">
    <w:p w:rsidR="00657FEF" w:rsidRPr="008147DC" w:rsidRDefault="00657FEF" w:rsidP="00992AB6">
      <w:pPr>
        <w:pStyle w:val="5"/>
        <w:rPr>
          <w:lang w:eastAsia="zh-TW"/>
        </w:rPr>
      </w:pPr>
      <w:r w:rsidRPr="00E6315D">
        <w:rPr>
          <w:rStyle w:val="af7"/>
          <w:rFonts w:eastAsia="新細明體"/>
          <w:kern w:val="2"/>
        </w:rPr>
        <w:footnoteRef/>
      </w:r>
      <w:r w:rsidRPr="008147DC">
        <w:rPr>
          <w:lang w:eastAsia="zh-TW"/>
        </w:rPr>
        <w:t xml:space="preserve"> </w:t>
      </w:r>
      <w:r w:rsidRPr="008147DC">
        <w:rPr>
          <w:lang w:eastAsia="zh-TW"/>
        </w:rPr>
        <w:t>請參閱「入出國及移民法」第</w:t>
      </w:r>
      <w:r w:rsidRPr="008147DC">
        <w:rPr>
          <w:lang w:eastAsia="zh-TW"/>
        </w:rPr>
        <w:t>22</w:t>
      </w:r>
      <w:r w:rsidRPr="008147DC">
        <w:rPr>
          <w:lang w:eastAsia="zh-TW"/>
        </w:rPr>
        <w:t>條。</w:t>
      </w:r>
    </w:p>
  </w:footnote>
  <w:footnote w:id="515">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「入出國及移民法」第</w:t>
      </w:r>
      <w:r w:rsidRPr="008147DC">
        <w:rPr>
          <w:lang w:eastAsia="zh-TW"/>
        </w:rPr>
        <w:t>23</w:t>
      </w:r>
      <w:r w:rsidRPr="008147DC">
        <w:rPr>
          <w:lang w:eastAsia="zh-TW"/>
        </w:rPr>
        <w:t>條第</w:t>
      </w:r>
      <w:r w:rsidRPr="008147DC">
        <w:rPr>
          <w:lang w:eastAsia="zh-TW"/>
        </w:rPr>
        <w:t>1</w:t>
      </w:r>
      <w:r w:rsidRPr="008147DC">
        <w:rPr>
          <w:lang w:eastAsia="zh-TW"/>
        </w:rPr>
        <w:t>項第</w:t>
      </w:r>
      <w:r w:rsidRPr="008147DC">
        <w:rPr>
          <w:lang w:eastAsia="zh-TW"/>
        </w:rPr>
        <w:t>1</w:t>
      </w:r>
      <w:r w:rsidRPr="008147DC">
        <w:rPr>
          <w:lang w:eastAsia="zh-TW"/>
        </w:rPr>
        <w:t>款規定：「持停留期限在六十日以上，且未經簽證核發機關加註限制不准延期或其他限制之有效簽證入國之外國人，有下列情形之一者，得向移民署申請居留，經許可者，發給外僑居留證：一、配偶為現在在臺灣地區居住且設有戶籍或獲准居留之我國國民，或經核准居留或永久居留之外國人。但該核准居留之外國籍配偶係經中央勞工主管機關許可在我國從事就業服務法第四十六條第一項第八款至第十款工作者，不得申請。」</w:t>
      </w:r>
    </w:p>
  </w:footnote>
  <w:footnote w:id="516">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「入出國及移民法」第</w:t>
      </w:r>
      <w:r w:rsidRPr="008147DC">
        <w:rPr>
          <w:lang w:eastAsia="zh-TW"/>
        </w:rPr>
        <w:t>22</w:t>
      </w:r>
      <w:r w:rsidRPr="008147DC">
        <w:rPr>
          <w:lang w:eastAsia="zh-TW"/>
        </w:rPr>
        <w:t>條規定：「外國人持有效簽證或適用以免簽證方式入國之有效護照或旅行證件，經移民署查驗許可入國後，取得停留、居留許可。</w:t>
      </w:r>
    </w:p>
  </w:footnote>
  <w:footnote w:id="517">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「入出國及移民法」第</w:t>
      </w:r>
      <w:r w:rsidRPr="008147DC">
        <w:rPr>
          <w:lang w:eastAsia="zh-TW"/>
        </w:rPr>
        <w:t>31</w:t>
      </w:r>
      <w:r w:rsidRPr="008147DC">
        <w:rPr>
          <w:lang w:eastAsia="zh-TW"/>
        </w:rPr>
        <w:t>條第</w:t>
      </w:r>
      <w:r w:rsidRPr="008147DC">
        <w:rPr>
          <w:lang w:eastAsia="zh-TW"/>
        </w:rPr>
        <w:t>1</w:t>
      </w:r>
      <w:r w:rsidRPr="008147DC">
        <w:rPr>
          <w:lang w:eastAsia="zh-TW"/>
        </w:rPr>
        <w:t>項及第</w:t>
      </w:r>
      <w:r w:rsidRPr="008147DC">
        <w:rPr>
          <w:lang w:eastAsia="zh-TW"/>
        </w:rPr>
        <w:t>2</w:t>
      </w:r>
      <w:r w:rsidRPr="008147DC">
        <w:rPr>
          <w:lang w:eastAsia="zh-TW"/>
        </w:rPr>
        <w:t>項規定：「外國人停留或居留期限屆滿前，有繼續停留或居留之必要時，應向移民署申請延期。</w:t>
      </w:r>
    </w:p>
  </w:footnote>
  <w:footnote w:id="518">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「外國人停留居留及永久居留辦法」第</w:t>
      </w:r>
      <w:r w:rsidRPr="008147DC">
        <w:rPr>
          <w:lang w:eastAsia="zh-TW"/>
        </w:rPr>
        <w:t>6</w:t>
      </w:r>
      <w:r w:rsidRPr="008147DC">
        <w:rPr>
          <w:lang w:eastAsia="zh-TW"/>
        </w:rPr>
        <w:t>條第</w:t>
      </w:r>
      <w:r w:rsidRPr="008147DC">
        <w:rPr>
          <w:lang w:eastAsia="zh-TW"/>
        </w:rPr>
        <w:t>1</w:t>
      </w:r>
      <w:r w:rsidRPr="008147DC">
        <w:rPr>
          <w:lang w:eastAsia="zh-TW"/>
        </w:rPr>
        <w:t>項規定：「外國人有本法第二十三條第一項第一款至第五款情形之一者，得檢具下列文件及照片一張，向移民署申請居留，經許可者，發給外僑居留證：</w:t>
      </w:r>
      <w:r w:rsidRPr="008147DC">
        <w:rPr>
          <w:lang w:eastAsia="zh-TW"/>
        </w:rPr>
        <w:br/>
      </w:r>
      <w:r w:rsidRPr="008147DC">
        <w:rPr>
          <w:lang w:eastAsia="zh-TW"/>
        </w:rPr>
        <w:t>一、申請書。</w:t>
      </w:r>
      <w:r w:rsidRPr="008147DC">
        <w:rPr>
          <w:lang w:eastAsia="zh-TW"/>
        </w:rPr>
        <w:br/>
      </w:r>
      <w:r w:rsidRPr="008147DC">
        <w:rPr>
          <w:lang w:eastAsia="zh-TW"/>
        </w:rPr>
        <w:t>二、護照及停留簽證。</w:t>
      </w:r>
      <w:r w:rsidRPr="008147DC">
        <w:rPr>
          <w:lang w:eastAsia="zh-TW"/>
        </w:rPr>
        <w:br/>
      </w:r>
      <w:r w:rsidRPr="008147DC">
        <w:rPr>
          <w:lang w:eastAsia="zh-TW"/>
        </w:rPr>
        <w:t>三、其他證明文件。」</w:t>
      </w:r>
    </w:p>
  </w:footnote>
  <w:footnote w:id="519">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依「入出國及移民法」第</w:t>
      </w:r>
      <w:r w:rsidRPr="008147DC">
        <w:rPr>
          <w:lang w:eastAsia="zh-TW"/>
        </w:rPr>
        <w:t>24</w:t>
      </w:r>
      <w:r w:rsidRPr="008147DC">
        <w:rPr>
          <w:lang w:eastAsia="zh-TW"/>
        </w:rPr>
        <w:t>條規定。</w:t>
      </w:r>
    </w:p>
  </w:footnote>
  <w:footnote w:id="520">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「外國人停留居留及永久居留辦法」第</w:t>
      </w:r>
      <w:r w:rsidRPr="008147DC">
        <w:rPr>
          <w:lang w:eastAsia="zh-TW"/>
        </w:rPr>
        <w:t>8</w:t>
      </w:r>
      <w:r w:rsidRPr="008147DC">
        <w:rPr>
          <w:lang w:eastAsia="zh-TW"/>
        </w:rPr>
        <w:t>條第規定：「外國人依本法第三十一條第一項規定申請延期居留時，應於居留期限屆滿前三十日內，檢具下列文件及照片一張，向移民署提出：</w:t>
      </w:r>
      <w:r w:rsidRPr="008147DC">
        <w:rPr>
          <w:lang w:eastAsia="zh-TW"/>
        </w:rPr>
        <w:br/>
      </w:r>
      <w:r w:rsidRPr="008147DC">
        <w:rPr>
          <w:lang w:eastAsia="zh-TW"/>
        </w:rPr>
        <w:t>一、申請書。</w:t>
      </w:r>
      <w:r w:rsidRPr="008147DC">
        <w:rPr>
          <w:lang w:eastAsia="zh-TW"/>
        </w:rPr>
        <w:br/>
      </w:r>
      <w:r w:rsidRPr="008147DC">
        <w:rPr>
          <w:lang w:eastAsia="zh-TW"/>
        </w:rPr>
        <w:t>二、護照及外僑居留證。</w:t>
      </w:r>
      <w:r w:rsidRPr="008147DC">
        <w:rPr>
          <w:lang w:eastAsia="zh-TW"/>
        </w:rPr>
        <w:br/>
      </w:r>
      <w:r w:rsidRPr="008147DC">
        <w:rPr>
          <w:lang w:eastAsia="zh-TW"/>
        </w:rPr>
        <w:t>三、其他證明文件。」</w:t>
      </w:r>
    </w:p>
  </w:footnote>
  <w:footnote w:id="521">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依據「入出國及移民法施行細則」第</w:t>
      </w:r>
      <w:r w:rsidRPr="008147DC">
        <w:rPr>
          <w:lang w:eastAsia="zh-TW"/>
        </w:rPr>
        <w:t>14</w:t>
      </w:r>
      <w:r w:rsidRPr="008147DC">
        <w:rPr>
          <w:lang w:eastAsia="zh-TW"/>
        </w:rPr>
        <w:t>條規定，所稱合法連續居留及合法居留，指持用外僑居留證之居住期間；又依「國籍法施行細則」第</w:t>
      </w:r>
      <w:r w:rsidRPr="008147DC">
        <w:rPr>
          <w:lang w:eastAsia="zh-TW"/>
        </w:rPr>
        <w:t>5</w:t>
      </w:r>
      <w:r w:rsidRPr="008147DC">
        <w:rPr>
          <w:lang w:eastAsia="zh-TW"/>
        </w:rPr>
        <w:t>條規定，所定合法居留期間之計算，包括本法中華民國八十九年二月九日修正施行前已取得外僑居留證或外僑永久居留證之合法居留期間。</w:t>
      </w:r>
    </w:p>
  </w:footnote>
  <w:footnote w:id="522">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HK"/>
        </w:rPr>
        <w:t>請參閱</w:t>
      </w:r>
      <w:r w:rsidRPr="008147DC">
        <w:rPr>
          <w:lang w:eastAsia="zh-TW"/>
        </w:rPr>
        <w:t>「國籍法」第</w:t>
      </w:r>
      <w:r w:rsidRPr="008147DC">
        <w:rPr>
          <w:lang w:eastAsia="zh-TW"/>
        </w:rPr>
        <w:t>3</w:t>
      </w:r>
      <w:r w:rsidRPr="008147DC">
        <w:rPr>
          <w:lang w:eastAsia="zh-TW"/>
        </w:rPr>
        <w:t>條</w:t>
      </w:r>
      <w:r w:rsidRPr="008147DC">
        <w:rPr>
          <w:lang w:eastAsia="zh-HK"/>
        </w:rPr>
        <w:t>及第</w:t>
      </w:r>
      <w:r w:rsidRPr="008147DC">
        <w:rPr>
          <w:lang w:eastAsia="zh-HK"/>
        </w:rPr>
        <w:t>4</w:t>
      </w:r>
      <w:r w:rsidRPr="008147DC">
        <w:rPr>
          <w:lang w:eastAsia="zh-HK"/>
        </w:rPr>
        <w:t>條規定。</w:t>
      </w:r>
    </w:p>
  </w:footnote>
  <w:footnote w:id="523">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請參閱國籍法施行細則第</w:t>
      </w:r>
      <w:r w:rsidRPr="008147DC">
        <w:rPr>
          <w:lang w:eastAsia="zh-TW"/>
        </w:rPr>
        <w:t>4</w:t>
      </w:r>
      <w:r w:rsidRPr="008147DC">
        <w:rPr>
          <w:lang w:eastAsia="zh-TW"/>
        </w:rPr>
        <w:t>條。</w:t>
      </w:r>
    </w:p>
  </w:footnote>
  <w:footnote w:id="524">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請參閱國籍法施行細則第</w:t>
      </w:r>
      <w:r w:rsidRPr="008147DC">
        <w:rPr>
          <w:lang w:eastAsia="zh-TW"/>
        </w:rPr>
        <w:t>6</w:t>
      </w:r>
      <w:r w:rsidRPr="008147DC">
        <w:rPr>
          <w:lang w:eastAsia="zh-TW"/>
        </w:rPr>
        <w:t>條。</w:t>
      </w:r>
    </w:p>
  </w:footnote>
  <w:footnote w:id="525">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國籍法第</w:t>
      </w:r>
      <w:r w:rsidRPr="008147DC">
        <w:rPr>
          <w:lang w:eastAsia="zh-TW"/>
        </w:rPr>
        <w:t>8</w:t>
      </w:r>
      <w:r w:rsidRPr="008147DC">
        <w:rPr>
          <w:lang w:eastAsia="zh-TW"/>
        </w:rPr>
        <w:t>條規定：「外國人或無國籍人依第三條至第七條申請歸化者，應向內政部為之，並自許可之日起取得中華民國國籍」。又同法第</w:t>
      </w:r>
      <w:r w:rsidRPr="008147DC">
        <w:rPr>
          <w:lang w:eastAsia="zh-TW"/>
        </w:rPr>
        <w:t>9</w:t>
      </w:r>
      <w:r w:rsidRPr="008147DC">
        <w:rPr>
          <w:lang w:eastAsia="zh-TW"/>
        </w:rPr>
        <w:t>條第</w:t>
      </w:r>
      <w:r w:rsidRPr="008147DC">
        <w:rPr>
          <w:lang w:eastAsia="zh-TW"/>
        </w:rPr>
        <w:t>1</w:t>
      </w:r>
      <w:r w:rsidRPr="008147DC">
        <w:rPr>
          <w:lang w:eastAsia="zh-TW"/>
        </w:rPr>
        <w:t>項規定：「外國人申請歸化，應於許可歸化之日起，或依原屬國法令須滿一定年齡始得喪失原有國籍者自滿一定年齡之日起，一年內提出喪失原有國籍證明。」</w:t>
      </w:r>
    </w:p>
  </w:footnote>
  <w:footnote w:id="526">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國籍法第</w:t>
      </w:r>
      <w:r w:rsidRPr="008147DC">
        <w:rPr>
          <w:lang w:eastAsia="zh-TW"/>
        </w:rPr>
        <w:t>6</w:t>
      </w:r>
      <w:r w:rsidRPr="008147DC">
        <w:rPr>
          <w:lang w:eastAsia="zh-TW"/>
        </w:rPr>
        <w:t>條第</w:t>
      </w:r>
      <w:r w:rsidRPr="008147DC">
        <w:rPr>
          <w:lang w:eastAsia="zh-TW"/>
        </w:rPr>
        <w:t>1</w:t>
      </w:r>
      <w:r w:rsidRPr="008147DC">
        <w:rPr>
          <w:lang w:eastAsia="zh-TW"/>
        </w:rPr>
        <w:t>項規定：「外國人或無國籍人，有殊勳於中華民國者，雖不具備第三條第一項各款要件，亦得申請歸化」。</w:t>
      </w:r>
    </w:p>
  </w:footnote>
  <w:footnote w:id="527">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依「入出國及移民法」第</w:t>
      </w:r>
      <w:r w:rsidRPr="008147DC">
        <w:rPr>
          <w:lang w:eastAsia="zh-TW"/>
        </w:rPr>
        <w:t>3</w:t>
      </w:r>
      <w:r w:rsidRPr="008147DC">
        <w:rPr>
          <w:lang w:eastAsia="zh-TW"/>
        </w:rPr>
        <w:t>條第</w:t>
      </w:r>
      <w:r w:rsidRPr="008147DC">
        <w:rPr>
          <w:lang w:eastAsia="zh-TW"/>
        </w:rPr>
        <w:t>5</w:t>
      </w:r>
      <w:r w:rsidRPr="008147DC">
        <w:rPr>
          <w:lang w:eastAsia="zh-TW"/>
        </w:rPr>
        <w:t>款之定義，所稱臺灣地區無戶籍國民，係指未曾在臺灣地區設有戶籍之僑居國外國民及取得、回復我國國籍尚未在臺灣地區設有戶籍國民。</w:t>
      </w:r>
    </w:p>
  </w:footnote>
  <w:footnote w:id="528">
    <w:p w:rsidR="00657FEF" w:rsidRPr="008147DC" w:rsidRDefault="00657FEF" w:rsidP="00992AB6">
      <w:pPr>
        <w:pStyle w:val="5"/>
        <w:rPr>
          <w:lang w:eastAsia="zh-TW"/>
        </w:rPr>
      </w:pPr>
      <w:r w:rsidRPr="005D4AAC">
        <w:rPr>
          <w:rStyle w:val="af7"/>
          <w:rFonts w:eastAsia="新細明體"/>
          <w:kern w:val="2"/>
          <w:szCs w:val="20"/>
        </w:rPr>
        <w:footnoteRef/>
      </w:r>
      <w:r w:rsidRPr="005D4AAC">
        <w:rPr>
          <w:rStyle w:val="af7"/>
          <w:rFonts w:eastAsia="新細明體"/>
          <w:kern w:val="2"/>
          <w:szCs w:val="20"/>
          <w:lang w:eastAsia="zh-TW"/>
        </w:rPr>
        <w:t xml:space="preserve"> </w:t>
      </w:r>
      <w:r w:rsidRPr="008147DC">
        <w:rPr>
          <w:lang w:eastAsia="zh-TW"/>
        </w:rPr>
        <w:tab/>
      </w:r>
      <w:r w:rsidRPr="008147DC">
        <w:rPr>
          <w:lang w:eastAsia="zh-TW"/>
        </w:rPr>
        <w:t>柯雨瑞、蔡政杰</w:t>
      </w:r>
      <w:r w:rsidRPr="008147DC">
        <w:rPr>
          <w:lang w:eastAsia="zh-TW"/>
        </w:rPr>
        <w:t>(2012)</w:t>
      </w:r>
      <w:r w:rsidRPr="008147DC">
        <w:rPr>
          <w:lang w:eastAsia="zh-TW"/>
        </w:rPr>
        <w:t>，論我國對於大陸地區人民來臺觀光之國境人流管理機制之現況與檢討，中央警察大學國土安全與國境管理學報，第十七期，頁</w:t>
      </w:r>
      <w:r w:rsidRPr="008147DC">
        <w:rPr>
          <w:lang w:eastAsia="zh-TW"/>
        </w:rPr>
        <w:t>58~59</w:t>
      </w:r>
      <w:r w:rsidRPr="008147DC">
        <w:rPr>
          <w:lang w:eastAsia="zh-TW"/>
        </w:rPr>
        <w:t>。</w:t>
      </w:r>
    </w:p>
  </w:footnote>
  <w:footnote w:id="529">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兩岸人民關係條例第</w:t>
      </w:r>
      <w:r w:rsidRPr="008147DC">
        <w:rPr>
          <w:lang w:eastAsia="zh-TW"/>
        </w:rPr>
        <w:t>10</w:t>
      </w:r>
      <w:r w:rsidRPr="008147DC">
        <w:rPr>
          <w:lang w:eastAsia="zh-TW"/>
        </w:rPr>
        <w:t>條規定：「大陸地區人民非經主管機關許可，不得進入臺灣地區。</w:t>
      </w:r>
      <w:r w:rsidRPr="008147DC">
        <w:rPr>
          <w:lang w:eastAsia="zh-TW"/>
        </w:rPr>
        <w:br/>
      </w:r>
      <w:r w:rsidRPr="008147DC">
        <w:rPr>
          <w:lang w:eastAsia="zh-TW"/>
        </w:rPr>
        <w:t>經許可進入臺灣地區之大陸地區人民，不得從事與許可目的不符之活動。</w:t>
      </w:r>
    </w:p>
  </w:footnote>
  <w:footnote w:id="530">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監察院於</w:t>
      </w:r>
      <w:smartTag w:uri="urn:schemas-microsoft-com:office:smarttags" w:element="chsdate">
        <w:smartTagPr>
          <w:attr w:name="IsROCDate" w:val="False"/>
          <w:attr w:name="IsLunarDate" w:val="False"/>
          <w:attr w:name="Day" w:val="19"/>
          <w:attr w:name="Month" w:val="8"/>
          <w:attr w:name="Year" w:val="1998"/>
        </w:smartTagPr>
        <w:r w:rsidRPr="008147DC">
          <w:rPr>
            <w:lang w:eastAsia="zh-TW"/>
          </w:rPr>
          <w:t>98</w:t>
        </w:r>
        <w:r w:rsidRPr="008147DC">
          <w:rPr>
            <w:lang w:eastAsia="zh-TW"/>
          </w:rPr>
          <w:t>年</w:t>
        </w:r>
        <w:r w:rsidRPr="008147DC">
          <w:rPr>
            <w:lang w:eastAsia="zh-TW"/>
          </w:rPr>
          <w:t>8</w:t>
        </w:r>
        <w:r w:rsidRPr="008147DC">
          <w:rPr>
            <w:lang w:eastAsia="zh-TW"/>
          </w:rPr>
          <w:t>月</w:t>
        </w:r>
        <w:r w:rsidRPr="008147DC">
          <w:rPr>
            <w:lang w:eastAsia="zh-TW"/>
          </w:rPr>
          <w:t>19</w:t>
        </w:r>
        <w:r w:rsidRPr="008147DC">
          <w:rPr>
            <w:lang w:eastAsia="zh-TW"/>
          </w:rPr>
          <w:t>日</w:t>
        </w:r>
      </w:smartTag>
      <w:r w:rsidRPr="008147DC">
        <w:rPr>
          <w:lang w:eastAsia="zh-TW"/>
        </w:rPr>
        <w:t>外交及僑政委員會第</w:t>
      </w:r>
      <w:r w:rsidRPr="008147DC">
        <w:rPr>
          <w:lang w:eastAsia="zh-TW"/>
        </w:rPr>
        <w:t>4</w:t>
      </w:r>
      <w:r w:rsidRPr="008147DC">
        <w:rPr>
          <w:lang w:eastAsia="zh-TW"/>
        </w:rPr>
        <w:t>屆第</w:t>
      </w:r>
      <w:r w:rsidRPr="008147DC">
        <w:rPr>
          <w:lang w:eastAsia="zh-TW"/>
        </w:rPr>
        <w:t>7</w:t>
      </w:r>
      <w:r w:rsidRPr="008147DC">
        <w:rPr>
          <w:lang w:eastAsia="zh-TW"/>
        </w:rPr>
        <w:t>次聯席會議糾正外交部關於「外交部拒絕外籍配偶來臺簽證申請，竟不附理由，亦未告知救濟管道，有違基本人權」一案，即提及該院認為我國憲法、司法院大法官會議解釋及具有國內法效力之國際公約均保障婚姻與家庭權，家庭權之內容應包含家庭團聚及共同生活權，而外籍配偶係本國人之配偶，外籍配偶與本國人所生子女亦係本國人，如真實婚姻下之外籍配偶不能來台與本國籍配偶、子女團聚，共同生活，將導致夫妻分散、骨肉分離，影響人民之婚姻與家庭</w:t>
      </w:r>
      <w:r w:rsidRPr="008147DC">
        <w:rPr>
          <w:lang w:eastAsia="zh-TW"/>
        </w:rPr>
        <w:t>…</w:t>
      </w:r>
      <w:r w:rsidRPr="008147DC">
        <w:rPr>
          <w:lang w:eastAsia="zh-TW"/>
        </w:rPr>
        <w:t>。</w:t>
      </w:r>
    </w:p>
  </w:footnote>
  <w:footnote w:id="531">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「大陸地區人民進入臺灣地區許可辦法」第</w:t>
      </w:r>
      <w:r w:rsidRPr="008147DC">
        <w:rPr>
          <w:lang w:eastAsia="zh-TW"/>
        </w:rPr>
        <w:t>25</w:t>
      </w:r>
      <w:r w:rsidRPr="008147DC">
        <w:rPr>
          <w:lang w:eastAsia="zh-TW"/>
        </w:rPr>
        <w:t>條第</w:t>
      </w:r>
      <w:r w:rsidRPr="008147DC">
        <w:rPr>
          <w:lang w:eastAsia="zh-TW"/>
        </w:rPr>
        <w:t>1</w:t>
      </w:r>
      <w:r w:rsidRPr="008147DC">
        <w:rPr>
          <w:lang w:eastAsia="zh-TW"/>
        </w:rPr>
        <w:t>項規定：「大陸地區人民為臺灣地區人民之配偶，申請進入臺灣地區團聚，主管機關經審查後得核給一個月停留期間之許可；通過面談准予延期後，得再核給五個月停留期間之許可。」</w:t>
      </w:r>
    </w:p>
  </w:footnote>
  <w:footnote w:id="532">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依據兩岸人民關係條例第</w:t>
      </w:r>
      <w:r w:rsidRPr="008147DC">
        <w:rPr>
          <w:lang w:eastAsia="zh-TW"/>
        </w:rPr>
        <w:t>7</w:t>
      </w:r>
      <w:r w:rsidRPr="008147DC">
        <w:rPr>
          <w:lang w:eastAsia="zh-TW"/>
        </w:rPr>
        <w:t>條規定：「在大陸地區製作之文書，經行政院設立或指定之機構或委託之民間團體驗證者，推定為真正」，目前負責驗證大陸地區文書之指定機構係為財團法人海峽交流基金會。</w:t>
      </w:r>
    </w:p>
  </w:footnote>
  <w:footnote w:id="533">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依據「大陸地區人民在臺灣地區依親居留長期居留或定居許可辦法」第</w:t>
      </w:r>
      <w:r w:rsidRPr="008147DC">
        <w:rPr>
          <w:lang w:eastAsia="zh-TW"/>
        </w:rPr>
        <w:t>4</w:t>
      </w:r>
      <w:r w:rsidRPr="008147DC">
        <w:rPr>
          <w:lang w:eastAsia="zh-TW"/>
        </w:rPr>
        <w:t>條規定：「大陸地區人民除第一次以臺灣地區人民配偶之身分申請依親居留，應親自向內政部入出國及移民署（以下簡稱移民署）提出外，其申請依親居留、長期居留或定居，得親自或委託親友、移民業務機構、甲種以上旅行社向移民署或我駐外使領館、代表處、辦事處或其他經政府授權機構（以下簡稱駐外館處）或經政府於香港、澳門設立之機構提出。」</w:t>
      </w:r>
    </w:p>
  </w:footnote>
  <w:footnote w:id="534">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smartTag w:uri="urn:schemas-microsoft-com:office:smarttags" w:element="chsdate">
        <w:smartTagPr>
          <w:attr w:name="IsROCDate" w:val="False"/>
          <w:attr w:name="IsLunarDate" w:val="False"/>
          <w:attr w:name="Day" w:val="14"/>
          <w:attr w:name="Month" w:val="11"/>
          <w:attr w:name="Year" w:val="1997"/>
        </w:smartTagPr>
        <w:r w:rsidRPr="008147DC">
          <w:rPr>
            <w:lang w:eastAsia="zh-TW"/>
          </w:rPr>
          <w:t>97</w:t>
        </w:r>
        <w:r w:rsidRPr="008147DC">
          <w:rPr>
            <w:lang w:eastAsia="zh-TW"/>
          </w:rPr>
          <w:t>年</w:t>
        </w:r>
        <w:r w:rsidRPr="008147DC">
          <w:rPr>
            <w:lang w:eastAsia="zh-TW"/>
          </w:rPr>
          <w:t>11</w:t>
        </w:r>
        <w:r w:rsidRPr="008147DC">
          <w:rPr>
            <w:lang w:eastAsia="zh-TW"/>
          </w:rPr>
          <w:t>月</w:t>
        </w:r>
        <w:r w:rsidRPr="008147DC">
          <w:rPr>
            <w:lang w:eastAsia="zh-TW"/>
          </w:rPr>
          <w:t>14</w:t>
        </w:r>
        <w:r w:rsidRPr="008147DC">
          <w:rPr>
            <w:lang w:eastAsia="zh-TW"/>
          </w:rPr>
          <w:t>日</w:t>
        </w:r>
      </w:smartTag>
      <w:r w:rsidRPr="008147DC">
        <w:rPr>
          <w:lang w:eastAsia="zh-TW"/>
        </w:rPr>
        <w:t>修正發布之大陸地區人民在臺灣地區依親居留長期居留或定居許可辦法第</w:t>
      </w:r>
      <w:r w:rsidRPr="008147DC">
        <w:rPr>
          <w:lang w:eastAsia="zh-TW"/>
        </w:rPr>
        <w:t>14</w:t>
      </w:r>
      <w:r w:rsidRPr="008147DC">
        <w:rPr>
          <w:lang w:eastAsia="zh-TW"/>
        </w:rPr>
        <w:t>條第</w:t>
      </w:r>
      <w:r w:rsidRPr="008147DC">
        <w:rPr>
          <w:lang w:eastAsia="zh-TW"/>
        </w:rPr>
        <w:t>1</w:t>
      </w:r>
      <w:r w:rsidRPr="008147DC">
        <w:rPr>
          <w:lang w:eastAsia="zh-TW"/>
        </w:rPr>
        <w:t>項第</w:t>
      </w:r>
      <w:r w:rsidRPr="008147DC">
        <w:rPr>
          <w:lang w:eastAsia="zh-TW"/>
        </w:rPr>
        <w:t>3</w:t>
      </w:r>
      <w:r w:rsidRPr="008147DC">
        <w:rPr>
          <w:lang w:eastAsia="zh-TW"/>
        </w:rPr>
        <w:t>款規定：「大陸地區人民申請在臺灣地區依親居留，有下列情形之一者，不予許可；已許可者，撤銷或廢止其許可：</w:t>
      </w:r>
      <w:r w:rsidRPr="008147DC">
        <w:rPr>
          <w:lang w:eastAsia="zh-TW"/>
        </w:rPr>
        <w:t>…</w:t>
      </w:r>
      <w:r w:rsidRPr="008147DC">
        <w:rPr>
          <w:lang w:eastAsia="zh-TW"/>
        </w:rPr>
        <w:t>三、依親對象死亡。」</w:t>
      </w:r>
    </w:p>
  </w:footnote>
  <w:footnote w:id="535">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「入出國及移民法」第</w:t>
      </w:r>
      <w:r w:rsidRPr="008147DC">
        <w:rPr>
          <w:lang w:eastAsia="zh-TW"/>
        </w:rPr>
        <w:t>31</w:t>
      </w:r>
      <w:r w:rsidRPr="008147DC">
        <w:rPr>
          <w:lang w:eastAsia="zh-TW"/>
        </w:rPr>
        <w:t>條第</w:t>
      </w:r>
      <w:r w:rsidRPr="008147DC">
        <w:rPr>
          <w:lang w:eastAsia="zh-TW"/>
        </w:rPr>
        <w:t>4</w:t>
      </w:r>
      <w:r w:rsidRPr="008147DC">
        <w:rPr>
          <w:lang w:eastAsia="zh-TW"/>
        </w:rPr>
        <w:t>項第</w:t>
      </w:r>
      <w:r w:rsidRPr="008147DC">
        <w:rPr>
          <w:lang w:eastAsia="zh-TW"/>
        </w:rPr>
        <w:t>1</w:t>
      </w:r>
      <w:r w:rsidRPr="008147DC">
        <w:rPr>
          <w:lang w:eastAsia="zh-TW"/>
        </w:rPr>
        <w:t>款規定：「移民署對於外國人於居留期間內，居留原因消失者，廢止其居留許可，並註銷其外僑居留證。但有下列各款情形之一者，得准予繼續居留：一、因依親對象死亡。」</w:t>
      </w:r>
    </w:p>
  </w:footnote>
  <w:footnote w:id="536">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請參閱</w:t>
      </w:r>
      <w:r w:rsidRPr="008147DC">
        <w:rPr>
          <w:lang w:eastAsia="zh-TW"/>
        </w:rPr>
        <w:t>2012</w:t>
      </w:r>
      <w:r w:rsidRPr="008147DC">
        <w:rPr>
          <w:lang w:eastAsia="zh-TW"/>
        </w:rPr>
        <w:t>年</w:t>
      </w:r>
      <w:r w:rsidRPr="008147DC">
        <w:rPr>
          <w:lang w:eastAsia="zh-TW"/>
        </w:rPr>
        <w:t>11</w:t>
      </w:r>
      <w:r w:rsidRPr="008147DC">
        <w:rPr>
          <w:lang w:eastAsia="zh-TW"/>
        </w:rPr>
        <w:t>月</w:t>
      </w:r>
      <w:r w:rsidRPr="008147DC">
        <w:rPr>
          <w:lang w:eastAsia="zh-TW"/>
        </w:rPr>
        <w:t>23</w:t>
      </w:r>
      <w:r w:rsidRPr="008147DC">
        <w:rPr>
          <w:lang w:eastAsia="zh-TW"/>
        </w:rPr>
        <w:t>日修正之「大陸地區人民在臺灣地區依親居留長期居留或定居許可辦法」第</w:t>
      </w:r>
      <w:r w:rsidRPr="008147DC">
        <w:rPr>
          <w:lang w:eastAsia="zh-TW"/>
        </w:rPr>
        <w:t>14</w:t>
      </w:r>
      <w:r w:rsidRPr="008147DC">
        <w:rPr>
          <w:lang w:eastAsia="zh-TW"/>
        </w:rPr>
        <w:t>條第</w:t>
      </w:r>
      <w:r w:rsidRPr="008147DC">
        <w:rPr>
          <w:lang w:eastAsia="zh-TW"/>
        </w:rPr>
        <w:t>2</w:t>
      </w:r>
      <w:r w:rsidRPr="008147DC">
        <w:rPr>
          <w:lang w:eastAsia="zh-TW"/>
        </w:rPr>
        <w:t>項規定。</w:t>
      </w:r>
    </w:p>
  </w:footnote>
  <w:footnote w:id="537">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w:t>
      </w:r>
      <w:r w:rsidRPr="008147DC">
        <w:rPr>
          <w:lang w:eastAsia="zh-TW"/>
        </w:rPr>
        <w:t>兩岸人民關係條例第</w:t>
      </w:r>
      <w:r w:rsidRPr="008147DC">
        <w:rPr>
          <w:lang w:eastAsia="zh-TW"/>
        </w:rPr>
        <w:t>17</w:t>
      </w:r>
      <w:r w:rsidRPr="008147DC">
        <w:rPr>
          <w:lang w:eastAsia="zh-TW"/>
        </w:rPr>
        <w:t>條第</w:t>
      </w:r>
      <w:r w:rsidRPr="008147DC">
        <w:rPr>
          <w:lang w:eastAsia="zh-TW"/>
        </w:rPr>
        <w:t>4</w:t>
      </w:r>
      <w:r w:rsidRPr="008147DC">
        <w:rPr>
          <w:lang w:eastAsia="zh-TW"/>
        </w:rPr>
        <w:t>項規定：「內政部得基於政治、經濟、社會、教育、科技或文化之考量，專案許可大陸地區人民在臺灣地區長期居留，申請居留之類別及數額，得予限制；其類別及數額，由內政部擬訂，報請行政院核定後公告之。」</w:t>
      </w:r>
    </w:p>
  </w:footnote>
  <w:footnote w:id="538">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資料來源：內政部於</w:t>
      </w:r>
      <w:r w:rsidRPr="008147DC">
        <w:rPr>
          <w:lang w:eastAsia="zh-TW"/>
        </w:rPr>
        <w:t>2015</w:t>
      </w:r>
      <w:r w:rsidRPr="008147DC">
        <w:rPr>
          <w:lang w:eastAsia="zh-TW"/>
        </w:rPr>
        <w:t>年</w:t>
      </w:r>
      <w:r w:rsidRPr="008147DC">
        <w:rPr>
          <w:lang w:eastAsia="zh-TW"/>
        </w:rPr>
        <w:t>12</w:t>
      </w:r>
      <w:r w:rsidRPr="008147DC">
        <w:rPr>
          <w:lang w:eastAsia="zh-TW"/>
        </w:rPr>
        <w:t>月</w:t>
      </w:r>
      <w:r w:rsidRPr="008147DC">
        <w:rPr>
          <w:lang w:eastAsia="zh-TW"/>
        </w:rPr>
        <w:t>30</w:t>
      </w:r>
      <w:r w:rsidRPr="008147DC">
        <w:rPr>
          <w:lang w:eastAsia="zh-TW"/>
        </w:rPr>
        <w:t>日台內移字第</w:t>
      </w:r>
      <w:r w:rsidRPr="008147DC">
        <w:rPr>
          <w:lang w:eastAsia="zh-TW"/>
        </w:rPr>
        <w:t>10409554862</w:t>
      </w:r>
      <w:r w:rsidRPr="008147DC">
        <w:rPr>
          <w:lang w:eastAsia="zh-TW"/>
        </w:rPr>
        <w:t>號公告修正發布之「大陸地區人民在臺灣地區依親居留長期居留及定居數額表」。</w:t>
      </w:r>
    </w:p>
  </w:footnote>
  <w:footnote w:id="539">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依據大陸地區人民在臺灣地區依親居留長期居留或定居許可辦法第</w:t>
      </w:r>
      <w:r w:rsidRPr="008147DC">
        <w:rPr>
          <w:lang w:eastAsia="zh-TW"/>
        </w:rPr>
        <w:t>25</w:t>
      </w:r>
      <w:r w:rsidRPr="008147DC">
        <w:rPr>
          <w:lang w:eastAsia="zh-TW"/>
        </w:rPr>
        <w:t>條規定。</w:t>
      </w:r>
    </w:p>
  </w:footnote>
  <w:footnote w:id="540">
    <w:p w:rsidR="00657FEF" w:rsidRPr="008147DC" w:rsidRDefault="00657FEF" w:rsidP="00992AB6">
      <w:pPr>
        <w:pStyle w:val="5"/>
        <w:rPr>
          <w:lang w:eastAsia="zh-TW"/>
        </w:rPr>
      </w:pPr>
      <w:r w:rsidRPr="00430875">
        <w:rPr>
          <w:rStyle w:val="af7"/>
          <w:rFonts w:eastAsia="新細明體"/>
          <w:kern w:val="2"/>
        </w:rPr>
        <w:footnoteRef/>
      </w:r>
      <w:r w:rsidRPr="008147DC">
        <w:rPr>
          <w:lang w:eastAsia="zh-TW"/>
        </w:rPr>
        <w:t xml:space="preserve"> </w:t>
      </w:r>
      <w:r w:rsidRPr="008147DC">
        <w:rPr>
          <w:lang w:eastAsia="zh-TW"/>
        </w:rPr>
        <w:t>依據「大陸地區人民在臺灣地區依親居留長期居留或定居許可辦法」第</w:t>
      </w:r>
      <w:r w:rsidRPr="008147DC">
        <w:rPr>
          <w:lang w:eastAsia="zh-TW"/>
        </w:rPr>
        <w:t>31</w:t>
      </w:r>
      <w:r w:rsidRPr="008147DC">
        <w:rPr>
          <w:lang w:eastAsia="zh-TW"/>
        </w:rPr>
        <w:t>條第</w:t>
      </w:r>
      <w:r w:rsidRPr="008147DC">
        <w:rPr>
          <w:lang w:eastAsia="zh-TW"/>
        </w:rPr>
        <w:t>1</w:t>
      </w:r>
      <w:r w:rsidRPr="008147DC">
        <w:rPr>
          <w:lang w:eastAsia="zh-TW"/>
        </w:rPr>
        <w:t>項規定。</w:t>
      </w:r>
    </w:p>
  </w:footnote>
  <w:footnote w:id="541">
    <w:p w:rsidR="00657FEF" w:rsidRPr="008147DC" w:rsidRDefault="00657FEF" w:rsidP="00992AB6">
      <w:pPr>
        <w:pStyle w:val="5"/>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請參閱「大陸地區人民在臺灣地區依親居留長期居留或定居許可辦法」第</w:t>
      </w:r>
      <w:r w:rsidRPr="008147DC">
        <w:rPr>
          <w:lang w:eastAsia="zh-TW"/>
        </w:rPr>
        <w:t>30</w:t>
      </w:r>
      <w:r w:rsidRPr="008147DC">
        <w:rPr>
          <w:lang w:eastAsia="zh-TW"/>
        </w:rPr>
        <w:t>條第</w:t>
      </w:r>
      <w:r w:rsidRPr="008147DC">
        <w:rPr>
          <w:lang w:eastAsia="zh-TW"/>
        </w:rPr>
        <w:t>3</w:t>
      </w:r>
      <w:r w:rsidRPr="008147DC">
        <w:rPr>
          <w:lang w:eastAsia="zh-TW"/>
        </w:rPr>
        <w:t>項之規定，本項規定：「第一項第六款之文件未能於申請時繳附者，經具結後得先核發定居證；其未能於許可定居之翌日起算三個月內繳附者，撤銷其定居許可，並通知戶政事務所撤銷其戶籍登記；其無第二十六條第一項、第二項及第二十七條第一項、第二項規定情形之一者，得另許可其長期居留。</w:t>
      </w:r>
      <w:r w:rsidRPr="008147DC">
        <w:t>」</w:t>
      </w:r>
    </w:p>
  </w:footnote>
  <w:footnote w:id="542">
    <w:p w:rsidR="00657FEF" w:rsidRPr="008147DC" w:rsidRDefault="00657FEF" w:rsidP="00992AB6">
      <w:pPr>
        <w:pStyle w:val="5"/>
        <w:rPr>
          <w:lang w:eastAsia="zh-TW"/>
        </w:rPr>
      </w:pPr>
      <w:r w:rsidRPr="005D4AAC">
        <w:rPr>
          <w:rStyle w:val="af7"/>
          <w:rFonts w:eastAsia="新細明體"/>
          <w:kern w:val="2"/>
        </w:rPr>
        <w:footnoteRef/>
      </w:r>
      <w:r w:rsidRPr="008147DC">
        <w:t xml:space="preserve"> United Nations(2003). Professional Training Series No. 9: Human Rights in The Administration of Justice---A Manual on Human Rights for Judges, Prosecutors and Lawyers. </w:t>
      </w:r>
      <w:r w:rsidRPr="008147DC">
        <w:rPr>
          <w:lang w:eastAsia="zh-TW"/>
        </w:rPr>
        <w:t>New York, pp 651-656.</w:t>
      </w:r>
    </w:p>
  </w:footnote>
  <w:footnote w:id="543">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I</w:t>
      </w:r>
      <w:r w:rsidRPr="008147DC">
        <w:rPr>
          <w:lang w:eastAsia="zh-TW"/>
        </w:rPr>
        <w:t>bid, pp 651-656.</w:t>
      </w:r>
    </w:p>
  </w:footnote>
  <w:footnote w:id="544">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Ibid, pp 651-656.</w:t>
      </w:r>
    </w:p>
  </w:footnote>
  <w:footnote w:id="545">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 xml:space="preserve"> Ibid, pp 651-656.</w:t>
      </w:r>
    </w:p>
  </w:footnote>
  <w:footnote w:id="546">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在非洲人權和民族權憲章之前言中，明文指出基本人權源於人類本性，此乃人權國際保護之法律依據。</w:t>
      </w:r>
    </w:p>
  </w:footnote>
  <w:footnote w:id="547">
    <w:p w:rsidR="00657FEF" w:rsidRPr="008147DC" w:rsidRDefault="00657FEF" w:rsidP="00992AB6">
      <w:pPr>
        <w:pStyle w:val="5"/>
        <w:rPr>
          <w:lang w:eastAsia="zh-TW"/>
        </w:rPr>
      </w:pPr>
      <w:r w:rsidRPr="005D4AAC">
        <w:rPr>
          <w:rStyle w:val="af7"/>
          <w:rFonts w:eastAsia="新細明體"/>
          <w:kern w:val="2"/>
          <w:szCs w:val="20"/>
        </w:rPr>
        <w:footnoteRef/>
      </w:r>
      <w:r w:rsidRPr="008147DC">
        <w:rPr>
          <w:rStyle w:val="af7"/>
          <w:rFonts w:asciiTheme="minorEastAsia" w:eastAsiaTheme="minorEastAsia" w:hAnsiTheme="minorEastAsia"/>
          <w:szCs w:val="20"/>
          <w:lang w:eastAsia="zh-TW"/>
        </w:rPr>
        <w:t xml:space="preserve"> </w:t>
      </w:r>
      <w:r w:rsidRPr="008147DC">
        <w:rPr>
          <w:lang w:eastAsia="zh-TW"/>
        </w:rPr>
        <w:tab/>
      </w:r>
      <w:r w:rsidRPr="008147DC">
        <w:rPr>
          <w:lang w:eastAsia="zh-TW"/>
        </w:rPr>
        <w:t>根據美洲人權公約序言之規定，「承認人的基本權利的來源並非由於某人是某一國家的公民，而是根據人類人格的屬性，因此以公約形式來加強或補充美洲國家國內法提供的保護而對上述權利給予國際性保護是正當的。」上述之基本權利，包括平等權</w:t>
      </w:r>
      <w:r>
        <w:rPr>
          <w:lang w:eastAsia="zh-TW"/>
        </w:rPr>
        <w:t>。</w:t>
      </w:r>
    </w:p>
  </w:footnote>
  <w:footnote w:id="548">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一九六九年十一月二十二日訂於哥斯達黎加聖約瑟城。</w:t>
      </w:r>
    </w:p>
  </w:footnote>
  <w:footnote w:id="549">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第一條係規範「尊重權利的義務」。</w:t>
      </w:r>
    </w:p>
  </w:footnote>
  <w:footnote w:id="550">
    <w:p w:rsidR="00657FEF" w:rsidRPr="008147DC" w:rsidRDefault="00657FEF" w:rsidP="00992AB6">
      <w:pPr>
        <w:pStyle w:val="5"/>
      </w:pPr>
      <w:r w:rsidRPr="005D4AAC">
        <w:rPr>
          <w:rStyle w:val="af7"/>
          <w:rFonts w:eastAsia="新細明體"/>
          <w:kern w:val="2"/>
        </w:rPr>
        <w:footnoteRef/>
      </w:r>
      <w:r w:rsidRPr="005D4AAC">
        <w:rPr>
          <w:rFonts w:ascii="Arial Unicode MS" w:eastAsia="新細明體" w:hAnsi="Arial Unicode MS"/>
          <w:color w:val="FF6600"/>
          <w:kern w:val="2"/>
        </w:rPr>
        <w:t xml:space="preserve"> </w:t>
      </w:r>
      <w:r w:rsidRPr="008147DC">
        <w:t>United Nations(2003).op.cit, pp 651-656.</w:t>
      </w:r>
    </w:p>
  </w:footnote>
  <w:footnote w:id="551">
    <w:p w:rsidR="00657FEF" w:rsidRPr="008147DC" w:rsidRDefault="00657FEF" w:rsidP="00992AB6">
      <w:pPr>
        <w:pStyle w:val="5"/>
      </w:pPr>
      <w:r w:rsidRPr="005D4AAC">
        <w:rPr>
          <w:rStyle w:val="af7"/>
          <w:rFonts w:eastAsia="新細明體"/>
          <w:kern w:val="2"/>
        </w:rPr>
        <w:footnoteRef/>
      </w:r>
      <w:r w:rsidRPr="008147DC">
        <w:t xml:space="preserve"> Ibid, pp 651-656.</w:t>
      </w:r>
    </w:p>
  </w:footnote>
  <w:footnote w:id="552">
    <w:p w:rsidR="00657FEF" w:rsidRPr="008147DC" w:rsidRDefault="00657FEF" w:rsidP="00992AB6">
      <w:pPr>
        <w:pStyle w:val="5"/>
      </w:pPr>
      <w:r w:rsidRPr="005D4AAC">
        <w:rPr>
          <w:rStyle w:val="af7"/>
          <w:rFonts w:eastAsia="新細明體"/>
          <w:kern w:val="2"/>
        </w:rPr>
        <w:footnoteRef/>
      </w:r>
      <w:r w:rsidRPr="008147DC">
        <w:t>Ibid, pp 651-656.</w:t>
      </w:r>
    </w:p>
  </w:footnote>
  <w:footnote w:id="553">
    <w:p w:rsidR="00657FEF" w:rsidRPr="008147DC" w:rsidRDefault="00657FEF" w:rsidP="00992AB6">
      <w:pPr>
        <w:pStyle w:val="5"/>
      </w:pPr>
      <w:r w:rsidRPr="005D4AAC">
        <w:rPr>
          <w:rStyle w:val="af7"/>
          <w:rFonts w:eastAsia="新細明體"/>
          <w:kern w:val="2"/>
        </w:rPr>
        <w:footnoteRef/>
      </w:r>
      <w:r w:rsidRPr="005D4AAC">
        <w:rPr>
          <w:rFonts w:ascii="Arial Unicode MS" w:eastAsia="新細明體" w:hAnsi="Arial Unicode MS"/>
          <w:color w:val="FF6600"/>
          <w:kern w:val="2"/>
        </w:rPr>
        <w:t xml:space="preserve"> </w:t>
      </w:r>
      <w:r w:rsidRPr="008147DC">
        <w:t>Ibid, pp 651-656.</w:t>
      </w:r>
    </w:p>
  </w:footnote>
  <w:footnote w:id="554">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差異化處遇具有工具與手段之性質。</w:t>
      </w:r>
    </w:p>
  </w:footnote>
  <w:footnote w:id="555">
    <w:p w:rsidR="00657FEF" w:rsidRPr="008147DC" w:rsidRDefault="00657FEF" w:rsidP="00992AB6">
      <w:pPr>
        <w:pStyle w:val="5"/>
      </w:pPr>
      <w:r w:rsidRPr="005D4AAC">
        <w:rPr>
          <w:rStyle w:val="af7"/>
          <w:rFonts w:eastAsia="新細明體"/>
          <w:kern w:val="2"/>
        </w:rPr>
        <w:footnoteRef/>
      </w:r>
      <w:r w:rsidRPr="008147DC">
        <w:t xml:space="preserve"> United Nations(2003).op.cit, pp 651-656.</w:t>
      </w:r>
    </w:p>
  </w:footnote>
  <w:footnote w:id="556">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長期照護醫藥費列舉扣除額差別待遇案。</w:t>
      </w:r>
    </w:p>
  </w:footnote>
  <w:footnote w:id="557">
    <w:p w:rsidR="00657FEF" w:rsidRPr="008147DC" w:rsidRDefault="00657FEF" w:rsidP="00992AB6">
      <w:pPr>
        <w:pStyle w:val="5"/>
        <w:rPr>
          <w:lang w:eastAsia="zh-TW"/>
        </w:rPr>
      </w:pPr>
      <w:r w:rsidRPr="005D4AAC">
        <w:rPr>
          <w:rStyle w:val="af7"/>
          <w:rFonts w:eastAsia="新細明體"/>
          <w:kern w:val="2"/>
        </w:rPr>
        <w:footnoteRef/>
      </w:r>
      <w:r w:rsidRPr="008147DC">
        <w:rPr>
          <w:lang w:eastAsia="zh-TW"/>
        </w:rPr>
        <w:t>此外，司法院釋字第</w:t>
      </w:r>
      <w:r w:rsidRPr="008147DC">
        <w:rPr>
          <w:lang w:eastAsia="zh-TW"/>
        </w:rPr>
        <w:t>696</w:t>
      </w:r>
      <w:r w:rsidRPr="008147DC">
        <w:rPr>
          <w:lang w:eastAsia="zh-TW"/>
        </w:rPr>
        <w:t>號解釋文之中，亦有針對於平等權之說明內容。大法官指出，中華民國七十八年十二月三十日修正公布之所得稅法第十五條第一項規定：「納稅義務人之配偶，及合於第十七條規定得申報減除扶養親屬免稅額之受扶養親屬，有前條各類所得者，應由納稅義務人合併報繳。」（該項規定於九十二年六月二十五日修正，惟就夫妻所得應由納稅義務人合併報繳部分並無不同。）其中有關夫妻非薪資所得強制合併計算，較之單獨計算稅額，增加其稅負部分，違反憲法第七條平等原則。憲法第七條所揭示之平等原則非指絕對、機械之形式上平等，而係保障人民在法律上地位之實質平等，要求本質上相同之事物應為相同之處理，不得恣意為無正當理由之差別待遇。法規範是否符合平等權保障之要求，其判斷應取決於該法規範所以為差別待遇之目的是否合憲，其所採取之分類與規範目的之達成之間，是否存有一定程度之關聯性而定。</w:t>
      </w:r>
    </w:p>
  </w:footnote>
  <w:footnote w:id="558">
    <w:p w:rsidR="00657FEF" w:rsidRPr="008147DC" w:rsidRDefault="00657FEF" w:rsidP="00992AB6">
      <w:pPr>
        <w:pStyle w:val="5"/>
      </w:pPr>
      <w:r w:rsidRPr="005D4AAC">
        <w:rPr>
          <w:rStyle w:val="af7"/>
          <w:rFonts w:eastAsia="新細明體"/>
          <w:kern w:val="2"/>
        </w:rPr>
        <w:footnoteRef/>
      </w:r>
      <w:r w:rsidRPr="008147DC">
        <w:t xml:space="preserve"> United Nations(2003).op.cit, pp 651-656.</w:t>
      </w:r>
    </w:p>
  </w:footnote>
  <w:footnote w:id="559">
    <w:p w:rsidR="00657FEF" w:rsidRPr="008147DC" w:rsidRDefault="00657FEF" w:rsidP="00992AB6">
      <w:pPr>
        <w:pStyle w:val="5"/>
      </w:pPr>
      <w:r w:rsidRPr="005D4AAC">
        <w:rPr>
          <w:rStyle w:val="af7"/>
          <w:rFonts w:eastAsia="新細明體"/>
          <w:kern w:val="2"/>
        </w:rPr>
        <w:footnoteRef/>
      </w:r>
      <w:r w:rsidRPr="005D4AAC">
        <w:rPr>
          <w:rFonts w:ascii="Arial Unicode MS" w:eastAsia="新細明體" w:hAnsi="Arial Unicode MS"/>
          <w:color w:val="FF6600"/>
          <w:kern w:val="2"/>
        </w:rPr>
        <w:t xml:space="preserve"> </w:t>
      </w:r>
      <w:r w:rsidRPr="008147DC">
        <w:t>Ibid, pp 651-656.</w:t>
      </w:r>
    </w:p>
  </w:footnote>
  <w:footnote w:id="560">
    <w:p w:rsidR="00657FEF" w:rsidRPr="008147DC" w:rsidRDefault="00657FEF" w:rsidP="00992AB6">
      <w:pPr>
        <w:pStyle w:val="5"/>
      </w:pPr>
      <w:r w:rsidRPr="005D4AAC">
        <w:rPr>
          <w:rStyle w:val="af7"/>
          <w:rFonts w:eastAsia="新細明體"/>
          <w:kern w:val="2"/>
        </w:rPr>
        <w:footnoteRef/>
      </w:r>
      <w:r w:rsidRPr="005D4AAC">
        <w:rPr>
          <w:rFonts w:ascii="Arial Unicode MS" w:eastAsia="新細明體" w:hAnsi="Arial Unicode MS"/>
          <w:color w:val="FF6600"/>
          <w:kern w:val="2"/>
        </w:rPr>
        <w:t xml:space="preserve"> </w:t>
      </w:r>
      <w:r w:rsidRPr="008147DC">
        <w:t>Ibid, pp 651-656.</w:t>
      </w:r>
    </w:p>
  </w:footnote>
  <w:footnote w:id="561">
    <w:p w:rsidR="00657FEF" w:rsidRPr="008147DC" w:rsidRDefault="00657FEF" w:rsidP="00992AB6">
      <w:pPr>
        <w:pStyle w:val="5"/>
      </w:pPr>
      <w:r w:rsidRPr="005D4AAC">
        <w:rPr>
          <w:rStyle w:val="af7"/>
          <w:rFonts w:eastAsia="新細明體"/>
          <w:kern w:val="2"/>
        </w:rPr>
        <w:footnoteRef/>
      </w:r>
      <w:r w:rsidRPr="005D4AAC">
        <w:rPr>
          <w:rFonts w:ascii="Arial Unicode MS" w:eastAsia="新細明體" w:hAnsi="Arial Unicode MS"/>
          <w:color w:val="FF6600"/>
          <w:kern w:val="2"/>
        </w:rPr>
        <w:t xml:space="preserve"> </w:t>
      </w:r>
      <w:r w:rsidRPr="008147DC">
        <w:t>Ibid, pp 651-656.</w:t>
      </w:r>
    </w:p>
  </w:footnote>
  <w:footnote w:id="562">
    <w:p w:rsidR="00657FEF" w:rsidRPr="008147DC" w:rsidRDefault="00657FEF" w:rsidP="00992AB6">
      <w:pPr>
        <w:pStyle w:val="5"/>
      </w:pPr>
      <w:r w:rsidRPr="005D4AAC">
        <w:rPr>
          <w:rStyle w:val="af7"/>
          <w:rFonts w:eastAsia="新細明體"/>
          <w:kern w:val="2"/>
        </w:rPr>
        <w:footnoteRef/>
      </w:r>
      <w:r w:rsidRPr="008147DC">
        <w:rPr>
          <w:lang w:eastAsia="zh-TW"/>
        </w:rPr>
        <w:t>財政部中華民國九十六年六月十四日台財稅字第０九六０四五０一八七０號令：「一、貨物稅條例第十一條第一項第二款規定之彩色電視機須同時具備彩色顯示器及電視調諧器二大主要部分。二、廠商產製（或進口）之彩色顯示器，本體不具有電視調諧器（</w:t>
      </w:r>
      <w:r w:rsidRPr="008147DC">
        <w:rPr>
          <w:lang w:eastAsia="zh-TW"/>
        </w:rPr>
        <w:t>TV Tuner</w:t>
      </w:r>
      <w:r w:rsidRPr="008147DC">
        <w:rPr>
          <w:lang w:eastAsia="zh-TW"/>
        </w:rPr>
        <w:t>）裝置，且產品名稱、功能型錄及外包裝未標示有電視字樣，亦未併同具有電視調諧器功能之機具出廠（或進口）者，因無法直接接收電視視頻訊號及播放電視節目，核非屬彩色電視機之範圍，免於出廠（或進口）時課徵貨物稅。三、廠商產製（或進口）電視調諧器或具有電視調諧器功能之機具，本體不具有影像顯示功能，且未併同彩色顯示器出廠（或進口）者，亦免於出廠（或進口）時課徵貨物稅。</w:t>
      </w:r>
      <w:r w:rsidRPr="008147DC">
        <w:t>」</w:t>
      </w:r>
    </w:p>
  </w:footnote>
  <w:footnote w:id="563">
    <w:p w:rsidR="00657FEF" w:rsidRPr="008147DC" w:rsidRDefault="00657FEF" w:rsidP="00992AB6">
      <w:pPr>
        <w:pStyle w:val="5"/>
      </w:pPr>
      <w:r w:rsidRPr="005D4AAC">
        <w:rPr>
          <w:rStyle w:val="af7"/>
          <w:rFonts w:eastAsia="新細明體"/>
          <w:kern w:val="2"/>
        </w:rPr>
        <w:footnoteRef/>
      </w:r>
      <w:r w:rsidRPr="008147DC">
        <w:t xml:space="preserve"> United Nations(2003).op.cit, pp 651-656.</w:t>
      </w:r>
    </w:p>
  </w:footnote>
  <w:footnote w:id="564">
    <w:p w:rsidR="00657FEF" w:rsidRPr="008147DC" w:rsidRDefault="00657FEF" w:rsidP="00992AB6">
      <w:pPr>
        <w:pStyle w:val="5"/>
      </w:pPr>
      <w:r w:rsidRPr="005D4AAC">
        <w:rPr>
          <w:rStyle w:val="af7"/>
          <w:rFonts w:eastAsia="新細明體"/>
          <w:kern w:val="2"/>
        </w:rPr>
        <w:footnoteRef/>
      </w:r>
      <w:r w:rsidRPr="005D4AAC">
        <w:rPr>
          <w:rFonts w:ascii="Arial Unicode MS" w:eastAsia="新細明體" w:hAnsi="Arial Unicode MS"/>
          <w:color w:val="FF6600"/>
          <w:kern w:val="2"/>
        </w:rPr>
        <w:t xml:space="preserve"> </w:t>
      </w:r>
      <w:r w:rsidRPr="008147DC">
        <w:t>Ibid, pp 651-656.</w:t>
      </w:r>
    </w:p>
  </w:footnote>
  <w:footnote w:id="565">
    <w:p w:rsidR="00657FEF" w:rsidRPr="008147DC" w:rsidRDefault="00657FEF" w:rsidP="00992AB6">
      <w:pPr>
        <w:pStyle w:val="5"/>
      </w:pPr>
      <w:r w:rsidRPr="005D4AAC">
        <w:rPr>
          <w:rStyle w:val="af7"/>
          <w:rFonts w:eastAsia="新細明體"/>
          <w:kern w:val="2"/>
        </w:rPr>
        <w:footnoteRef/>
      </w:r>
      <w:r w:rsidRPr="005D4AAC">
        <w:rPr>
          <w:rFonts w:ascii="Arial Unicode MS" w:eastAsia="新細明體" w:hAnsi="Arial Unicode MS"/>
          <w:color w:val="FF6600"/>
          <w:kern w:val="2"/>
        </w:rPr>
        <w:t xml:space="preserve"> </w:t>
      </w:r>
      <w:r w:rsidRPr="008147DC">
        <w:t>Ibid, pp 651-656.</w:t>
      </w:r>
    </w:p>
  </w:footnote>
  <w:footnote w:id="566">
    <w:p w:rsidR="00657FEF" w:rsidRPr="008147DC" w:rsidRDefault="00657FEF" w:rsidP="00992AB6">
      <w:pPr>
        <w:pStyle w:val="5"/>
        <w:rPr>
          <w:lang w:eastAsia="zh-TW"/>
        </w:rPr>
      </w:pPr>
      <w:r w:rsidRPr="005D4AAC">
        <w:rPr>
          <w:rStyle w:val="af7"/>
          <w:rFonts w:eastAsia="新細明體"/>
          <w:kern w:val="2"/>
        </w:rPr>
        <w:footnoteRef/>
      </w:r>
      <w:r w:rsidRPr="005D4AAC">
        <w:rPr>
          <w:rFonts w:ascii="Arial Unicode MS" w:eastAsia="新細明體" w:hAnsi="Arial Unicode MS"/>
          <w:color w:val="FF6600"/>
          <w:kern w:val="2"/>
          <w:lang w:eastAsia="zh-TW"/>
        </w:rPr>
        <w:t xml:space="preserve"> </w:t>
      </w:r>
      <w:r w:rsidRPr="008147DC">
        <w:rPr>
          <w:lang w:eastAsia="zh-TW"/>
        </w:rPr>
        <w:t>Ibid, pp 651-656.</w:t>
      </w:r>
    </w:p>
  </w:footnote>
  <w:footnote w:id="567">
    <w:p w:rsidR="00657FEF" w:rsidRPr="008147DC" w:rsidRDefault="00657FEF" w:rsidP="00992AB6">
      <w:pPr>
        <w:pStyle w:val="5"/>
        <w:rPr>
          <w:lang w:eastAsia="zh-TW"/>
        </w:rPr>
      </w:pPr>
      <w:r w:rsidRPr="001C1E6A">
        <w:rPr>
          <w:rStyle w:val="af7"/>
          <w:rFonts w:eastAsia="新細明體"/>
          <w:kern w:val="2"/>
          <w:szCs w:val="20"/>
        </w:rPr>
        <w:footnoteRef/>
      </w:r>
      <w:r w:rsidRPr="001C1E6A">
        <w:rPr>
          <w:rFonts w:ascii="Arial Unicode MS" w:eastAsia="新細明體" w:hAnsi="Arial Unicode MS"/>
          <w:color w:val="FF6600"/>
          <w:kern w:val="2"/>
          <w:lang w:eastAsia="zh-TW"/>
        </w:rPr>
        <w:t xml:space="preserve"> </w:t>
      </w:r>
      <w:r w:rsidRPr="008147DC">
        <w:rPr>
          <w:lang w:eastAsia="zh-TW"/>
        </w:rPr>
        <w:tab/>
      </w:r>
      <w:r w:rsidRPr="008147DC">
        <w:rPr>
          <w:lang w:eastAsia="zh-TW"/>
        </w:rPr>
        <w:t>請參閱：李明峻（</w:t>
      </w:r>
      <w:r w:rsidRPr="008147DC">
        <w:rPr>
          <w:lang w:eastAsia="zh-TW"/>
        </w:rPr>
        <w:t>2006</w:t>
      </w:r>
      <w:r w:rsidRPr="008147DC">
        <w:rPr>
          <w:lang w:eastAsia="zh-TW"/>
        </w:rPr>
        <w:t>），針對特定對象的人權條約，新世紀智庫論壇，第</w:t>
      </w:r>
      <w:r w:rsidRPr="008147DC">
        <w:rPr>
          <w:lang w:eastAsia="zh-TW"/>
        </w:rPr>
        <w:t>34</w:t>
      </w:r>
      <w:r w:rsidRPr="008147DC">
        <w:rPr>
          <w:lang w:eastAsia="zh-TW"/>
        </w:rPr>
        <w:t>期，</w:t>
      </w:r>
      <w:r w:rsidRPr="008147DC">
        <w:rPr>
          <w:lang w:eastAsia="zh-TW"/>
        </w:rPr>
        <w:t>2006</w:t>
      </w:r>
      <w:r w:rsidRPr="008147DC">
        <w:rPr>
          <w:lang w:eastAsia="zh-TW"/>
        </w:rPr>
        <w:t>年</w:t>
      </w:r>
      <w:r w:rsidRPr="008147DC">
        <w:rPr>
          <w:lang w:eastAsia="zh-TW"/>
        </w:rPr>
        <w:t>6</w:t>
      </w:r>
      <w:r w:rsidRPr="008147DC">
        <w:rPr>
          <w:lang w:eastAsia="zh-TW"/>
        </w:rPr>
        <w:t>月。李明峻（</w:t>
      </w:r>
      <w:r w:rsidRPr="008147DC">
        <w:rPr>
          <w:lang w:eastAsia="zh-TW"/>
        </w:rPr>
        <w:t>2007</w:t>
      </w:r>
      <w:r w:rsidRPr="008147DC">
        <w:rPr>
          <w:lang w:eastAsia="zh-TW"/>
        </w:rPr>
        <w:t>），移民人權導讀－外國人的人權，人權思潮導論，台北：秀威資訊科技。</w:t>
      </w:r>
    </w:p>
  </w:footnote>
  <w:footnote w:id="568">
    <w:p w:rsidR="00657FEF" w:rsidRPr="008147DC" w:rsidRDefault="00657FEF" w:rsidP="00992AB6">
      <w:pPr>
        <w:pStyle w:val="5"/>
        <w:rPr>
          <w:lang w:eastAsia="zh-TW"/>
        </w:rPr>
      </w:pPr>
      <w:r w:rsidRPr="001C1E6A">
        <w:rPr>
          <w:rStyle w:val="af7"/>
          <w:rFonts w:eastAsia="新細明體"/>
          <w:kern w:val="2"/>
          <w:szCs w:val="20"/>
        </w:rPr>
        <w:footnoteRef/>
      </w:r>
      <w:r w:rsidRPr="001C1E6A">
        <w:rPr>
          <w:rFonts w:ascii="Arial Unicode MS" w:eastAsia="新細明體" w:hAnsi="Arial Unicode MS"/>
          <w:color w:val="FF6600"/>
          <w:kern w:val="2"/>
          <w:lang w:eastAsia="zh-TW"/>
        </w:rPr>
        <w:t xml:space="preserve"> </w:t>
      </w:r>
      <w:r w:rsidRPr="008147DC">
        <w:rPr>
          <w:lang w:eastAsia="zh-TW"/>
        </w:rPr>
        <w:tab/>
      </w:r>
      <w:r w:rsidRPr="008147DC">
        <w:rPr>
          <w:lang w:eastAsia="zh-TW"/>
        </w:rPr>
        <w:t>請參閱：廖元豪</w:t>
      </w:r>
      <w:r w:rsidRPr="008147DC">
        <w:rPr>
          <w:lang w:eastAsia="zh-TW"/>
        </w:rPr>
        <w:t>(2008)</w:t>
      </w:r>
      <w:r w:rsidRPr="008147DC">
        <w:rPr>
          <w:lang w:eastAsia="zh-TW"/>
        </w:rPr>
        <w:t>，移民－基本人權的化外之民，月旦法學雜誌，第</w:t>
      </w:r>
      <w:r w:rsidRPr="008147DC">
        <w:rPr>
          <w:lang w:eastAsia="zh-TW"/>
        </w:rPr>
        <w:t>161</w:t>
      </w:r>
      <w:r w:rsidRPr="008147DC">
        <w:rPr>
          <w:lang w:eastAsia="zh-TW"/>
        </w:rPr>
        <w:t>期，頁</w:t>
      </w:r>
      <w:r w:rsidRPr="008147DC">
        <w:rPr>
          <w:lang w:eastAsia="zh-TW"/>
        </w:rPr>
        <w:t>83-104</w:t>
      </w:r>
      <w:r w:rsidRPr="008147DC">
        <w:rPr>
          <w:lang w:eastAsia="zh-TW"/>
        </w:rPr>
        <w:t>。王育慧</w:t>
      </w:r>
      <w:r w:rsidRPr="008147DC">
        <w:rPr>
          <w:lang w:eastAsia="zh-TW"/>
        </w:rPr>
        <w:t>(2009)</w:t>
      </w:r>
      <w:r w:rsidRPr="008147DC">
        <w:rPr>
          <w:lang w:eastAsia="zh-TW"/>
        </w:rPr>
        <w:t>，論婚姻移民工作權、應考試權與服公職權，華崗法粹，第</w:t>
      </w:r>
      <w:r w:rsidRPr="008147DC">
        <w:rPr>
          <w:lang w:eastAsia="zh-TW"/>
        </w:rPr>
        <w:t>45</w:t>
      </w:r>
      <w:r w:rsidRPr="008147DC">
        <w:rPr>
          <w:lang w:eastAsia="zh-TW"/>
        </w:rPr>
        <w:t>期，頁</w:t>
      </w:r>
      <w:r w:rsidRPr="008147DC">
        <w:rPr>
          <w:lang w:eastAsia="zh-TW"/>
        </w:rPr>
        <w:t>121-146</w:t>
      </w:r>
      <w:r w:rsidRPr="008147DC">
        <w:rPr>
          <w:lang w:eastAsia="zh-TW"/>
        </w:rPr>
        <w:t>。楊婉瑩、李品蓉</w:t>
      </w:r>
      <w:r w:rsidRPr="008147DC">
        <w:rPr>
          <w:lang w:eastAsia="zh-TW"/>
        </w:rPr>
        <w:t>(2009)</w:t>
      </w:r>
      <w:r w:rsidRPr="008147DC">
        <w:rPr>
          <w:lang w:eastAsia="zh-TW"/>
        </w:rPr>
        <w:t>，大陸配偶的公民權困境，臺灣民族季刊，第六卷第三期，頁</w:t>
      </w:r>
      <w:r w:rsidRPr="008147DC">
        <w:rPr>
          <w:lang w:eastAsia="zh-TW"/>
        </w:rPr>
        <w:t>47-86</w:t>
      </w:r>
      <w:r w:rsidRPr="008147DC">
        <w:rPr>
          <w:lang w:eastAsia="zh-TW"/>
        </w:rPr>
        <w:t>。許義寶</w:t>
      </w:r>
      <w:r w:rsidRPr="008147DC">
        <w:rPr>
          <w:lang w:eastAsia="zh-TW"/>
        </w:rPr>
        <w:t>(2012)</w:t>
      </w:r>
      <w:r w:rsidRPr="008147DC">
        <w:rPr>
          <w:lang w:eastAsia="zh-TW"/>
        </w:rPr>
        <w:t>，入出國法制與人權保障，台北：五南，頁</w:t>
      </w:r>
      <w:r w:rsidRPr="008147DC">
        <w:rPr>
          <w:lang w:eastAsia="zh-TW"/>
        </w:rPr>
        <w:t>1-320</w:t>
      </w:r>
      <w:r w:rsidRPr="008147DC">
        <w:rPr>
          <w:lang w:eastAsia="zh-TW"/>
        </w:rPr>
        <w:t>。李明峻（</w:t>
      </w:r>
      <w:r w:rsidRPr="008147DC">
        <w:rPr>
          <w:lang w:eastAsia="zh-TW"/>
        </w:rPr>
        <w:t>2006</w:t>
      </w:r>
      <w:r w:rsidRPr="008147DC">
        <w:rPr>
          <w:lang w:eastAsia="zh-TW"/>
        </w:rPr>
        <w:t>），針對特定對象的人權條約，新世紀智庫論壇，第</w:t>
      </w:r>
      <w:r w:rsidRPr="008147DC">
        <w:rPr>
          <w:lang w:eastAsia="zh-TW"/>
        </w:rPr>
        <w:t>34</w:t>
      </w:r>
      <w:r w:rsidRPr="008147DC">
        <w:rPr>
          <w:lang w:eastAsia="zh-TW"/>
        </w:rPr>
        <w:t>期，</w:t>
      </w:r>
      <w:r w:rsidRPr="008147DC">
        <w:rPr>
          <w:lang w:eastAsia="zh-TW"/>
        </w:rPr>
        <w:t>2006</w:t>
      </w:r>
      <w:r w:rsidRPr="008147DC">
        <w:rPr>
          <w:lang w:eastAsia="zh-TW"/>
        </w:rPr>
        <w:t>年</w:t>
      </w:r>
      <w:r w:rsidRPr="008147DC">
        <w:rPr>
          <w:lang w:eastAsia="zh-TW"/>
        </w:rPr>
        <w:t>6</w:t>
      </w:r>
      <w:r w:rsidRPr="008147DC">
        <w:rPr>
          <w:lang w:eastAsia="zh-TW"/>
        </w:rPr>
        <w:t>月。李明峻（</w:t>
      </w:r>
      <w:r w:rsidRPr="008147DC">
        <w:rPr>
          <w:lang w:eastAsia="zh-TW"/>
        </w:rPr>
        <w:t>2007</w:t>
      </w:r>
      <w:r w:rsidRPr="008147DC">
        <w:rPr>
          <w:lang w:eastAsia="zh-TW"/>
        </w:rPr>
        <w:t>），移民人權導讀－外國人的人權，人權思潮導論，台北：秀威資訊科技。</w:t>
      </w:r>
    </w:p>
  </w:footnote>
  <w:footnote w:id="569">
    <w:p w:rsidR="00657FEF" w:rsidRPr="008147DC" w:rsidRDefault="00657FEF" w:rsidP="00992AB6">
      <w:pPr>
        <w:pStyle w:val="5"/>
        <w:rPr>
          <w:lang w:eastAsia="zh-TW"/>
        </w:rPr>
      </w:pPr>
      <w:r w:rsidRPr="001C1E6A">
        <w:rPr>
          <w:rStyle w:val="af7"/>
          <w:rFonts w:eastAsia="新細明體"/>
          <w:kern w:val="2"/>
          <w:szCs w:val="20"/>
        </w:rPr>
        <w:footnoteRef/>
      </w:r>
      <w:r w:rsidRPr="001C1E6A">
        <w:rPr>
          <w:rFonts w:ascii="Arial Unicode MS" w:eastAsia="新細明體" w:hAnsi="Arial Unicode MS"/>
          <w:color w:val="FF6600"/>
          <w:kern w:val="2"/>
          <w:lang w:eastAsia="zh-TW"/>
        </w:rPr>
        <w:t xml:space="preserve"> </w:t>
      </w:r>
      <w:r w:rsidRPr="008147DC">
        <w:rPr>
          <w:lang w:eastAsia="zh-TW"/>
        </w:rPr>
        <w:tab/>
      </w:r>
      <w:r w:rsidRPr="008147DC">
        <w:rPr>
          <w:lang w:eastAsia="zh-TW"/>
        </w:rPr>
        <w:t>請參閱游美貴</w:t>
      </w:r>
      <w:r w:rsidRPr="008147DC">
        <w:rPr>
          <w:lang w:eastAsia="zh-TW"/>
        </w:rPr>
        <w:t>(2009)</w:t>
      </w:r>
      <w:r w:rsidRPr="008147DC">
        <w:rPr>
          <w:lang w:eastAsia="zh-TW"/>
        </w:rPr>
        <w:t>，大陸及外籍配偶生活處遇及權益之研究，內政部入出國及移民署委託研究案</w:t>
      </w:r>
      <w:r w:rsidRPr="008147DC">
        <w:rPr>
          <w:lang w:eastAsia="zh-TW"/>
        </w:rPr>
        <w:t>(</w:t>
      </w:r>
      <w:r w:rsidRPr="008147DC">
        <w:rPr>
          <w:lang w:eastAsia="zh-TW"/>
        </w:rPr>
        <w:t>本研究受行政院研究發展考核委員會補助</w:t>
      </w:r>
      <w:r w:rsidRPr="008147DC">
        <w:rPr>
          <w:lang w:eastAsia="zh-TW"/>
        </w:rPr>
        <w:t>)</w:t>
      </w:r>
      <w:r w:rsidRPr="008147DC">
        <w:rPr>
          <w:lang w:eastAsia="zh-TW"/>
        </w:rPr>
        <w:t>，臺灣社會工作專業人員協會執行，頁</w:t>
      </w:r>
      <w:r w:rsidRPr="008147DC">
        <w:rPr>
          <w:lang w:eastAsia="zh-TW"/>
        </w:rPr>
        <w:t>1-216</w:t>
      </w:r>
      <w:r w:rsidRPr="008147DC">
        <w:rPr>
          <w:lang w:eastAsia="zh-TW"/>
        </w:rPr>
        <w:t>。</w:t>
      </w:r>
    </w:p>
  </w:footnote>
  <w:footnote w:id="570">
    <w:p w:rsidR="00657FEF" w:rsidRPr="008147DC" w:rsidRDefault="00657FEF" w:rsidP="00992AB6">
      <w:pPr>
        <w:pStyle w:val="5"/>
        <w:rPr>
          <w:lang w:eastAsia="zh-TW"/>
        </w:rPr>
      </w:pPr>
      <w:r w:rsidRPr="001C1E6A">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請參閱內政部</w:t>
      </w:r>
      <w:smartTag w:uri="urn:schemas-microsoft-com:office:smarttags" w:element="chsdate">
        <w:smartTagPr>
          <w:attr w:name="Year" w:val="1999"/>
          <w:attr w:name="Month" w:val="6"/>
          <w:attr w:name="Day" w:val="9"/>
          <w:attr w:name="IsLunarDate" w:val="False"/>
          <w:attr w:name="IsROCDate" w:val="False"/>
        </w:smartTagPr>
        <w:r w:rsidRPr="008147DC">
          <w:rPr>
            <w:lang w:eastAsia="zh-TW"/>
          </w:rPr>
          <w:t>99</w:t>
        </w:r>
        <w:r w:rsidRPr="008147DC">
          <w:rPr>
            <w:lang w:eastAsia="zh-TW"/>
          </w:rPr>
          <w:t>年</w:t>
        </w:r>
        <w:r w:rsidRPr="008147DC">
          <w:rPr>
            <w:lang w:eastAsia="zh-TW"/>
          </w:rPr>
          <w:t>6</w:t>
        </w:r>
        <w:r w:rsidRPr="008147DC">
          <w:rPr>
            <w:lang w:eastAsia="zh-TW"/>
          </w:rPr>
          <w:t>月</w:t>
        </w:r>
        <w:r w:rsidRPr="008147DC">
          <w:rPr>
            <w:lang w:eastAsia="zh-TW"/>
          </w:rPr>
          <w:t>9</w:t>
        </w:r>
        <w:r w:rsidRPr="008147DC">
          <w:rPr>
            <w:lang w:eastAsia="zh-TW"/>
          </w:rPr>
          <w:t>日</w:t>
        </w:r>
      </w:smartTag>
      <w:r w:rsidRPr="008147DC">
        <w:rPr>
          <w:lang w:eastAsia="zh-TW"/>
        </w:rPr>
        <w:t>台內移字第</w:t>
      </w:r>
      <w:r w:rsidRPr="008147DC">
        <w:rPr>
          <w:lang w:eastAsia="zh-TW"/>
        </w:rPr>
        <w:t>0990932315</w:t>
      </w:r>
      <w:r w:rsidRPr="008147DC">
        <w:rPr>
          <w:lang w:eastAsia="zh-TW"/>
        </w:rPr>
        <w:t>號函修正之「外籍與大陸配偶照顧輔導措施」。</w:t>
      </w:r>
    </w:p>
  </w:footnote>
  <w:footnote w:id="571">
    <w:p w:rsidR="00657FEF" w:rsidRPr="008147DC" w:rsidRDefault="00657FEF" w:rsidP="00992AB6">
      <w:pPr>
        <w:pStyle w:val="5"/>
        <w:rPr>
          <w:lang w:eastAsia="zh-TW"/>
        </w:rPr>
      </w:pPr>
      <w:r w:rsidRPr="00A951A1">
        <w:rPr>
          <w:rStyle w:val="af7"/>
          <w:rFonts w:eastAsia="新細明體"/>
          <w:kern w:val="2"/>
        </w:rPr>
        <w:footnoteRef/>
      </w:r>
      <w:r w:rsidRPr="008147DC">
        <w:rPr>
          <w:lang w:eastAsia="zh-TW"/>
        </w:rPr>
        <w:t xml:space="preserve">  </w:t>
      </w:r>
      <w:r w:rsidRPr="008147DC">
        <w:rPr>
          <w:lang w:eastAsia="zh-TW"/>
        </w:rPr>
        <w:t>柯雨瑞、蔡政杰，婚姻移民人權與國境安全管理之折衝與拉扯，國土安全與移民政策，臺北市：獨立作家，頁</w:t>
      </w:r>
      <w:r w:rsidRPr="008147DC">
        <w:rPr>
          <w:lang w:eastAsia="zh-TW"/>
        </w:rPr>
        <w:t>219-251</w:t>
      </w:r>
      <w:r w:rsidRPr="008147DC">
        <w:rPr>
          <w:lang w:eastAsia="zh-TW"/>
        </w:rPr>
        <w:t>。</w:t>
      </w:r>
    </w:p>
  </w:footnote>
  <w:footnote w:id="572">
    <w:p w:rsidR="00657FEF" w:rsidRPr="008147DC" w:rsidRDefault="00657FEF" w:rsidP="00992AB6">
      <w:pPr>
        <w:pStyle w:val="5"/>
        <w:rPr>
          <w:lang w:eastAsia="zh-TW"/>
        </w:rPr>
      </w:pPr>
      <w:r w:rsidRPr="00C739F8">
        <w:rPr>
          <w:rStyle w:val="af7"/>
          <w:rFonts w:eastAsia="新細明體"/>
          <w:kern w:val="2"/>
          <w:szCs w:val="20"/>
        </w:rPr>
        <w:footnoteRef/>
      </w:r>
      <w:r w:rsidRPr="008147DC">
        <w:rPr>
          <w:rStyle w:val="af7"/>
          <w:rFonts w:asciiTheme="minorEastAsia" w:eastAsiaTheme="minorEastAsia" w:hAnsiTheme="minorEastAsia"/>
          <w:szCs w:val="20"/>
          <w:lang w:eastAsia="zh-TW"/>
        </w:rPr>
        <w:t xml:space="preserve"> </w:t>
      </w:r>
      <w:r w:rsidRPr="008147DC">
        <w:rPr>
          <w:lang w:eastAsia="zh-TW"/>
        </w:rPr>
        <w:tab/>
      </w:r>
      <w:r w:rsidRPr="008147DC">
        <w:rPr>
          <w:lang w:eastAsia="zh-TW"/>
        </w:rPr>
        <w:t>「全國新住民火炬計畫行動方案」之具體目標如下：（一）整合服務資源，落實關懷輔導。（二）推動親職教育，穩健家庭功能。（三）提供多元發展，建立支持網絡。（四）推展多元文化，加強觀念宣導。此外，本方案之預期效益如下：（一）透過家庭關懷訪視，將新住民資源送到家，並給予新住民家庭適時的支持與關懷，增進生活適應的能力；（二）藉由支持網絡的拓展，協助新住民適應在地的生活文化；（三）推展認識及尊重多元文化，建構豐富多元文化社會；（四）透過執行考核與獎勵，落實推動全國新住民火炬計畫。</w:t>
      </w:r>
    </w:p>
  </w:footnote>
  <w:footnote w:id="573">
    <w:p w:rsidR="00657FEF" w:rsidRPr="008147DC" w:rsidRDefault="00657FEF" w:rsidP="00992AB6">
      <w:pPr>
        <w:pStyle w:val="5"/>
        <w:rPr>
          <w:lang w:eastAsia="zh-TW"/>
        </w:rPr>
      </w:pPr>
      <w:r w:rsidRPr="00C739F8">
        <w:rPr>
          <w:rStyle w:val="af7"/>
          <w:rFonts w:eastAsia="新細明體"/>
          <w:kern w:val="2"/>
          <w:szCs w:val="20"/>
        </w:rPr>
        <w:footnoteRef/>
      </w:r>
      <w:r w:rsidRPr="00C739F8">
        <w:rPr>
          <w:rFonts w:ascii="Arial Unicode MS" w:eastAsia="新細明體" w:hAnsi="Arial Unicode MS"/>
          <w:color w:val="FF6600"/>
          <w:kern w:val="2"/>
          <w:lang w:eastAsia="zh-TW"/>
        </w:rPr>
        <w:t xml:space="preserve"> </w:t>
      </w:r>
      <w:r w:rsidRPr="008147DC">
        <w:rPr>
          <w:lang w:eastAsia="zh-TW"/>
        </w:rPr>
        <w:tab/>
      </w:r>
      <w:r w:rsidRPr="008147DC">
        <w:rPr>
          <w:lang w:eastAsia="zh-TW"/>
        </w:rPr>
        <w:t>全國新住民火炬計畫行動方案預期效益如下：（一）透過家庭關懷訪視，將新住民資源送到家，並給予新住民家庭適時的支持與關懷，增進生活適應的能力；（二）藉由支持網絡的拓展，協助新住民適應在地的生活文化；（三）推展認識及尊重多元文化，建構豐富多元文化社會；（四）透過執行考核與獎勵，落實推動全國新住民火炬計畫。</w:t>
      </w:r>
    </w:p>
  </w:footnote>
  <w:footnote w:id="574">
    <w:p w:rsidR="00657FEF" w:rsidRPr="008147DC" w:rsidRDefault="00657FEF" w:rsidP="00992AB6">
      <w:pPr>
        <w:pStyle w:val="5"/>
        <w:rPr>
          <w:lang w:eastAsia="zh-TW"/>
        </w:rPr>
      </w:pPr>
      <w:r w:rsidRPr="00C739F8">
        <w:rPr>
          <w:rStyle w:val="af7"/>
          <w:rFonts w:eastAsia="新細明體"/>
          <w:kern w:val="2"/>
        </w:rPr>
        <w:footnoteRef/>
      </w:r>
      <w:r w:rsidRPr="008147DC">
        <w:rPr>
          <w:lang w:eastAsia="zh-TW"/>
        </w:rPr>
        <w:t xml:space="preserve"> </w:t>
      </w:r>
      <w:r w:rsidRPr="008147DC">
        <w:rPr>
          <w:lang w:eastAsia="zh-TW"/>
        </w:rPr>
        <w:t>根據內政部</w:t>
      </w:r>
      <w:r w:rsidRPr="008147DC">
        <w:rPr>
          <w:lang w:eastAsia="zh-TW"/>
        </w:rPr>
        <w:t>102</w:t>
      </w:r>
      <w:r w:rsidRPr="008147DC">
        <w:rPr>
          <w:lang w:eastAsia="zh-TW"/>
        </w:rPr>
        <w:t>年</w:t>
      </w:r>
      <w:r w:rsidRPr="008147DC">
        <w:rPr>
          <w:lang w:eastAsia="zh-TW"/>
        </w:rPr>
        <w:t>9</w:t>
      </w:r>
      <w:r w:rsidRPr="008147DC">
        <w:rPr>
          <w:lang w:eastAsia="zh-TW"/>
        </w:rPr>
        <w:t>月發行之人口政策白皮書之定義，所謂「老化指數」係指</w:t>
      </w:r>
      <w:r w:rsidRPr="008147DC">
        <w:rPr>
          <w:lang w:eastAsia="zh-TW"/>
        </w:rPr>
        <w:t>65</w:t>
      </w:r>
      <w:r w:rsidRPr="008147DC">
        <w:rPr>
          <w:lang w:eastAsia="zh-TW"/>
        </w:rPr>
        <w:t>歲以上人口數除以</w:t>
      </w:r>
      <w:r w:rsidRPr="008147DC">
        <w:rPr>
          <w:lang w:eastAsia="zh-TW"/>
        </w:rPr>
        <w:t>14</w:t>
      </w:r>
      <w:r w:rsidRPr="008147DC">
        <w:rPr>
          <w:lang w:eastAsia="zh-TW"/>
        </w:rPr>
        <w:t>歲以下人口數得出的比率，又稱為「老幼人口比」。</w:t>
      </w:r>
    </w:p>
  </w:footnote>
  <w:footnote w:id="575">
    <w:p w:rsidR="00657FEF" w:rsidRPr="008147DC" w:rsidRDefault="00657FEF" w:rsidP="00992AB6">
      <w:pPr>
        <w:pStyle w:val="5"/>
        <w:rPr>
          <w:lang w:eastAsia="zh-TW"/>
        </w:rPr>
      </w:pPr>
      <w:r w:rsidRPr="00C739F8">
        <w:rPr>
          <w:rStyle w:val="af7"/>
          <w:rFonts w:eastAsia="新細明體"/>
          <w:kern w:val="2"/>
        </w:rPr>
        <w:footnoteRef/>
      </w:r>
      <w:r w:rsidRPr="008147DC">
        <w:rPr>
          <w:lang w:eastAsia="zh-TW"/>
        </w:rPr>
        <w:t>根據內政部</w:t>
      </w:r>
      <w:r w:rsidRPr="008147DC">
        <w:rPr>
          <w:lang w:eastAsia="zh-TW"/>
        </w:rPr>
        <w:t>102</w:t>
      </w:r>
      <w:r w:rsidRPr="008147DC">
        <w:rPr>
          <w:lang w:eastAsia="zh-TW"/>
        </w:rPr>
        <w:t>年</w:t>
      </w:r>
      <w:r w:rsidRPr="008147DC">
        <w:rPr>
          <w:lang w:eastAsia="zh-TW"/>
        </w:rPr>
        <w:t>9</w:t>
      </w:r>
      <w:r w:rsidRPr="008147DC">
        <w:rPr>
          <w:lang w:eastAsia="zh-TW"/>
        </w:rPr>
        <w:t>月發行之人口政策白皮書之定義，所謂扶養比，係指扶幼比（</w:t>
      </w:r>
      <w:r w:rsidRPr="008147DC">
        <w:rPr>
          <w:lang w:eastAsia="zh-TW"/>
        </w:rPr>
        <w:t>0</w:t>
      </w:r>
      <w:r w:rsidRPr="008147DC">
        <w:rPr>
          <w:lang w:eastAsia="zh-TW"/>
        </w:rPr>
        <w:t>至</w:t>
      </w:r>
      <w:r w:rsidRPr="008147DC">
        <w:rPr>
          <w:lang w:eastAsia="zh-TW"/>
        </w:rPr>
        <w:t>14</w:t>
      </w:r>
      <w:r w:rsidRPr="008147DC">
        <w:rPr>
          <w:lang w:eastAsia="zh-TW"/>
        </w:rPr>
        <w:t>歲之幼年人口除以</w:t>
      </w:r>
      <w:r w:rsidRPr="008147DC">
        <w:rPr>
          <w:lang w:eastAsia="zh-TW"/>
        </w:rPr>
        <w:t>15</w:t>
      </w:r>
      <w:r w:rsidRPr="008147DC">
        <w:rPr>
          <w:lang w:eastAsia="zh-TW"/>
        </w:rPr>
        <w:t>至</w:t>
      </w:r>
      <w:r w:rsidRPr="008147DC">
        <w:rPr>
          <w:lang w:eastAsia="zh-TW"/>
        </w:rPr>
        <w:t>64</w:t>
      </w:r>
      <w:r w:rsidRPr="008147DC">
        <w:rPr>
          <w:lang w:eastAsia="zh-TW"/>
        </w:rPr>
        <w:t>歲人口數）加上扶老比（</w:t>
      </w:r>
      <w:r w:rsidRPr="008147DC">
        <w:rPr>
          <w:lang w:eastAsia="zh-TW"/>
        </w:rPr>
        <w:t>65</w:t>
      </w:r>
      <w:r w:rsidRPr="008147DC">
        <w:rPr>
          <w:lang w:eastAsia="zh-TW"/>
        </w:rPr>
        <w:t>以上之老年人口除以</w:t>
      </w:r>
      <w:r w:rsidRPr="008147DC">
        <w:rPr>
          <w:lang w:eastAsia="zh-TW"/>
        </w:rPr>
        <w:t>15</w:t>
      </w:r>
      <w:r w:rsidRPr="008147DC">
        <w:rPr>
          <w:lang w:eastAsia="zh-TW"/>
        </w:rPr>
        <w:t>至</w:t>
      </w:r>
      <w:r w:rsidRPr="008147DC">
        <w:rPr>
          <w:lang w:eastAsia="zh-TW"/>
        </w:rPr>
        <w:t>64</w:t>
      </w:r>
      <w:r w:rsidRPr="008147DC">
        <w:rPr>
          <w:lang w:eastAsia="zh-TW"/>
        </w:rPr>
        <w:t>歲人口數），一般而言，扶養比愈低越有利於經濟發展。</w:t>
      </w:r>
    </w:p>
  </w:footnote>
  <w:footnote w:id="576">
    <w:p w:rsidR="00657FEF" w:rsidRPr="008147DC" w:rsidRDefault="00657FEF" w:rsidP="00992AB6">
      <w:pPr>
        <w:pStyle w:val="5"/>
        <w:rPr>
          <w:lang w:eastAsia="zh-TW"/>
        </w:rPr>
      </w:pPr>
      <w:r w:rsidRPr="00C739F8">
        <w:rPr>
          <w:rStyle w:val="af7"/>
          <w:rFonts w:eastAsia="新細明體"/>
          <w:kern w:val="2"/>
        </w:rPr>
        <w:footnoteRef/>
      </w:r>
      <w:r w:rsidRPr="00C739F8">
        <w:rPr>
          <w:rFonts w:ascii="Arial Unicode MS" w:eastAsia="新細明體" w:hAnsi="Arial Unicode MS"/>
          <w:color w:val="FF6600"/>
          <w:kern w:val="2"/>
          <w:lang w:eastAsia="zh-TW"/>
        </w:rPr>
        <w:t xml:space="preserve"> </w:t>
      </w:r>
      <w:r w:rsidRPr="008147DC">
        <w:rPr>
          <w:lang w:eastAsia="zh-TW"/>
        </w:rPr>
        <w:t>數據來源為內政部</w:t>
      </w:r>
      <w:r w:rsidRPr="008147DC">
        <w:rPr>
          <w:lang w:eastAsia="zh-TW"/>
        </w:rPr>
        <w:t>102</w:t>
      </w:r>
      <w:r w:rsidRPr="008147DC">
        <w:rPr>
          <w:lang w:eastAsia="zh-TW"/>
        </w:rPr>
        <w:t>年</w:t>
      </w:r>
      <w:r w:rsidRPr="008147DC">
        <w:rPr>
          <w:lang w:eastAsia="zh-TW"/>
        </w:rPr>
        <w:t>9</w:t>
      </w:r>
      <w:r w:rsidRPr="008147DC">
        <w:rPr>
          <w:lang w:eastAsia="zh-TW"/>
        </w:rPr>
        <w:t>月份發行之人口政策白皮書。</w:t>
      </w:r>
    </w:p>
  </w:footnote>
  <w:footnote w:id="577">
    <w:p w:rsidR="00657FEF" w:rsidRPr="008147DC" w:rsidRDefault="00657FEF" w:rsidP="00992AB6">
      <w:pPr>
        <w:pStyle w:val="5"/>
        <w:rPr>
          <w:lang w:eastAsia="zh-TW"/>
        </w:rPr>
      </w:pPr>
      <w:r w:rsidRPr="00C739F8">
        <w:rPr>
          <w:rStyle w:val="af7"/>
          <w:rFonts w:eastAsia="新細明體"/>
          <w:kern w:val="2"/>
        </w:rPr>
        <w:footnoteRef/>
      </w:r>
      <w:r w:rsidRPr="00C739F8">
        <w:rPr>
          <w:rFonts w:ascii="Arial Unicode MS" w:eastAsia="新細明體" w:hAnsi="Arial Unicode MS"/>
          <w:color w:val="FF6600"/>
          <w:kern w:val="2"/>
          <w:lang w:eastAsia="zh-TW"/>
        </w:rPr>
        <w:t xml:space="preserve"> </w:t>
      </w:r>
      <w:r w:rsidRPr="008147DC">
        <w:rPr>
          <w:lang w:eastAsia="zh-TW"/>
        </w:rPr>
        <w:t>2016</w:t>
      </w:r>
      <w:r w:rsidRPr="008147DC">
        <w:rPr>
          <w:lang w:eastAsia="zh-TW"/>
        </w:rPr>
        <w:t>年</w:t>
      </w:r>
      <w:r w:rsidRPr="008147DC">
        <w:rPr>
          <w:lang w:eastAsia="zh-TW"/>
        </w:rPr>
        <w:t>12</w:t>
      </w:r>
      <w:r w:rsidRPr="008147DC">
        <w:rPr>
          <w:lang w:eastAsia="zh-TW"/>
        </w:rPr>
        <w:t>月</w:t>
      </w:r>
      <w:r w:rsidRPr="008147DC">
        <w:rPr>
          <w:lang w:eastAsia="zh-TW"/>
        </w:rPr>
        <w:t>30</w:t>
      </w:r>
      <w:r w:rsidRPr="008147DC">
        <w:rPr>
          <w:lang w:eastAsia="zh-TW"/>
        </w:rPr>
        <w:t>日</w:t>
      </w:r>
      <w:r w:rsidRPr="008147DC">
        <w:rPr>
          <w:lang w:eastAsia="zh-TW"/>
        </w:rPr>
        <w:t>SMART</w:t>
      </w:r>
      <w:r w:rsidRPr="008147DC">
        <w:rPr>
          <w:lang w:eastAsia="zh-TW"/>
        </w:rPr>
        <w:t>月刊登載：長照</w:t>
      </w:r>
      <w:r w:rsidRPr="008147DC">
        <w:rPr>
          <w:lang w:eastAsia="zh-TW"/>
        </w:rPr>
        <w:t>2.0</w:t>
      </w:r>
      <w:r w:rsidRPr="008147DC">
        <w:rPr>
          <w:lang w:eastAsia="zh-TW"/>
        </w:rPr>
        <w:t>在</w:t>
      </w:r>
      <w:r w:rsidRPr="008147DC">
        <w:rPr>
          <w:lang w:eastAsia="zh-TW"/>
        </w:rPr>
        <w:t>2016</w:t>
      </w:r>
      <w:r w:rsidRPr="008147DC">
        <w:rPr>
          <w:lang w:eastAsia="zh-TW"/>
        </w:rPr>
        <w:t>年</w:t>
      </w:r>
      <w:r w:rsidRPr="008147DC">
        <w:rPr>
          <w:lang w:eastAsia="zh-TW"/>
        </w:rPr>
        <w:t>11</w:t>
      </w:r>
      <w:r w:rsidRPr="008147DC">
        <w:rPr>
          <w:lang w:eastAsia="zh-TW"/>
        </w:rPr>
        <w:t>月試辦上路，外界批評最多的就是「預算編列</w:t>
      </w:r>
      <w:r w:rsidRPr="008147DC">
        <w:rPr>
          <w:lang w:eastAsia="zh-TW"/>
        </w:rPr>
        <w:t>300</w:t>
      </w:r>
      <w:r w:rsidRPr="008147DC">
        <w:rPr>
          <w:lang w:eastAsia="zh-TW"/>
        </w:rPr>
        <w:t>多億元，至少要上千億元才夠！」。＜</w:t>
      </w:r>
      <w:hyperlink r:id="rId139" w:history="1">
        <w:r w:rsidRPr="00A951A1">
          <w:rPr>
            <w:rStyle w:val="a7"/>
            <w:rFonts w:ascii="Arial Unicode MS" w:eastAsia="新細明體" w:hAnsi="Arial Unicode MS" w:cs="Calibri"/>
            <w:color w:val="5F5F5F"/>
            <w:kern w:val="2"/>
            <w:sz w:val="18"/>
            <w:lang w:eastAsia="zh-TW"/>
          </w:rPr>
          <w:t>https://tw.news.yahoo.com/%E6%9E%97%E8%90%AC%E5%84%84-%E9%95%B7%E7%85%A72-0%E8%A6%81%E9%99%8D%E6%A9%9F%E6%A7%8B%E6%AF%94%E7%8E%87-131328223.html</w:t>
        </w:r>
      </w:hyperlink>
      <w:r w:rsidRPr="008147DC">
        <w:rPr>
          <w:lang w:eastAsia="zh-TW"/>
        </w:rPr>
        <w:t>＞。</w:t>
      </w:r>
    </w:p>
  </w:footnote>
  <w:footnote w:id="578">
    <w:p w:rsidR="00657FEF" w:rsidRPr="008147DC" w:rsidRDefault="00657FEF" w:rsidP="00992AB6">
      <w:pPr>
        <w:pStyle w:val="5"/>
        <w:rPr>
          <w:lang w:eastAsia="zh-TW"/>
        </w:rPr>
      </w:pPr>
      <w:r w:rsidRPr="00C739F8">
        <w:rPr>
          <w:rStyle w:val="af7"/>
          <w:rFonts w:eastAsia="新細明體"/>
          <w:kern w:val="2"/>
        </w:rPr>
        <w:footnoteRef/>
      </w:r>
      <w:r w:rsidRPr="00C739F8">
        <w:rPr>
          <w:rFonts w:ascii="Arial Unicode MS" w:eastAsia="新細明體" w:hAnsi="Arial Unicode MS"/>
          <w:color w:val="FF6600"/>
          <w:kern w:val="2"/>
          <w:lang w:eastAsia="zh-TW"/>
        </w:rPr>
        <w:t xml:space="preserve"> </w:t>
      </w:r>
      <w:r w:rsidRPr="008147DC">
        <w:rPr>
          <w:lang w:eastAsia="zh-TW"/>
        </w:rPr>
        <w:t>已成年之大陸地區人民僅能依「大陸地區人民進入臺灣地區許可辦法」第</w:t>
      </w:r>
      <w:r w:rsidRPr="008147DC">
        <w:rPr>
          <w:lang w:eastAsia="zh-TW"/>
        </w:rPr>
        <w:t>23</w:t>
      </w:r>
      <w:r w:rsidRPr="008147DC">
        <w:rPr>
          <w:lang w:eastAsia="zh-TW"/>
        </w:rPr>
        <w:t>條第</w:t>
      </w:r>
      <w:r w:rsidRPr="008147DC">
        <w:rPr>
          <w:lang w:eastAsia="zh-TW"/>
        </w:rPr>
        <w:t>1</w:t>
      </w:r>
      <w:r w:rsidRPr="008147DC">
        <w:rPr>
          <w:lang w:eastAsia="zh-TW"/>
        </w:rPr>
        <w:t>款規定，來台探視在台設有戶籍之血親，停留期間為</w:t>
      </w:r>
      <w:r w:rsidRPr="008147DC">
        <w:rPr>
          <w:lang w:eastAsia="zh-TW"/>
        </w:rPr>
        <w:t>3</w:t>
      </w:r>
      <w:r w:rsidRPr="008147DC">
        <w:rPr>
          <w:lang w:eastAsia="zh-TW"/>
        </w:rPr>
        <w:t>個月，不得延期，每年總停留期間不得逾</w:t>
      </w:r>
      <w:r w:rsidRPr="008147DC">
        <w:rPr>
          <w:lang w:eastAsia="zh-TW"/>
        </w:rPr>
        <w:t>6</w:t>
      </w:r>
      <w:r w:rsidRPr="008147DC">
        <w:rPr>
          <w:lang w:eastAsia="zh-TW"/>
        </w:rPr>
        <w:t>個月。</w:t>
      </w:r>
    </w:p>
  </w:footnote>
  <w:footnote w:id="579">
    <w:p w:rsidR="00657FEF" w:rsidRPr="008147DC" w:rsidRDefault="00657FEF" w:rsidP="00992AB6">
      <w:pPr>
        <w:pStyle w:val="5"/>
        <w:rPr>
          <w:lang w:eastAsia="zh-TW"/>
        </w:rPr>
      </w:pPr>
      <w:r w:rsidRPr="00C739F8">
        <w:rPr>
          <w:rStyle w:val="af7"/>
          <w:rFonts w:eastAsia="新細明體"/>
          <w:kern w:val="2"/>
        </w:rPr>
        <w:footnoteRef/>
      </w:r>
      <w:r w:rsidRPr="008147DC">
        <w:rPr>
          <w:lang w:eastAsia="zh-TW"/>
        </w:rPr>
        <w:t xml:space="preserve"> </w:t>
      </w:r>
      <w:r w:rsidRPr="008147DC">
        <w:rPr>
          <w:lang w:eastAsia="zh-TW"/>
        </w:rPr>
        <w:t>依「大陸地區人民進入臺灣地區許可辦法」第</w:t>
      </w:r>
      <w:r w:rsidRPr="008147DC">
        <w:rPr>
          <w:lang w:eastAsia="zh-TW"/>
        </w:rPr>
        <w:t>27</w:t>
      </w:r>
      <w:r w:rsidRPr="008147DC">
        <w:rPr>
          <w:lang w:eastAsia="zh-TW"/>
        </w:rPr>
        <w:t>條第</w:t>
      </w:r>
      <w:r w:rsidRPr="008147DC">
        <w:rPr>
          <w:lang w:eastAsia="zh-TW"/>
        </w:rPr>
        <w:t>1</w:t>
      </w:r>
      <w:r w:rsidRPr="008147DC">
        <w:rPr>
          <w:lang w:eastAsia="zh-TW"/>
        </w:rPr>
        <w:t>項規定，大陸地區人民，因探親對象年逾六十歲，在臺灣地區無子女，且傷病未癒或行動困難乏人照料者，其具有照料能力者一人，得申請延期在臺灣地區照料；每次停留期間</w:t>
      </w:r>
      <w:r w:rsidRPr="008147DC">
        <w:rPr>
          <w:lang w:eastAsia="zh-TW"/>
        </w:rPr>
        <w:t>6</w:t>
      </w:r>
      <w:r w:rsidRPr="008147DC">
        <w:rPr>
          <w:lang w:eastAsia="zh-TW"/>
        </w:rPr>
        <w:t>個月，可延期</w:t>
      </w:r>
      <w:r w:rsidRPr="008147DC">
        <w:rPr>
          <w:lang w:eastAsia="zh-TW"/>
        </w:rPr>
        <w:t>6</w:t>
      </w:r>
      <w:r w:rsidRPr="008147DC">
        <w:rPr>
          <w:lang w:eastAsia="zh-TW"/>
        </w:rPr>
        <w:t>個，每次來臺總停留期間不得逾</w:t>
      </w:r>
      <w:r w:rsidRPr="008147DC">
        <w:rPr>
          <w:lang w:eastAsia="zh-TW"/>
        </w:rPr>
        <w:t>1</w:t>
      </w:r>
      <w:r w:rsidRPr="008147DC">
        <w:rPr>
          <w:lang w:eastAsia="zh-TW"/>
        </w:rPr>
        <w:t>年。</w:t>
      </w:r>
    </w:p>
  </w:footnote>
  <w:footnote w:id="580">
    <w:p w:rsidR="00657FEF" w:rsidRPr="008147DC" w:rsidRDefault="00657FEF" w:rsidP="00992AB6">
      <w:pPr>
        <w:pStyle w:val="5"/>
        <w:rPr>
          <w:lang w:eastAsia="zh-TW"/>
        </w:rPr>
      </w:pPr>
      <w:r w:rsidRPr="00C739F8">
        <w:rPr>
          <w:rStyle w:val="af7"/>
          <w:rFonts w:eastAsia="新細明體"/>
          <w:kern w:val="2"/>
        </w:rPr>
        <w:footnoteRef/>
      </w:r>
      <w:r w:rsidRPr="00C739F8">
        <w:rPr>
          <w:rFonts w:ascii="Arial Unicode MS" w:eastAsia="新細明體" w:hAnsi="Arial Unicode MS"/>
          <w:color w:val="FF6600"/>
          <w:kern w:val="2"/>
          <w:lang w:eastAsia="zh-TW"/>
        </w:rPr>
        <w:t xml:space="preserve"> </w:t>
      </w:r>
      <w:r w:rsidRPr="008147DC">
        <w:rPr>
          <w:lang w:eastAsia="zh-TW"/>
        </w:rPr>
        <w:t>「公民與政治權利國際公約」第</w:t>
      </w:r>
      <w:r w:rsidRPr="008147DC">
        <w:rPr>
          <w:lang w:eastAsia="zh-TW"/>
        </w:rPr>
        <w:t>12</w:t>
      </w:r>
      <w:r w:rsidRPr="008147DC">
        <w:rPr>
          <w:lang w:eastAsia="zh-TW"/>
        </w:rPr>
        <w:t>條第</w:t>
      </w:r>
      <w:r w:rsidRPr="008147DC">
        <w:rPr>
          <w:lang w:eastAsia="zh-TW"/>
        </w:rPr>
        <w:t>2</w:t>
      </w:r>
      <w:r w:rsidRPr="008147DC">
        <w:rPr>
          <w:lang w:eastAsia="zh-TW"/>
        </w:rPr>
        <w:t>款規定，人人應有自由離去任何國家，連其本國在內。</w:t>
      </w:r>
    </w:p>
  </w:footnote>
  <w:footnote w:id="581">
    <w:p w:rsidR="00657FEF" w:rsidRPr="008147DC" w:rsidRDefault="00657FEF" w:rsidP="00992AB6">
      <w:pPr>
        <w:pStyle w:val="5"/>
        <w:rPr>
          <w:lang w:eastAsia="zh-TW"/>
        </w:rPr>
      </w:pPr>
      <w:r w:rsidRPr="00C739F8">
        <w:rPr>
          <w:rStyle w:val="af7"/>
          <w:rFonts w:eastAsia="新細明體"/>
          <w:kern w:val="2"/>
        </w:rPr>
        <w:footnoteRef/>
      </w:r>
      <w:r w:rsidRPr="008147DC">
        <w:rPr>
          <w:lang w:eastAsia="zh-TW"/>
        </w:rPr>
        <w:t xml:space="preserve"> </w:t>
      </w:r>
      <w:r w:rsidRPr="008147DC">
        <w:rPr>
          <w:lang w:eastAsia="zh-TW"/>
        </w:rPr>
        <w:t>依「外國護照簽證條例施行細則」第</w:t>
      </w:r>
      <w:r w:rsidRPr="008147DC">
        <w:rPr>
          <w:lang w:eastAsia="zh-TW"/>
        </w:rPr>
        <w:t>5</w:t>
      </w:r>
      <w:r w:rsidRPr="008147DC">
        <w:rPr>
          <w:lang w:eastAsia="zh-TW"/>
        </w:rPr>
        <w:t>條第</w:t>
      </w:r>
      <w:r w:rsidRPr="008147DC">
        <w:rPr>
          <w:lang w:eastAsia="zh-TW"/>
        </w:rPr>
        <w:t>1</w:t>
      </w:r>
      <w:r w:rsidRPr="008147DC">
        <w:rPr>
          <w:lang w:eastAsia="zh-TW"/>
        </w:rPr>
        <w:t>項規定，持外國護照申請簽證，應填具簽證申請書表，並檢具有效外國護照及最近六個月內之照片，送外交部或駐外使領館、代表處、辦事處或其他經外交部授權機構核辦。</w:t>
      </w:r>
    </w:p>
  </w:footnote>
  <w:footnote w:id="582">
    <w:p w:rsidR="00657FEF" w:rsidRPr="008147DC" w:rsidRDefault="00657FEF" w:rsidP="00992AB6">
      <w:pPr>
        <w:pStyle w:val="5"/>
        <w:rPr>
          <w:lang w:eastAsia="zh-TW"/>
        </w:rPr>
      </w:pPr>
      <w:r w:rsidRPr="00C739F8">
        <w:rPr>
          <w:rStyle w:val="af7"/>
          <w:rFonts w:eastAsia="新細明體"/>
          <w:kern w:val="2"/>
        </w:rPr>
        <w:footnoteRef/>
      </w:r>
      <w:r w:rsidRPr="008147DC">
        <w:rPr>
          <w:lang w:eastAsia="zh-TW"/>
        </w:rPr>
        <w:t xml:space="preserve"> </w:t>
      </w:r>
      <w:r w:rsidRPr="008147DC">
        <w:rPr>
          <w:lang w:eastAsia="zh-TW"/>
        </w:rPr>
        <w:t>「公民與政治權利國際公約」第</w:t>
      </w:r>
      <w:r w:rsidRPr="008147DC">
        <w:rPr>
          <w:lang w:eastAsia="zh-TW"/>
        </w:rPr>
        <w:t>23</w:t>
      </w:r>
      <w:r w:rsidRPr="008147DC">
        <w:rPr>
          <w:lang w:eastAsia="zh-TW"/>
        </w:rPr>
        <w:t>條第</w:t>
      </w:r>
      <w:r w:rsidRPr="008147DC">
        <w:rPr>
          <w:lang w:eastAsia="zh-TW"/>
        </w:rPr>
        <w:t>1</w:t>
      </w:r>
      <w:r w:rsidRPr="008147DC">
        <w:rPr>
          <w:lang w:eastAsia="zh-TW"/>
        </w:rPr>
        <w:t>款規定，家庭為社會之自然基本團體單位，應受社會及國家之保護。</w:t>
      </w:r>
    </w:p>
  </w:footnote>
  <w:footnote w:id="583">
    <w:p w:rsidR="00657FEF" w:rsidRPr="008147DC" w:rsidRDefault="00657FEF" w:rsidP="00992AB6">
      <w:pPr>
        <w:pStyle w:val="5"/>
        <w:rPr>
          <w:lang w:eastAsia="zh-TW"/>
        </w:rPr>
      </w:pPr>
      <w:r w:rsidRPr="00C739F8">
        <w:rPr>
          <w:rStyle w:val="af7"/>
          <w:rFonts w:eastAsia="新細明體"/>
          <w:kern w:val="2"/>
        </w:rPr>
        <w:footnoteRef/>
      </w:r>
      <w:r w:rsidRPr="00C739F8">
        <w:rPr>
          <w:rFonts w:ascii="Arial Unicode MS" w:eastAsia="新細明體" w:hAnsi="Arial Unicode MS"/>
          <w:color w:val="FF6600"/>
          <w:kern w:val="2"/>
          <w:lang w:eastAsia="zh-TW"/>
        </w:rPr>
        <w:t xml:space="preserve"> </w:t>
      </w:r>
      <w:r w:rsidRPr="008147DC">
        <w:rPr>
          <w:lang w:eastAsia="zh-TW"/>
        </w:rPr>
        <w:t>「公民與政治權利國際公約及經濟社會文化權利國際公約施行法」第</w:t>
      </w:r>
      <w:r w:rsidRPr="008147DC">
        <w:rPr>
          <w:lang w:eastAsia="zh-TW"/>
        </w:rPr>
        <w:t>4</w:t>
      </w:r>
      <w:r w:rsidRPr="008147DC">
        <w:rPr>
          <w:lang w:eastAsia="zh-TW"/>
        </w:rPr>
        <w:t>條規定，各級政府機關行使其職權，應符合兩公約有關人權保障之規定，避免侵害人權，保護人民不受他人侵害，並應積極促進各項人權之實現。</w:t>
      </w:r>
    </w:p>
  </w:footnote>
  <w:footnote w:id="584">
    <w:p w:rsidR="00657FEF" w:rsidRPr="008147DC" w:rsidRDefault="00657FEF" w:rsidP="00992AB6">
      <w:pPr>
        <w:pStyle w:val="5"/>
        <w:rPr>
          <w:lang w:eastAsia="zh-TW"/>
        </w:rPr>
      </w:pPr>
      <w:r w:rsidRPr="00C739F8">
        <w:rPr>
          <w:rStyle w:val="af7"/>
          <w:rFonts w:eastAsia="新細明體"/>
          <w:kern w:val="2"/>
        </w:rPr>
        <w:footnoteRef/>
      </w:r>
      <w:r w:rsidRPr="008147DC">
        <w:rPr>
          <w:lang w:eastAsia="zh-TW"/>
        </w:rPr>
        <w:t xml:space="preserve"> </w:t>
      </w:r>
      <w:r w:rsidRPr="008147DC">
        <w:rPr>
          <w:lang w:eastAsia="zh-TW"/>
        </w:rPr>
        <w:t>「行政程序法」第</w:t>
      </w:r>
      <w:r w:rsidRPr="008147DC">
        <w:rPr>
          <w:lang w:eastAsia="zh-TW"/>
        </w:rPr>
        <w:t>3</w:t>
      </w:r>
      <w:r w:rsidRPr="008147DC">
        <w:rPr>
          <w:lang w:eastAsia="zh-TW"/>
        </w:rPr>
        <w:t>條第</w:t>
      </w:r>
      <w:r w:rsidRPr="008147DC">
        <w:rPr>
          <w:lang w:eastAsia="zh-TW"/>
        </w:rPr>
        <w:t>2</w:t>
      </w:r>
      <w:r w:rsidRPr="008147DC">
        <w:rPr>
          <w:lang w:eastAsia="zh-TW"/>
        </w:rPr>
        <w:t>項第</w:t>
      </w:r>
      <w:r w:rsidRPr="008147DC">
        <w:rPr>
          <w:lang w:eastAsia="zh-TW"/>
        </w:rPr>
        <w:t>2</w:t>
      </w:r>
      <w:r w:rsidRPr="008147DC">
        <w:rPr>
          <w:lang w:eastAsia="zh-TW"/>
        </w:rPr>
        <w:t>款規定，外國人出、入境、難民認定及國籍變更之行為，不適用該法之程序規定。</w:t>
      </w:r>
    </w:p>
  </w:footnote>
  <w:footnote w:id="585">
    <w:p w:rsidR="00657FEF" w:rsidRPr="008147DC" w:rsidRDefault="00657FEF" w:rsidP="00992AB6">
      <w:pPr>
        <w:pStyle w:val="5"/>
        <w:rPr>
          <w:lang w:eastAsia="zh-TW"/>
        </w:rPr>
      </w:pPr>
      <w:r w:rsidRPr="00C739F8">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請參閱「入出國及移民法」第</w:t>
      </w:r>
      <w:r w:rsidRPr="008147DC">
        <w:rPr>
          <w:lang w:eastAsia="zh-TW"/>
        </w:rPr>
        <w:t>15</w:t>
      </w:r>
      <w:r w:rsidRPr="008147DC">
        <w:rPr>
          <w:lang w:eastAsia="zh-TW"/>
        </w:rPr>
        <w:t>條、第</w:t>
      </w:r>
      <w:r w:rsidRPr="008147DC">
        <w:rPr>
          <w:lang w:eastAsia="zh-TW"/>
        </w:rPr>
        <w:t>24</w:t>
      </w:r>
      <w:r w:rsidRPr="008147DC">
        <w:rPr>
          <w:lang w:eastAsia="zh-TW"/>
        </w:rPr>
        <w:t>條、第</w:t>
      </w:r>
      <w:r w:rsidRPr="008147DC">
        <w:rPr>
          <w:lang w:eastAsia="zh-TW"/>
        </w:rPr>
        <w:t>35</w:t>
      </w:r>
      <w:r w:rsidRPr="008147DC">
        <w:rPr>
          <w:lang w:eastAsia="zh-TW"/>
        </w:rPr>
        <w:t>條、第</w:t>
      </w:r>
      <w:r w:rsidRPr="008147DC">
        <w:rPr>
          <w:lang w:eastAsia="zh-TW"/>
        </w:rPr>
        <w:t>85</w:t>
      </w:r>
      <w:r w:rsidRPr="008147DC">
        <w:rPr>
          <w:lang w:eastAsia="zh-TW"/>
        </w:rPr>
        <w:t>條及入出國及移民法罰鍰案件裁罰基準。</w:t>
      </w:r>
    </w:p>
  </w:footnote>
  <w:footnote w:id="586">
    <w:p w:rsidR="00657FEF" w:rsidRPr="008147DC" w:rsidRDefault="00657FEF" w:rsidP="00992AB6">
      <w:pPr>
        <w:pStyle w:val="5"/>
        <w:rPr>
          <w:lang w:eastAsia="zh-TW"/>
        </w:rPr>
      </w:pPr>
      <w:r w:rsidRPr="00A951A1">
        <w:rPr>
          <w:rStyle w:val="af7"/>
          <w:rFonts w:eastAsia="新細明體"/>
          <w:kern w:val="2"/>
          <w:szCs w:val="20"/>
        </w:rPr>
        <w:footnoteRef/>
      </w:r>
      <w:r w:rsidRPr="00A951A1">
        <w:rPr>
          <w:rFonts w:ascii="Arial Unicode MS" w:eastAsia="新細明體" w:hAnsi="Arial Unicode MS"/>
          <w:color w:val="FF6600"/>
          <w:kern w:val="2"/>
          <w:lang w:eastAsia="zh-TW"/>
        </w:rPr>
        <w:t xml:space="preserve"> </w:t>
      </w:r>
      <w:r w:rsidRPr="008147DC">
        <w:rPr>
          <w:lang w:eastAsia="zh-TW"/>
        </w:rPr>
        <w:tab/>
      </w:r>
      <w:r w:rsidRPr="008147DC">
        <w:rPr>
          <w:lang w:eastAsia="zh-TW"/>
        </w:rPr>
        <w:t>請參閱兩岸人民關係條例第</w:t>
      </w:r>
      <w:r w:rsidRPr="008147DC">
        <w:rPr>
          <w:lang w:eastAsia="zh-TW"/>
        </w:rPr>
        <w:t>18</w:t>
      </w:r>
      <w:r w:rsidRPr="008147DC">
        <w:rPr>
          <w:lang w:eastAsia="zh-TW"/>
        </w:rPr>
        <w:t>條；大陸地區人民在臺灣地區依親居留長期居留或定居許可辦法第</w:t>
      </w:r>
      <w:r w:rsidRPr="008147DC">
        <w:rPr>
          <w:lang w:eastAsia="zh-TW"/>
        </w:rPr>
        <w:t>14</w:t>
      </w:r>
      <w:r w:rsidRPr="008147DC">
        <w:rPr>
          <w:lang w:eastAsia="zh-TW"/>
        </w:rPr>
        <w:t>條、第</w:t>
      </w:r>
      <w:r w:rsidRPr="008147DC">
        <w:rPr>
          <w:lang w:eastAsia="zh-TW"/>
        </w:rPr>
        <w:t>26</w:t>
      </w:r>
      <w:r w:rsidRPr="008147DC">
        <w:rPr>
          <w:lang w:eastAsia="zh-TW"/>
        </w:rPr>
        <w:t>條及第</w:t>
      </w:r>
      <w:r w:rsidRPr="008147DC">
        <w:rPr>
          <w:lang w:eastAsia="zh-TW"/>
        </w:rPr>
        <w:t>32</w:t>
      </w:r>
      <w:r w:rsidRPr="008147DC">
        <w:rPr>
          <w:lang w:eastAsia="zh-TW"/>
        </w:rPr>
        <w:t>條。</w:t>
      </w:r>
    </w:p>
  </w:footnote>
  <w:footnote w:id="587">
    <w:p w:rsidR="00657FEF" w:rsidRPr="008147DC" w:rsidRDefault="00657FEF" w:rsidP="00992AB6">
      <w:pPr>
        <w:pStyle w:val="5"/>
        <w:rPr>
          <w:lang w:eastAsia="zh-TW"/>
        </w:rPr>
      </w:pPr>
      <w:r w:rsidRPr="00A951A1">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如「憲法」第</w:t>
      </w:r>
      <w:r w:rsidRPr="008147DC">
        <w:rPr>
          <w:lang w:eastAsia="zh-TW"/>
        </w:rPr>
        <w:t>7</w:t>
      </w:r>
      <w:r w:rsidRPr="008147DC">
        <w:rPr>
          <w:lang w:eastAsia="zh-TW"/>
        </w:rPr>
        <w:t>條規定：「中華民國人民，無分男女、宗教、種族、階級、黨派，在法律上一律平等。」</w:t>
      </w:r>
    </w:p>
  </w:footnote>
  <w:footnote w:id="588">
    <w:p w:rsidR="00657FEF" w:rsidRPr="008147DC" w:rsidRDefault="00657FEF" w:rsidP="00992AB6">
      <w:pPr>
        <w:pStyle w:val="5"/>
        <w:rPr>
          <w:lang w:eastAsia="zh-TW"/>
        </w:rPr>
      </w:pPr>
      <w:r w:rsidRPr="00A951A1">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如「憲法」第</w:t>
      </w:r>
      <w:r w:rsidRPr="008147DC">
        <w:rPr>
          <w:lang w:eastAsia="zh-TW"/>
        </w:rPr>
        <w:t>159</w:t>
      </w:r>
      <w:r w:rsidRPr="008147DC">
        <w:rPr>
          <w:lang w:eastAsia="zh-TW"/>
        </w:rPr>
        <w:t>條規定：「國民受教育之機會，一律平等。」</w:t>
      </w:r>
    </w:p>
  </w:footnote>
  <w:footnote w:id="589">
    <w:p w:rsidR="00657FEF" w:rsidRPr="008147DC" w:rsidRDefault="00657FEF" w:rsidP="00992AB6">
      <w:pPr>
        <w:pStyle w:val="5"/>
        <w:rPr>
          <w:lang w:eastAsia="zh-TW"/>
        </w:rPr>
      </w:pPr>
      <w:r w:rsidRPr="00A951A1">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「入出國及移民法」第</w:t>
      </w:r>
      <w:r w:rsidRPr="008147DC">
        <w:rPr>
          <w:lang w:eastAsia="zh-TW"/>
        </w:rPr>
        <w:t>29</w:t>
      </w:r>
      <w:r w:rsidRPr="008147DC">
        <w:rPr>
          <w:lang w:eastAsia="zh-TW"/>
        </w:rPr>
        <w:t>條規定：「外國人在我國停留、居留期間，不得從事與許可停留、居留原因不符之活動或工作。但合法居留者，其請願及合法集會遊行，不在此限。」</w:t>
      </w:r>
    </w:p>
  </w:footnote>
  <w:footnote w:id="590">
    <w:p w:rsidR="00657FEF" w:rsidRPr="008147DC" w:rsidRDefault="00657FEF" w:rsidP="00992AB6">
      <w:pPr>
        <w:pStyle w:val="5"/>
        <w:rPr>
          <w:lang w:eastAsia="zh-TW"/>
        </w:rPr>
      </w:pPr>
      <w:r w:rsidRPr="00A951A1">
        <w:rPr>
          <w:rStyle w:val="af7"/>
          <w:rFonts w:eastAsia="新細明體"/>
          <w:kern w:val="2"/>
          <w:szCs w:val="20"/>
        </w:rPr>
        <w:footnoteRef/>
      </w:r>
      <w:r w:rsidRPr="008147DC">
        <w:rPr>
          <w:lang w:eastAsia="zh-TW"/>
        </w:rPr>
        <w:t xml:space="preserve"> </w:t>
      </w:r>
      <w:r w:rsidRPr="008147DC">
        <w:rPr>
          <w:lang w:eastAsia="zh-TW"/>
        </w:rPr>
        <w:tab/>
      </w:r>
      <w:r w:rsidRPr="008147DC">
        <w:rPr>
          <w:lang w:eastAsia="zh-TW"/>
        </w:rPr>
        <w:t>請參閱兩岸人民關係條例第</w:t>
      </w:r>
      <w:r w:rsidRPr="008147DC">
        <w:rPr>
          <w:lang w:eastAsia="zh-TW"/>
        </w:rPr>
        <w:t>21</w:t>
      </w:r>
      <w:r w:rsidRPr="008147DC">
        <w:rPr>
          <w:lang w:eastAsia="zh-TW"/>
        </w:rPr>
        <w:t>條。</w:t>
      </w:r>
    </w:p>
  </w:footnote>
  <w:footnote w:id="591">
    <w:p w:rsidR="00657FEF" w:rsidRPr="008147DC" w:rsidRDefault="00657FEF" w:rsidP="00992AB6">
      <w:pPr>
        <w:pStyle w:val="5"/>
        <w:rPr>
          <w:lang w:eastAsia="zh-TW"/>
        </w:rPr>
      </w:pPr>
      <w:r w:rsidRPr="007010AD">
        <w:rPr>
          <w:rStyle w:val="af7"/>
          <w:rFonts w:eastAsia="新細明體"/>
          <w:kern w:val="2"/>
          <w:szCs w:val="20"/>
        </w:rPr>
        <w:footnoteRef/>
      </w:r>
      <w:r w:rsidRPr="008147DC">
        <w:rPr>
          <w:lang w:eastAsia="zh-TW"/>
        </w:rPr>
        <w:tab/>
      </w:r>
      <w:r w:rsidRPr="008147DC">
        <w:rPr>
          <w:lang w:eastAsia="zh-TW"/>
        </w:rPr>
        <w:t>張舒涵</w:t>
      </w:r>
      <w:r w:rsidRPr="008147DC">
        <w:rPr>
          <w:lang w:eastAsia="zh-TW"/>
        </w:rPr>
        <w:t>(2012)</w:t>
      </w:r>
      <w:r w:rsidRPr="008147DC">
        <w:rPr>
          <w:lang w:eastAsia="zh-TW"/>
        </w:rPr>
        <w:t>，學歷認證阻礙，新移民求學艱辛，上網瀏覽日期：</w:t>
      </w:r>
      <w:r w:rsidRPr="008147DC">
        <w:rPr>
          <w:lang w:eastAsia="zh-TW"/>
        </w:rPr>
        <w:t>101</w:t>
      </w:r>
      <w:r w:rsidRPr="008147DC">
        <w:rPr>
          <w:lang w:eastAsia="zh-TW"/>
        </w:rPr>
        <w:t>年</w:t>
      </w:r>
      <w:r w:rsidRPr="008147DC">
        <w:rPr>
          <w:lang w:eastAsia="zh-TW"/>
        </w:rPr>
        <w:t>9</w:t>
      </w:r>
      <w:r w:rsidRPr="008147DC">
        <w:rPr>
          <w:lang w:eastAsia="zh-TW"/>
        </w:rPr>
        <w:t>月</w:t>
      </w:r>
      <w:r w:rsidRPr="008147DC">
        <w:rPr>
          <w:lang w:eastAsia="zh-TW"/>
        </w:rPr>
        <w:t>18</w:t>
      </w:r>
      <w:r w:rsidRPr="008147DC">
        <w:rPr>
          <w:lang w:eastAsia="zh-TW"/>
        </w:rPr>
        <w:t>日，網址：</w:t>
      </w:r>
      <w:hyperlink r:id="rId140" w:history="1">
        <w:r w:rsidRPr="007010AD">
          <w:rPr>
            <w:rStyle w:val="a7"/>
            <w:rFonts w:ascii="Arial Unicode MS" w:eastAsia="新細明體" w:hAnsi="Arial Unicode MS" w:cs="Calibri"/>
            <w:color w:val="5F5F5F"/>
            <w:kern w:val="2"/>
            <w:sz w:val="18"/>
            <w:lang w:eastAsia="zh-TW"/>
          </w:rPr>
          <w:t>http://tw.news.yahoo.com/%E5%AD%B8%E6%AD%B7%E8%AA%8D%E8%AD%89%E9%98%BB%E7%A4%99-%E6%96%B0%E7%A7%BB%E6%B0%91%E6%B1%82%E5%AD%B8%E8%89%B1%E8%BE%9B-143437991.html</w:t>
        </w:r>
      </w:hyperlink>
      <w:r w:rsidRPr="008147DC">
        <w:rPr>
          <w:lang w:eastAsia="zh-TW"/>
        </w:rPr>
        <w:t>。再者，筆者曾因工作需要，以移民署業務承辦人身分，至花蓮縣新移民自行成立之服務中心與外籍及大陸配偶面對面溝通，瞭解其在臺生活之問題，其中</w:t>
      </w:r>
      <w:r w:rsidRPr="008147DC">
        <w:rPr>
          <w:lang w:eastAsia="zh-TW"/>
        </w:rPr>
        <w:t>1</w:t>
      </w:r>
      <w:r w:rsidRPr="008147DC">
        <w:rPr>
          <w:lang w:eastAsia="zh-TW"/>
        </w:rPr>
        <w:t>名大陸配偶在溝通過程中，即一再反映大陸學歷認證問題，造成她在臺灣尋找工作相當困難，另她擬進修研究所碩士學位，花蓮縣之大學卻都只能承認她之高中學歷，並且表示若要進修，可就讀學士學位，此亦令她覺得很不能接受，且有被歧視之感覺。本文認為，上述之問題，頗為嚴重，已嚴肅地看待此一歧視問題，因當事人已強烈地感受到歧視，實宜積極改善大陸配偶受到歧視之問題。</w:t>
      </w:r>
    </w:p>
  </w:footnote>
  <w:footnote w:id="592">
    <w:p w:rsidR="00657FEF" w:rsidRPr="008147DC" w:rsidRDefault="00657FEF" w:rsidP="00992AB6">
      <w:pPr>
        <w:pStyle w:val="5"/>
        <w:rPr>
          <w:lang w:eastAsia="zh-TW"/>
        </w:rPr>
      </w:pPr>
      <w:r w:rsidRPr="007010AD">
        <w:rPr>
          <w:rStyle w:val="af7"/>
          <w:rFonts w:eastAsia="新細明體"/>
          <w:kern w:val="2"/>
        </w:rPr>
        <w:footnoteRef/>
      </w:r>
      <w:r w:rsidRPr="008147DC">
        <w:rPr>
          <w:lang w:eastAsia="zh-TW"/>
        </w:rPr>
        <w:t>柯雨瑞、蔡政杰，婚姻移民人權與國境安全管理之折衝與拉扯，國土安全與移民政策，臺北市：獨立作家，頁</w:t>
      </w:r>
      <w:r w:rsidRPr="008147DC">
        <w:rPr>
          <w:lang w:eastAsia="zh-TW"/>
        </w:rPr>
        <w:t>219-251</w:t>
      </w:r>
      <w:r w:rsidRPr="008147DC">
        <w:rPr>
          <w:lang w:eastAsia="zh-TW"/>
        </w:rPr>
        <w:t>。</w:t>
      </w:r>
    </w:p>
  </w:footnote>
  <w:footnote w:id="593">
    <w:p w:rsidR="00657FEF" w:rsidRPr="008147DC" w:rsidRDefault="00657FEF" w:rsidP="00A951A1">
      <w:pPr>
        <w:pStyle w:val="5"/>
        <w:jc w:val="left"/>
        <w:rPr>
          <w:lang w:eastAsia="zh-TW"/>
        </w:rPr>
      </w:pPr>
      <w:r w:rsidRPr="007010AD">
        <w:rPr>
          <w:rStyle w:val="af7"/>
          <w:rFonts w:eastAsia="新細明體"/>
          <w:kern w:val="2"/>
          <w:szCs w:val="20"/>
        </w:rPr>
        <w:footnoteRef/>
      </w:r>
      <w:r w:rsidRPr="008147DC">
        <w:rPr>
          <w:lang w:eastAsia="zh-TW"/>
        </w:rPr>
        <w:tab/>
      </w:r>
      <w:r w:rsidRPr="008147DC">
        <w:rPr>
          <w:lang w:eastAsia="zh-TW"/>
        </w:rPr>
        <w:t>從兩岸簽訂經濟合作架構協議</w:t>
      </w:r>
      <w:r w:rsidRPr="008147DC">
        <w:rPr>
          <w:lang w:eastAsia="zh-TW"/>
        </w:rPr>
        <w:t>(ECFA)</w:t>
      </w:r>
      <w:r w:rsidRPr="008147DC">
        <w:rPr>
          <w:lang w:eastAsia="zh-TW"/>
        </w:rPr>
        <w:t>所擬訂之早收清單，就一直被認為是大陸方面讓利之結果，始能順利完成早收清單；另大陸國台辦副主任鄭立中於</w:t>
      </w:r>
      <w:r w:rsidRPr="008147DC">
        <w:rPr>
          <w:lang w:eastAsia="zh-TW"/>
        </w:rPr>
        <w:t>2011</w:t>
      </w:r>
      <w:r w:rsidRPr="008147DC">
        <w:rPr>
          <w:lang w:eastAsia="zh-TW"/>
        </w:rPr>
        <w:t>年</w:t>
      </w:r>
      <w:r w:rsidRPr="008147DC">
        <w:rPr>
          <w:lang w:eastAsia="zh-TW"/>
        </w:rPr>
        <w:t>8</w:t>
      </w:r>
      <w:r w:rsidRPr="008147DC">
        <w:rPr>
          <w:lang w:eastAsia="zh-TW"/>
        </w:rPr>
        <w:t>月來臺即承諾協助苗栗縣大閘蟹養殖業，並於當年</w:t>
      </w:r>
      <w:r w:rsidRPr="008147DC">
        <w:rPr>
          <w:lang w:eastAsia="zh-TW"/>
        </w:rPr>
        <w:t>10</w:t>
      </w:r>
      <w:r w:rsidRPr="008147DC">
        <w:rPr>
          <w:lang w:eastAsia="zh-TW"/>
        </w:rPr>
        <w:t>月即派員來臺指導養殖技術，使苗栗縣成為大閘蟹養殖重鎮，且陸方不收任何權利金，亦被解讀是一種讓利之行為，其背面政治意味濃厚。請參閱旺報</w:t>
      </w:r>
      <w:r w:rsidRPr="008147DC">
        <w:rPr>
          <w:lang w:eastAsia="zh-TW"/>
        </w:rPr>
        <w:t>(2012)</w:t>
      </w:r>
      <w:r w:rsidRPr="008147DC">
        <w:rPr>
          <w:lang w:eastAsia="zh-TW"/>
        </w:rPr>
        <w:t>，社評</w:t>
      </w:r>
      <w:r w:rsidRPr="008147DC">
        <w:rPr>
          <w:lang w:eastAsia="zh-TW"/>
        </w:rPr>
        <w:t>---</w:t>
      </w:r>
      <w:r w:rsidRPr="008147DC">
        <w:rPr>
          <w:lang w:eastAsia="zh-TW"/>
        </w:rPr>
        <w:t>盡速展開兩岸經濟戰略對話，上網瀏覽日期：</w:t>
      </w:r>
      <w:r w:rsidRPr="008147DC">
        <w:rPr>
          <w:lang w:eastAsia="zh-TW"/>
        </w:rPr>
        <w:t>101</w:t>
      </w:r>
      <w:r w:rsidRPr="008147DC">
        <w:rPr>
          <w:lang w:eastAsia="zh-TW"/>
        </w:rPr>
        <w:t>年</w:t>
      </w:r>
      <w:r w:rsidRPr="008147DC">
        <w:rPr>
          <w:lang w:eastAsia="zh-TW"/>
        </w:rPr>
        <w:t>9</w:t>
      </w:r>
      <w:r w:rsidRPr="008147DC">
        <w:rPr>
          <w:lang w:eastAsia="zh-TW"/>
        </w:rPr>
        <w:t>月</w:t>
      </w:r>
      <w:r w:rsidRPr="008147DC">
        <w:rPr>
          <w:lang w:eastAsia="zh-TW"/>
        </w:rPr>
        <w:t>29</w:t>
      </w:r>
      <w:r w:rsidRPr="008147DC">
        <w:rPr>
          <w:lang w:eastAsia="zh-TW"/>
        </w:rPr>
        <w:t>日，網址：</w:t>
      </w:r>
      <w:hyperlink r:id="rId141" w:history="1">
        <w:r w:rsidRPr="007010AD">
          <w:rPr>
            <w:rStyle w:val="a7"/>
            <w:rFonts w:ascii="Arial Unicode MS" w:eastAsia="新細明體" w:hAnsi="Arial Unicode MS" w:cs="Calibri"/>
            <w:color w:val="5F5F5F"/>
            <w:kern w:val="2"/>
            <w:sz w:val="18"/>
            <w:lang w:eastAsia="zh-TW"/>
          </w:rPr>
          <w:t>http://tw.news.yahoo.com/%E7%A4%BE%E8%A9%95-%E7%9B%A1%E9%80%9F%E5%B1%95%E9%96%8B%E5%85%A9%E5%B2%B8%E7%B6%93%E6%BF%9F%E6%88%B0%E7%95%A5%E5%B0%8D%E8%A9%B1-213000680.html</w:t>
        </w:r>
      </w:hyperlink>
      <w:r w:rsidRPr="008147DC">
        <w:rPr>
          <w:lang w:eastAsia="zh-TW"/>
        </w:rPr>
        <w:t>。萬年生，</w:t>
      </w:r>
      <w:r w:rsidRPr="008147DC">
        <w:rPr>
          <w:lang w:eastAsia="zh-TW"/>
        </w:rPr>
        <w:t>(2012)</w:t>
      </w:r>
      <w:r w:rsidRPr="008147DC">
        <w:rPr>
          <w:lang w:eastAsia="zh-TW"/>
        </w:rPr>
        <w:t>，苗栗變大閘蟹重鎮，靠中國讓利？上網瀏覽日期：</w:t>
      </w:r>
      <w:r w:rsidRPr="008147DC">
        <w:rPr>
          <w:lang w:eastAsia="zh-TW"/>
        </w:rPr>
        <w:t>101</w:t>
      </w:r>
      <w:r w:rsidRPr="008147DC">
        <w:rPr>
          <w:lang w:eastAsia="zh-TW"/>
        </w:rPr>
        <w:t>年</w:t>
      </w:r>
      <w:r w:rsidRPr="008147DC">
        <w:rPr>
          <w:lang w:eastAsia="zh-TW"/>
        </w:rPr>
        <w:t>10</w:t>
      </w:r>
      <w:r w:rsidRPr="008147DC">
        <w:rPr>
          <w:lang w:eastAsia="zh-TW"/>
        </w:rPr>
        <w:t>月</w:t>
      </w:r>
      <w:r w:rsidRPr="008147DC">
        <w:rPr>
          <w:lang w:eastAsia="zh-TW"/>
        </w:rPr>
        <w:t>26</w:t>
      </w:r>
      <w:r w:rsidRPr="008147DC">
        <w:rPr>
          <w:lang w:eastAsia="zh-TW"/>
        </w:rPr>
        <w:t>日，網址：瀏覽網址：</w:t>
      </w:r>
      <w:hyperlink r:id="rId142" w:history="1">
        <w:r w:rsidRPr="00991001">
          <w:rPr>
            <w:rFonts w:ascii="Arial Unicode MS" w:eastAsia="新細明體" w:hAnsi="Arial Unicode MS"/>
            <w:kern w:val="2"/>
            <w:sz w:val="18"/>
            <w:szCs w:val="18"/>
            <w:u w:val="single"/>
            <w:lang w:eastAsia="zh-TW"/>
          </w:rPr>
          <w:t>http://tw.news.yahoo.com/%E8%8B%97%E6%A0%97%E8%AE%8A%E5%A4%A7%E9%96%98%E8%9F%B9%E9%87%8D%E9%8E%AE-%E9%9D%A0%E4%B8%AD%E5%9C%8B%E8%AE%93%E5%88%A9-134407155</w:t>
        </w:r>
        <w:r w:rsidRPr="00991001">
          <w:rPr>
            <w:rFonts w:ascii="標楷體" w:eastAsia="標楷體" w:hAnsi="標楷體"/>
            <w:sz w:val="18"/>
            <w:szCs w:val="18"/>
            <w:u w:val="single"/>
            <w:lang w:eastAsia="zh-TW"/>
          </w:rPr>
          <w:t>.html</w:t>
        </w:r>
      </w:hyperlink>
      <w:r w:rsidRPr="00991001">
        <w:rPr>
          <w:sz w:val="18"/>
          <w:szCs w:val="18"/>
          <w:lang w:eastAsia="zh-TW"/>
        </w:rPr>
        <w:t>。</w:t>
      </w:r>
    </w:p>
  </w:footnote>
  <w:footnote w:id="594">
    <w:p w:rsidR="00657FEF" w:rsidRPr="008147DC" w:rsidRDefault="00657FEF" w:rsidP="00992AB6">
      <w:pPr>
        <w:pStyle w:val="5"/>
        <w:rPr>
          <w:lang w:eastAsia="zh-TW"/>
        </w:rPr>
      </w:pPr>
      <w:r w:rsidRPr="007010AD">
        <w:rPr>
          <w:rStyle w:val="af7"/>
          <w:rFonts w:eastAsia="新細明體"/>
          <w:kern w:val="2"/>
        </w:rPr>
        <w:footnoteRef/>
      </w:r>
      <w:r w:rsidRPr="008147DC">
        <w:rPr>
          <w:lang w:eastAsia="zh-TW"/>
        </w:rPr>
        <w:t>如外籍配偶來台後最快</w:t>
      </w:r>
      <w:r w:rsidRPr="008147DC">
        <w:rPr>
          <w:lang w:eastAsia="zh-TW"/>
        </w:rPr>
        <w:t>4</w:t>
      </w:r>
      <w:r w:rsidRPr="008147DC">
        <w:rPr>
          <w:lang w:eastAsia="zh-TW"/>
        </w:rPr>
        <w:t>年可定居設籍，大陸配偶最快需</w:t>
      </w:r>
      <w:r w:rsidRPr="008147DC">
        <w:rPr>
          <w:lang w:eastAsia="zh-TW"/>
        </w:rPr>
        <w:t>6</w:t>
      </w:r>
      <w:r w:rsidRPr="008147DC">
        <w:rPr>
          <w:lang w:eastAsia="zh-TW"/>
        </w:rPr>
        <w:t>年始得定居設籍。</w:t>
      </w:r>
    </w:p>
  </w:footnote>
  <w:footnote w:id="595">
    <w:p w:rsidR="00657FEF" w:rsidRPr="008147DC" w:rsidRDefault="00657FEF" w:rsidP="00992AB6">
      <w:pPr>
        <w:pStyle w:val="5"/>
        <w:rPr>
          <w:lang w:eastAsia="zh-TW"/>
        </w:rPr>
      </w:pPr>
      <w:r w:rsidRPr="00AB1C64">
        <w:rPr>
          <w:rStyle w:val="af7"/>
          <w:rFonts w:eastAsia="新細明體"/>
          <w:kern w:val="2"/>
        </w:rPr>
        <w:footnoteRef/>
      </w:r>
      <w:r w:rsidRPr="008147DC">
        <w:rPr>
          <w:lang w:eastAsia="zh-TW"/>
        </w:rPr>
        <w:t xml:space="preserve"> </w:t>
      </w:r>
      <w:r w:rsidRPr="008147DC">
        <w:rPr>
          <w:lang w:eastAsia="zh-TW"/>
        </w:rPr>
        <w:t>外國護照簽證條例最近一次修正日期為</w:t>
      </w:r>
      <w:r w:rsidRPr="008147DC">
        <w:rPr>
          <w:lang w:eastAsia="zh-TW"/>
        </w:rPr>
        <w:t>2003</w:t>
      </w:r>
      <w:r w:rsidRPr="008147DC">
        <w:rPr>
          <w:lang w:eastAsia="zh-TW"/>
        </w:rPr>
        <w:t>年</w:t>
      </w:r>
      <w:r w:rsidRPr="008147DC">
        <w:rPr>
          <w:lang w:eastAsia="zh-TW"/>
        </w:rPr>
        <w:t>1</w:t>
      </w:r>
      <w:r w:rsidRPr="008147DC">
        <w:rPr>
          <w:lang w:eastAsia="zh-TW"/>
        </w:rPr>
        <w:t>月</w:t>
      </w:r>
      <w:r w:rsidRPr="008147DC">
        <w:rPr>
          <w:lang w:eastAsia="zh-TW"/>
        </w:rPr>
        <w:t>22</w:t>
      </w:r>
      <w:r w:rsidRPr="008147DC">
        <w:rPr>
          <w:lang w:eastAsia="zh-TW"/>
        </w:rPr>
        <w:t>日，迄今已近</w:t>
      </w:r>
      <w:r w:rsidRPr="008147DC">
        <w:rPr>
          <w:lang w:eastAsia="zh-TW"/>
        </w:rPr>
        <w:t>14</w:t>
      </w:r>
      <w:r w:rsidRPr="008147DC">
        <w:rPr>
          <w:lang w:eastAsia="zh-TW"/>
        </w:rPr>
        <w:t>年，相關規定是否符合現今國際局勢之變化，實有相當大之檢討空間。</w:t>
      </w:r>
    </w:p>
  </w:footnote>
  <w:footnote w:id="596">
    <w:p w:rsidR="00657FEF" w:rsidRPr="008147DC" w:rsidRDefault="00657FEF" w:rsidP="00992AB6">
      <w:pPr>
        <w:pStyle w:val="5"/>
      </w:pPr>
      <w:r w:rsidRPr="00AB1C64">
        <w:rPr>
          <w:rStyle w:val="af7"/>
          <w:rFonts w:eastAsia="新細明體"/>
          <w:kern w:val="2"/>
          <w:szCs w:val="20"/>
        </w:rPr>
        <w:footnoteRef/>
      </w:r>
      <w:r w:rsidRPr="00AB1C64">
        <w:rPr>
          <w:rFonts w:ascii="Arial Unicode MS" w:eastAsia="新細明體" w:hAnsi="Arial Unicode MS"/>
          <w:color w:val="FF6600"/>
          <w:kern w:val="2"/>
        </w:rPr>
        <w:tab/>
      </w:r>
      <w:r w:rsidRPr="008147DC">
        <w:t>其英文名稱為：</w:t>
      </w:r>
      <w:r w:rsidRPr="008147DC">
        <w:t>European Convention on Human Rights</w:t>
      </w:r>
      <w:r w:rsidRPr="008147DC">
        <w:t>；</w:t>
      </w:r>
      <w:r w:rsidRPr="008147DC">
        <w:t>Convention for the Protection of Human Rights and Fundamental Freedoms</w:t>
      </w:r>
      <w:r w:rsidRPr="008147DC">
        <w:t>。</w:t>
      </w:r>
    </w:p>
  </w:footnote>
  <w:footnote w:id="597">
    <w:p w:rsidR="00657FEF" w:rsidRPr="008147DC" w:rsidRDefault="00657FEF" w:rsidP="00992AB6">
      <w:pPr>
        <w:pStyle w:val="5"/>
        <w:rPr>
          <w:lang w:eastAsia="zh-TW"/>
        </w:rPr>
      </w:pPr>
      <w:r w:rsidRPr="00AB1C64">
        <w:rPr>
          <w:rStyle w:val="af7"/>
          <w:rFonts w:eastAsia="新細明體"/>
          <w:kern w:val="2"/>
          <w:szCs w:val="20"/>
        </w:rPr>
        <w:footnoteRef/>
      </w:r>
      <w:r w:rsidRPr="008147DC">
        <w:t xml:space="preserve"> </w:t>
      </w:r>
      <w:r w:rsidRPr="008147DC">
        <w:tab/>
      </w:r>
      <w:r w:rsidRPr="008147DC">
        <w:t>臺灣地區與大陸地區人民關係條例第</w:t>
      </w:r>
      <w:r w:rsidRPr="008147DC">
        <w:t>21</w:t>
      </w:r>
      <w:r w:rsidRPr="008147DC">
        <w:t>條：</w:t>
      </w:r>
      <w:r w:rsidRPr="008147DC">
        <w:t xml:space="preserve">  </w:t>
      </w:r>
      <w:r w:rsidRPr="008147DC">
        <w:t>大陸地區人民經許可進入臺灣地區者，除法律另有規定外，非在臺灣地區設有戶籍滿十年，不得登記為公職候選人、擔任公教或公營事業機關</w:t>
      </w:r>
      <w:r w:rsidRPr="008147DC">
        <w:t xml:space="preserve"> (</w:t>
      </w:r>
      <w:r w:rsidRPr="008147DC">
        <w:t>構</w:t>
      </w:r>
      <w:r w:rsidRPr="008147DC">
        <w:t xml:space="preserve">) </w:t>
      </w:r>
      <w:r w:rsidRPr="008147DC">
        <w:t>人員及組織政黨；非在臺灣地區設有戶籍滿二十年，不得擔任情報機關</w:t>
      </w:r>
      <w:r w:rsidRPr="008147DC">
        <w:t xml:space="preserve"> (</w:t>
      </w:r>
      <w:r w:rsidRPr="008147DC">
        <w:t>構</w:t>
      </w:r>
      <w:r w:rsidRPr="008147DC">
        <w:t xml:space="preserve">) </w:t>
      </w:r>
      <w:r w:rsidRPr="008147DC">
        <w:t>人員，或國防機關</w:t>
      </w:r>
      <w:r w:rsidRPr="008147DC">
        <w:t xml:space="preserve"> (</w:t>
      </w:r>
      <w:r w:rsidRPr="008147DC">
        <w:t>構</w:t>
      </w:r>
      <w:r w:rsidRPr="008147DC">
        <w:t xml:space="preserve">) </w:t>
      </w:r>
      <w:r w:rsidRPr="008147DC">
        <w:t>之下列人員：</w:t>
      </w:r>
      <w:r w:rsidRPr="008147DC">
        <w:br/>
      </w:r>
      <w:r w:rsidRPr="008147DC">
        <w:t>一、志願役軍官、士官及士兵。</w:t>
      </w:r>
      <w:r w:rsidRPr="008147DC">
        <w:br/>
      </w:r>
      <w:r w:rsidRPr="008147DC">
        <w:rPr>
          <w:lang w:eastAsia="zh-TW"/>
        </w:rPr>
        <w:t>二、義務役軍官及士官。</w:t>
      </w:r>
      <w:r w:rsidRPr="008147DC">
        <w:rPr>
          <w:lang w:eastAsia="zh-TW"/>
        </w:rPr>
        <w:br/>
      </w:r>
      <w:r w:rsidRPr="008147DC">
        <w:rPr>
          <w:lang w:eastAsia="zh-TW"/>
        </w:rPr>
        <w:t>三、文職、教職及國軍聘雇人員。</w:t>
      </w:r>
      <w:r w:rsidRPr="008147DC">
        <w:rPr>
          <w:lang w:eastAsia="zh-TW"/>
        </w:rPr>
        <w:br/>
      </w:r>
      <w:r w:rsidRPr="008147DC">
        <w:rPr>
          <w:lang w:eastAsia="zh-TW"/>
        </w:rPr>
        <w:t>大陸地區人民經許可進入臺灣地區設有戶籍者，得依法令規定擔任大學教職、學術研究機構研究人員或社會教育機構專業人員，不受前項在臺灣地區設有戶籍滿十年之限制。</w:t>
      </w:r>
      <w:r w:rsidRPr="008147DC">
        <w:rPr>
          <w:lang w:eastAsia="zh-TW"/>
        </w:rPr>
        <w:br/>
      </w:r>
      <w:r w:rsidRPr="008147DC">
        <w:rPr>
          <w:lang w:eastAsia="zh-TW"/>
        </w:rPr>
        <w:t>前項人員，不得擔任涉及國家安全或機密科技研究之職務。</w:t>
      </w:r>
    </w:p>
  </w:footnote>
  <w:footnote w:id="598">
    <w:p w:rsidR="00657FEF" w:rsidRPr="008147DC" w:rsidRDefault="00657FEF" w:rsidP="00992AB6">
      <w:pPr>
        <w:pStyle w:val="5"/>
        <w:rPr>
          <w:lang w:eastAsia="zh-TW"/>
        </w:rPr>
      </w:pPr>
      <w:r w:rsidRPr="00AB1C64">
        <w:rPr>
          <w:rStyle w:val="af7"/>
          <w:rFonts w:eastAsia="新細明體"/>
          <w:kern w:val="2"/>
          <w:szCs w:val="20"/>
        </w:rPr>
        <w:footnoteRef/>
      </w:r>
      <w:r w:rsidRPr="00AB1C64">
        <w:rPr>
          <w:rFonts w:ascii="Arial Unicode MS" w:eastAsia="新細明體" w:hAnsi="Arial Unicode MS"/>
          <w:color w:val="FF6600"/>
          <w:kern w:val="2"/>
          <w:lang w:eastAsia="zh-TW"/>
        </w:rPr>
        <w:tab/>
      </w:r>
      <w:r w:rsidRPr="008147DC">
        <w:rPr>
          <w:lang w:eastAsia="zh-TW"/>
        </w:rPr>
        <w:t>國家安全法第</w:t>
      </w:r>
      <w:r w:rsidRPr="008147DC">
        <w:rPr>
          <w:lang w:eastAsia="zh-TW"/>
        </w:rPr>
        <w:t>2</w:t>
      </w:r>
      <w:r w:rsidRPr="008147DC">
        <w:rPr>
          <w:lang w:eastAsia="zh-TW"/>
        </w:rPr>
        <w:t>條之</w:t>
      </w:r>
      <w:r w:rsidRPr="008147DC">
        <w:rPr>
          <w:lang w:eastAsia="zh-TW"/>
        </w:rPr>
        <w:t>1</w:t>
      </w:r>
      <w:r w:rsidRPr="008147DC">
        <w:rPr>
          <w:lang w:eastAsia="zh-TW"/>
        </w:rPr>
        <w:t>：人民不得為外國或大陸地區行政、軍事、黨務或其他公務機關或其設立、指定機構或委託之民間團體刺探、蒐集、交付或傳遞關於公務上應秘密之文書、圖書、消息或物品，或發展組織。</w:t>
      </w:r>
    </w:p>
  </w:footnote>
  <w:footnote w:id="599">
    <w:p w:rsidR="00657FEF" w:rsidRPr="008147DC" w:rsidRDefault="00657FEF" w:rsidP="00992AB6">
      <w:pPr>
        <w:pStyle w:val="5"/>
        <w:rPr>
          <w:lang w:eastAsia="zh-TW"/>
        </w:rPr>
      </w:pPr>
      <w:r w:rsidRPr="007010AD">
        <w:rPr>
          <w:rStyle w:val="af7"/>
          <w:rFonts w:eastAsia="新細明體"/>
          <w:kern w:val="2"/>
          <w:szCs w:val="20"/>
        </w:rPr>
        <w:footnoteRef/>
      </w:r>
      <w:r w:rsidRPr="008147DC">
        <w:rPr>
          <w:lang w:eastAsia="zh-TW"/>
        </w:rPr>
        <w:tab/>
      </w:r>
      <w:r w:rsidRPr="008147DC">
        <w:rPr>
          <w:lang w:eastAsia="zh-TW"/>
        </w:rPr>
        <w:t>司法院大法官審理案件法第</w:t>
      </w:r>
      <w:r w:rsidRPr="008147DC">
        <w:rPr>
          <w:lang w:eastAsia="zh-TW"/>
        </w:rPr>
        <w:t>19</w:t>
      </w:r>
      <w:r w:rsidRPr="008147DC">
        <w:rPr>
          <w:lang w:eastAsia="zh-TW"/>
        </w:rPr>
        <w:t>條（聲請解散政黨之要件及聲請書狀）：</w:t>
      </w:r>
      <w:r w:rsidRPr="008147DC">
        <w:rPr>
          <w:lang w:eastAsia="zh-TW"/>
        </w:rPr>
        <w:br/>
      </w:r>
      <w:r w:rsidRPr="008147DC">
        <w:rPr>
          <w:lang w:eastAsia="zh-TW"/>
        </w:rPr>
        <w:t>政黨之目的或其行為，危害中華民國之存在或自由民主之憲政秩序者，主管機關得聲請司法院憲法法庭解散之</w:t>
      </w:r>
      <w:r>
        <w:rPr>
          <w:lang w:eastAsia="zh-TW"/>
        </w:rPr>
        <w:t>。</w:t>
      </w:r>
      <w:r w:rsidRPr="008147DC">
        <w:rPr>
          <w:lang w:eastAsia="zh-TW"/>
        </w:rPr>
        <w:br/>
      </w:r>
      <w:r w:rsidRPr="008147DC">
        <w:rPr>
          <w:lang w:eastAsia="zh-TW"/>
        </w:rPr>
        <w:t>前項聲請，應以聲請書敘明左列事項向司法院為之：</w:t>
      </w:r>
      <w:r w:rsidRPr="008147DC">
        <w:rPr>
          <w:lang w:eastAsia="zh-TW"/>
        </w:rPr>
        <w:t xml:space="preserve"> </w:t>
      </w:r>
      <w:r w:rsidRPr="008147DC">
        <w:rPr>
          <w:lang w:eastAsia="zh-TW"/>
        </w:rPr>
        <w:br/>
      </w:r>
      <w:r w:rsidRPr="008147DC">
        <w:rPr>
          <w:lang w:eastAsia="zh-TW"/>
        </w:rPr>
        <w:t>一、聲請機關及其代表人之姓名。</w:t>
      </w:r>
      <w:r w:rsidRPr="008147DC">
        <w:rPr>
          <w:lang w:eastAsia="zh-TW"/>
        </w:rPr>
        <w:br/>
      </w:r>
      <w:r w:rsidRPr="008147DC">
        <w:rPr>
          <w:lang w:eastAsia="zh-TW"/>
        </w:rPr>
        <w:t>二、被聲請政黨之名稱及所在地，其代表人之姓名、性別、年齡、住所</w:t>
      </w:r>
      <w:r w:rsidRPr="008147DC">
        <w:rPr>
          <w:lang w:eastAsia="zh-TW"/>
        </w:rPr>
        <w:br/>
        <w:t xml:space="preserve">    </w:t>
      </w:r>
      <w:r w:rsidRPr="008147DC">
        <w:rPr>
          <w:lang w:eastAsia="zh-TW"/>
        </w:rPr>
        <w:t>或居所，及其與政黨之關係</w:t>
      </w:r>
      <w:r>
        <w:rPr>
          <w:lang w:eastAsia="zh-TW"/>
        </w:rPr>
        <w:t>。</w:t>
      </w:r>
      <w:r w:rsidRPr="008147DC">
        <w:rPr>
          <w:lang w:eastAsia="zh-TW"/>
        </w:rPr>
        <w:br/>
      </w:r>
      <w:r w:rsidRPr="008147DC">
        <w:rPr>
          <w:lang w:eastAsia="zh-TW"/>
        </w:rPr>
        <w:t>三、請求解散政黨之意旨</w:t>
      </w:r>
      <w:r>
        <w:rPr>
          <w:lang w:eastAsia="zh-TW"/>
        </w:rPr>
        <w:t>。</w:t>
      </w:r>
      <w:r w:rsidRPr="008147DC">
        <w:rPr>
          <w:lang w:eastAsia="zh-TW"/>
        </w:rPr>
        <w:br/>
      </w:r>
      <w:r w:rsidRPr="008147DC">
        <w:rPr>
          <w:lang w:eastAsia="zh-TW"/>
        </w:rPr>
        <w:t>四、政黨應予解散之原因事實及證據</w:t>
      </w:r>
      <w:r>
        <w:rPr>
          <w:lang w:eastAsia="zh-TW"/>
        </w:rPr>
        <w:t>。</w:t>
      </w:r>
      <w:r w:rsidRPr="008147DC">
        <w:rPr>
          <w:lang w:eastAsia="zh-TW"/>
        </w:rPr>
        <w:br/>
      </w:r>
      <w:r w:rsidRPr="008147DC">
        <w:rPr>
          <w:lang w:eastAsia="zh-TW"/>
        </w:rPr>
        <w:t>五、年、月、日</w:t>
      </w:r>
      <w:r>
        <w:rPr>
          <w:lang w:eastAsia="zh-TW"/>
        </w:rPr>
        <w:t>。</w:t>
      </w:r>
    </w:p>
  </w:footnote>
  <w:footnote w:id="600">
    <w:p w:rsidR="00657FEF" w:rsidRPr="008147DC" w:rsidRDefault="00657FEF" w:rsidP="00992AB6">
      <w:pPr>
        <w:pStyle w:val="5"/>
        <w:rPr>
          <w:lang w:eastAsia="zh-TW"/>
        </w:rPr>
      </w:pPr>
      <w:r w:rsidRPr="007010AD">
        <w:rPr>
          <w:rStyle w:val="af7"/>
          <w:rFonts w:eastAsia="新細明體"/>
          <w:kern w:val="2"/>
          <w:szCs w:val="20"/>
        </w:rPr>
        <w:footnoteRef/>
      </w:r>
      <w:r w:rsidRPr="008147DC">
        <w:rPr>
          <w:lang w:eastAsia="zh-TW"/>
        </w:rPr>
        <w:tab/>
      </w:r>
      <w:r w:rsidRPr="008147DC">
        <w:rPr>
          <w:lang w:eastAsia="zh-TW"/>
        </w:rPr>
        <w:t>如同開放大陸地區人民來臺觀光之初，大陸地區各省市官方均將之列為對臺政策推動之重要項目，動員大陸地區人民來臺觀光，以達兩岸觀光協商之成效。</w:t>
      </w:r>
    </w:p>
  </w:footnote>
  <w:footnote w:id="601">
    <w:p w:rsidR="00657FEF" w:rsidRPr="008147DC" w:rsidRDefault="00657FEF" w:rsidP="00992AB6">
      <w:pPr>
        <w:pStyle w:val="5"/>
        <w:rPr>
          <w:lang w:eastAsia="zh-TW"/>
        </w:rPr>
      </w:pPr>
      <w:r w:rsidRPr="008147DC">
        <w:rPr>
          <w:rStyle w:val="af7"/>
          <w:rFonts w:asciiTheme="minorEastAsia" w:eastAsiaTheme="minorEastAsia" w:hAnsiTheme="minorEastAsia"/>
          <w:szCs w:val="20"/>
          <w:lang w:eastAsia="zh-TW"/>
        </w:rPr>
        <w:t>＊＊</w:t>
      </w:r>
      <w:r w:rsidRPr="008147DC">
        <w:rPr>
          <w:lang w:eastAsia="zh-TW"/>
        </w:rPr>
        <w:t xml:space="preserve"> </w:t>
      </w:r>
      <w:r w:rsidRPr="008147DC">
        <w:rPr>
          <w:rStyle w:val="af7"/>
          <w:rFonts w:asciiTheme="minorEastAsia" w:eastAsiaTheme="minorEastAsia" w:hAnsiTheme="minorEastAsia"/>
          <w:szCs w:val="20"/>
          <w:lang w:eastAsia="zh-TW"/>
        </w:rPr>
        <w:tab/>
      </w:r>
      <w:r w:rsidRPr="008147DC">
        <w:rPr>
          <w:lang w:eastAsia="zh-TW"/>
        </w:rPr>
        <w:t>柯雨瑞，中央警察大學犯罪防治研究所法學博士，曾任內政部警政署保安警察第三總隊第二大隊</w:t>
      </w:r>
      <w:r w:rsidRPr="008147DC">
        <w:rPr>
          <w:lang w:eastAsia="zh-TW"/>
        </w:rPr>
        <w:t>(</w:t>
      </w:r>
      <w:r w:rsidRPr="008147DC">
        <w:rPr>
          <w:lang w:eastAsia="zh-TW"/>
        </w:rPr>
        <w:t>基隆</w:t>
      </w:r>
      <w:r w:rsidRPr="008147DC">
        <w:rPr>
          <w:lang w:eastAsia="zh-TW"/>
        </w:rPr>
        <w:t>)</w:t>
      </w:r>
      <w:r w:rsidRPr="008147DC">
        <w:rPr>
          <w:lang w:eastAsia="zh-TW"/>
        </w:rPr>
        <w:t>分隊長、警務員，中央警察大學助教、講師、副教授，現為中央警察大學國境警察學系專任教授。</w:t>
      </w:r>
    </w:p>
  </w:footnote>
  <w:footnote w:id="602">
    <w:p w:rsidR="00657FEF" w:rsidRPr="008147DC" w:rsidRDefault="00657FEF" w:rsidP="00992AB6">
      <w:pPr>
        <w:pStyle w:val="5"/>
        <w:rPr>
          <w:lang w:eastAsia="zh-TW"/>
        </w:rPr>
      </w:pPr>
      <w:r w:rsidRPr="008147DC">
        <w:rPr>
          <w:rStyle w:val="af7"/>
          <w:rFonts w:asciiTheme="minorEastAsia" w:eastAsiaTheme="minorEastAsia" w:hAnsiTheme="minorEastAsia"/>
          <w:szCs w:val="20"/>
          <w:lang w:eastAsia="zh-TW"/>
        </w:rPr>
        <w:t>＊＊＊</w:t>
      </w:r>
      <w:r w:rsidRPr="008147DC">
        <w:rPr>
          <w:lang w:eastAsia="zh-TW"/>
        </w:rPr>
        <w:t>蔡政杰</w:t>
      </w:r>
      <w:r w:rsidRPr="008147DC">
        <w:rPr>
          <w:lang w:val="fr-FR" w:eastAsia="zh-TW"/>
        </w:rPr>
        <w:t>（</w:t>
      </w:r>
      <w:r w:rsidRPr="008147DC">
        <w:rPr>
          <w:lang w:val="fr-FR" w:eastAsia="zh-TW"/>
        </w:rPr>
        <w:t>Chen-Chien, Tsai</w:t>
      </w:r>
      <w:r w:rsidRPr="008147DC">
        <w:rPr>
          <w:lang w:val="fr-FR" w:eastAsia="zh-TW"/>
        </w:rPr>
        <w:t>），</w:t>
      </w:r>
      <w:r w:rsidRPr="008147DC">
        <w:rPr>
          <w:lang w:eastAsia="zh-TW"/>
        </w:rPr>
        <w:t>中央警察大學外事警察研究所</w:t>
      </w:r>
      <w:r w:rsidRPr="008147DC">
        <w:rPr>
          <w:lang w:eastAsia="zh-TW"/>
        </w:rPr>
        <w:t>(</w:t>
      </w:r>
      <w:r w:rsidRPr="008147DC">
        <w:rPr>
          <w:lang w:eastAsia="zh-TW"/>
        </w:rPr>
        <w:t>國境組</w:t>
      </w:r>
      <w:r w:rsidRPr="008147DC">
        <w:rPr>
          <w:lang w:eastAsia="zh-TW"/>
        </w:rPr>
        <w:t>)</w:t>
      </w:r>
      <w:r w:rsidRPr="008147DC">
        <w:rPr>
          <w:lang w:eastAsia="zh-TW"/>
        </w:rPr>
        <w:t>碩士，中國文化大學政治所博士</w:t>
      </w:r>
      <w:r w:rsidRPr="008147DC">
        <w:rPr>
          <w:lang w:eastAsia="zh-HK"/>
        </w:rPr>
        <w:t>候選人</w:t>
      </w:r>
      <w:r w:rsidRPr="008147DC">
        <w:rPr>
          <w:lang w:eastAsia="zh-TW"/>
        </w:rPr>
        <w:t>。曾任內政部警政署保安警察第三總隊隊員、偵查員，臺北縣政府警察局新店分局警員，臺北市政府警察局文山第二分局警員，內政部移民署助理員、科員、專員、視察、副隊長，現為內政部移民署視察、中央警察大學國境警察學系兼任講師。</w:t>
      </w:r>
    </w:p>
  </w:footnote>
  <w:footnote w:id="603">
    <w:p w:rsidR="00657FEF" w:rsidRPr="008147DC" w:rsidRDefault="00657FEF" w:rsidP="00992AB6">
      <w:pPr>
        <w:pStyle w:val="5"/>
        <w:rPr>
          <w:lang w:eastAsia="zh-TW"/>
        </w:rPr>
      </w:pPr>
      <w:r w:rsidRPr="0000380F">
        <w:rPr>
          <w:rStyle w:val="af7"/>
          <w:szCs w:val="20"/>
        </w:rPr>
        <w:footnoteRef/>
      </w:r>
      <w:r w:rsidRPr="008147DC">
        <w:rPr>
          <w:lang w:eastAsia="zh-TW"/>
        </w:rPr>
        <w:t xml:space="preserve"> </w:t>
      </w:r>
      <w:r w:rsidRPr="008147DC">
        <w:rPr>
          <w:lang w:eastAsia="zh-TW"/>
        </w:rPr>
        <w:tab/>
        <w:t>2013</w:t>
      </w:r>
      <w:r w:rsidRPr="008147DC">
        <w:rPr>
          <w:lang w:eastAsia="zh-HK"/>
        </w:rPr>
        <w:t>年間，筆者曾與</w:t>
      </w:r>
      <w:r w:rsidRPr="008147DC">
        <w:rPr>
          <w:lang w:eastAsia="zh-TW"/>
        </w:rPr>
        <w:t>國內某知名</w:t>
      </w:r>
      <w:r w:rsidRPr="008147DC">
        <w:rPr>
          <w:lang w:eastAsia="zh-HK"/>
        </w:rPr>
        <w:t>國立</w:t>
      </w:r>
      <w:r w:rsidRPr="008147DC">
        <w:rPr>
          <w:lang w:eastAsia="zh-TW"/>
        </w:rPr>
        <w:t>大學從事兩岸議題研究之教授交談時，表達對大陸地區人民實施境管措施已無實質效益，為何其會作如此之主張，該教授提出一種觀點，即政府於未來，極可能於自由經濟示範區，開放大陸地區人民辦理落地簽證，故境管措施已無真正之實效。該教授之所以會認為境管無效，主要之觀點，係考量自由經濟示範區一旦開放，極可能會開放大陸地區人民辦理落地簽證，但此僅為部分學者個人之推測。該教授另提出，又從近幾年來之觀察，大陸地區人民來台雖有逾期情形及從事不法行為案件發生，但案件數不高，影響社會治安層面不大，且實際上能影響到國家安全層面事件更是極為少數，因此該教授曾向筆者提出研究大陸地區人民來台安全管理之價值，業已不復存在之看法，尚可進一步參閱：經濟日報社論</w:t>
      </w:r>
      <w:r w:rsidRPr="008147DC">
        <w:rPr>
          <w:lang w:eastAsia="zh-TW"/>
        </w:rPr>
        <w:t>(2013)</w:t>
      </w:r>
      <w:r w:rsidRPr="008147DC">
        <w:rPr>
          <w:lang w:eastAsia="zh-TW"/>
        </w:rPr>
        <w:t>，自由經濟示範區已跨出正確之步伐，瀏覽日期：</w:t>
      </w:r>
      <w:smartTag w:uri="urn:schemas-microsoft-com:office:smarttags" w:element="chsdate">
        <w:smartTagPr>
          <w:attr w:name="IsROCDate" w:val="False"/>
          <w:attr w:name="IsLunarDate" w:val="False"/>
          <w:attr w:name="Day" w:val="29"/>
          <w:attr w:name="Month" w:val="8"/>
          <w:attr w:name="Year" w:val="2013"/>
        </w:smartTagPr>
        <w:r w:rsidRPr="008147DC">
          <w:rPr>
            <w:lang w:eastAsia="zh-TW"/>
          </w:rPr>
          <w:t>2013</w:t>
        </w:r>
        <w:r w:rsidRPr="008147DC">
          <w:rPr>
            <w:lang w:eastAsia="zh-TW"/>
          </w:rPr>
          <w:t>年</w:t>
        </w:r>
        <w:r w:rsidRPr="008147DC">
          <w:rPr>
            <w:lang w:eastAsia="zh-TW"/>
          </w:rPr>
          <w:t>8</w:t>
        </w:r>
        <w:r w:rsidRPr="008147DC">
          <w:rPr>
            <w:lang w:eastAsia="zh-TW"/>
          </w:rPr>
          <w:t>月</w:t>
        </w:r>
        <w:r w:rsidRPr="008147DC">
          <w:rPr>
            <w:lang w:eastAsia="zh-TW"/>
          </w:rPr>
          <w:t>29</w:t>
        </w:r>
        <w:r w:rsidRPr="008147DC">
          <w:rPr>
            <w:lang w:eastAsia="zh-TW"/>
          </w:rPr>
          <w:t>日</w:t>
        </w:r>
      </w:smartTag>
      <w:r w:rsidRPr="008147DC">
        <w:rPr>
          <w:lang w:eastAsia="zh-TW"/>
        </w:rPr>
        <w:t>，</w:t>
      </w:r>
      <w:hyperlink r:id="rId143" w:anchor="ixzz2dMXxXzku" w:history="1">
        <w:r w:rsidRPr="005F2057">
          <w:rPr>
            <w:rStyle w:val="a7"/>
            <w:rFonts w:ascii="Arial Unicode MS" w:eastAsia="新細明體" w:hAnsi="Arial Unicode MS" w:cs="Calibri"/>
            <w:color w:val="5F5F5F"/>
            <w:kern w:val="2"/>
            <w:sz w:val="18"/>
            <w:lang w:eastAsia="zh-TW"/>
          </w:rPr>
          <w:t>http://udn.com/NEWS/OPINION/OPI1/8069424.shtml#ixzz2dMXxXzku</w:t>
        </w:r>
      </w:hyperlink>
      <w:r>
        <w:rPr>
          <w:lang w:eastAsia="zh-TW"/>
        </w:rPr>
        <w:t>。</w:t>
      </w:r>
    </w:p>
  </w:footnote>
  <w:footnote w:id="604">
    <w:p w:rsidR="00657FEF" w:rsidRPr="008147DC" w:rsidRDefault="00657FEF" w:rsidP="00992AB6">
      <w:pPr>
        <w:pStyle w:val="5"/>
        <w:rPr>
          <w:lang w:eastAsia="zh-TW"/>
        </w:rPr>
      </w:pPr>
      <w:r w:rsidRPr="0000380F">
        <w:rPr>
          <w:rStyle w:val="af7"/>
          <w:szCs w:val="20"/>
        </w:rPr>
        <w:footnoteRef/>
      </w:r>
      <w:r w:rsidRPr="0000380F">
        <w:rPr>
          <w:color w:val="FF6600"/>
          <w:lang w:eastAsia="zh-TW"/>
        </w:rPr>
        <w:t xml:space="preserve"> </w:t>
      </w:r>
      <w:r w:rsidRPr="008147DC">
        <w:rPr>
          <w:lang w:eastAsia="zh-TW"/>
        </w:rPr>
        <w:tab/>
      </w:r>
      <w:r w:rsidRPr="008147DC">
        <w:rPr>
          <w:lang w:eastAsia="zh-TW"/>
        </w:rPr>
        <w:t>所謂之自由經濟示範區，係由行政院經濟建設委員會所推動之政策，其核心理念為在自由化、國際化與前瞻性之核心理念下，大幅度鬆綁物流、人流、金流，資訊流及知識流之各項限制，打造便利之經商環境，落實市場開放，並規劃發展具有前瞻性之產業。以「突破法規框架，創新管理機制」之原則，研提包括物流、人流、金流，資訊流及知識流等相關具體推動措施。</w:t>
      </w:r>
      <w:r w:rsidRPr="008147DC">
        <w:rPr>
          <w:lang w:eastAsia="zh-HK"/>
        </w:rPr>
        <w:t>前馬政府時期，為提升國家整體經濟競爭力，當時</w:t>
      </w:r>
      <w:r w:rsidRPr="008147DC">
        <w:rPr>
          <w:lang w:eastAsia="zh-TW"/>
        </w:rPr>
        <w:t>行政院國家發展委員會制定「自由經濟示範區條例（草案）」，且已於</w:t>
      </w:r>
      <w:r w:rsidRPr="008147DC">
        <w:rPr>
          <w:lang w:eastAsia="zh-TW"/>
        </w:rPr>
        <w:t>102</w:t>
      </w:r>
      <w:r w:rsidRPr="008147DC">
        <w:rPr>
          <w:lang w:eastAsia="zh-TW"/>
        </w:rPr>
        <w:t>年</w:t>
      </w:r>
      <w:r w:rsidRPr="008147DC">
        <w:rPr>
          <w:lang w:eastAsia="zh-TW"/>
        </w:rPr>
        <w:t>12</w:t>
      </w:r>
      <w:r w:rsidRPr="008147DC">
        <w:rPr>
          <w:lang w:eastAsia="zh-TW"/>
        </w:rPr>
        <w:t>月時送立法院審議，</w:t>
      </w:r>
      <w:r w:rsidRPr="008147DC">
        <w:rPr>
          <w:lang w:eastAsia="zh-HK"/>
        </w:rPr>
        <w:t>惟適逢「太陽花學運」抗議活動</w:t>
      </w:r>
      <w:r w:rsidRPr="008147DC">
        <w:rPr>
          <w:lang w:eastAsia="zh-TW"/>
        </w:rPr>
        <w:t>，</w:t>
      </w:r>
      <w:r w:rsidRPr="008147DC">
        <w:rPr>
          <w:lang w:eastAsia="zh-HK"/>
        </w:rPr>
        <w:t>質疑政府黑箱推動「兩岸服貿、貨貿協議」政策</w:t>
      </w:r>
      <w:r w:rsidRPr="008147DC">
        <w:rPr>
          <w:lang w:eastAsia="zh-TW"/>
        </w:rPr>
        <w:t>，</w:t>
      </w:r>
      <w:r w:rsidRPr="008147DC">
        <w:rPr>
          <w:lang w:eastAsia="zh-HK"/>
        </w:rPr>
        <w:t>因而連帶自由經</w:t>
      </w:r>
      <w:r w:rsidRPr="008147DC">
        <w:rPr>
          <w:lang w:eastAsia="zh-TW"/>
        </w:rPr>
        <w:t>濟</w:t>
      </w:r>
      <w:r w:rsidRPr="008147DC">
        <w:rPr>
          <w:lang w:eastAsia="zh-HK"/>
        </w:rPr>
        <w:t>示範區政策遭受政擊致未能於立法院通過審議</w:t>
      </w:r>
      <w:r w:rsidRPr="008147DC">
        <w:rPr>
          <w:lang w:eastAsia="zh-TW"/>
        </w:rPr>
        <w:t>。</w:t>
      </w:r>
      <w:r w:rsidRPr="008147DC">
        <w:rPr>
          <w:lang w:eastAsia="zh-HK"/>
        </w:rPr>
        <w:t>原行政院核定之「自由經濟示範區規劃方案」與「自由經濟示範區第一階段推動計畫」已於</w:t>
      </w:r>
      <w:r w:rsidRPr="008147DC">
        <w:rPr>
          <w:lang w:eastAsia="zh-HK"/>
        </w:rPr>
        <w:t>2016</w:t>
      </w:r>
      <w:r w:rsidRPr="008147DC">
        <w:rPr>
          <w:lang w:eastAsia="zh-HK"/>
        </w:rPr>
        <w:t>年</w:t>
      </w:r>
      <w:r w:rsidRPr="008147DC">
        <w:rPr>
          <w:lang w:eastAsia="zh-HK"/>
        </w:rPr>
        <w:t>11</w:t>
      </w:r>
      <w:r w:rsidRPr="008147DC">
        <w:rPr>
          <w:lang w:eastAsia="zh-HK"/>
        </w:rPr>
        <w:t>月</w:t>
      </w:r>
      <w:r w:rsidRPr="008147DC">
        <w:rPr>
          <w:lang w:eastAsia="zh-HK"/>
        </w:rPr>
        <w:t>11</w:t>
      </w:r>
      <w:r w:rsidRPr="008147DC">
        <w:rPr>
          <w:lang w:eastAsia="zh-HK"/>
        </w:rPr>
        <w:t>日由行政院核示終止，相關適用內容，則研議修正為「自由貿易港區」及「農業科技園區」，俾與蔡政府五大創新產業之「亞洲</w:t>
      </w:r>
      <w:r w:rsidRPr="008147DC">
        <w:rPr>
          <w:lang w:eastAsia="zh-HK"/>
        </w:rPr>
        <w:t>˙</w:t>
      </w:r>
      <w:r w:rsidRPr="008147DC">
        <w:rPr>
          <w:lang w:eastAsia="zh-HK"/>
        </w:rPr>
        <w:t>矽谷推動方案」結合。</w:t>
      </w:r>
    </w:p>
  </w:footnote>
  <w:footnote w:id="605">
    <w:p w:rsidR="00657FEF" w:rsidRPr="008147DC" w:rsidRDefault="00657FEF" w:rsidP="00992AB6">
      <w:pPr>
        <w:pStyle w:val="5"/>
        <w:rPr>
          <w:lang w:eastAsia="zh-TW"/>
        </w:rPr>
      </w:pPr>
      <w:r w:rsidRPr="005F2057">
        <w:rPr>
          <w:rStyle w:val="af7"/>
          <w:rFonts w:eastAsia="新細明體"/>
          <w:kern w:val="2"/>
          <w:szCs w:val="20"/>
        </w:rPr>
        <w:footnoteRef/>
      </w:r>
      <w:r w:rsidRPr="005F2057">
        <w:rPr>
          <w:rFonts w:ascii="Arial Unicode MS" w:eastAsia="新細明體" w:hAnsi="Arial Unicode MS"/>
          <w:color w:val="FF6600"/>
          <w:kern w:val="2"/>
          <w:lang w:eastAsia="zh-TW"/>
        </w:rPr>
        <w:t xml:space="preserve"> </w:t>
      </w:r>
      <w:r w:rsidRPr="008147DC">
        <w:rPr>
          <w:lang w:eastAsia="zh-TW"/>
        </w:rPr>
        <w:tab/>
      </w:r>
      <w:r w:rsidRPr="008147DC">
        <w:rPr>
          <w:lang w:eastAsia="zh-TW"/>
        </w:rPr>
        <w:t>台灣地區與大陸地區人民關係條例第</w:t>
      </w:r>
      <w:r w:rsidRPr="008147DC">
        <w:rPr>
          <w:lang w:eastAsia="zh-TW"/>
        </w:rPr>
        <w:t>10</w:t>
      </w:r>
      <w:r w:rsidRPr="008147DC">
        <w:rPr>
          <w:lang w:eastAsia="zh-TW"/>
        </w:rPr>
        <w:t>條第</w:t>
      </w:r>
      <w:r w:rsidRPr="008147DC">
        <w:rPr>
          <w:lang w:eastAsia="zh-TW"/>
        </w:rPr>
        <w:t>1</w:t>
      </w:r>
      <w:r w:rsidRPr="008147DC">
        <w:rPr>
          <w:lang w:eastAsia="zh-TW"/>
        </w:rPr>
        <w:t>項規定：「大陸地區人民非經主管機關許可，不得進入台灣地區。」</w:t>
      </w:r>
    </w:p>
  </w:footnote>
  <w:footnote w:id="606">
    <w:p w:rsidR="00657FEF" w:rsidRPr="008147DC" w:rsidRDefault="00657FEF" w:rsidP="00992AB6">
      <w:pPr>
        <w:pStyle w:val="5"/>
        <w:rPr>
          <w:lang w:eastAsia="zh-TW"/>
        </w:rPr>
      </w:pPr>
      <w:r w:rsidRPr="00E06226">
        <w:rPr>
          <w:rStyle w:val="af7"/>
        </w:rPr>
        <w:footnoteRef/>
      </w:r>
      <w:r w:rsidRPr="008147DC">
        <w:rPr>
          <w:rStyle w:val="af7"/>
          <w:rFonts w:asciiTheme="minorEastAsia" w:eastAsiaTheme="minorEastAsia" w:hAnsiTheme="minorEastAsia"/>
          <w:lang w:eastAsia="zh-TW"/>
        </w:rPr>
        <w:t xml:space="preserve"> </w:t>
      </w:r>
      <w:r w:rsidRPr="008147DC">
        <w:rPr>
          <w:lang w:eastAsia="zh-TW"/>
        </w:rPr>
        <w:tab/>
      </w:r>
      <w:r w:rsidRPr="008147DC">
        <w:rPr>
          <w:lang w:eastAsia="zh-TW"/>
        </w:rPr>
        <w:t>維基百科</w:t>
      </w:r>
      <w:r w:rsidRPr="008147DC">
        <w:rPr>
          <w:lang w:eastAsia="zh-TW"/>
        </w:rPr>
        <w:t>(2013)</w:t>
      </w:r>
      <w:r w:rsidRPr="008147DC">
        <w:rPr>
          <w:lang w:eastAsia="zh-TW"/>
        </w:rPr>
        <w:t>，</w:t>
      </w:r>
      <w:r w:rsidRPr="008147DC">
        <w:rPr>
          <w:lang w:eastAsia="zh-TW"/>
        </w:rPr>
        <w:t>2013</w:t>
      </w:r>
      <w:r w:rsidRPr="008147DC">
        <w:rPr>
          <w:lang w:eastAsia="zh-TW"/>
        </w:rPr>
        <w:t>年台灣毒澱粉事件，瀏覽日期：</w:t>
      </w:r>
      <w:smartTag w:uri="urn:schemas-microsoft-com:office:smarttags" w:element="chsdate">
        <w:smartTagPr>
          <w:attr w:name="IsROCDate" w:val="False"/>
          <w:attr w:name="IsLunarDate" w:val="False"/>
          <w:attr w:name="Day" w:val="4"/>
          <w:attr w:name="Month" w:val="7"/>
          <w:attr w:name="Year" w:val="2013"/>
        </w:smartTagPr>
        <w:r w:rsidRPr="008147DC">
          <w:rPr>
            <w:lang w:eastAsia="zh-TW"/>
          </w:rPr>
          <w:t>2013</w:t>
        </w:r>
        <w:r w:rsidRPr="008147DC">
          <w:rPr>
            <w:lang w:eastAsia="zh-TW"/>
          </w:rPr>
          <w:t>年</w:t>
        </w:r>
        <w:r w:rsidRPr="008147DC">
          <w:rPr>
            <w:lang w:eastAsia="zh-TW"/>
          </w:rPr>
          <w:t>7</w:t>
        </w:r>
        <w:r w:rsidRPr="008147DC">
          <w:rPr>
            <w:lang w:eastAsia="zh-TW"/>
          </w:rPr>
          <w:t>月</w:t>
        </w:r>
        <w:r w:rsidRPr="008147DC">
          <w:rPr>
            <w:lang w:eastAsia="zh-TW"/>
          </w:rPr>
          <w:t>4</w:t>
        </w:r>
        <w:r w:rsidRPr="008147DC">
          <w:rPr>
            <w:lang w:eastAsia="zh-TW"/>
          </w:rPr>
          <w:t>日</w:t>
        </w:r>
      </w:smartTag>
      <w:r w:rsidRPr="008147DC">
        <w:rPr>
          <w:lang w:eastAsia="zh-TW"/>
        </w:rPr>
        <w:t>，網址</w:t>
      </w:r>
      <w:r w:rsidRPr="008147DC">
        <w:rPr>
          <w:lang w:eastAsia="zh-TW"/>
        </w:rPr>
        <w:t xml:space="preserve">: </w:t>
      </w:r>
      <w:hyperlink r:id="rId144" w:anchor=".E6.BA.90.E9.A0.AD.E7.AE.A1.E7.90.86" w:history="1">
        <w:r w:rsidRPr="00E02D2A">
          <w:rPr>
            <w:rStyle w:val="a7"/>
            <w:rFonts w:ascii="Arial Unicode MS" w:eastAsia="新細明體" w:hAnsi="Arial Unicode MS" w:cs="Calibri"/>
            <w:color w:val="5F5F5F"/>
            <w:kern w:val="2"/>
            <w:sz w:val="18"/>
            <w:lang w:eastAsia="zh-TW"/>
          </w:rPr>
          <w:t>http://zh.wikipedia.org/wiki/2013%E5%B9%B4%E5%8F%B0%E7%81%A3%E6%AF%92%E6%BE%B1%E7%B2%89%E4%BA%8B%E4%BB%B6#.E6.BA.90.E9.A0.AD.E7.AE.A1.E7.90.86</w:t>
        </w:r>
      </w:hyperlink>
      <w:r w:rsidRPr="008147DC">
        <w:rPr>
          <w:lang w:eastAsia="zh-TW"/>
        </w:rPr>
        <w:t>。</w:t>
      </w:r>
    </w:p>
  </w:footnote>
  <w:footnote w:id="607">
    <w:p w:rsidR="00657FEF" w:rsidRPr="008147DC" w:rsidRDefault="00657FEF" w:rsidP="00992AB6">
      <w:pPr>
        <w:pStyle w:val="5"/>
        <w:rPr>
          <w:lang w:eastAsia="zh-TW"/>
        </w:rPr>
      </w:pPr>
      <w:r w:rsidRPr="00E06226">
        <w:rPr>
          <w:rStyle w:val="af7"/>
        </w:rPr>
        <w:footnoteRef/>
      </w:r>
      <w:r w:rsidRPr="008147DC">
        <w:rPr>
          <w:lang w:eastAsia="zh-TW"/>
        </w:rPr>
        <w:t xml:space="preserve"> </w:t>
      </w:r>
      <w:r w:rsidRPr="008147DC">
        <w:rPr>
          <w:lang w:eastAsia="zh-TW"/>
        </w:rPr>
        <w:tab/>
      </w:r>
      <w:r w:rsidRPr="008147DC">
        <w:rPr>
          <w:lang w:eastAsia="zh-TW"/>
        </w:rPr>
        <w:t>梅可望博士提出處理警察業務之五大基本原則為：</w:t>
      </w:r>
      <w:r w:rsidRPr="008147DC">
        <w:rPr>
          <w:lang w:eastAsia="zh-TW"/>
        </w:rPr>
        <w:t>1.</w:t>
      </w:r>
      <w:r w:rsidRPr="008147DC">
        <w:rPr>
          <w:lang w:eastAsia="zh-TW"/>
        </w:rPr>
        <w:t>事前預防重於事後處置；</w:t>
      </w:r>
      <w:r w:rsidRPr="008147DC">
        <w:rPr>
          <w:lang w:eastAsia="zh-TW"/>
        </w:rPr>
        <w:t>2.</w:t>
      </w:r>
      <w:r w:rsidRPr="008147DC">
        <w:rPr>
          <w:lang w:eastAsia="zh-TW"/>
        </w:rPr>
        <w:t>主動重於被動；</w:t>
      </w:r>
      <w:r w:rsidRPr="008147DC">
        <w:rPr>
          <w:lang w:eastAsia="zh-TW"/>
        </w:rPr>
        <w:t>3.</w:t>
      </w:r>
      <w:r w:rsidRPr="008147DC">
        <w:rPr>
          <w:lang w:eastAsia="zh-TW"/>
        </w:rPr>
        <w:t>經常重於臨時；</w:t>
      </w:r>
      <w:r w:rsidRPr="008147DC">
        <w:rPr>
          <w:lang w:eastAsia="zh-TW"/>
        </w:rPr>
        <w:t>4.</w:t>
      </w:r>
      <w:r w:rsidRPr="008147DC">
        <w:rPr>
          <w:lang w:eastAsia="zh-TW"/>
        </w:rPr>
        <w:t>最先五分鐘重於最後五分鐘；</w:t>
      </w:r>
      <w:r w:rsidRPr="008147DC">
        <w:rPr>
          <w:lang w:eastAsia="zh-TW"/>
        </w:rPr>
        <w:t>5.</w:t>
      </w:r>
      <w:r w:rsidRPr="008147DC">
        <w:rPr>
          <w:lang w:eastAsia="zh-TW"/>
        </w:rPr>
        <w:t>運用民眾力量與運用警察力量並重。參考梅可望等人合著</w:t>
      </w:r>
      <w:r w:rsidRPr="008147DC">
        <w:rPr>
          <w:lang w:eastAsia="zh-TW"/>
        </w:rPr>
        <w:t>(2008)</w:t>
      </w:r>
      <w:r w:rsidRPr="008147DC">
        <w:rPr>
          <w:lang w:eastAsia="zh-TW"/>
        </w:rPr>
        <w:t>，警察學，桃園：中央警察大學，頁</w:t>
      </w:r>
      <w:r w:rsidRPr="008147DC">
        <w:rPr>
          <w:lang w:eastAsia="zh-TW"/>
        </w:rPr>
        <w:t>67-69</w:t>
      </w:r>
      <w:r w:rsidRPr="008147DC">
        <w:rPr>
          <w:lang w:eastAsia="zh-TW"/>
        </w:rPr>
        <w:t>。</w:t>
      </w:r>
    </w:p>
  </w:footnote>
  <w:footnote w:id="608">
    <w:p w:rsidR="00657FEF" w:rsidRPr="008147DC" w:rsidRDefault="00657FEF" w:rsidP="00992AB6">
      <w:pPr>
        <w:pStyle w:val="5"/>
        <w:rPr>
          <w:lang w:eastAsia="zh-TW"/>
        </w:rPr>
      </w:pPr>
      <w:r w:rsidRPr="00E02D2A">
        <w:rPr>
          <w:rStyle w:val="af7"/>
          <w:rFonts w:eastAsia="新細明體" w:cs="Times New Roman"/>
          <w:kern w:val="2"/>
          <w:szCs w:val="20"/>
        </w:rPr>
        <w:footnoteRef/>
      </w:r>
      <w:r w:rsidRPr="008147DC">
        <w:rPr>
          <w:lang w:eastAsia="zh-TW"/>
        </w:rPr>
        <w:t xml:space="preserve"> </w:t>
      </w:r>
      <w:r w:rsidRPr="008147DC">
        <w:rPr>
          <w:lang w:eastAsia="zh-TW"/>
        </w:rPr>
        <w:t>高佩珊主編（</w:t>
      </w:r>
      <w:r w:rsidRPr="008147DC">
        <w:rPr>
          <w:lang w:eastAsia="zh-TW"/>
        </w:rPr>
        <w:t>2016</w:t>
      </w:r>
      <w:r w:rsidRPr="008147DC">
        <w:rPr>
          <w:lang w:eastAsia="zh-TW"/>
        </w:rPr>
        <w:t>）。陳明傳、柯雨瑞、蔡政杰、王智盛、王寬弘、許義寶、黃文志、何招凡、高佩珊等合著（</w:t>
      </w:r>
      <w:r w:rsidRPr="008147DC">
        <w:rPr>
          <w:lang w:eastAsia="zh-TW"/>
        </w:rPr>
        <w:t>2016</w:t>
      </w:r>
      <w:r w:rsidRPr="008147DC">
        <w:rPr>
          <w:lang w:eastAsia="zh-TW"/>
        </w:rPr>
        <w:t>）。全球化下之國境執法，臺北：五南圖書出版公司。</w:t>
      </w:r>
    </w:p>
  </w:footnote>
  <w:footnote w:id="609">
    <w:p w:rsidR="00657FEF" w:rsidRPr="008147DC" w:rsidRDefault="00657FEF" w:rsidP="00992AB6">
      <w:pPr>
        <w:pStyle w:val="5"/>
        <w:rPr>
          <w:lang w:eastAsia="zh-TW"/>
        </w:rPr>
      </w:pPr>
      <w:r w:rsidRPr="00EC027F">
        <w:rPr>
          <w:rStyle w:val="af7"/>
          <w:rFonts w:cs="Times New Roman"/>
          <w:szCs w:val="20"/>
        </w:rPr>
        <w:footnoteRef/>
      </w:r>
      <w:r w:rsidRPr="00EC027F">
        <w:rPr>
          <w:color w:val="FF6600"/>
          <w:lang w:eastAsia="zh-TW"/>
        </w:rPr>
        <w:t xml:space="preserve"> </w:t>
      </w:r>
      <w:r w:rsidRPr="008147DC">
        <w:rPr>
          <w:lang w:eastAsia="zh-TW"/>
        </w:rPr>
        <w:t>高佩珊主編（</w:t>
      </w:r>
      <w:r w:rsidRPr="008147DC">
        <w:rPr>
          <w:lang w:eastAsia="zh-TW"/>
        </w:rPr>
        <w:t>2016</w:t>
      </w:r>
      <w:r w:rsidRPr="008147DC">
        <w:rPr>
          <w:lang w:eastAsia="zh-TW"/>
        </w:rPr>
        <w:t>）。陳明傳、柯雨瑞、蔡政杰、王智盛、王寬弘、許義寶、黃文志、何招凡、高佩珊等合著（</w:t>
      </w:r>
      <w:r w:rsidRPr="008147DC">
        <w:rPr>
          <w:lang w:eastAsia="zh-TW"/>
        </w:rPr>
        <w:t>2016</w:t>
      </w:r>
      <w:r w:rsidRPr="008147DC">
        <w:rPr>
          <w:lang w:eastAsia="zh-TW"/>
        </w:rPr>
        <w:t>）。全球化下之國境執法，臺北：五南圖書出版公司。</w:t>
      </w:r>
    </w:p>
  </w:footnote>
  <w:footnote w:id="610">
    <w:p w:rsidR="00657FEF" w:rsidRPr="008147DC" w:rsidRDefault="00657FEF" w:rsidP="00992AB6">
      <w:pPr>
        <w:pStyle w:val="5"/>
        <w:rPr>
          <w:lang w:eastAsia="zh-TW"/>
        </w:rPr>
      </w:pPr>
      <w:r w:rsidRPr="00EC027F">
        <w:rPr>
          <w:rStyle w:val="af7"/>
        </w:rPr>
        <w:footnoteRef/>
      </w:r>
      <w:r w:rsidRPr="008147DC">
        <w:rPr>
          <w:lang w:eastAsia="zh-TW"/>
        </w:rPr>
        <w:t xml:space="preserve"> </w:t>
      </w:r>
      <w:r w:rsidRPr="008147DC">
        <w:rPr>
          <w:lang w:eastAsia="zh-TW"/>
        </w:rPr>
        <w:tab/>
      </w:r>
      <w:r w:rsidRPr="008147DC">
        <w:rPr>
          <w:lang w:eastAsia="zh-TW"/>
        </w:rPr>
        <w:t>參閱謝銘元</w:t>
      </w:r>
      <w:r w:rsidRPr="008147DC">
        <w:rPr>
          <w:lang w:eastAsia="zh-TW"/>
        </w:rPr>
        <w:t>(2012)</w:t>
      </w:r>
      <w:r w:rsidRPr="008147DC">
        <w:rPr>
          <w:lang w:eastAsia="zh-TW"/>
        </w:rPr>
        <w:t>，中共發展史，中國大陸研究第</w:t>
      </w:r>
      <w:r w:rsidRPr="008147DC">
        <w:rPr>
          <w:lang w:eastAsia="zh-TW"/>
        </w:rPr>
        <w:t>3</w:t>
      </w:r>
      <w:r w:rsidRPr="008147DC">
        <w:rPr>
          <w:lang w:eastAsia="zh-TW"/>
        </w:rPr>
        <w:t>版，新北市：新文京。</w:t>
      </w:r>
    </w:p>
  </w:footnote>
  <w:footnote w:id="611">
    <w:p w:rsidR="00657FEF" w:rsidRPr="008147DC" w:rsidRDefault="00657FEF" w:rsidP="00992AB6">
      <w:pPr>
        <w:pStyle w:val="5"/>
        <w:rPr>
          <w:lang w:eastAsia="zh-TW"/>
        </w:rPr>
      </w:pPr>
      <w:r w:rsidRPr="00E06226">
        <w:rPr>
          <w:rStyle w:val="af7"/>
        </w:rPr>
        <w:footnoteRef/>
      </w:r>
      <w:r w:rsidRPr="00E06226">
        <w:rPr>
          <w:color w:val="FF6600"/>
          <w:lang w:eastAsia="zh-TW"/>
        </w:rPr>
        <w:t xml:space="preserve"> </w:t>
      </w:r>
      <w:r w:rsidRPr="008147DC">
        <w:rPr>
          <w:lang w:eastAsia="zh-TW"/>
        </w:rPr>
        <w:tab/>
        <w:t>1949</w:t>
      </w:r>
      <w:r w:rsidRPr="008147DC">
        <w:rPr>
          <w:lang w:eastAsia="zh-TW"/>
        </w:rPr>
        <w:t>年大陸地區人民之概數約</w:t>
      </w:r>
      <w:r w:rsidRPr="008147DC">
        <w:rPr>
          <w:lang w:eastAsia="zh-TW"/>
        </w:rPr>
        <w:t>4</w:t>
      </w:r>
      <w:r w:rsidRPr="008147DC">
        <w:rPr>
          <w:lang w:eastAsia="zh-TW"/>
        </w:rPr>
        <w:t>億人，因此早期國軍打著反共之標語為「解救水深火熱之</w:t>
      </w:r>
      <w:r w:rsidRPr="008147DC">
        <w:rPr>
          <w:lang w:eastAsia="zh-TW"/>
        </w:rPr>
        <w:t>4</w:t>
      </w:r>
      <w:r w:rsidRPr="008147DC">
        <w:rPr>
          <w:lang w:eastAsia="zh-TW"/>
        </w:rPr>
        <w:t>萬萬同胞」。</w:t>
      </w:r>
    </w:p>
  </w:footnote>
  <w:footnote w:id="612">
    <w:p w:rsidR="00657FEF" w:rsidRPr="008147DC" w:rsidRDefault="00657FEF" w:rsidP="00992AB6">
      <w:pPr>
        <w:pStyle w:val="5"/>
        <w:rPr>
          <w:lang w:eastAsia="zh-TW"/>
        </w:rPr>
      </w:pPr>
      <w:r w:rsidRPr="00E06226">
        <w:rPr>
          <w:rStyle w:val="af7"/>
        </w:rPr>
        <w:footnoteRef/>
      </w:r>
      <w:r w:rsidRPr="00E06226">
        <w:rPr>
          <w:rStyle w:val="af7"/>
          <w:lang w:eastAsia="zh-TW"/>
        </w:rPr>
        <w:t xml:space="preserve"> </w:t>
      </w:r>
      <w:r w:rsidRPr="008147DC">
        <w:rPr>
          <w:lang w:eastAsia="zh-TW"/>
        </w:rPr>
        <w:tab/>
        <w:t>1995</w:t>
      </w:r>
      <w:r w:rsidRPr="008147DC">
        <w:rPr>
          <w:lang w:eastAsia="zh-TW"/>
        </w:rPr>
        <w:t>年</w:t>
      </w:r>
      <w:r w:rsidRPr="008147DC">
        <w:rPr>
          <w:lang w:eastAsia="zh-TW"/>
        </w:rPr>
        <w:t>6</w:t>
      </w:r>
      <w:r w:rsidRPr="008147DC">
        <w:rPr>
          <w:lang w:eastAsia="zh-TW"/>
        </w:rPr>
        <w:t>月美國柯林頓總統同意當時我國之李登輝總統赴美訪問，並參加康奈爾大學之畢業典禮，引起大陸方面不滿，於</w:t>
      </w:r>
      <w:r w:rsidRPr="008147DC">
        <w:rPr>
          <w:lang w:eastAsia="zh-TW"/>
        </w:rPr>
        <w:t>1995</w:t>
      </w:r>
      <w:r w:rsidRPr="008147DC">
        <w:rPr>
          <w:lang w:eastAsia="zh-TW"/>
        </w:rPr>
        <w:t>年</w:t>
      </w:r>
      <w:r w:rsidRPr="008147DC">
        <w:rPr>
          <w:lang w:eastAsia="zh-TW"/>
        </w:rPr>
        <w:t>7</w:t>
      </w:r>
      <w:r w:rsidRPr="008147DC">
        <w:rPr>
          <w:lang w:eastAsia="zh-TW"/>
        </w:rPr>
        <w:t>月和</w:t>
      </w:r>
      <w:r w:rsidRPr="008147DC">
        <w:rPr>
          <w:lang w:eastAsia="zh-TW"/>
        </w:rPr>
        <w:t>1996</w:t>
      </w:r>
      <w:r w:rsidRPr="008147DC">
        <w:rPr>
          <w:lang w:eastAsia="zh-TW"/>
        </w:rPr>
        <w:t>年</w:t>
      </w:r>
      <w:r w:rsidRPr="008147DC">
        <w:rPr>
          <w:lang w:eastAsia="zh-TW"/>
        </w:rPr>
        <w:t>3</w:t>
      </w:r>
      <w:r w:rsidRPr="008147DC">
        <w:rPr>
          <w:lang w:eastAsia="zh-TW"/>
        </w:rPr>
        <w:t>月，進行兩次大規模飛彈實彈發射演習，亦令第二次之</w:t>
      </w:r>
      <w:r w:rsidRPr="008147DC">
        <w:rPr>
          <w:lang w:eastAsia="zh-TW"/>
        </w:rPr>
        <w:t>"</w:t>
      </w:r>
      <w:r w:rsidRPr="008147DC">
        <w:rPr>
          <w:lang w:eastAsia="zh-TW"/>
        </w:rPr>
        <w:t>辜汪會談</w:t>
      </w:r>
      <w:r w:rsidRPr="008147DC">
        <w:rPr>
          <w:lang w:eastAsia="zh-TW"/>
        </w:rPr>
        <w:t>"</w:t>
      </w:r>
      <w:r w:rsidRPr="008147DC">
        <w:rPr>
          <w:lang w:eastAsia="zh-TW"/>
        </w:rPr>
        <w:t>因此延期。</w:t>
      </w:r>
    </w:p>
  </w:footnote>
  <w:footnote w:id="613">
    <w:p w:rsidR="00657FEF" w:rsidRPr="008147DC" w:rsidRDefault="00657FEF" w:rsidP="00992AB6">
      <w:pPr>
        <w:pStyle w:val="5"/>
        <w:rPr>
          <w:lang w:eastAsia="zh-TW"/>
        </w:rPr>
      </w:pPr>
      <w:r w:rsidRPr="00E06226">
        <w:rPr>
          <w:rStyle w:val="af7"/>
        </w:rPr>
        <w:footnoteRef/>
      </w:r>
      <w:r w:rsidRPr="008147DC">
        <w:rPr>
          <w:lang w:eastAsia="zh-TW"/>
        </w:rPr>
        <w:t xml:space="preserve"> </w:t>
      </w:r>
      <w:r w:rsidRPr="008147DC">
        <w:rPr>
          <w:lang w:eastAsia="zh-TW"/>
        </w:rPr>
        <w:tab/>
      </w:r>
      <w:smartTag w:uri="urn:schemas-microsoft-com:office:smarttags" w:element="chsdate">
        <w:smartTagPr>
          <w:attr w:name="Year" w:val="1999"/>
          <w:attr w:name="Month" w:val="7"/>
          <w:attr w:name="Day" w:val="9"/>
          <w:attr w:name="IsLunarDate" w:val="False"/>
          <w:attr w:name="IsROCDate" w:val="False"/>
        </w:smartTagPr>
        <w:r w:rsidRPr="008147DC">
          <w:rPr>
            <w:lang w:eastAsia="zh-TW"/>
          </w:rPr>
          <w:t>1999</w:t>
        </w:r>
        <w:r w:rsidRPr="008147DC">
          <w:rPr>
            <w:lang w:eastAsia="zh-TW"/>
          </w:rPr>
          <w:t>年</w:t>
        </w:r>
        <w:r w:rsidRPr="008147DC">
          <w:rPr>
            <w:lang w:eastAsia="zh-TW"/>
          </w:rPr>
          <w:t>7</w:t>
        </w:r>
        <w:r w:rsidRPr="008147DC">
          <w:rPr>
            <w:lang w:eastAsia="zh-TW"/>
          </w:rPr>
          <w:t>月</w:t>
        </w:r>
        <w:r w:rsidRPr="008147DC">
          <w:rPr>
            <w:lang w:eastAsia="zh-TW"/>
          </w:rPr>
          <w:t>9</w:t>
        </w:r>
        <w:r w:rsidRPr="008147DC">
          <w:rPr>
            <w:lang w:eastAsia="zh-TW"/>
          </w:rPr>
          <w:t>日</w:t>
        </w:r>
      </w:smartTag>
      <w:r w:rsidRPr="008147DC">
        <w:rPr>
          <w:lang w:eastAsia="zh-TW"/>
        </w:rPr>
        <w:t>，當時我國之李登輝總統接受德國媒體訪問，提出「兩國論」之主張，使大陸方面認為台灣領導階層已有獨立之計畫，便在台灣海峽進行大規模軍事演習，兩岸情勢已經緊張情勢幾乎升到最高點。</w:t>
      </w:r>
    </w:p>
  </w:footnote>
  <w:footnote w:id="614">
    <w:p w:rsidR="00657FEF" w:rsidRPr="008147DC" w:rsidRDefault="00657FEF" w:rsidP="00992AB6">
      <w:pPr>
        <w:pStyle w:val="5"/>
        <w:rPr>
          <w:lang w:eastAsia="zh-TW"/>
        </w:rPr>
      </w:pPr>
      <w:r w:rsidRPr="00E06226">
        <w:rPr>
          <w:rStyle w:val="af7"/>
        </w:rPr>
        <w:footnoteRef/>
      </w:r>
      <w:r w:rsidRPr="008147DC">
        <w:rPr>
          <w:lang w:eastAsia="zh-TW"/>
        </w:rPr>
        <w:t xml:space="preserve"> </w:t>
      </w:r>
      <w:r w:rsidRPr="008147DC">
        <w:rPr>
          <w:lang w:eastAsia="zh-TW"/>
        </w:rPr>
        <w:tab/>
      </w:r>
      <w:r w:rsidRPr="008147DC">
        <w:rPr>
          <w:lang w:eastAsia="zh-TW"/>
        </w:rPr>
        <w:t>主要起因在於</w:t>
      </w:r>
      <w:r w:rsidRPr="008147DC">
        <w:rPr>
          <w:lang w:eastAsia="zh-TW"/>
        </w:rPr>
        <w:t>2002</w:t>
      </w:r>
      <w:r w:rsidRPr="008147DC">
        <w:rPr>
          <w:lang w:eastAsia="zh-TW"/>
        </w:rPr>
        <w:t>年</w:t>
      </w:r>
      <w:r w:rsidRPr="008147DC">
        <w:rPr>
          <w:lang w:eastAsia="zh-TW"/>
        </w:rPr>
        <w:t>11</w:t>
      </w:r>
      <w:r w:rsidRPr="008147DC">
        <w:rPr>
          <w:lang w:eastAsia="zh-TW"/>
        </w:rPr>
        <w:t>月，當時我國之陳水扁總統提出「一邊一國論」，造成大陸方面之學者開始針對台灣問題進行研究，並提出「統一法」之概念，將台灣視為中華人民共和國之一省，全國人大常委會於</w:t>
      </w:r>
      <w:r w:rsidRPr="008147DC">
        <w:rPr>
          <w:lang w:eastAsia="zh-TW"/>
        </w:rPr>
        <w:t>2004</w:t>
      </w:r>
      <w:r w:rsidRPr="008147DC">
        <w:rPr>
          <w:lang w:eastAsia="zh-TW"/>
        </w:rPr>
        <w:t>年宣佈審議「反國家分裂法」，於</w:t>
      </w:r>
      <w:smartTag w:uri="urn:schemas-microsoft-com:office:smarttags" w:element="chsdate">
        <w:smartTagPr>
          <w:attr w:name="Year" w:val="2005"/>
          <w:attr w:name="Month" w:val="3"/>
          <w:attr w:name="Day" w:val="14"/>
          <w:attr w:name="IsLunarDate" w:val="False"/>
          <w:attr w:name="IsROCDate" w:val="False"/>
        </w:smartTagPr>
        <w:r w:rsidRPr="008147DC">
          <w:rPr>
            <w:lang w:eastAsia="zh-TW"/>
          </w:rPr>
          <w:t>2005</w:t>
        </w:r>
        <w:r w:rsidRPr="008147DC">
          <w:rPr>
            <w:lang w:eastAsia="zh-TW"/>
          </w:rPr>
          <w:t>年</w:t>
        </w:r>
        <w:r w:rsidRPr="008147DC">
          <w:rPr>
            <w:lang w:eastAsia="zh-TW"/>
          </w:rPr>
          <w:t>3</w:t>
        </w:r>
        <w:r w:rsidRPr="008147DC">
          <w:rPr>
            <w:lang w:eastAsia="zh-TW"/>
          </w:rPr>
          <w:t>月</w:t>
        </w:r>
        <w:r w:rsidRPr="008147DC">
          <w:rPr>
            <w:lang w:eastAsia="zh-TW"/>
          </w:rPr>
          <w:t>14</w:t>
        </w:r>
        <w:r w:rsidRPr="008147DC">
          <w:rPr>
            <w:lang w:eastAsia="zh-TW"/>
          </w:rPr>
          <w:t>日</w:t>
        </w:r>
      </w:smartTag>
      <w:r w:rsidRPr="008147DC">
        <w:rPr>
          <w:lang w:eastAsia="zh-TW"/>
        </w:rPr>
        <w:t>頒布，將分裂國家之行為，適用《刑法》之「分裂國家罪」或「煽動分裂國家罪」。</w:t>
      </w:r>
    </w:p>
  </w:footnote>
  <w:footnote w:id="615">
    <w:p w:rsidR="00657FEF" w:rsidRPr="008147DC" w:rsidRDefault="00657FEF" w:rsidP="00992AB6">
      <w:pPr>
        <w:pStyle w:val="5"/>
        <w:rPr>
          <w:lang w:eastAsia="zh-TW"/>
        </w:rPr>
      </w:pPr>
      <w:r w:rsidRPr="00E06226">
        <w:rPr>
          <w:rStyle w:val="af7"/>
        </w:rPr>
        <w:footnoteRef/>
      </w:r>
      <w:r w:rsidRPr="008147DC">
        <w:rPr>
          <w:lang w:eastAsia="zh-TW"/>
        </w:rPr>
        <w:t xml:space="preserve"> </w:t>
      </w:r>
      <w:r w:rsidRPr="008147DC">
        <w:rPr>
          <w:lang w:eastAsia="zh-TW"/>
        </w:rPr>
        <w:tab/>
      </w:r>
      <w:r w:rsidRPr="008147DC">
        <w:rPr>
          <w:lang w:eastAsia="zh-TW"/>
        </w:rPr>
        <w:t>參閱邵宗海</w:t>
      </w:r>
      <w:r w:rsidRPr="008147DC">
        <w:rPr>
          <w:lang w:eastAsia="zh-TW"/>
        </w:rPr>
        <w:t>(2012)</w:t>
      </w:r>
      <w:r w:rsidRPr="008147DC">
        <w:rPr>
          <w:lang w:eastAsia="zh-TW"/>
        </w:rPr>
        <w:t>，兩岸關係史，兩岸關係研究第</w:t>
      </w:r>
      <w:r w:rsidRPr="008147DC">
        <w:rPr>
          <w:lang w:eastAsia="zh-TW"/>
        </w:rPr>
        <w:t>2</w:t>
      </w:r>
      <w:r w:rsidRPr="008147DC">
        <w:rPr>
          <w:lang w:eastAsia="zh-TW"/>
        </w:rPr>
        <w:t>版，新北市：新文京。</w:t>
      </w:r>
    </w:p>
  </w:footnote>
  <w:footnote w:id="616">
    <w:p w:rsidR="00657FEF" w:rsidRPr="007010AD" w:rsidRDefault="00657FEF" w:rsidP="00F427DA">
      <w:pPr>
        <w:pStyle w:val="5"/>
        <w:jc w:val="left"/>
      </w:pPr>
      <w:r w:rsidRPr="0000380F">
        <w:rPr>
          <w:rStyle w:val="af7"/>
        </w:rPr>
        <w:footnoteRef/>
      </w:r>
      <w:r w:rsidRPr="0000380F">
        <w:rPr>
          <w:color w:val="FF6600"/>
        </w:rPr>
        <w:t xml:space="preserve"> </w:t>
      </w:r>
      <w:r w:rsidRPr="008147DC">
        <w:tab/>
      </w:r>
      <w:r w:rsidRPr="008147DC">
        <w:t>日本防衛省</w:t>
      </w:r>
      <w:r w:rsidRPr="008147DC">
        <w:t>(2013)</w:t>
      </w:r>
      <w:r w:rsidRPr="008147DC">
        <w:t>，防衛白書，上網瀏覽時間：</w:t>
      </w:r>
      <w:smartTag w:uri="urn:schemas-microsoft-com:office:smarttags" w:element="chsdate">
        <w:smartTagPr>
          <w:attr w:name="Year" w:val="2013"/>
          <w:attr w:name="Month" w:val="8"/>
          <w:attr w:name="Day" w:val="26"/>
          <w:attr w:name="IsLunarDate" w:val="False"/>
          <w:attr w:name="IsROCDate" w:val="False"/>
        </w:smartTagPr>
        <w:r w:rsidRPr="008147DC">
          <w:t>2013/08/26</w:t>
        </w:r>
      </w:smartTag>
      <w:r w:rsidRPr="008147DC">
        <w:t>，</w:t>
      </w:r>
      <w:hyperlink r:id="rId145" w:history="1">
        <w:r w:rsidRPr="007010AD">
          <w:rPr>
            <w:rStyle w:val="a7"/>
            <w:rFonts w:ascii="Arial Unicode MS" w:eastAsia="新細明體" w:hAnsi="Arial Unicode MS" w:cs="Calibri"/>
            <w:color w:val="5F5F5F"/>
            <w:kern w:val="2"/>
            <w:sz w:val="18"/>
          </w:rPr>
          <w:t>http://www.mod.go.jp/j/publication/wp/wp2013/pc/2013/index.html</w:t>
        </w:r>
      </w:hyperlink>
      <w:r w:rsidRPr="007010AD">
        <w:t>。</w:t>
      </w:r>
    </w:p>
  </w:footnote>
  <w:footnote w:id="617">
    <w:p w:rsidR="00657FEF" w:rsidRPr="007010AD" w:rsidRDefault="00657FEF" w:rsidP="00F427DA">
      <w:pPr>
        <w:pStyle w:val="5"/>
        <w:jc w:val="left"/>
      </w:pPr>
      <w:r w:rsidRPr="007010AD">
        <w:rPr>
          <w:rStyle w:val="af7"/>
        </w:rPr>
        <w:footnoteRef/>
      </w:r>
      <w:r w:rsidRPr="007010AD">
        <w:t xml:space="preserve"> </w:t>
      </w:r>
      <w:r w:rsidRPr="007010AD">
        <w:tab/>
      </w:r>
      <w:r w:rsidRPr="007010AD">
        <w:t>日本防衛省</w:t>
      </w:r>
      <w:r w:rsidRPr="007010AD">
        <w:t>(2013)</w:t>
      </w:r>
      <w:r w:rsidRPr="007010AD">
        <w:t>，防衛白書，上網瀏覽時間：</w:t>
      </w:r>
      <w:smartTag w:uri="urn:schemas-microsoft-com:office:smarttags" w:element="chsdate">
        <w:smartTagPr>
          <w:attr w:name="IsROCDate" w:val="False"/>
          <w:attr w:name="IsLunarDate" w:val="False"/>
          <w:attr w:name="Day" w:val="26"/>
          <w:attr w:name="Month" w:val="8"/>
          <w:attr w:name="Year" w:val="2013"/>
        </w:smartTagPr>
        <w:r w:rsidRPr="007010AD">
          <w:t>2013/08/26</w:t>
        </w:r>
      </w:smartTag>
      <w:r w:rsidRPr="007010AD">
        <w:t>，</w:t>
      </w:r>
      <w:hyperlink r:id="rId146" w:history="1">
        <w:r w:rsidRPr="007010AD">
          <w:rPr>
            <w:rStyle w:val="a7"/>
            <w:rFonts w:ascii="Arial Unicode MS" w:eastAsia="新細明體" w:hAnsi="Arial Unicode MS" w:cs="Calibri"/>
            <w:color w:val="5F5F5F"/>
            <w:kern w:val="2"/>
            <w:sz w:val="18"/>
          </w:rPr>
          <w:t>http://www.mod.go.jp/j/publication/wp/wp2013/pc/2013/index.html</w:t>
        </w:r>
      </w:hyperlink>
      <w:r w:rsidRPr="007010AD">
        <w:t>。</w:t>
      </w:r>
    </w:p>
  </w:footnote>
  <w:footnote w:id="618">
    <w:p w:rsidR="00657FEF" w:rsidRPr="007010AD" w:rsidRDefault="00657FEF" w:rsidP="00F427DA">
      <w:pPr>
        <w:pStyle w:val="5"/>
        <w:jc w:val="left"/>
        <w:rPr>
          <w:lang w:eastAsia="zh-TW"/>
        </w:rPr>
      </w:pPr>
      <w:r w:rsidRPr="007010AD">
        <w:rPr>
          <w:rStyle w:val="af7"/>
          <w:szCs w:val="20"/>
        </w:rPr>
        <w:footnoteRef/>
      </w:r>
      <w:r w:rsidRPr="007010AD">
        <w:rPr>
          <w:lang w:eastAsia="zh-TW"/>
        </w:rPr>
        <w:t>羅添斌</w:t>
      </w:r>
      <w:r w:rsidRPr="007010AD">
        <w:rPr>
          <w:lang w:eastAsia="zh-TW"/>
        </w:rPr>
        <w:t>(2017)</w:t>
      </w:r>
      <w:r w:rsidRPr="007010AD">
        <w:rPr>
          <w:lang w:eastAsia="zh-TW"/>
        </w:rPr>
        <w:t>，中國</w:t>
      </w:r>
      <w:r w:rsidRPr="007010AD">
        <w:rPr>
          <w:lang w:eastAsia="zh-TW"/>
        </w:rPr>
        <w:t>1500</w:t>
      </w:r>
      <w:r w:rsidRPr="007010AD">
        <w:rPr>
          <w:lang w:eastAsia="zh-TW"/>
        </w:rPr>
        <w:t>枚飛彈對台，我飛彈攻守比例應調整，</w:t>
      </w:r>
    </w:p>
    <w:p w:rsidR="00657FEF" w:rsidRPr="007010AD" w:rsidRDefault="00340832" w:rsidP="00F427DA">
      <w:pPr>
        <w:pStyle w:val="5"/>
        <w:jc w:val="left"/>
      </w:pPr>
      <w:hyperlink r:id="rId147" w:history="1">
        <w:r w:rsidR="00657FEF" w:rsidRPr="007010AD">
          <w:rPr>
            <w:rStyle w:val="a7"/>
            <w:rFonts w:ascii="Arial Unicode MS" w:eastAsia="新細明體" w:hAnsi="Arial Unicode MS" w:cs="Calibri"/>
            <w:color w:val="5F5F5F"/>
            <w:kern w:val="2"/>
            <w:sz w:val="18"/>
          </w:rPr>
          <w:t>http://webcache.googleusercontent.com/search?q=cache:etYl8Dw70OYJ:http://news.ltn.com.tw/news/politics/paper/1081639%2B%E5%A4%A7%E9%99%B8%E5%B0%8E%E5%BD%88++%E5%8F%B0%E7%81%A3&amp;hl=zh-TW&amp;gbv=2&amp;ct=clnk</w:t>
        </w:r>
      </w:hyperlink>
      <w:r w:rsidR="00657FEF" w:rsidRPr="007010AD">
        <w:t>。</w:t>
      </w:r>
    </w:p>
  </w:footnote>
  <w:footnote w:id="619">
    <w:p w:rsidR="00657FEF" w:rsidRPr="007010AD" w:rsidRDefault="00657FEF" w:rsidP="00992AB6">
      <w:pPr>
        <w:pStyle w:val="5"/>
      </w:pPr>
      <w:r w:rsidRPr="007010AD">
        <w:rPr>
          <w:rStyle w:val="af7"/>
          <w:szCs w:val="20"/>
        </w:rPr>
        <w:footnoteRef/>
      </w:r>
      <w:r w:rsidRPr="007010AD">
        <w:t>蘋果日報</w:t>
      </w:r>
      <w:r w:rsidRPr="007010AD">
        <w:t>(2017)</w:t>
      </w:r>
      <w:r w:rsidRPr="007010AD">
        <w:t>，軍方首證實，東風</w:t>
      </w:r>
      <w:r w:rsidRPr="007010AD">
        <w:t>16</w:t>
      </w:r>
      <w:r w:rsidRPr="007010AD">
        <w:t>瞄準台灣，威脅升高，不利兩岸，</w:t>
      </w:r>
      <w:hyperlink r:id="rId148" w:history="1">
        <w:r w:rsidRPr="007010AD">
          <w:rPr>
            <w:rStyle w:val="a7"/>
            <w:rFonts w:ascii="Arial Unicode MS" w:eastAsia="新細明體" w:hAnsi="Arial Unicode MS" w:cs="Calibri"/>
            <w:color w:val="5F5F5F"/>
            <w:kern w:val="2"/>
            <w:sz w:val="18"/>
          </w:rPr>
          <w:t>https://tw.appledaily.com/headline/daily/20170321/37590059</w:t>
        </w:r>
      </w:hyperlink>
      <w:r w:rsidRPr="007010AD">
        <w:t>。</w:t>
      </w:r>
    </w:p>
  </w:footnote>
  <w:footnote w:id="620">
    <w:p w:rsidR="00657FEF" w:rsidRPr="008147DC" w:rsidRDefault="00657FEF" w:rsidP="00992AB6">
      <w:pPr>
        <w:pStyle w:val="5"/>
        <w:rPr>
          <w:lang w:eastAsia="zh-TW"/>
        </w:rPr>
      </w:pPr>
      <w:r w:rsidRPr="00E02D2A">
        <w:rPr>
          <w:rStyle w:val="af7"/>
          <w:rFonts w:eastAsia="新細明體"/>
          <w:kern w:val="2"/>
          <w:szCs w:val="20"/>
        </w:rPr>
        <w:footnoteRef/>
      </w:r>
      <w:r w:rsidRPr="008147DC">
        <w:rPr>
          <w:lang w:eastAsia="zh-TW"/>
        </w:rPr>
        <w:t>司法院大法官會議釋字第</w:t>
      </w:r>
      <w:r w:rsidRPr="008147DC">
        <w:rPr>
          <w:lang w:eastAsia="zh-TW"/>
        </w:rPr>
        <w:t>497</w:t>
      </w:r>
      <w:r w:rsidRPr="008147DC">
        <w:rPr>
          <w:lang w:eastAsia="zh-TW"/>
        </w:rPr>
        <w:t>號之解釋文如下：</w:t>
      </w:r>
    </w:p>
    <w:p w:rsidR="00657FEF" w:rsidRPr="008147DC" w:rsidRDefault="00657FEF" w:rsidP="00992AB6">
      <w:pPr>
        <w:pStyle w:val="5"/>
        <w:rPr>
          <w:lang w:eastAsia="zh-TW"/>
        </w:rPr>
      </w:pPr>
      <w:r w:rsidRPr="008147DC">
        <w:rPr>
          <w:lang w:eastAsia="zh-TW"/>
        </w:rPr>
        <w:t>「中華民國八十一年七月三十一日公布之臺灣地區與大陸地區人民關係條例係依據八十年五月一日公布之憲法增修條文第十條（現行增修條文改列為第十一條）「自由地區與大陸地區間人民權利義務關係及其他事務之處理，得以法律為特別之規定」所制定，為國家統一前規範臺灣地區與大陸地區間人民權利義務之特別立法。內政部依該條例第十條及第十七條之授權分別訂定「大陸地區人民進入臺灣地區許可辦法」及「大陸地區人民在臺灣地區定居或居留許可辦法」，明文規定大陸地區人民進入臺灣地區之資格要件、許可程序及停留期限，係在確保臺灣地區安全與民眾福祉，符合該條例之立法意旨，尚未逾越母法之授權範圍，為維持社會秩序或增進公共利益所必要，與上揭憲法增修條文無違，於憲法第二十三條之規定亦無牴觸。」</w:t>
      </w:r>
      <w:r w:rsidRPr="008147DC">
        <w:rPr>
          <w:lang w:eastAsia="zh-TW"/>
        </w:rPr>
        <w:t xml:space="preserve"> </w:t>
      </w:r>
    </w:p>
  </w:footnote>
  <w:footnote w:id="621">
    <w:p w:rsidR="00657FEF" w:rsidRPr="008147DC" w:rsidRDefault="00657FEF" w:rsidP="00992AB6">
      <w:pPr>
        <w:pStyle w:val="5"/>
        <w:rPr>
          <w:lang w:eastAsia="zh-TW"/>
        </w:rPr>
      </w:pPr>
      <w:r w:rsidRPr="00A35933">
        <w:rPr>
          <w:rStyle w:val="af7"/>
          <w:rFonts w:eastAsia="新細明體"/>
          <w:kern w:val="2"/>
        </w:rPr>
        <w:footnoteRef/>
      </w:r>
      <w:r w:rsidRPr="008147DC">
        <w:rPr>
          <w:lang w:eastAsia="zh-TW"/>
        </w:rPr>
        <w:t xml:space="preserve"> </w:t>
      </w:r>
      <w:r w:rsidRPr="008147DC">
        <w:rPr>
          <w:lang w:eastAsia="zh-TW"/>
        </w:rPr>
        <w:t>參閱行政院大陸委員會官方網站之民意調查，網址：</w:t>
      </w:r>
      <w:hyperlink r:id="rId149" w:history="1">
        <w:r w:rsidRPr="00865ADB">
          <w:rPr>
            <w:rStyle w:val="a7"/>
            <w:rFonts w:ascii="Arial Unicode MS" w:eastAsia="新細明體" w:hAnsi="Arial Unicode MS" w:cs="Calibri"/>
            <w:color w:val="5F5F5F"/>
            <w:kern w:val="2"/>
            <w:sz w:val="18"/>
            <w:lang w:eastAsia="zh-TW"/>
          </w:rPr>
          <w:t>http://www.mac.gov.tw/</w:t>
        </w:r>
      </w:hyperlink>
      <w:r w:rsidRPr="008147DC">
        <w:rPr>
          <w:lang w:eastAsia="zh-TW"/>
        </w:rPr>
        <w:t>，瀏覽日期：</w:t>
      </w:r>
      <w:r w:rsidRPr="008147DC">
        <w:rPr>
          <w:lang w:eastAsia="zh-TW"/>
        </w:rPr>
        <w:t>2017/3/14</w:t>
      </w:r>
      <w:r w:rsidRPr="008147DC">
        <w:rPr>
          <w:lang w:eastAsia="zh-TW"/>
        </w:rPr>
        <w:t>。</w:t>
      </w:r>
    </w:p>
  </w:footnote>
  <w:footnote w:id="622">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柯雨瑞、蔡政杰</w:t>
      </w:r>
      <w:r w:rsidRPr="008147DC">
        <w:rPr>
          <w:lang w:eastAsia="zh-TW"/>
        </w:rPr>
        <w:t>(2016)</w:t>
      </w:r>
      <w:r w:rsidRPr="008147DC">
        <w:rPr>
          <w:lang w:eastAsia="zh-TW"/>
        </w:rPr>
        <w:t>，從「源頭安全管理」觀點探討大陸地區人民來台之「國境人流管理」機制之現況與未來可行之發展對策，收錄於高佩珊主編（</w:t>
      </w:r>
      <w:r w:rsidRPr="008147DC">
        <w:rPr>
          <w:lang w:eastAsia="zh-TW"/>
        </w:rPr>
        <w:t>2016</w:t>
      </w:r>
      <w:r w:rsidRPr="008147DC">
        <w:rPr>
          <w:lang w:eastAsia="zh-TW"/>
        </w:rPr>
        <w:t>），陳明傳、柯雨瑞、蔡政杰、王智盛、王寬弘、許義寶、黃文志、何招凡、高佩珊等合著</w:t>
      </w:r>
      <w:r w:rsidRPr="008147DC">
        <w:rPr>
          <w:lang w:eastAsia="zh-TW"/>
        </w:rPr>
        <w:t>(2016)</w:t>
      </w:r>
      <w:r w:rsidRPr="008147DC">
        <w:rPr>
          <w:lang w:eastAsia="zh-TW"/>
        </w:rPr>
        <w:t>，全球化下之國境執法，台北：五南圖書出版公司，頁</w:t>
      </w:r>
      <w:r w:rsidRPr="008147DC">
        <w:rPr>
          <w:lang w:eastAsia="zh-TW"/>
        </w:rPr>
        <w:t>63-92</w:t>
      </w:r>
      <w:r w:rsidRPr="008147DC">
        <w:rPr>
          <w:lang w:eastAsia="zh-TW"/>
        </w:rPr>
        <w:t>。復次，筆者亦自行查閱各項法規沿革，及筆者本身曾參與部分法規修正之經驗，自行彙整製表。大陸地區人民來台辦法相當繁雜，本表僅就筆者個人於移民署服務所見，以目前大陸地區人民來台之主要法規臚列整理，並未將大陸地區人民來台之依據辦法全數臚列。</w:t>
      </w:r>
    </w:p>
  </w:footnote>
  <w:footnote w:id="623">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有關於大陸地區人民進入台灣之入出國法源：在憲法位階為憲法增修條文第十一條；在法律位階為臺灣地區與大陸地區人民關係條例；在行政命令位階為依據。司法院釋字第</w:t>
      </w:r>
      <w:r w:rsidRPr="008147DC">
        <w:rPr>
          <w:lang w:eastAsia="zh-TW"/>
        </w:rPr>
        <w:t>497</w:t>
      </w:r>
      <w:r w:rsidRPr="008147DC">
        <w:rPr>
          <w:lang w:eastAsia="zh-TW"/>
        </w:rPr>
        <w:t>號解釋指出、、、明文規定大陸地區人民進入臺灣地區之資格要件、許可程式及停留期限，係在確保臺灣地區安全與民眾福祉，符合該條例之立法意旨，尚未逾越母法之授權範圍，為維持社會秩序或增進公共利益所必要，與上揭憲法增修條文無違，於憲法第二十三條之規定亦無牴觸。以上，請參閱：王寬弘</w:t>
      </w:r>
      <w:r w:rsidRPr="008147DC">
        <w:rPr>
          <w:lang w:eastAsia="zh-TW"/>
        </w:rPr>
        <w:t>(2011)</w:t>
      </w:r>
      <w:r w:rsidRPr="008147DC">
        <w:rPr>
          <w:lang w:eastAsia="zh-TW"/>
        </w:rPr>
        <w:t>，前揭文。</w:t>
      </w:r>
    </w:p>
  </w:footnote>
  <w:footnote w:id="624">
    <w:p w:rsidR="00657FEF" w:rsidRPr="008147DC" w:rsidRDefault="00657FEF" w:rsidP="00992AB6">
      <w:pPr>
        <w:pStyle w:val="5"/>
        <w:rPr>
          <w:lang w:eastAsia="zh-TW"/>
        </w:rPr>
      </w:pPr>
      <w:r w:rsidRPr="00002E50">
        <w:rPr>
          <w:rStyle w:val="af7"/>
        </w:rPr>
        <w:footnoteRef/>
      </w:r>
      <w:r w:rsidRPr="008147DC">
        <w:rPr>
          <w:rStyle w:val="af7"/>
          <w:rFonts w:asciiTheme="minorEastAsia" w:eastAsiaTheme="minorEastAsia" w:hAnsiTheme="minorEastAsia"/>
          <w:lang w:eastAsia="zh-TW"/>
        </w:rPr>
        <w:t xml:space="preserve"> </w:t>
      </w:r>
      <w:r w:rsidRPr="008147DC">
        <w:rPr>
          <w:lang w:eastAsia="zh-TW"/>
        </w:rPr>
        <w:tab/>
      </w:r>
      <w:r w:rsidRPr="008147DC">
        <w:rPr>
          <w:lang w:eastAsia="zh-TW"/>
        </w:rPr>
        <w:t>第一類「觀光」</w:t>
      </w:r>
      <w:r w:rsidRPr="008147DC">
        <w:rPr>
          <w:spacing w:val="-8"/>
          <w:lang w:eastAsia="zh-TW"/>
        </w:rPr>
        <w:t>─</w:t>
      </w:r>
      <w:r w:rsidRPr="008147DC">
        <w:rPr>
          <w:lang w:eastAsia="zh-TW"/>
        </w:rPr>
        <w:t>─</w:t>
      </w:r>
      <w:r w:rsidRPr="008147DC">
        <w:rPr>
          <w:lang w:eastAsia="zh-TW"/>
        </w:rPr>
        <w:t>可經由團進團出之方式申請來臺觀光</w:t>
      </w:r>
      <w:r>
        <w:rPr>
          <w:lang w:eastAsia="zh-TW"/>
        </w:rPr>
        <w:t>。</w:t>
      </w:r>
    </w:p>
  </w:footnote>
  <w:footnote w:id="625">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第二類「觀光」</w:t>
      </w:r>
      <w:r w:rsidRPr="008147DC">
        <w:rPr>
          <w:spacing w:val="-8"/>
          <w:lang w:eastAsia="zh-TW"/>
        </w:rPr>
        <w:t>─</w:t>
      </w:r>
      <w:r w:rsidRPr="008147DC">
        <w:rPr>
          <w:lang w:eastAsia="zh-TW"/>
        </w:rPr>
        <w:t>─</w:t>
      </w:r>
      <w:r w:rsidRPr="008147DC">
        <w:rPr>
          <w:lang w:eastAsia="zh-TW"/>
        </w:rPr>
        <w:t>大陸地區人民經由第三國家中轉來臺觀光。</w:t>
      </w:r>
    </w:p>
  </w:footnote>
  <w:footnote w:id="626">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第三類「觀光」</w:t>
      </w:r>
      <w:r w:rsidRPr="008147DC">
        <w:rPr>
          <w:spacing w:val="-8"/>
          <w:lang w:eastAsia="zh-TW"/>
        </w:rPr>
        <w:t>─</w:t>
      </w:r>
      <w:r w:rsidRPr="008147DC">
        <w:rPr>
          <w:lang w:eastAsia="zh-TW"/>
        </w:rPr>
        <w:t>─</w:t>
      </w:r>
      <w:r w:rsidRPr="008147DC">
        <w:rPr>
          <w:lang w:eastAsia="zh-TW"/>
        </w:rPr>
        <w:t>旅居在國外之大陸地區人民向我國駐外館處提出申請來臺灣觀光</w:t>
      </w:r>
      <w:r>
        <w:rPr>
          <w:lang w:eastAsia="zh-TW"/>
        </w:rPr>
        <w:t>。</w:t>
      </w:r>
    </w:p>
  </w:footnote>
  <w:footnote w:id="627">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有關於五大類計五十三種事由之詳細分類，請參閱柯雨瑞、蔡政杰</w:t>
      </w:r>
      <w:r w:rsidRPr="008147DC">
        <w:rPr>
          <w:lang w:eastAsia="zh-TW"/>
        </w:rPr>
        <w:t>(2012)</w:t>
      </w:r>
      <w:r w:rsidRPr="008147DC">
        <w:rPr>
          <w:lang w:eastAsia="zh-TW"/>
        </w:rPr>
        <w:t>，論我國對於大陸地區人民來台觀光之國境人流管理機制之現況與檢討，國境安全與國境管理學報，第十七期，中央警察大學，頁</w:t>
      </w:r>
      <w:r w:rsidRPr="008147DC">
        <w:rPr>
          <w:lang w:eastAsia="zh-TW"/>
        </w:rPr>
        <w:t>56-112</w:t>
      </w:r>
      <w:r w:rsidRPr="008147DC">
        <w:rPr>
          <w:lang w:eastAsia="zh-TW"/>
        </w:rPr>
        <w:t>。</w:t>
      </w:r>
    </w:p>
  </w:footnote>
  <w:footnote w:id="628">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交通部觀光局於</w:t>
      </w:r>
      <w:smartTag w:uri="urn:schemas-microsoft-com:office:smarttags" w:element="chsdate">
        <w:smartTagPr>
          <w:attr w:name="IsROCDate" w:val="False"/>
          <w:attr w:name="IsLunarDate" w:val="False"/>
          <w:attr w:name="Day" w:val="22"/>
          <w:attr w:name="Month" w:val="4"/>
          <w:attr w:name="Year" w:val="2013"/>
        </w:smartTagPr>
        <w:r w:rsidRPr="008147DC">
          <w:rPr>
            <w:lang w:eastAsia="zh-TW"/>
          </w:rPr>
          <w:t>2013</w:t>
        </w:r>
        <w:r w:rsidRPr="008147DC">
          <w:rPr>
            <w:lang w:eastAsia="zh-TW"/>
          </w:rPr>
          <w:t>年</w:t>
        </w:r>
        <w:r w:rsidRPr="008147DC">
          <w:rPr>
            <w:lang w:eastAsia="zh-TW"/>
          </w:rPr>
          <w:t>4</w:t>
        </w:r>
        <w:r w:rsidRPr="008147DC">
          <w:rPr>
            <w:lang w:eastAsia="zh-TW"/>
          </w:rPr>
          <w:t>月</w:t>
        </w:r>
        <w:r w:rsidRPr="008147DC">
          <w:rPr>
            <w:lang w:eastAsia="zh-TW"/>
          </w:rPr>
          <w:t>22</w:t>
        </w:r>
        <w:r w:rsidRPr="008147DC">
          <w:rPr>
            <w:lang w:eastAsia="zh-TW"/>
          </w:rPr>
          <w:t>日</w:t>
        </w:r>
      </w:smartTag>
      <w:r w:rsidRPr="008147DC">
        <w:rPr>
          <w:lang w:eastAsia="zh-TW"/>
        </w:rPr>
        <w:t>，訂定「旅行業接待大陸地區人民來台觀光旅遊團優質行程審查作業要點」，規範「優質團」內容如下：</w:t>
      </w:r>
    </w:p>
    <w:p w:rsidR="00657FEF" w:rsidRPr="008147DC" w:rsidRDefault="00657FEF" w:rsidP="00992AB6">
      <w:pPr>
        <w:pStyle w:val="5"/>
        <w:rPr>
          <w:lang w:eastAsia="zh-TW"/>
        </w:rPr>
      </w:pPr>
      <w:r w:rsidRPr="008147DC">
        <w:rPr>
          <w:lang w:eastAsia="zh-TW"/>
        </w:rPr>
        <w:t>（一）行程：</w:t>
      </w:r>
    </w:p>
    <w:p w:rsidR="00657FEF" w:rsidRPr="008147DC" w:rsidRDefault="00657FEF" w:rsidP="00992AB6">
      <w:pPr>
        <w:pStyle w:val="5"/>
        <w:rPr>
          <w:lang w:eastAsia="zh-TW"/>
        </w:rPr>
      </w:pPr>
      <w:r w:rsidRPr="008147DC">
        <w:rPr>
          <w:lang w:eastAsia="zh-TW"/>
        </w:rPr>
        <w:t>1.</w:t>
      </w:r>
      <w:r w:rsidRPr="008147DC">
        <w:rPr>
          <w:lang w:eastAsia="zh-TW"/>
        </w:rPr>
        <w:t>每日出發時間至行程結束時間不得超過十二小時。</w:t>
      </w:r>
    </w:p>
    <w:p w:rsidR="00657FEF" w:rsidRPr="008147DC" w:rsidRDefault="00657FEF" w:rsidP="00992AB6">
      <w:pPr>
        <w:pStyle w:val="5"/>
        <w:rPr>
          <w:lang w:eastAsia="zh-TW"/>
        </w:rPr>
      </w:pPr>
      <w:r w:rsidRPr="008147DC">
        <w:rPr>
          <w:lang w:eastAsia="zh-TW"/>
        </w:rPr>
        <w:t>2.</w:t>
      </w:r>
      <w:r w:rsidRPr="008147DC">
        <w:rPr>
          <w:lang w:eastAsia="zh-TW"/>
        </w:rPr>
        <w:t>接待車輛每日行駛里程不得超過二百五十公里（容許誤差十公里）。</w:t>
      </w:r>
    </w:p>
    <w:p w:rsidR="00657FEF" w:rsidRPr="008147DC" w:rsidRDefault="00657FEF" w:rsidP="00992AB6">
      <w:pPr>
        <w:pStyle w:val="5"/>
        <w:rPr>
          <w:lang w:eastAsia="zh-TW"/>
        </w:rPr>
      </w:pPr>
      <w:r w:rsidRPr="008147DC">
        <w:rPr>
          <w:lang w:eastAsia="zh-TW"/>
        </w:rPr>
        <w:t>3.</w:t>
      </w:r>
      <w:r w:rsidRPr="008147DC">
        <w:rPr>
          <w:lang w:eastAsia="zh-TW"/>
        </w:rPr>
        <w:t>應為區域旅遊、主題旅遊或最近三年獲得中華民國旅行業品質保障協會評選為金質旅遊等行程之一。</w:t>
      </w:r>
    </w:p>
    <w:p w:rsidR="00657FEF" w:rsidRPr="008147DC" w:rsidRDefault="00657FEF" w:rsidP="00992AB6">
      <w:pPr>
        <w:pStyle w:val="5"/>
        <w:rPr>
          <w:lang w:eastAsia="zh-TW"/>
        </w:rPr>
      </w:pPr>
      <w:r w:rsidRPr="008147DC">
        <w:rPr>
          <w:lang w:eastAsia="zh-TW"/>
        </w:rPr>
        <w:t>（二）住宿：全程總夜數三分之一以上應住宿於經本局評鑑之星級旅館小數點以下無條件進位取整數，如八天七夜行程須有三夜以上住宿於星級旅館）。</w:t>
      </w:r>
    </w:p>
    <w:p w:rsidR="00657FEF" w:rsidRPr="008147DC" w:rsidRDefault="00657FEF" w:rsidP="00992AB6">
      <w:pPr>
        <w:pStyle w:val="5"/>
        <w:rPr>
          <w:lang w:eastAsia="zh-TW"/>
        </w:rPr>
      </w:pPr>
      <w:r w:rsidRPr="008147DC">
        <w:rPr>
          <w:lang w:eastAsia="zh-TW"/>
        </w:rPr>
        <w:t>（三）餐食：全程午、晚餐平均餐標每人每日新台幣五百元以上或全程總日數二分之一以上於本局評選之台灣團餐特色餐廳用午餐或晚餐。</w:t>
      </w:r>
    </w:p>
    <w:p w:rsidR="00657FEF" w:rsidRPr="008147DC" w:rsidRDefault="00657FEF" w:rsidP="00992AB6">
      <w:pPr>
        <w:pStyle w:val="5"/>
        <w:rPr>
          <w:lang w:eastAsia="zh-TW"/>
        </w:rPr>
      </w:pPr>
      <w:r w:rsidRPr="008147DC">
        <w:rPr>
          <w:lang w:eastAsia="zh-TW"/>
        </w:rPr>
        <w:t>（四）交通工具：應提供與遊覽車公司簽訂之租車契約，該契約應載明車資及遊覽車應安裝</w:t>
      </w:r>
      <w:r w:rsidRPr="008147DC">
        <w:rPr>
          <w:lang w:eastAsia="zh-TW"/>
        </w:rPr>
        <w:t>GPS</w:t>
      </w:r>
      <w:r w:rsidRPr="008147DC">
        <w:rPr>
          <w:lang w:eastAsia="zh-TW"/>
        </w:rPr>
        <w:t>行車軌跡紀錄器，如有業務檢查需要，遊覽車公司並應配合提供三個月內之行車紀錄等約定內容。</w:t>
      </w:r>
    </w:p>
    <w:p w:rsidR="00657FEF" w:rsidRPr="008147DC" w:rsidRDefault="00657FEF" w:rsidP="00992AB6">
      <w:pPr>
        <w:pStyle w:val="5"/>
        <w:rPr>
          <w:lang w:eastAsia="zh-TW"/>
        </w:rPr>
      </w:pPr>
      <w:r w:rsidRPr="008147DC">
        <w:rPr>
          <w:lang w:eastAsia="zh-TW"/>
        </w:rPr>
        <w:t>（五）購物：應符合下列二目情形之一：</w:t>
      </w:r>
    </w:p>
    <w:p w:rsidR="00657FEF" w:rsidRPr="008147DC" w:rsidRDefault="00657FEF" w:rsidP="00992AB6">
      <w:pPr>
        <w:pStyle w:val="5"/>
        <w:rPr>
          <w:lang w:eastAsia="zh-TW"/>
        </w:rPr>
      </w:pPr>
      <w:r w:rsidRPr="008147DC">
        <w:rPr>
          <w:lang w:eastAsia="zh-TW"/>
        </w:rPr>
        <w:t>1.</w:t>
      </w:r>
      <w:r w:rsidRPr="008147DC">
        <w:rPr>
          <w:lang w:eastAsia="zh-TW"/>
        </w:rPr>
        <w:t>全程未安排指定購物商店（如全程無安排指定購物商店之購物時間或於商圈、百貨公司、商場、夜市等安排自由購物時間均屬之）。</w:t>
      </w:r>
    </w:p>
    <w:p w:rsidR="00657FEF" w:rsidRPr="008147DC" w:rsidRDefault="00657FEF" w:rsidP="00992AB6">
      <w:pPr>
        <w:pStyle w:val="5"/>
        <w:rPr>
          <w:lang w:eastAsia="zh-TW"/>
        </w:rPr>
      </w:pPr>
      <w:r w:rsidRPr="008147DC">
        <w:rPr>
          <w:lang w:eastAsia="zh-TW"/>
        </w:rPr>
        <w:t>2.</w:t>
      </w:r>
      <w:r w:rsidRPr="008147DC">
        <w:rPr>
          <w:lang w:eastAsia="zh-TW"/>
        </w:rPr>
        <w:t>有安排指定購物商店：</w:t>
      </w:r>
    </w:p>
    <w:p w:rsidR="00657FEF" w:rsidRPr="008147DC" w:rsidRDefault="00657FEF" w:rsidP="00992AB6">
      <w:pPr>
        <w:pStyle w:val="5"/>
        <w:rPr>
          <w:lang w:eastAsia="zh-TW"/>
        </w:rPr>
      </w:pPr>
      <w:r w:rsidRPr="008147DC">
        <w:rPr>
          <w:lang w:eastAsia="zh-TW"/>
        </w:rPr>
        <w:t>(1)</w:t>
      </w:r>
      <w:r w:rsidRPr="008147DC">
        <w:rPr>
          <w:lang w:eastAsia="zh-TW"/>
        </w:rPr>
        <w:t>購物商店（含農特產類購物商店，不含免稅商店）總數不得超過全程總夜數。</w:t>
      </w:r>
    </w:p>
    <w:p w:rsidR="00657FEF" w:rsidRPr="008147DC" w:rsidRDefault="00657FEF" w:rsidP="00992AB6">
      <w:pPr>
        <w:pStyle w:val="5"/>
        <w:rPr>
          <w:lang w:eastAsia="zh-TW"/>
        </w:rPr>
      </w:pPr>
      <w:r w:rsidRPr="008147DC">
        <w:rPr>
          <w:lang w:eastAsia="zh-TW"/>
        </w:rPr>
        <w:t>(2)</w:t>
      </w:r>
      <w:r w:rsidRPr="008147DC">
        <w:rPr>
          <w:lang w:eastAsia="zh-TW"/>
        </w:rPr>
        <w:t>依中華民國旅行業品質保障協會送本局核備之旅行購物保障作業規定第二條所定編號為</w:t>
      </w:r>
      <w:r w:rsidRPr="008147DC">
        <w:rPr>
          <w:lang w:eastAsia="zh-TW"/>
        </w:rPr>
        <w:t>A</w:t>
      </w:r>
      <w:r w:rsidRPr="008147DC">
        <w:rPr>
          <w:lang w:eastAsia="zh-TW"/>
        </w:rPr>
        <w:t>（珠寶玉石類）、</w:t>
      </w:r>
      <w:r w:rsidRPr="008147DC">
        <w:rPr>
          <w:lang w:eastAsia="zh-TW"/>
        </w:rPr>
        <w:t>B</w:t>
      </w:r>
      <w:r w:rsidRPr="008147DC">
        <w:rPr>
          <w:lang w:eastAsia="zh-TW"/>
        </w:rPr>
        <w:t>（精品百貨類）等類別之旅行購物保障商店僅得擇一安排一站；環島行程得於花東地區增加一站前述類別之購物商店。</w:t>
      </w:r>
    </w:p>
    <w:p w:rsidR="00657FEF" w:rsidRPr="008147DC" w:rsidRDefault="00657FEF" w:rsidP="00992AB6">
      <w:pPr>
        <w:pStyle w:val="5"/>
        <w:rPr>
          <w:lang w:eastAsia="zh-TW"/>
        </w:rPr>
      </w:pPr>
      <w:r w:rsidRPr="008147DC">
        <w:rPr>
          <w:lang w:eastAsia="zh-TW"/>
        </w:rPr>
        <w:t>(3)</w:t>
      </w:r>
      <w:r w:rsidRPr="008147DC">
        <w:rPr>
          <w:lang w:eastAsia="zh-TW"/>
        </w:rPr>
        <w:t>每一購物商店停留時間以五十分鐘為限。</w:t>
      </w:r>
    </w:p>
    <w:p w:rsidR="00657FEF" w:rsidRPr="008147DC" w:rsidRDefault="00657FEF" w:rsidP="00992AB6">
      <w:pPr>
        <w:pStyle w:val="5"/>
        <w:rPr>
          <w:lang w:eastAsia="zh-TW"/>
        </w:rPr>
      </w:pPr>
      <w:r w:rsidRPr="008147DC">
        <w:rPr>
          <w:lang w:eastAsia="zh-TW"/>
        </w:rPr>
        <w:t>（六）參觀點：參觀時間應充分。</w:t>
      </w:r>
    </w:p>
  </w:footnote>
  <w:footnote w:id="629">
    <w:p w:rsidR="00657FEF" w:rsidRPr="001775C3" w:rsidRDefault="00657FEF" w:rsidP="00992AB6">
      <w:pPr>
        <w:pStyle w:val="5"/>
        <w:rPr>
          <w:lang w:eastAsia="zh-TW"/>
        </w:rPr>
      </w:pPr>
      <w:r w:rsidRPr="001775C3">
        <w:rPr>
          <w:rStyle w:val="af7"/>
        </w:rPr>
        <w:footnoteRef/>
      </w:r>
      <w:r w:rsidRPr="001775C3">
        <w:rPr>
          <w:color w:val="FF6600"/>
          <w:lang w:eastAsia="zh-TW"/>
        </w:rPr>
        <w:t xml:space="preserve"> </w:t>
      </w:r>
      <w:r w:rsidRPr="001775C3">
        <w:rPr>
          <w:lang w:eastAsia="zh-TW"/>
        </w:rPr>
        <w:tab/>
      </w:r>
      <w:r w:rsidRPr="001775C3">
        <w:rPr>
          <w:lang w:eastAsia="zh-TW"/>
        </w:rPr>
        <w:t>計算公式為：</w:t>
      </w:r>
      <w:r w:rsidRPr="001775C3">
        <w:rPr>
          <w:lang w:eastAsia="zh-TW"/>
        </w:rPr>
        <w:t xml:space="preserve"> 31</w:t>
      </w:r>
      <w:r w:rsidRPr="001775C3">
        <w:rPr>
          <w:lang w:eastAsia="zh-TW"/>
        </w:rPr>
        <w:t>萬</w:t>
      </w:r>
      <w:r w:rsidRPr="001775C3">
        <w:rPr>
          <w:lang w:eastAsia="zh-TW"/>
        </w:rPr>
        <w:t>2,321</w:t>
      </w:r>
      <w:r w:rsidRPr="001775C3">
        <w:rPr>
          <w:lang w:eastAsia="zh-TW"/>
        </w:rPr>
        <w:t>人</w:t>
      </w:r>
      <w:r w:rsidRPr="001775C3">
        <w:rPr>
          <w:lang w:eastAsia="zh-TW"/>
        </w:rPr>
        <w:t>/9,041</w:t>
      </w:r>
      <w:r w:rsidRPr="001775C3">
        <w:rPr>
          <w:lang w:eastAsia="zh-TW"/>
        </w:rPr>
        <w:t>人</w:t>
      </w:r>
      <w:r w:rsidRPr="001775C3">
        <w:rPr>
          <w:lang w:eastAsia="zh-TW"/>
        </w:rPr>
        <w:t>=34.54</w:t>
      </w:r>
      <w:r w:rsidRPr="001775C3">
        <w:rPr>
          <w:lang w:eastAsia="zh-TW"/>
        </w:rPr>
        <w:t>。統計數據來源：參閱移民署官方網站業務統計資料，瀏覽日期：</w:t>
      </w:r>
      <w:r w:rsidRPr="001775C3">
        <w:rPr>
          <w:lang w:eastAsia="zh-TW"/>
        </w:rPr>
        <w:t>2017</w:t>
      </w:r>
      <w:r w:rsidRPr="001775C3">
        <w:rPr>
          <w:lang w:eastAsia="zh-TW"/>
        </w:rPr>
        <w:t>年</w:t>
      </w:r>
      <w:r w:rsidRPr="001775C3">
        <w:rPr>
          <w:lang w:eastAsia="zh-TW"/>
        </w:rPr>
        <w:t>3</w:t>
      </w:r>
      <w:r w:rsidRPr="001775C3">
        <w:rPr>
          <w:lang w:eastAsia="zh-TW"/>
        </w:rPr>
        <w:t>月</w:t>
      </w:r>
      <w:r w:rsidRPr="001775C3">
        <w:rPr>
          <w:lang w:eastAsia="zh-TW"/>
        </w:rPr>
        <w:t>14</w:t>
      </w:r>
      <w:r w:rsidRPr="001775C3">
        <w:rPr>
          <w:lang w:eastAsia="zh-TW"/>
        </w:rPr>
        <w:t>日，網址：</w:t>
      </w:r>
      <w:hyperlink r:id="rId150" w:history="1">
        <w:r w:rsidRPr="001775C3">
          <w:rPr>
            <w:rStyle w:val="a7"/>
            <w:rFonts w:ascii="Arial Unicode MS" w:eastAsia="新細明體" w:hAnsi="Arial Unicode MS" w:cs="Calibri"/>
            <w:color w:val="5F5F5F"/>
            <w:kern w:val="2"/>
            <w:sz w:val="18"/>
            <w:lang w:eastAsia="zh-TW"/>
          </w:rPr>
          <w:t>http://www.immigration.gov.tw/np.asp?ctNode=29698&amp;mp=1</w:t>
        </w:r>
      </w:hyperlink>
      <w:r w:rsidRPr="001775C3">
        <w:rPr>
          <w:lang w:eastAsia="zh-TW"/>
        </w:rPr>
        <w:t>。</w:t>
      </w:r>
    </w:p>
  </w:footnote>
  <w:footnote w:id="630">
    <w:p w:rsidR="00657FEF" w:rsidRPr="001775C3" w:rsidRDefault="00657FEF" w:rsidP="00992AB6">
      <w:pPr>
        <w:pStyle w:val="5"/>
        <w:rPr>
          <w:lang w:eastAsia="zh-TW"/>
        </w:rPr>
      </w:pPr>
      <w:r w:rsidRPr="001775C3">
        <w:rPr>
          <w:rStyle w:val="af7"/>
        </w:rPr>
        <w:footnoteRef/>
      </w:r>
      <w:r w:rsidRPr="001775C3">
        <w:rPr>
          <w:lang w:eastAsia="zh-TW"/>
        </w:rPr>
        <w:t xml:space="preserve"> </w:t>
      </w:r>
      <w:r w:rsidRPr="001775C3">
        <w:rPr>
          <w:lang w:eastAsia="zh-TW"/>
        </w:rPr>
        <w:tab/>
      </w:r>
      <w:r w:rsidRPr="001775C3">
        <w:rPr>
          <w:lang w:eastAsia="zh-TW"/>
        </w:rPr>
        <w:t>蕭介雲</w:t>
      </w:r>
      <w:r w:rsidRPr="001775C3">
        <w:rPr>
          <w:lang w:eastAsia="zh-TW"/>
        </w:rPr>
        <w:t>(2013)</w:t>
      </w:r>
      <w:r w:rsidRPr="001775C3">
        <w:rPr>
          <w:lang w:eastAsia="zh-TW"/>
        </w:rPr>
        <w:t>，陸客自由行</w:t>
      </w:r>
      <w:r w:rsidRPr="001775C3">
        <w:rPr>
          <w:lang w:eastAsia="zh-TW"/>
        </w:rPr>
        <w:t>7</w:t>
      </w:r>
      <w:r w:rsidRPr="001775C3">
        <w:rPr>
          <w:lang w:eastAsia="zh-TW"/>
        </w:rPr>
        <w:t>試點今開放</w:t>
      </w:r>
      <w:r w:rsidRPr="001775C3">
        <w:rPr>
          <w:lang w:eastAsia="zh-TW"/>
        </w:rPr>
        <w:t xml:space="preserve"> 8</w:t>
      </w:r>
      <w:r w:rsidRPr="001775C3">
        <w:rPr>
          <w:lang w:eastAsia="zh-TW"/>
        </w:rPr>
        <w:t>月入境將創新高，瀏覽日期：</w:t>
      </w:r>
      <w:smartTag w:uri="urn:schemas-microsoft-com:office:smarttags" w:element="chsdate">
        <w:smartTagPr>
          <w:attr w:name="IsROCDate" w:val="False"/>
          <w:attr w:name="IsLunarDate" w:val="False"/>
          <w:attr w:name="Day" w:val="29"/>
          <w:attr w:name="Month" w:val="8"/>
          <w:attr w:name="Year" w:val="2013"/>
        </w:smartTagPr>
        <w:r w:rsidRPr="001775C3">
          <w:rPr>
            <w:lang w:eastAsia="zh-TW"/>
          </w:rPr>
          <w:t>2013</w:t>
        </w:r>
        <w:r w:rsidRPr="001775C3">
          <w:rPr>
            <w:lang w:eastAsia="zh-TW"/>
          </w:rPr>
          <w:t>年</w:t>
        </w:r>
        <w:r w:rsidRPr="001775C3">
          <w:rPr>
            <w:lang w:eastAsia="zh-TW"/>
          </w:rPr>
          <w:t>8</w:t>
        </w:r>
        <w:r w:rsidRPr="001775C3">
          <w:rPr>
            <w:lang w:eastAsia="zh-TW"/>
          </w:rPr>
          <w:t>月</w:t>
        </w:r>
        <w:r w:rsidRPr="001775C3">
          <w:rPr>
            <w:lang w:eastAsia="zh-TW"/>
          </w:rPr>
          <w:t>29</w:t>
        </w:r>
        <w:r w:rsidRPr="001775C3">
          <w:rPr>
            <w:lang w:eastAsia="zh-TW"/>
          </w:rPr>
          <w:t>日</w:t>
        </w:r>
      </w:smartTag>
      <w:r w:rsidRPr="001775C3">
        <w:rPr>
          <w:lang w:eastAsia="zh-TW"/>
        </w:rPr>
        <w:t>，</w:t>
      </w:r>
      <w:hyperlink r:id="rId151" w:history="1">
        <w:r w:rsidRPr="001775C3">
          <w:rPr>
            <w:rStyle w:val="a7"/>
            <w:rFonts w:ascii="Arial Unicode MS" w:eastAsia="新細明體" w:hAnsi="Arial Unicode MS" w:cs="Calibri"/>
            <w:color w:val="5F5F5F"/>
            <w:kern w:val="2"/>
            <w:sz w:val="18"/>
            <w:lang w:eastAsia="zh-TW"/>
          </w:rPr>
          <w:t>http://n.yam.com/liontravel/travel/20130828/20130828713950.html</w:t>
        </w:r>
      </w:hyperlink>
      <w:r w:rsidRPr="001775C3">
        <w:rPr>
          <w:lang w:eastAsia="zh-TW"/>
        </w:rPr>
        <w:t>。</w:t>
      </w:r>
    </w:p>
  </w:footnote>
  <w:footnote w:id="631">
    <w:p w:rsidR="00657FEF" w:rsidRPr="001775C3" w:rsidRDefault="00657FEF" w:rsidP="00992AB6">
      <w:pPr>
        <w:pStyle w:val="5"/>
        <w:rPr>
          <w:lang w:eastAsia="zh-TW"/>
        </w:rPr>
      </w:pPr>
      <w:r w:rsidRPr="001775C3">
        <w:rPr>
          <w:rStyle w:val="af7"/>
        </w:rPr>
        <w:footnoteRef/>
      </w:r>
      <w:r w:rsidRPr="001775C3">
        <w:rPr>
          <w:lang w:eastAsia="zh-TW"/>
        </w:rPr>
        <w:t xml:space="preserve"> </w:t>
      </w:r>
      <w:r w:rsidRPr="001775C3">
        <w:rPr>
          <w:lang w:eastAsia="zh-TW"/>
        </w:rPr>
        <w:tab/>
      </w:r>
      <w:r w:rsidRPr="001775C3">
        <w:rPr>
          <w:lang w:eastAsia="zh-TW"/>
        </w:rPr>
        <w:t>蕭介雲</w:t>
      </w:r>
      <w:r w:rsidRPr="001775C3">
        <w:rPr>
          <w:lang w:eastAsia="zh-TW"/>
        </w:rPr>
        <w:t>(2013)</w:t>
      </w:r>
      <w:r w:rsidRPr="001775C3">
        <w:rPr>
          <w:lang w:eastAsia="zh-TW"/>
        </w:rPr>
        <w:t>，陸客自由行</w:t>
      </w:r>
      <w:r w:rsidRPr="001775C3">
        <w:rPr>
          <w:lang w:eastAsia="zh-TW"/>
        </w:rPr>
        <w:t>7</w:t>
      </w:r>
      <w:r w:rsidRPr="001775C3">
        <w:rPr>
          <w:lang w:eastAsia="zh-TW"/>
        </w:rPr>
        <w:t>試點今開放</w:t>
      </w:r>
      <w:r w:rsidRPr="001775C3">
        <w:rPr>
          <w:lang w:eastAsia="zh-TW"/>
        </w:rPr>
        <w:t xml:space="preserve"> 8</w:t>
      </w:r>
      <w:r w:rsidRPr="001775C3">
        <w:rPr>
          <w:lang w:eastAsia="zh-TW"/>
        </w:rPr>
        <w:t>月入境將創新高，瀏覽日期：</w:t>
      </w:r>
      <w:smartTag w:uri="urn:schemas-microsoft-com:office:smarttags" w:element="chsdate">
        <w:smartTagPr>
          <w:attr w:name="IsROCDate" w:val="False"/>
          <w:attr w:name="IsLunarDate" w:val="False"/>
          <w:attr w:name="Day" w:val="29"/>
          <w:attr w:name="Month" w:val="8"/>
          <w:attr w:name="Year" w:val="2013"/>
        </w:smartTagPr>
        <w:r w:rsidRPr="001775C3">
          <w:rPr>
            <w:lang w:eastAsia="zh-TW"/>
          </w:rPr>
          <w:t>2013</w:t>
        </w:r>
        <w:r w:rsidRPr="001775C3">
          <w:rPr>
            <w:lang w:eastAsia="zh-TW"/>
          </w:rPr>
          <w:t>年</w:t>
        </w:r>
        <w:r w:rsidRPr="001775C3">
          <w:rPr>
            <w:lang w:eastAsia="zh-TW"/>
          </w:rPr>
          <w:t>8</w:t>
        </w:r>
        <w:r w:rsidRPr="001775C3">
          <w:rPr>
            <w:lang w:eastAsia="zh-TW"/>
          </w:rPr>
          <w:t>月</w:t>
        </w:r>
        <w:r w:rsidRPr="001775C3">
          <w:rPr>
            <w:lang w:eastAsia="zh-TW"/>
          </w:rPr>
          <w:t>29</w:t>
        </w:r>
        <w:r w:rsidRPr="001775C3">
          <w:rPr>
            <w:lang w:eastAsia="zh-TW"/>
          </w:rPr>
          <w:t>日</w:t>
        </w:r>
      </w:smartTag>
      <w:r w:rsidRPr="001775C3">
        <w:rPr>
          <w:lang w:eastAsia="zh-TW"/>
        </w:rPr>
        <w:t>，</w:t>
      </w:r>
      <w:hyperlink r:id="rId152" w:history="1">
        <w:r w:rsidRPr="001775C3">
          <w:rPr>
            <w:rStyle w:val="a7"/>
            <w:rFonts w:ascii="Arial Unicode MS" w:eastAsia="新細明體" w:hAnsi="Arial Unicode MS" w:cs="Calibri"/>
            <w:color w:val="5F5F5F"/>
            <w:kern w:val="2"/>
            <w:sz w:val="18"/>
            <w:lang w:eastAsia="zh-TW"/>
          </w:rPr>
          <w:t>http://n.yam.com/liontravel/travel/20130828/20130828713950.htm</w:t>
        </w:r>
        <w:r w:rsidRPr="001775C3">
          <w:rPr>
            <w:rStyle w:val="a7"/>
            <w:lang w:eastAsia="zh-TW"/>
          </w:rPr>
          <w:t>l</w:t>
        </w:r>
      </w:hyperlink>
      <w:r w:rsidRPr="001775C3">
        <w:rPr>
          <w:lang w:eastAsia="zh-TW"/>
        </w:rPr>
        <w:t>。計算公式為：</w:t>
      </w:r>
      <w:r w:rsidRPr="001775C3">
        <w:rPr>
          <w:lang w:eastAsia="zh-TW"/>
        </w:rPr>
        <w:t>3</w:t>
      </w:r>
      <w:r w:rsidRPr="001775C3">
        <w:rPr>
          <w:lang w:eastAsia="zh-TW"/>
        </w:rPr>
        <w:t>萬</w:t>
      </w:r>
      <w:r w:rsidRPr="001775C3">
        <w:rPr>
          <w:lang w:eastAsia="zh-TW"/>
        </w:rPr>
        <w:t>3,237</w:t>
      </w:r>
      <w:r w:rsidRPr="001775C3">
        <w:rPr>
          <w:lang w:eastAsia="zh-TW"/>
        </w:rPr>
        <w:t>人</w:t>
      </w:r>
      <w:r w:rsidRPr="001775C3">
        <w:rPr>
          <w:lang w:eastAsia="zh-TW"/>
        </w:rPr>
        <w:t>/4,325</w:t>
      </w:r>
      <w:r w:rsidRPr="001775C3">
        <w:rPr>
          <w:lang w:eastAsia="zh-TW"/>
        </w:rPr>
        <w:t>人</w:t>
      </w:r>
      <w:r w:rsidRPr="001775C3">
        <w:rPr>
          <w:lang w:eastAsia="zh-TW"/>
        </w:rPr>
        <w:t>=7.68</w:t>
      </w:r>
      <w:r w:rsidRPr="001775C3">
        <w:rPr>
          <w:lang w:eastAsia="zh-TW"/>
        </w:rPr>
        <w:t>。</w:t>
      </w:r>
    </w:p>
  </w:footnote>
  <w:footnote w:id="632">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數據資料來源：參考移民署官方網站業務統計資料。</w:t>
      </w:r>
    </w:p>
  </w:footnote>
  <w:footnote w:id="633">
    <w:p w:rsidR="00657FEF" w:rsidRPr="008147DC" w:rsidRDefault="00657FEF" w:rsidP="00992AB6">
      <w:pPr>
        <w:pStyle w:val="5"/>
        <w:rPr>
          <w:lang w:eastAsia="zh-TW"/>
        </w:rPr>
      </w:pPr>
      <w:r w:rsidRPr="00002E50">
        <w:rPr>
          <w:rStyle w:val="af7"/>
        </w:rPr>
        <w:footnoteRef/>
      </w:r>
      <w:r w:rsidRPr="00002E50">
        <w:rPr>
          <w:rStyle w:val="af7"/>
          <w:lang w:eastAsia="zh-TW"/>
        </w:rPr>
        <w:t xml:space="preserve"> </w:t>
      </w:r>
      <w:r w:rsidRPr="008147DC">
        <w:rPr>
          <w:lang w:eastAsia="zh-TW"/>
        </w:rPr>
        <w:tab/>
      </w:r>
      <w:r w:rsidRPr="008147DC">
        <w:rPr>
          <w:lang w:eastAsia="zh-TW"/>
        </w:rPr>
        <w:t>數據來源：董介白</w:t>
      </w:r>
      <w:r w:rsidRPr="008147DC">
        <w:rPr>
          <w:lang w:eastAsia="zh-TW"/>
        </w:rPr>
        <w:t>(2013)</w:t>
      </w:r>
      <w:r w:rsidRPr="008147DC">
        <w:rPr>
          <w:lang w:eastAsia="zh-TW"/>
        </w:rPr>
        <w:t>，陸客來台健檢醫美，滯留行方不明人數最多，聯合報</w:t>
      </w:r>
      <w:r w:rsidRPr="008147DC">
        <w:rPr>
          <w:lang w:eastAsia="zh-TW"/>
        </w:rPr>
        <w:t>A2</w:t>
      </w:r>
      <w:r w:rsidRPr="008147DC">
        <w:rPr>
          <w:lang w:eastAsia="zh-TW"/>
        </w:rPr>
        <w:t>版，</w:t>
      </w:r>
      <w:smartTag w:uri="urn:schemas-microsoft-com:office:smarttags" w:element="chsdate">
        <w:smartTagPr>
          <w:attr w:name="IsROCDate" w:val="False"/>
          <w:attr w:name="IsLunarDate" w:val="False"/>
          <w:attr w:name="Day" w:val="19"/>
          <w:attr w:name="Month" w:val="7"/>
          <w:attr w:name="Year" w:val="2013"/>
        </w:smartTagPr>
        <w:r w:rsidRPr="008147DC">
          <w:rPr>
            <w:lang w:eastAsia="zh-TW"/>
          </w:rPr>
          <w:t>2013</w:t>
        </w:r>
        <w:r w:rsidRPr="008147DC">
          <w:rPr>
            <w:lang w:eastAsia="zh-TW"/>
          </w:rPr>
          <w:t>年</w:t>
        </w:r>
        <w:r w:rsidRPr="008147DC">
          <w:rPr>
            <w:lang w:eastAsia="zh-TW"/>
          </w:rPr>
          <w:t>7</w:t>
        </w:r>
        <w:r w:rsidRPr="008147DC">
          <w:rPr>
            <w:lang w:eastAsia="zh-TW"/>
          </w:rPr>
          <w:t>月</w:t>
        </w:r>
        <w:r w:rsidRPr="008147DC">
          <w:rPr>
            <w:lang w:eastAsia="zh-TW"/>
          </w:rPr>
          <w:t>19</w:t>
        </w:r>
        <w:r w:rsidRPr="008147DC">
          <w:rPr>
            <w:lang w:eastAsia="zh-TW"/>
          </w:rPr>
          <w:t>日</w:t>
        </w:r>
      </w:smartTag>
      <w:r w:rsidRPr="008147DC">
        <w:rPr>
          <w:lang w:eastAsia="zh-TW"/>
        </w:rPr>
        <w:t>。</w:t>
      </w:r>
    </w:p>
  </w:footnote>
  <w:footnote w:id="634">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錢利忠</w:t>
      </w:r>
      <w:r w:rsidRPr="008147DC">
        <w:rPr>
          <w:lang w:eastAsia="zh-TW"/>
        </w:rPr>
        <w:t>(2013)</w:t>
      </w:r>
      <w:r w:rsidRPr="008147DC">
        <w:rPr>
          <w:lang w:eastAsia="zh-TW"/>
        </w:rPr>
        <w:t>，來台健檢醫美，中國假僧民詐財，自由時報頭版，</w:t>
      </w:r>
      <w:smartTag w:uri="urn:schemas-microsoft-com:office:smarttags" w:element="chsdate">
        <w:smartTagPr>
          <w:attr w:name="IsROCDate" w:val="False"/>
          <w:attr w:name="IsLunarDate" w:val="False"/>
          <w:attr w:name="Day" w:val="13"/>
          <w:attr w:name="Month" w:val="5"/>
          <w:attr w:name="Year" w:val="2013"/>
        </w:smartTagPr>
        <w:r w:rsidRPr="008147DC">
          <w:rPr>
            <w:lang w:eastAsia="zh-TW"/>
          </w:rPr>
          <w:t>2013</w:t>
        </w:r>
        <w:r w:rsidRPr="008147DC">
          <w:rPr>
            <w:lang w:eastAsia="zh-TW"/>
          </w:rPr>
          <w:t>年</w:t>
        </w:r>
        <w:r w:rsidRPr="008147DC">
          <w:rPr>
            <w:lang w:eastAsia="zh-TW"/>
          </w:rPr>
          <w:t>5</w:t>
        </w:r>
        <w:r w:rsidRPr="008147DC">
          <w:rPr>
            <w:lang w:eastAsia="zh-TW"/>
          </w:rPr>
          <w:t>月</w:t>
        </w:r>
        <w:r w:rsidRPr="008147DC">
          <w:rPr>
            <w:lang w:eastAsia="zh-TW"/>
          </w:rPr>
          <w:t>13</w:t>
        </w:r>
        <w:r w:rsidRPr="008147DC">
          <w:rPr>
            <w:lang w:eastAsia="zh-TW"/>
          </w:rPr>
          <w:t>日</w:t>
        </w:r>
      </w:smartTag>
      <w:r w:rsidRPr="008147DC">
        <w:rPr>
          <w:lang w:eastAsia="zh-TW"/>
        </w:rPr>
        <w:t>。</w:t>
      </w:r>
    </w:p>
  </w:footnote>
  <w:footnote w:id="635">
    <w:p w:rsidR="00657FEF" w:rsidRPr="008147DC" w:rsidRDefault="00657FEF" w:rsidP="00992AB6">
      <w:pPr>
        <w:pStyle w:val="5"/>
        <w:rPr>
          <w:lang w:eastAsia="zh-TW"/>
        </w:rPr>
      </w:pPr>
      <w:r w:rsidRPr="00002E50">
        <w:rPr>
          <w:rStyle w:val="af7"/>
        </w:rPr>
        <w:footnoteRef/>
      </w:r>
      <w:r w:rsidRPr="00002E50">
        <w:rPr>
          <w:rStyle w:val="af7"/>
          <w:lang w:eastAsia="zh-TW"/>
        </w:rPr>
        <w:t xml:space="preserve"> </w:t>
      </w:r>
      <w:r w:rsidRPr="008147DC">
        <w:rPr>
          <w:lang w:eastAsia="zh-TW"/>
        </w:rPr>
        <w:tab/>
      </w:r>
      <w:r w:rsidRPr="008147DC">
        <w:rPr>
          <w:lang w:eastAsia="zh-TW"/>
        </w:rPr>
        <w:t>莊莉萍</w:t>
      </w:r>
      <w:r w:rsidRPr="008147DC">
        <w:rPr>
          <w:lang w:eastAsia="zh-TW"/>
        </w:rPr>
        <w:t>(2013)</w:t>
      </w:r>
      <w:r w:rsidRPr="008147DC">
        <w:rPr>
          <w:lang w:eastAsia="zh-TW"/>
        </w:rPr>
        <w:t>，大陸金光黨，假元寶騙法師</w:t>
      </w:r>
      <w:r w:rsidRPr="008147DC">
        <w:rPr>
          <w:lang w:eastAsia="zh-TW"/>
        </w:rPr>
        <w:t>305</w:t>
      </w:r>
      <w:r w:rsidRPr="008147DC">
        <w:rPr>
          <w:lang w:eastAsia="zh-TW"/>
        </w:rPr>
        <w:t>萬，自由時報</w:t>
      </w:r>
      <w:r w:rsidRPr="008147DC">
        <w:rPr>
          <w:lang w:eastAsia="zh-TW"/>
        </w:rPr>
        <w:t>B4</w:t>
      </w:r>
      <w:r w:rsidRPr="008147DC">
        <w:rPr>
          <w:lang w:eastAsia="zh-TW"/>
        </w:rPr>
        <w:t>版，</w:t>
      </w:r>
      <w:smartTag w:uri="urn:schemas-microsoft-com:office:smarttags" w:element="chsdate">
        <w:smartTagPr>
          <w:attr w:name="IsROCDate" w:val="False"/>
          <w:attr w:name="IsLunarDate" w:val="False"/>
          <w:attr w:name="Day" w:val="20"/>
          <w:attr w:name="Month" w:val="5"/>
          <w:attr w:name="Year" w:val="2013"/>
        </w:smartTagPr>
        <w:r w:rsidRPr="008147DC">
          <w:rPr>
            <w:lang w:eastAsia="zh-TW"/>
          </w:rPr>
          <w:t>2013</w:t>
        </w:r>
        <w:r w:rsidRPr="008147DC">
          <w:rPr>
            <w:lang w:eastAsia="zh-TW"/>
          </w:rPr>
          <w:t>年</w:t>
        </w:r>
        <w:r w:rsidRPr="008147DC">
          <w:rPr>
            <w:lang w:eastAsia="zh-TW"/>
          </w:rPr>
          <w:t>5</w:t>
        </w:r>
        <w:r w:rsidRPr="008147DC">
          <w:rPr>
            <w:lang w:eastAsia="zh-TW"/>
          </w:rPr>
          <w:t>月</w:t>
        </w:r>
        <w:r w:rsidRPr="008147DC">
          <w:rPr>
            <w:lang w:eastAsia="zh-TW"/>
          </w:rPr>
          <w:t>20</w:t>
        </w:r>
        <w:r w:rsidRPr="008147DC">
          <w:rPr>
            <w:lang w:eastAsia="zh-TW"/>
          </w:rPr>
          <w:t>日</w:t>
        </w:r>
      </w:smartTag>
      <w:r w:rsidRPr="008147DC">
        <w:rPr>
          <w:lang w:eastAsia="zh-TW"/>
        </w:rPr>
        <w:t>。吳岳修</w:t>
      </w:r>
      <w:r w:rsidRPr="008147DC">
        <w:rPr>
          <w:lang w:eastAsia="zh-TW"/>
        </w:rPr>
        <w:t>(2013)</w:t>
      </w:r>
      <w:r w:rsidRPr="008147DC">
        <w:rPr>
          <w:lang w:eastAsia="zh-TW"/>
        </w:rPr>
        <w:t>，中國祈福黨落網，反嗆台灣人也騙錢，自由時報</w:t>
      </w:r>
      <w:r w:rsidRPr="008147DC">
        <w:rPr>
          <w:lang w:eastAsia="zh-TW"/>
        </w:rPr>
        <w:t>A29</w:t>
      </w:r>
      <w:r w:rsidRPr="008147DC">
        <w:rPr>
          <w:lang w:eastAsia="zh-TW"/>
        </w:rPr>
        <w:t>版，</w:t>
      </w:r>
      <w:smartTag w:uri="urn:schemas-microsoft-com:office:smarttags" w:element="chsdate">
        <w:smartTagPr>
          <w:attr w:name="IsROCDate" w:val="False"/>
          <w:attr w:name="IsLunarDate" w:val="False"/>
          <w:attr w:name="Day" w:val="31"/>
          <w:attr w:name="Month" w:val="5"/>
          <w:attr w:name="Year" w:val="2013"/>
        </w:smartTagPr>
        <w:r w:rsidRPr="008147DC">
          <w:rPr>
            <w:lang w:eastAsia="zh-TW"/>
          </w:rPr>
          <w:t>2013</w:t>
        </w:r>
        <w:r w:rsidRPr="008147DC">
          <w:rPr>
            <w:lang w:eastAsia="zh-TW"/>
          </w:rPr>
          <w:t>年</w:t>
        </w:r>
        <w:r w:rsidRPr="008147DC">
          <w:rPr>
            <w:lang w:eastAsia="zh-TW"/>
          </w:rPr>
          <w:t>5</w:t>
        </w:r>
        <w:r w:rsidRPr="008147DC">
          <w:rPr>
            <w:lang w:eastAsia="zh-TW"/>
          </w:rPr>
          <w:t>月</w:t>
        </w:r>
        <w:r w:rsidRPr="008147DC">
          <w:rPr>
            <w:lang w:eastAsia="zh-TW"/>
          </w:rPr>
          <w:t>31</w:t>
        </w:r>
        <w:r w:rsidRPr="008147DC">
          <w:rPr>
            <w:lang w:eastAsia="zh-TW"/>
          </w:rPr>
          <w:t>日</w:t>
        </w:r>
      </w:smartTag>
      <w:r w:rsidRPr="008147DC">
        <w:rPr>
          <w:lang w:eastAsia="zh-TW"/>
        </w:rPr>
        <w:t>。</w:t>
      </w:r>
    </w:p>
  </w:footnote>
  <w:footnote w:id="636">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內政部於</w:t>
      </w:r>
      <w:smartTag w:uri="urn:schemas-microsoft-com:office:smarttags" w:element="chsdate">
        <w:smartTagPr>
          <w:attr w:name="IsROCDate" w:val="False"/>
          <w:attr w:name="IsLunarDate" w:val="False"/>
          <w:attr w:name="Day" w:val="28"/>
          <w:attr w:name="Month" w:val="12"/>
          <w:attr w:name="Year" w:val="2012"/>
        </w:smartTagPr>
        <w:r w:rsidRPr="008147DC">
          <w:rPr>
            <w:lang w:eastAsia="zh-TW"/>
          </w:rPr>
          <w:t>2012</w:t>
        </w:r>
        <w:r w:rsidRPr="008147DC">
          <w:rPr>
            <w:lang w:eastAsia="zh-TW"/>
          </w:rPr>
          <w:t>年</w:t>
        </w:r>
        <w:r w:rsidRPr="008147DC">
          <w:rPr>
            <w:lang w:eastAsia="zh-TW"/>
          </w:rPr>
          <w:t>12</w:t>
        </w:r>
        <w:r w:rsidRPr="008147DC">
          <w:rPr>
            <w:lang w:eastAsia="zh-TW"/>
          </w:rPr>
          <w:t>月</w:t>
        </w:r>
        <w:r w:rsidRPr="008147DC">
          <w:rPr>
            <w:lang w:eastAsia="zh-TW"/>
          </w:rPr>
          <w:t>28</w:t>
        </w:r>
        <w:r w:rsidRPr="008147DC">
          <w:rPr>
            <w:lang w:eastAsia="zh-TW"/>
          </w:rPr>
          <w:t>日</w:t>
        </w:r>
      </w:smartTag>
      <w:r w:rsidRPr="008147DC">
        <w:rPr>
          <w:lang w:eastAsia="zh-TW"/>
        </w:rPr>
        <w:t>修正大陸地區人民進入臺灣地區許可辦法，增加健檢醫美之申請限制及相關罰則。</w:t>
      </w:r>
    </w:p>
  </w:footnote>
  <w:footnote w:id="637">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李順德</w:t>
      </w:r>
      <w:r w:rsidRPr="008147DC">
        <w:rPr>
          <w:lang w:eastAsia="zh-TW"/>
        </w:rPr>
        <w:t>(2013</w:t>
      </w:r>
      <w:r w:rsidRPr="008147DC">
        <w:rPr>
          <w:lang w:eastAsia="zh-TW"/>
        </w:rPr>
        <w:t>年</w:t>
      </w:r>
      <w:r w:rsidRPr="008147DC">
        <w:rPr>
          <w:lang w:eastAsia="zh-TW"/>
        </w:rPr>
        <w:t>)</w:t>
      </w:r>
      <w:r w:rsidRPr="008147DC">
        <w:rPr>
          <w:lang w:eastAsia="zh-TW"/>
        </w:rPr>
        <w:t>，假醫美真觀光？陸客來臺把關，聯合報</w:t>
      </w:r>
      <w:r w:rsidRPr="008147DC">
        <w:rPr>
          <w:lang w:eastAsia="zh-TW"/>
        </w:rPr>
        <w:t>A27</w:t>
      </w:r>
      <w:r w:rsidRPr="008147DC">
        <w:rPr>
          <w:lang w:eastAsia="zh-TW"/>
        </w:rPr>
        <w:t>版，</w:t>
      </w:r>
      <w:smartTag w:uri="urn:schemas-microsoft-com:office:smarttags" w:element="chsdate">
        <w:smartTagPr>
          <w:attr w:name="IsROCDate" w:val="False"/>
          <w:attr w:name="IsLunarDate" w:val="False"/>
          <w:attr w:name="Day" w:val="20"/>
          <w:attr w:name="Month" w:val="7"/>
          <w:attr w:name="Year" w:val="2013"/>
        </w:smartTagPr>
        <w:r w:rsidRPr="008147DC">
          <w:rPr>
            <w:lang w:eastAsia="zh-TW"/>
          </w:rPr>
          <w:t>2013</w:t>
        </w:r>
        <w:r w:rsidRPr="008147DC">
          <w:rPr>
            <w:lang w:eastAsia="zh-TW"/>
          </w:rPr>
          <w:t>年</w:t>
        </w:r>
        <w:r w:rsidRPr="008147DC">
          <w:rPr>
            <w:lang w:eastAsia="zh-TW"/>
          </w:rPr>
          <w:t>7</w:t>
        </w:r>
        <w:r w:rsidRPr="008147DC">
          <w:rPr>
            <w:lang w:eastAsia="zh-TW"/>
          </w:rPr>
          <w:t>月</w:t>
        </w:r>
        <w:r w:rsidRPr="008147DC">
          <w:rPr>
            <w:lang w:eastAsia="zh-TW"/>
          </w:rPr>
          <w:t>20</w:t>
        </w:r>
        <w:r w:rsidRPr="008147DC">
          <w:rPr>
            <w:lang w:eastAsia="zh-TW"/>
          </w:rPr>
          <w:t>日</w:t>
        </w:r>
      </w:smartTag>
      <w:r w:rsidRPr="008147DC">
        <w:rPr>
          <w:lang w:eastAsia="zh-TW"/>
        </w:rPr>
        <w:t>。</w:t>
      </w:r>
    </w:p>
  </w:footnote>
  <w:footnote w:id="638">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筆者參閱法令規範自行整理製表。</w:t>
      </w:r>
    </w:p>
  </w:footnote>
  <w:footnote w:id="639">
    <w:p w:rsidR="00657FEF" w:rsidRPr="008147DC" w:rsidRDefault="00657FEF" w:rsidP="00992AB6">
      <w:pPr>
        <w:pStyle w:val="5"/>
        <w:rPr>
          <w:lang w:eastAsia="zh-TW"/>
        </w:rPr>
      </w:pPr>
      <w:r w:rsidRPr="001775C3">
        <w:rPr>
          <w:rStyle w:val="af7"/>
          <w:rFonts w:eastAsia="新細明體"/>
          <w:kern w:val="2"/>
        </w:rPr>
        <w:footnoteRef/>
      </w:r>
      <w:r w:rsidRPr="008147DC">
        <w:rPr>
          <w:lang w:eastAsia="zh-TW"/>
        </w:rPr>
        <w:t xml:space="preserve"> </w:t>
      </w:r>
      <w:r w:rsidRPr="008147DC">
        <w:rPr>
          <w:lang w:eastAsia="zh-TW"/>
        </w:rPr>
        <w:tab/>
      </w:r>
      <w:r w:rsidRPr="008147DC">
        <w:rPr>
          <w:lang w:eastAsia="zh-TW"/>
        </w:rPr>
        <w:t>在</w:t>
      </w:r>
      <w:r w:rsidRPr="008147DC">
        <w:rPr>
          <w:lang w:eastAsia="zh-TW"/>
        </w:rPr>
        <w:t>2009</w:t>
      </w:r>
      <w:r w:rsidRPr="008147DC">
        <w:rPr>
          <w:lang w:eastAsia="zh-TW"/>
        </w:rPr>
        <w:t>年「人口販運防制法」還沒公布實施之前，入出國及移民法即已訂有人口販運之相關規定。</w:t>
      </w:r>
    </w:p>
  </w:footnote>
  <w:footnote w:id="640">
    <w:p w:rsidR="00657FEF" w:rsidRPr="008147DC" w:rsidRDefault="00657FEF" w:rsidP="00992AB6">
      <w:pPr>
        <w:pStyle w:val="5"/>
      </w:pPr>
      <w:r w:rsidRPr="001775C3">
        <w:rPr>
          <w:rStyle w:val="af7"/>
          <w:rFonts w:eastAsia="新細明體"/>
          <w:kern w:val="2"/>
        </w:rPr>
        <w:footnoteRef/>
      </w:r>
      <w:r w:rsidRPr="008147DC">
        <w:t xml:space="preserve"> </w:t>
      </w:r>
      <w:r w:rsidRPr="008147DC">
        <w:tab/>
        <w:t>TVPR</w:t>
      </w:r>
      <w:r w:rsidRPr="008147DC">
        <w:t>評比等級及摘要內容，資料來源：參考美國在台協會（</w:t>
      </w:r>
      <w:r w:rsidRPr="008147DC">
        <w:t>American Institute in Taiwan</w:t>
      </w:r>
      <w:r w:rsidRPr="008147DC">
        <w:t>），上網瀏覽時間：</w:t>
      </w:r>
      <w:r w:rsidRPr="008147DC">
        <w:t>2017</w:t>
      </w:r>
      <w:r w:rsidRPr="008147DC">
        <w:t>年</w:t>
      </w:r>
      <w:r w:rsidRPr="008147DC">
        <w:t>3</w:t>
      </w:r>
      <w:r w:rsidRPr="008147DC">
        <w:t>月</w:t>
      </w:r>
      <w:r w:rsidRPr="008147DC">
        <w:t xml:space="preserve">21 </w:t>
      </w:r>
      <w:r w:rsidRPr="008147DC">
        <w:t>日，網址：</w:t>
      </w:r>
      <w:hyperlink r:id="rId153" w:history="1">
        <w:r w:rsidRPr="002B171C">
          <w:rPr>
            <w:rStyle w:val="a7"/>
            <w:rFonts w:ascii="Arial Unicode MS" w:eastAsia="新細明體" w:hAnsi="Arial Unicode MS" w:cs="Calibri"/>
            <w:color w:val="5F5F5F"/>
            <w:kern w:val="2"/>
            <w:sz w:val="18"/>
          </w:rPr>
          <w:t>https://www.ait.org.tw/zh/trafficking-in-persons-report.html</w:t>
        </w:r>
      </w:hyperlink>
      <w:r w:rsidRPr="002B171C">
        <w:rPr>
          <w:color w:val="5F5F5F"/>
        </w:rPr>
        <w:t xml:space="preserve"> </w:t>
      </w:r>
    </w:p>
  </w:footnote>
  <w:footnote w:id="641">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有關於臺灣人口販運犯罪所面臨之問題，及可行之解決對策，尚可進一步參閱以下相關之文獻：</w:t>
      </w:r>
    </w:p>
    <w:p w:rsidR="00657FEF" w:rsidRPr="007010AD" w:rsidRDefault="00657FEF" w:rsidP="00992AB6">
      <w:pPr>
        <w:pStyle w:val="5"/>
      </w:pPr>
      <w:r w:rsidRPr="008147DC">
        <w:t>1.</w:t>
      </w:r>
      <w:r w:rsidRPr="008147DC">
        <w:t>謝立功，臺灣人口販運問題分析，上網瀏覽時間：</w:t>
      </w:r>
      <w:smartTag w:uri="urn:schemas-microsoft-com:office:smarttags" w:element="chsdate">
        <w:smartTagPr>
          <w:attr w:name="IsROCDate" w:val="False"/>
          <w:attr w:name="IsLunarDate" w:val="False"/>
          <w:attr w:name="Day" w:val="27"/>
          <w:attr w:name="Month" w:val="3"/>
          <w:attr w:name="Year" w:val="2014"/>
        </w:smartTagPr>
        <w:r w:rsidRPr="008147DC">
          <w:t>2014</w:t>
        </w:r>
        <w:r w:rsidRPr="008147DC">
          <w:t>年</w:t>
        </w:r>
        <w:r w:rsidRPr="008147DC">
          <w:t>3</w:t>
        </w:r>
        <w:r w:rsidRPr="008147DC">
          <w:t>月</w:t>
        </w:r>
        <w:r w:rsidRPr="008147DC">
          <w:t>27</w:t>
        </w:r>
        <w:r w:rsidRPr="008147DC">
          <w:t>日</w:t>
        </w:r>
      </w:smartTag>
      <w:r w:rsidRPr="008147DC">
        <w:t>，</w:t>
      </w:r>
      <w:hyperlink r:id="rId154" w:history="1">
        <w:r w:rsidRPr="007010AD">
          <w:rPr>
            <w:rStyle w:val="a7"/>
            <w:rFonts w:ascii="Arial Unicode MS" w:eastAsia="新細明體" w:hAnsi="Arial Unicode MS" w:cs="Calibri"/>
            <w:color w:val="5F5F5F"/>
            <w:kern w:val="2"/>
            <w:sz w:val="18"/>
          </w:rPr>
          <w:t>http://www.pra.cpu.edu.tw/paper/3/8/pdf</w:t>
        </w:r>
      </w:hyperlink>
      <w:r w:rsidRPr="007010AD">
        <w:t>。</w:t>
      </w:r>
    </w:p>
    <w:p w:rsidR="00657FEF" w:rsidRPr="007010AD" w:rsidRDefault="00657FEF" w:rsidP="00992AB6">
      <w:pPr>
        <w:pStyle w:val="5"/>
        <w:rPr>
          <w:lang w:eastAsia="zh-TW"/>
        </w:rPr>
      </w:pPr>
      <w:r w:rsidRPr="007010AD">
        <w:rPr>
          <w:lang w:eastAsia="zh-TW"/>
        </w:rPr>
        <w:t>2.</w:t>
      </w:r>
      <w:r w:rsidRPr="007010AD">
        <w:rPr>
          <w:lang w:eastAsia="zh-TW"/>
        </w:rPr>
        <w:t>謝立功</w:t>
      </w:r>
      <w:r w:rsidRPr="007010AD">
        <w:rPr>
          <w:lang w:eastAsia="zh-TW"/>
        </w:rPr>
        <w:t>(2007)</w:t>
      </w:r>
      <w:r w:rsidRPr="007010AD">
        <w:rPr>
          <w:lang w:eastAsia="zh-TW"/>
        </w:rPr>
        <w:t>，我國人口販運防制對策，收錄於臺北市法務部：刑事政策與犯罪研究論文集</w:t>
      </w:r>
      <w:r w:rsidRPr="007010AD">
        <w:rPr>
          <w:lang w:eastAsia="zh-TW"/>
        </w:rPr>
        <w:t>(</w:t>
      </w:r>
      <w:r w:rsidRPr="007010AD">
        <w:rPr>
          <w:lang w:eastAsia="zh-TW"/>
        </w:rPr>
        <w:t>十</w:t>
      </w:r>
      <w:r w:rsidRPr="007010AD">
        <w:rPr>
          <w:lang w:eastAsia="zh-TW"/>
        </w:rPr>
        <w:t>)</w:t>
      </w:r>
    </w:p>
    <w:p w:rsidR="00657FEF" w:rsidRPr="007010AD" w:rsidRDefault="00657FEF" w:rsidP="00992AB6">
      <w:pPr>
        <w:pStyle w:val="5"/>
        <w:rPr>
          <w:rStyle w:val="af6"/>
          <w:rFonts w:asciiTheme="minorEastAsia" w:eastAsiaTheme="minorEastAsia" w:hAnsiTheme="minorEastAsia"/>
        </w:rPr>
      </w:pPr>
      <w:r w:rsidRPr="007010AD">
        <w:t>3.</w:t>
      </w:r>
      <w:r w:rsidRPr="007010AD">
        <w:t>內政部入出國及移民署專勤事務大隊</w:t>
      </w:r>
      <w:r w:rsidRPr="007010AD">
        <w:t>(2013)</w:t>
      </w:r>
      <w:r w:rsidRPr="007010AD">
        <w:t>，移民署長謝立功關懷外籍漁工工</w:t>
      </w:r>
      <w:r w:rsidRPr="007010AD">
        <w:rPr>
          <w:rStyle w:val="af6"/>
          <w:rFonts w:asciiTheme="minorEastAsia" w:eastAsiaTheme="minorEastAsia" w:hAnsiTheme="minorEastAsia"/>
        </w:rPr>
        <w:t>作生活，上網瀏覽時間：</w:t>
      </w:r>
      <w:smartTag w:uri="urn:schemas-microsoft-com:office:smarttags" w:element="chsdate">
        <w:smartTagPr>
          <w:attr w:name="IsROCDate" w:val="False"/>
          <w:attr w:name="IsLunarDate" w:val="False"/>
          <w:attr w:name="Day" w:val="27"/>
          <w:attr w:name="Month" w:val="3"/>
          <w:attr w:name="Year" w:val="2014"/>
        </w:smartTagPr>
        <w:r w:rsidRPr="007010AD">
          <w:rPr>
            <w:rStyle w:val="af6"/>
            <w:rFonts w:asciiTheme="minorEastAsia" w:eastAsiaTheme="minorEastAsia" w:hAnsiTheme="minorEastAsia"/>
          </w:rPr>
          <w:t>2014年3月27日</w:t>
        </w:r>
      </w:smartTag>
      <w:r w:rsidRPr="007010AD">
        <w:rPr>
          <w:rStyle w:val="af6"/>
          <w:rFonts w:asciiTheme="minorEastAsia" w:eastAsiaTheme="minorEastAsia" w:hAnsiTheme="minorEastAsia"/>
        </w:rPr>
        <w:t>，</w:t>
      </w:r>
      <w:hyperlink r:id="rId155" w:history="1">
        <w:r w:rsidRPr="007010AD">
          <w:rPr>
            <w:rStyle w:val="a7"/>
            <w:rFonts w:ascii="Arial Unicode MS" w:eastAsia="新細明體" w:hAnsi="Arial Unicode MS" w:cs="Calibri"/>
            <w:color w:val="5F5F5F"/>
            <w:kern w:val="2"/>
            <w:sz w:val="18"/>
          </w:rPr>
          <w:t>http://www.immigration.gov.tw/ct.asp?xItem=1241011&amp;ctNode=34815&amp;mp=mobmp1</w:t>
        </w:r>
      </w:hyperlink>
      <w:r w:rsidRPr="007010AD">
        <w:rPr>
          <w:rStyle w:val="af6"/>
          <w:rFonts w:asciiTheme="minorEastAsia" w:eastAsiaTheme="minorEastAsia" w:hAnsiTheme="minorEastAsia"/>
        </w:rPr>
        <w:t>。</w:t>
      </w:r>
    </w:p>
    <w:p w:rsidR="00657FEF" w:rsidRPr="007010AD" w:rsidRDefault="00657FEF" w:rsidP="00992AB6">
      <w:pPr>
        <w:pStyle w:val="5"/>
      </w:pPr>
      <w:r w:rsidRPr="007010AD">
        <w:t>4.</w:t>
      </w:r>
      <w:r w:rsidRPr="007010AD">
        <w:t>財團法人中央廣播電臺</w:t>
      </w:r>
      <w:r w:rsidRPr="007010AD">
        <w:t>(2013)</w:t>
      </w:r>
      <w:r w:rsidRPr="007010AD">
        <w:t>，外勞組工會，謝立功赴南方澳參訪，上網瀏覽時間：</w:t>
      </w:r>
      <w:r w:rsidRPr="007010AD">
        <w:t>2014</w:t>
      </w:r>
      <w:r w:rsidRPr="007010AD">
        <w:t>年</w:t>
      </w:r>
      <w:r w:rsidRPr="007010AD">
        <w:t>3</w:t>
      </w:r>
      <w:r w:rsidRPr="007010AD">
        <w:t>月</w:t>
      </w:r>
      <w:r w:rsidRPr="007010AD">
        <w:t>26</w:t>
      </w:r>
      <w:r w:rsidRPr="007010AD">
        <w:t>日，</w:t>
      </w:r>
      <w:hyperlink r:id="rId156" w:history="1">
        <w:r w:rsidRPr="007010AD">
          <w:rPr>
            <w:rStyle w:val="a7"/>
            <w:rFonts w:ascii="Arial Unicode MS" w:eastAsia="新細明體" w:hAnsi="Arial Unicode MS" w:cs="Calibri"/>
            <w:color w:val="5F5F5F"/>
            <w:kern w:val="2"/>
            <w:sz w:val="18"/>
          </w:rPr>
          <w:t>http://news.rti.org.tw/index_newsContent.aspx?nid=471644</w:t>
        </w:r>
      </w:hyperlink>
      <w:r w:rsidRPr="007010AD">
        <w:t>。</w:t>
      </w:r>
    </w:p>
    <w:p w:rsidR="00657FEF" w:rsidRPr="008147DC" w:rsidRDefault="00657FEF" w:rsidP="00992AB6">
      <w:pPr>
        <w:pStyle w:val="5"/>
        <w:rPr>
          <w:lang w:eastAsia="zh-TW"/>
        </w:rPr>
      </w:pPr>
      <w:r w:rsidRPr="008147DC">
        <w:rPr>
          <w:lang w:eastAsia="zh-TW"/>
        </w:rPr>
        <w:t>5.</w:t>
      </w:r>
      <w:r w:rsidRPr="008147DC">
        <w:rPr>
          <w:lang w:eastAsia="zh-TW"/>
        </w:rPr>
        <w:t>高瑞鍾、謝文忠、高瑞新</w:t>
      </w:r>
      <w:r w:rsidRPr="008147DC">
        <w:rPr>
          <w:lang w:eastAsia="zh-TW"/>
        </w:rPr>
        <w:t>(2013)</w:t>
      </w:r>
      <w:r w:rsidRPr="008147DC">
        <w:rPr>
          <w:lang w:eastAsia="zh-TW"/>
        </w:rPr>
        <w:t>，我國與南韓人口販運防制工作之比較研究，金大學報，第</w:t>
      </w:r>
      <w:r w:rsidRPr="008147DC">
        <w:rPr>
          <w:lang w:eastAsia="zh-TW"/>
        </w:rPr>
        <w:t>3</w:t>
      </w:r>
      <w:r w:rsidRPr="008147DC">
        <w:rPr>
          <w:lang w:eastAsia="zh-TW"/>
        </w:rPr>
        <w:t>期，頁</w:t>
      </w:r>
      <w:r w:rsidRPr="008147DC">
        <w:rPr>
          <w:lang w:eastAsia="zh-TW"/>
        </w:rPr>
        <w:t>131-150</w:t>
      </w:r>
      <w:r w:rsidRPr="008147DC">
        <w:rPr>
          <w:lang w:eastAsia="zh-TW"/>
        </w:rPr>
        <w:t>。</w:t>
      </w:r>
    </w:p>
  </w:footnote>
  <w:footnote w:id="642">
    <w:p w:rsidR="00657FEF" w:rsidRPr="008147DC" w:rsidRDefault="00657FEF" w:rsidP="00992AB6">
      <w:pPr>
        <w:pStyle w:val="5"/>
        <w:rPr>
          <w:lang w:eastAsia="zh-TW"/>
        </w:rPr>
      </w:pPr>
      <w:r w:rsidRPr="00002E50">
        <w:rPr>
          <w:rStyle w:val="af7"/>
        </w:rPr>
        <w:footnoteRef/>
      </w:r>
      <w:r w:rsidRPr="008147DC">
        <w:rPr>
          <w:rStyle w:val="af7"/>
          <w:rFonts w:asciiTheme="minorEastAsia" w:eastAsiaTheme="minorEastAsia" w:hAnsiTheme="minorEastAsia"/>
          <w:lang w:eastAsia="zh-TW"/>
        </w:rPr>
        <w:t xml:space="preserve"> </w:t>
      </w:r>
      <w:r w:rsidRPr="008147DC">
        <w:rPr>
          <w:rStyle w:val="af7"/>
          <w:rFonts w:asciiTheme="minorEastAsia" w:eastAsiaTheme="minorEastAsia" w:hAnsiTheme="minorEastAsia"/>
          <w:lang w:eastAsia="zh-TW"/>
        </w:rPr>
        <w:tab/>
      </w:r>
      <w:r w:rsidRPr="008147DC">
        <w:rPr>
          <w:lang w:eastAsia="zh-TW"/>
        </w:rPr>
        <w:t>林克倫</w:t>
      </w:r>
      <w:r w:rsidRPr="008147DC">
        <w:rPr>
          <w:lang w:eastAsia="zh-TW"/>
        </w:rPr>
        <w:t>(2013)</w:t>
      </w:r>
      <w:r w:rsidRPr="008147DC">
        <w:rPr>
          <w:lang w:eastAsia="zh-TW"/>
        </w:rPr>
        <w:t>，陳雲林提時間表：「爭取年內互設兩會辦事處」，聯合報</w:t>
      </w:r>
      <w:r w:rsidRPr="008147DC">
        <w:rPr>
          <w:lang w:eastAsia="zh-TW"/>
        </w:rPr>
        <w:t>A4</w:t>
      </w:r>
      <w:r w:rsidRPr="008147DC">
        <w:rPr>
          <w:lang w:eastAsia="zh-TW"/>
        </w:rPr>
        <w:t>版，</w:t>
      </w:r>
      <w:smartTag w:uri="urn:schemas-microsoft-com:office:smarttags" w:element="chsdate">
        <w:smartTagPr>
          <w:attr w:name="IsROCDate" w:val="False"/>
          <w:attr w:name="IsLunarDate" w:val="False"/>
          <w:attr w:name="Day" w:val="13"/>
          <w:attr w:name="Month" w:val="1"/>
          <w:attr w:name="Year" w:val="2013"/>
        </w:smartTagPr>
        <w:r w:rsidRPr="008147DC">
          <w:rPr>
            <w:lang w:eastAsia="zh-TW"/>
          </w:rPr>
          <w:t>2013</w:t>
        </w:r>
        <w:r w:rsidRPr="008147DC">
          <w:rPr>
            <w:lang w:eastAsia="zh-TW"/>
          </w:rPr>
          <w:t>年</w:t>
        </w:r>
        <w:r w:rsidRPr="008147DC">
          <w:rPr>
            <w:lang w:eastAsia="zh-TW"/>
          </w:rPr>
          <w:t>1</w:t>
        </w:r>
        <w:r w:rsidRPr="008147DC">
          <w:rPr>
            <w:lang w:eastAsia="zh-TW"/>
          </w:rPr>
          <w:t>月</w:t>
        </w:r>
        <w:r w:rsidRPr="008147DC">
          <w:rPr>
            <w:lang w:eastAsia="zh-TW"/>
          </w:rPr>
          <w:t>13</w:t>
        </w:r>
        <w:r w:rsidRPr="008147DC">
          <w:rPr>
            <w:lang w:eastAsia="zh-TW"/>
          </w:rPr>
          <w:t>日</w:t>
        </w:r>
      </w:smartTag>
      <w:r w:rsidRPr="008147DC">
        <w:rPr>
          <w:lang w:eastAsia="zh-TW"/>
        </w:rPr>
        <w:t>。</w:t>
      </w:r>
    </w:p>
  </w:footnote>
  <w:footnote w:id="643">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李明賢、陳柏廷</w:t>
      </w:r>
      <w:r w:rsidRPr="008147DC">
        <w:rPr>
          <w:lang w:eastAsia="zh-TW"/>
        </w:rPr>
        <w:t>(2013)</w:t>
      </w:r>
      <w:r w:rsidRPr="008147DC">
        <w:rPr>
          <w:lang w:eastAsia="zh-TW"/>
        </w:rPr>
        <w:t>，海協駐台機構可享外交特權，中國時報</w:t>
      </w:r>
      <w:r w:rsidRPr="008147DC">
        <w:rPr>
          <w:lang w:eastAsia="zh-TW"/>
        </w:rPr>
        <w:t>A17</w:t>
      </w:r>
      <w:r w:rsidRPr="008147DC">
        <w:rPr>
          <w:lang w:eastAsia="zh-TW"/>
        </w:rPr>
        <w:t>版，</w:t>
      </w:r>
      <w:smartTag w:uri="urn:schemas-microsoft-com:office:smarttags" w:element="chsdate">
        <w:smartTagPr>
          <w:attr w:name="IsROCDate" w:val="False"/>
          <w:attr w:name="IsLunarDate" w:val="False"/>
          <w:attr w:name="Day" w:val="12"/>
          <w:attr w:name="Month" w:val="4"/>
          <w:attr w:name="Year" w:val="2013"/>
        </w:smartTagPr>
        <w:r w:rsidRPr="008147DC">
          <w:rPr>
            <w:lang w:eastAsia="zh-TW"/>
          </w:rPr>
          <w:t>2013</w:t>
        </w:r>
        <w:r w:rsidRPr="008147DC">
          <w:rPr>
            <w:lang w:eastAsia="zh-TW"/>
          </w:rPr>
          <w:t>年</w:t>
        </w:r>
        <w:r w:rsidRPr="008147DC">
          <w:rPr>
            <w:lang w:eastAsia="zh-TW"/>
          </w:rPr>
          <w:t>4</w:t>
        </w:r>
        <w:r w:rsidRPr="008147DC">
          <w:rPr>
            <w:lang w:eastAsia="zh-TW"/>
          </w:rPr>
          <w:t>月</w:t>
        </w:r>
        <w:r w:rsidRPr="008147DC">
          <w:rPr>
            <w:lang w:eastAsia="zh-TW"/>
          </w:rPr>
          <w:t>12</w:t>
        </w:r>
        <w:r w:rsidRPr="008147DC">
          <w:rPr>
            <w:lang w:eastAsia="zh-TW"/>
          </w:rPr>
          <w:t>日</w:t>
        </w:r>
      </w:smartTag>
      <w:r w:rsidRPr="008147DC">
        <w:rPr>
          <w:lang w:eastAsia="zh-TW"/>
        </w:rPr>
        <w:t>。</w:t>
      </w:r>
    </w:p>
  </w:footnote>
  <w:footnote w:id="644">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藍孝誠</w:t>
      </w:r>
      <w:r w:rsidRPr="008147DC">
        <w:rPr>
          <w:lang w:eastAsia="zh-TW"/>
        </w:rPr>
        <w:t>(2013)</w:t>
      </w:r>
      <w:r w:rsidRPr="008147DC">
        <w:rPr>
          <w:lang w:eastAsia="zh-TW"/>
        </w:rPr>
        <w:t>，兩會互設辦事處</w:t>
      </w:r>
      <w:r w:rsidRPr="008147DC">
        <w:rPr>
          <w:lang w:eastAsia="zh-TW"/>
        </w:rPr>
        <w:t xml:space="preserve"> </w:t>
      </w:r>
      <w:r w:rsidRPr="008147DC">
        <w:rPr>
          <w:lang w:eastAsia="zh-TW"/>
        </w:rPr>
        <w:t>文本獲共識，中國時報</w:t>
      </w:r>
      <w:r w:rsidRPr="008147DC">
        <w:rPr>
          <w:lang w:eastAsia="zh-TW"/>
        </w:rPr>
        <w:t>A17</w:t>
      </w:r>
      <w:r w:rsidRPr="008147DC">
        <w:rPr>
          <w:lang w:eastAsia="zh-TW"/>
        </w:rPr>
        <w:t>版，</w:t>
      </w:r>
      <w:smartTag w:uri="urn:schemas-microsoft-com:office:smarttags" w:element="chsdate">
        <w:smartTagPr>
          <w:attr w:name="IsROCDate" w:val="False"/>
          <w:attr w:name="IsLunarDate" w:val="False"/>
          <w:attr w:name="Day" w:val="17"/>
          <w:attr w:name="Month" w:val="5"/>
          <w:attr w:name="Year" w:val="2013"/>
        </w:smartTagPr>
        <w:r w:rsidRPr="008147DC">
          <w:rPr>
            <w:lang w:eastAsia="zh-TW"/>
          </w:rPr>
          <w:t>2013</w:t>
        </w:r>
        <w:r w:rsidRPr="008147DC">
          <w:rPr>
            <w:lang w:eastAsia="zh-TW"/>
          </w:rPr>
          <w:t>年</w:t>
        </w:r>
        <w:r w:rsidRPr="008147DC">
          <w:rPr>
            <w:lang w:eastAsia="zh-TW"/>
          </w:rPr>
          <w:t>5</w:t>
        </w:r>
        <w:r w:rsidRPr="008147DC">
          <w:rPr>
            <w:lang w:eastAsia="zh-TW"/>
          </w:rPr>
          <w:t>月</w:t>
        </w:r>
        <w:r w:rsidRPr="008147DC">
          <w:rPr>
            <w:lang w:eastAsia="zh-TW"/>
          </w:rPr>
          <w:t>17</w:t>
        </w:r>
        <w:r w:rsidRPr="008147DC">
          <w:rPr>
            <w:lang w:eastAsia="zh-TW"/>
          </w:rPr>
          <w:t>日</w:t>
        </w:r>
      </w:smartTag>
      <w:r w:rsidRPr="008147DC">
        <w:rPr>
          <w:lang w:eastAsia="zh-TW"/>
        </w:rPr>
        <w:t>。</w:t>
      </w:r>
    </w:p>
  </w:footnote>
  <w:footnote w:id="645">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行政院大陸委員會</w:t>
      </w:r>
      <w:r w:rsidRPr="008147DC">
        <w:rPr>
          <w:lang w:eastAsia="zh-TW"/>
        </w:rPr>
        <w:t>102</w:t>
      </w:r>
      <w:r w:rsidRPr="008147DC">
        <w:rPr>
          <w:lang w:eastAsia="zh-TW"/>
        </w:rPr>
        <w:t>年</w:t>
      </w:r>
      <w:r w:rsidRPr="008147DC">
        <w:rPr>
          <w:lang w:eastAsia="zh-TW"/>
        </w:rPr>
        <w:t>6</w:t>
      </w:r>
      <w:r w:rsidRPr="008147DC">
        <w:rPr>
          <w:lang w:eastAsia="zh-TW"/>
        </w:rPr>
        <w:t>月</w:t>
      </w:r>
      <w:r w:rsidRPr="008147DC">
        <w:rPr>
          <w:lang w:eastAsia="zh-TW"/>
        </w:rPr>
        <w:t>18</w:t>
      </w:r>
      <w:r w:rsidRPr="008147DC">
        <w:rPr>
          <w:lang w:eastAsia="zh-TW"/>
        </w:rPr>
        <w:t>日編字第</w:t>
      </w:r>
      <w:r w:rsidRPr="008147DC">
        <w:rPr>
          <w:lang w:eastAsia="zh-TW"/>
        </w:rPr>
        <w:t>039</w:t>
      </w:r>
      <w:r w:rsidRPr="008147DC">
        <w:rPr>
          <w:lang w:eastAsia="zh-TW"/>
        </w:rPr>
        <w:t>號新聞稿聲明內容。</w:t>
      </w:r>
    </w:p>
  </w:footnote>
  <w:footnote w:id="646">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近來，曾有臺北地檢署某檢察官因偵辦醫美健檢來台詐財之大陸地區人民案件，來電詢問筆者申請案件之流程及審核之規定，該檢察官瞭解申請流程之後，對於政府機關僅單純審查書面資料，而未查證其資料之真實性，即可同意令大陸地區人民入境之行政作為，感到非常不可思議與驚訝，甚至表示，如此之審核過程，當然會造成有如此多大陸地區人民可自由自在在台行乞、詐財甚至街頭賣藝之情形發生。從司法檢察官偵辦案件之角度來看，如此思維邏輯的確有其道理存在。</w:t>
      </w:r>
    </w:p>
  </w:footnote>
  <w:footnote w:id="647">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大陸地區處理兩岸人民往來事務機構在臺灣地區設立分支機構條例草案」之立法目的，係規範於第一條，第一條內容如下：為規範大陸地區處理兩岸人民往來事務之法人、團體或其他機構（以下簡稱大陸地區處理兩岸人民往來事務機構），在臺灣地區設立分支機構之許可及管理相關事項，特制定本條例。</w:t>
      </w:r>
    </w:p>
  </w:footnote>
  <w:footnote w:id="648">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大陸地區處理兩岸人民往來事務機構在臺灣地區設立分支機構條例草案第三條：大陸地區處理兩岸人民往來事務機構，經主管機關許可，得在臺灣地區設立分支機構。</w:t>
      </w:r>
      <w:r w:rsidRPr="008147DC">
        <w:rPr>
          <w:lang w:eastAsia="zh-TW"/>
        </w:rPr>
        <w:br/>
      </w:r>
      <w:r w:rsidRPr="008147DC">
        <w:rPr>
          <w:lang w:eastAsia="zh-TW"/>
        </w:rPr>
        <w:t>前項分支機構之許可要件、程序、方式、業務活動範圍及其他應遵行事項之辦法，由主管機關擬訂，報請行政院核定。</w:t>
      </w:r>
    </w:p>
  </w:footnote>
  <w:footnote w:id="649">
    <w:p w:rsidR="00657FEF" w:rsidRPr="008147DC" w:rsidRDefault="00657FEF" w:rsidP="00992AB6">
      <w:pPr>
        <w:pStyle w:val="5"/>
        <w:rPr>
          <w:lang w:eastAsia="zh-TW"/>
        </w:rPr>
      </w:pPr>
      <w:r w:rsidRPr="00002E50">
        <w:rPr>
          <w:rStyle w:val="af7"/>
        </w:rPr>
        <w:footnoteRef/>
      </w:r>
      <w:r w:rsidRPr="00002E50">
        <w:rPr>
          <w:rStyle w:val="af7"/>
          <w:lang w:eastAsia="zh-TW"/>
        </w:rPr>
        <w:t xml:space="preserve"> </w:t>
      </w:r>
      <w:r w:rsidRPr="008147DC">
        <w:rPr>
          <w:lang w:eastAsia="zh-TW"/>
        </w:rPr>
        <w:tab/>
      </w:r>
      <w:r w:rsidRPr="008147DC">
        <w:rPr>
          <w:lang w:eastAsia="zh-TW"/>
        </w:rPr>
        <w:t>大陸地區處理兩岸人民往來事務機構在臺灣地區設立分支機構條例草案第四條：大陸地區處理兩岸人民往來事務機構，申請在臺灣地區設立分支機構，主管機關為許可時，應注意下列事項：</w:t>
      </w:r>
      <w:r w:rsidRPr="008147DC">
        <w:rPr>
          <w:lang w:eastAsia="zh-TW"/>
        </w:rPr>
        <w:br/>
      </w:r>
      <w:r w:rsidRPr="008147DC">
        <w:rPr>
          <w:lang w:eastAsia="zh-TW"/>
        </w:rPr>
        <w:t>一、是否符合本條例及其他法令之規定。</w:t>
      </w:r>
      <w:r w:rsidRPr="008147DC">
        <w:rPr>
          <w:lang w:eastAsia="zh-TW"/>
        </w:rPr>
        <w:br/>
      </w:r>
      <w:r w:rsidRPr="008147DC">
        <w:rPr>
          <w:lang w:eastAsia="zh-TW"/>
        </w:rPr>
        <w:t>二、是否符合國家利益。</w:t>
      </w:r>
      <w:r w:rsidRPr="008147DC">
        <w:rPr>
          <w:lang w:eastAsia="zh-TW"/>
        </w:rPr>
        <w:br/>
      </w:r>
      <w:r w:rsidRPr="008147DC">
        <w:rPr>
          <w:lang w:eastAsia="zh-TW"/>
        </w:rPr>
        <w:t>三、是否符合對等原則。</w:t>
      </w:r>
      <w:r w:rsidRPr="008147DC">
        <w:rPr>
          <w:lang w:eastAsia="zh-TW"/>
        </w:rPr>
        <w:br/>
      </w:r>
      <w:r w:rsidRPr="008147DC">
        <w:rPr>
          <w:lang w:eastAsia="zh-TW"/>
        </w:rPr>
        <w:t>四、有無處理兩岸人民往來事務之需要。</w:t>
      </w:r>
    </w:p>
  </w:footnote>
  <w:footnote w:id="650">
    <w:p w:rsidR="00657FEF" w:rsidRPr="008147DC" w:rsidRDefault="00657FEF" w:rsidP="00992AB6">
      <w:pPr>
        <w:pStyle w:val="5"/>
        <w:rPr>
          <w:lang w:eastAsia="zh-TW"/>
        </w:rPr>
      </w:pPr>
      <w:r w:rsidRPr="00002E50">
        <w:rPr>
          <w:rStyle w:val="af7"/>
        </w:rPr>
        <w:footnoteRef/>
      </w:r>
      <w:r w:rsidRPr="00002E50">
        <w:rPr>
          <w:rStyle w:val="af7"/>
          <w:lang w:eastAsia="zh-TW"/>
        </w:rPr>
        <w:t xml:space="preserve"> </w:t>
      </w:r>
      <w:r w:rsidRPr="008147DC">
        <w:rPr>
          <w:lang w:eastAsia="zh-TW"/>
        </w:rPr>
        <w:tab/>
      </w:r>
      <w:r w:rsidRPr="008147DC">
        <w:rPr>
          <w:lang w:eastAsia="zh-TW"/>
        </w:rPr>
        <w:t>大陸地區處理兩岸人民往來事務機構在臺灣地區設立分支機構條例草案第五條：依本條例許可設立之分支機構，其派駐或僱用人員，須經主管機關同意；變更時，亦同。</w:t>
      </w:r>
      <w:r w:rsidRPr="008147DC">
        <w:rPr>
          <w:lang w:eastAsia="zh-TW"/>
        </w:rPr>
        <w:br/>
      </w:r>
      <w:r w:rsidRPr="008147DC">
        <w:rPr>
          <w:lang w:eastAsia="zh-TW"/>
        </w:rPr>
        <w:t>依前項規定派駐或僱用之大陸地區人員與其隨行家屬之入出境、在臺灣地區居留條件、程序、方式、限制、撤銷或廢止許可及其他應遵行事項之辦法，由內政部會商有關機關擬訂，報請行政院核定。</w:t>
      </w:r>
    </w:p>
  </w:footnote>
  <w:footnote w:id="651">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大陸地區處理兩岸人民往來事務機構在臺灣地區設立分支機構條例草案第七條：依本條例許可設立之分支機構，基於對等原則，於法令限制內，有享受權利、負擔義務之能力。</w:t>
      </w:r>
    </w:p>
  </w:footnote>
  <w:footnote w:id="652">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大陸地區處理兩岸人民往來事務機構在臺灣地區設立分支機構條例草案第八條：依本條例許可設立之分支機構，基於對等原則，得享有下列保障及便利措施：</w:t>
      </w:r>
      <w:r w:rsidRPr="008147DC">
        <w:rPr>
          <w:lang w:eastAsia="zh-TW"/>
        </w:rPr>
        <w:br/>
      </w:r>
      <w:r w:rsidRPr="008147DC">
        <w:rPr>
          <w:lang w:eastAsia="zh-TW"/>
        </w:rPr>
        <w:t>一、館舍不可侵犯，非經負責人同意，不得入內。</w:t>
      </w:r>
      <w:r w:rsidRPr="008147DC">
        <w:rPr>
          <w:lang w:eastAsia="zh-TW"/>
        </w:rPr>
        <w:br/>
      </w:r>
      <w:r w:rsidRPr="008147DC">
        <w:rPr>
          <w:lang w:eastAsia="zh-TW"/>
        </w:rPr>
        <w:t>二、財產免於搜索、扣押、執行及徵收。</w:t>
      </w:r>
      <w:r w:rsidRPr="008147DC">
        <w:rPr>
          <w:lang w:eastAsia="zh-TW"/>
        </w:rPr>
        <w:br/>
      </w:r>
      <w:r w:rsidRPr="008147DC">
        <w:rPr>
          <w:lang w:eastAsia="zh-TW"/>
        </w:rPr>
        <w:t>三、檔案文件不可侵犯。</w:t>
      </w:r>
      <w:r w:rsidRPr="008147DC">
        <w:rPr>
          <w:lang w:eastAsia="zh-TW"/>
        </w:rPr>
        <w:br/>
      </w:r>
      <w:r w:rsidRPr="008147DC">
        <w:rPr>
          <w:lang w:eastAsia="zh-TW"/>
        </w:rPr>
        <w:t>四、免於民事、刑事及行政管轄。但下列情形不在此限：</w:t>
      </w:r>
      <w:r w:rsidRPr="008147DC">
        <w:rPr>
          <w:lang w:eastAsia="zh-TW"/>
        </w:rPr>
        <w:br/>
      </w:r>
      <w:r w:rsidRPr="008147DC">
        <w:rPr>
          <w:lang w:eastAsia="zh-TW"/>
        </w:rPr>
        <w:t xml:space="preserve">　　</w:t>
      </w:r>
      <w:r w:rsidRPr="008147DC">
        <w:rPr>
          <w:lang w:eastAsia="zh-TW"/>
        </w:rPr>
        <w:t>(</w:t>
      </w:r>
      <w:r w:rsidRPr="008147DC">
        <w:rPr>
          <w:lang w:eastAsia="zh-TW"/>
        </w:rPr>
        <w:t>一</w:t>
      </w:r>
      <w:r w:rsidRPr="008147DC">
        <w:rPr>
          <w:lang w:eastAsia="zh-TW"/>
        </w:rPr>
        <w:t>)</w:t>
      </w:r>
      <w:r w:rsidRPr="008147DC">
        <w:rPr>
          <w:lang w:eastAsia="zh-TW"/>
        </w:rPr>
        <w:t>捨棄免於民事、刑事或行政管轄之保障。</w:t>
      </w:r>
      <w:r w:rsidRPr="008147DC">
        <w:rPr>
          <w:lang w:eastAsia="zh-TW"/>
        </w:rPr>
        <w:br/>
      </w:r>
      <w:r w:rsidRPr="008147DC">
        <w:rPr>
          <w:lang w:eastAsia="zh-TW"/>
        </w:rPr>
        <w:t xml:space="preserve">　　</w:t>
      </w:r>
      <w:r w:rsidRPr="008147DC">
        <w:rPr>
          <w:lang w:eastAsia="zh-TW"/>
        </w:rPr>
        <w:t>(</w:t>
      </w:r>
      <w:r w:rsidRPr="008147DC">
        <w:rPr>
          <w:lang w:eastAsia="zh-TW"/>
        </w:rPr>
        <w:t>二</w:t>
      </w:r>
      <w:r w:rsidRPr="008147DC">
        <w:rPr>
          <w:lang w:eastAsia="zh-TW"/>
        </w:rPr>
        <w:t>)</w:t>
      </w:r>
      <w:r w:rsidRPr="008147DC">
        <w:rPr>
          <w:lang w:eastAsia="zh-TW"/>
        </w:rPr>
        <w:t>為反訴之被告。</w:t>
      </w:r>
      <w:r w:rsidRPr="008147DC">
        <w:rPr>
          <w:lang w:eastAsia="zh-TW"/>
        </w:rPr>
        <w:br/>
      </w:r>
      <w:r w:rsidRPr="008147DC">
        <w:rPr>
          <w:lang w:eastAsia="zh-TW"/>
        </w:rPr>
        <w:t xml:space="preserve">　　</w:t>
      </w:r>
      <w:r w:rsidRPr="008147DC">
        <w:rPr>
          <w:lang w:eastAsia="zh-TW"/>
        </w:rPr>
        <w:t>(</w:t>
      </w:r>
      <w:r w:rsidRPr="008147DC">
        <w:rPr>
          <w:lang w:eastAsia="zh-TW"/>
        </w:rPr>
        <w:t>三</w:t>
      </w:r>
      <w:r w:rsidRPr="008147DC">
        <w:rPr>
          <w:lang w:eastAsia="zh-TW"/>
        </w:rPr>
        <w:t>)</w:t>
      </w:r>
      <w:r w:rsidRPr="008147DC">
        <w:rPr>
          <w:lang w:eastAsia="zh-TW"/>
        </w:rPr>
        <w:t>因商業行為而涉訟。</w:t>
      </w:r>
      <w:r w:rsidRPr="008147DC">
        <w:rPr>
          <w:lang w:eastAsia="zh-TW"/>
        </w:rPr>
        <w:br/>
      </w:r>
      <w:r w:rsidRPr="008147DC">
        <w:rPr>
          <w:lang w:eastAsia="zh-TW"/>
        </w:rPr>
        <w:t xml:space="preserve">　　</w:t>
      </w:r>
      <w:r w:rsidRPr="008147DC">
        <w:rPr>
          <w:lang w:eastAsia="zh-TW"/>
        </w:rPr>
        <w:t>(</w:t>
      </w:r>
      <w:r w:rsidRPr="008147DC">
        <w:rPr>
          <w:lang w:eastAsia="zh-TW"/>
        </w:rPr>
        <w:t>四</w:t>
      </w:r>
      <w:r w:rsidRPr="008147DC">
        <w:rPr>
          <w:lang w:eastAsia="zh-TW"/>
        </w:rPr>
        <w:t>)</w:t>
      </w:r>
      <w:r w:rsidRPr="008147DC">
        <w:rPr>
          <w:lang w:eastAsia="zh-TW"/>
        </w:rPr>
        <w:t>因在臺灣地區之不動產而涉訟。</w:t>
      </w:r>
      <w:r w:rsidRPr="008147DC">
        <w:rPr>
          <w:lang w:eastAsia="zh-TW"/>
        </w:rPr>
        <w:br/>
      </w:r>
      <w:r w:rsidRPr="008147DC">
        <w:rPr>
          <w:lang w:eastAsia="zh-TW"/>
        </w:rPr>
        <w:t>五、電信及郵件免除檢查，並得以密碼之方式行之。</w:t>
      </w:r>
      <w:r w:rsidRPr="008147DC">
        <w:rPr>
          <w:lang w:eastAsia="zh-TW"/>
        </w:rPr>
        <w:br/>
      </w:r>
      <w:r w:rsidRPr="008147DC">
        <w:rPr>
          <w:lang w:eastAsia="zh-TW"/>
        </w:rPr>
        <w:t>六、稅捐之徵免。</w:t>
      </w:r>
      <w:r w:rsidRPr="008147DC">
        <w:rPr>
          <w:lang w:eastAsia="zh-TW"/>
        </w:rPr>
        <w:br/>
      </w:r>
      <w:r w:rsidRPr="008147DC">
        <w:rPr>
          <w:lang w:eastAsia="zh-TW"/>
        </w:rPr>
        <w:t>七、公務用品之進出口便利。</w:t>
      </w:r>
      <w:r w:rsidRPr="008147DC">
        <w:rPr>
          <w:lang w:eastAsia="zh-TW"/>
        </w:rPr>
        <w:br/>
      </w:r>
      <w:r w:rsidRPr="008147DC">
        <w:rPr>
          <w:lang w:eastAsia="zh-TW"/>
        </w:rPr>
        <w:t>八、其他經行政院核定之保障及便利措施。</w:t>
      </w:r>
      <w:r w:rsidRPr="008147DC">
        <w:rPr>
          <w:lang w:eastAsia="zh-TW"/>
        </w:rPr>
        <w:br/>
      </w:r>
      <w:r w:rsidRPr="008147DC">
        <w:rPr>
          <w:lang w:eastAsia="zh-TW"/>
        </w:rPr>
        <w:t>大陸地區處理兩岸人民往來事務機構在臺灣地區設立分支機構條例草案第九條：經主管機關依第五條第一項規定同意之分支機構人員，其為非臺灣地區人民者，基於對等原則，得享有下列保障及便利措施：</w:t>
      </w:r>
      <w:r w:rsidRPr="008147DC">
        <w:rPr>
          <w:lang w:eastAsia="zh-TW"/>
        </w:rPr>
        <w:br/>
      </w:r>
      <w:r w:rsidRPr="008147DC">
        <w:rPr>
          <w:lang w:eastAsia="zh-TW"/>
        </w:rPr>
        <w:t>一、免於因執行職務而發生之民事、刑事管轄。</w:t>
      </w:r>
    </w:p>
    <w:p w:rsidR="00657FEF" w:rsidRPr="008147DC" w:rsidRDefault="00657FEF" w:rsidP="00992AB6">
      <w:pPr>
        <w:pStyle w:val="5"/>
        <w:rPr>
          <w:lang w:eastAsia="zh-TW"/>
        </w:rPr>
      </w:pPr>
      <w:r w:rsidRPr="008147DC">
        <w:rPr>
          <w:lang w:eastAsia="zh-TW"/>
        </w:rPr>
        <w:t>二、職務上所得、購取物品、第一次到達臺灣地區所攜帶自用物品及行李之稅捐徵免。</w:t>
      </w:r>
    </w:p>
    <w:p w:rsidR="00657FEF" w:rsidRPr="008147DC" w:rsidRDefault="00657FEF" w:rsidP="00992AB6">
      <w:pPr>
        <w:pStyle w:val="5"/>
        <w:rPr>
          <w:lang w:eastAsia="zh-TW"/>
        </w:rPr>
      </w:pPr>
      <w:r w:rsidRPr="008147DC">
        <w:rPr>
          <w:lang w:eastAsia="zh-TW"/>
        </w:rPr>
        <w:t>三、其他經行政院核定之保障及便利措施。</w:t>
      </w:r>
    </w:p>
  </w:footnote>
  <w:footnote w:id="653">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提案人：民主進步黨立法院黨團立委柯建銘、潘孟安、邱議瑩。</w:t>
      </w:r>
    </w:p>
  </w:footnote>
  <w:footnote w:id="654">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台灣與中國處理雙方人民往來事務機構相互設立分支機構條例草案」第一條：為規範台灣與中國處理雙方人民往來事務之法人、團體或其他機構（以下簡稱台灣與中國處理雙方人民往來事務機構）相互設立分支機構之許可及管理事項，特制定本條例。</w:t>
      </w:r>
      <w:r w:rsidRPr="008147DC">
        <w:rPr>
          <w:lang w:eastAsia="zh-TW"/>
        </w:rPr>
        <w:br/>
      </w:r>
      <w:r w:rsidRPr="008147DC">
        <w:rPr>
          <w:lang w:eastAsia="zh-TW"/>
        </w:rPr>
        <w:t>本條例規定之未盡事項，依維也納領事關係公約之規範辦理。</w:t>
      </w:r>
    </w:p>
  </w:footnote>
  <w:footnote w:id="655">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「台灣與中國處理雙方人民往來事務機構相互設立分支機構條例草案」第四條：中國處理雙方人民往來事務機構，申請在台灣設立分支機構，有下列情形之一者，主管機關應不予許可：</w:t>
      </w:r>
      <w:r w:rsidRPr="008147DC">
        <w:rPr>
          <w:lang w:eastAsia="zh-TW"/>
        </w:rPr>
        <w:br/>
      </w:r>
      <w:r w:rsidRPr="008147DC">
        <w:rPr>
          <w:lang w:eastAsia="zh-TW"/>
        </w:rPr>
        <w:t>一、違反本條例及其他法令之規定。</w:t>
      </w:r>
      <w:r w:rsidRPr="008147DC">
        <w:rPr>
          <w:lang w:eastAsia="zh-TW"/>
        </w:rPr>
        <w:br/>
      </w:r>
      <w:r w:rsidRPr="008147DC">
        <w:rPr>
          <w:lang w:eastAsia="zh-TW"/>
        </w:rPr>
        <w:t>二、不符合我國國家利益。</w:t>
      </w:r>
      <w:r w:rsidRPr="008147DC">
        <w:rPr>
          <w:lang w:eastAsia="zh-TW"/>
        </w:rPr>
        <w:br/>
      </w:r>
      <w:r w:rsidRPr="008147DC">
        <w:rPr>
          <w:lang w:eastAsia="zh-TW"/>
        </w:rPr>
        <w:t>三、損害國家主權與尊嚴、影響國家安全與社會安定。</w:t>
      </w:r>
      <w:r w:rsidRPr="008147DC">
        <w:rPr>
          <w:lang w:eastAsia="zh-TW"/>
        </w:rPr>
        <w:br/>
      </w:r>
      <w:r w:rsidRPr="008147DC">
        <w:rPr>
          <w:lang w:eastAsia="zh-TW"/>
        </w:rPr>
        <w:t>四、違反對等互惠原則。</w:t>
      </w:r>
      <w:r w:rsidRPr="008147DC">
        <w:rPr>
          <w:lang w:eastAsia="zh-TW"/>
        </w:rPr>
        <w:br/>
      </w:r>
      <w:r w:rsidRPr="008147DC">
        <w:rPr>
          <w:lang w:eastAsia="zh-TW"/>
        </w:rPr>
        <w:t>五、無處理雙方人民往來事務之需要。</w:t>
      </w:r>
      <w:r w:rsidRPr="008147DC">
        <w:rPr>
          <w:lang w:eastAsia="zh-TW"/>
        </w:rPr>
        <w:br/>
      </w:r>
      <w:r w:rsidRPr="008147DC">
        <w:rPr>
          <w:lang w:eastAsia="zh-TW"/>
        </w:rPr>
        <w:t>六、經立法院院會決議不予設立。</w:t>
      </w:r>
    </w:p>
  </w:footnote>
  <w:footnote w:id="656">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台灣與中國處理雙方人民往來事務機構相互設立分支機構條例草案」第三條：中國處理雙方人民往來事務機構在台灣設立分支機構，應經主管機關許可，並送立法院兩岸事務因應對策小組及立法院院會同意後，始得設立。</w:t>
      </w:r>
      <w:r w:rsidRPr="008147DC">
        <w:rPr>
          <w:lang w:eastAsia="zh-TW"/>
        </w:rPr>
        <w:br/>
      </w:r>
      <w:r w:rsidRPr="008147DC">
        <w:rPr>
          <w:lang w:eastAsia="zh-TW"/>
        </w:rPr>
        <w:t>前項分支機構之許可要件、程序、方式、設置地點、及其他應遵行事項之辦法，由主管機關擬訂，經行政院核定，送立法院兩岸事務因應對策小組及立法院院會同意後定之。</w:t>
      </w:r>
    </w:p>
  </w:footnote>
  <w:footnote w:id="657">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台灣與中國處理雙方人民往來事務機構相互設立分支機構條例草案」第六條：中國依本條例許可設立之分支機構，其派駐或僱用人員名單及人數，須經主管機關同意，並比照維也納領事關係公約之規定，發給其派駐或僱用人員證書；變更時，亦同。</w:t>
      </w:r>
      <w:r w:rsidRPr="008147DC">
        <w:rPr>
          <w:lang w:eastAsia="zh-TW"/>
        </w:rPr>
        <w:br/>
      </w:r>
      <w:r w:rsidRPr="008147DC">
        <w:rPr>
          <w:lang w:eastAsia="zh-TW"/>
        </w:rPr>
        <w:t>依前項規定派駐或僱用之中國人員與其隨行家屬之入出境、在台灣居留條件、程序、方式、限制、撤銷或廢止許可及其他應遵行事項之辦法，由內政部會商有關機關擬訂，經行政院核定，送立法院兩岸事務因應對策小組及立法院院會同意後定之。</w:t>
      </w:r>
    </w:p>
  </w:footnote>
  <w:footnote w:id="658">
    <w:p w:rsidR="00657FEF" w:rsidRPr="008147DC" w:rsidRDefault="00657FEF" w:rsidP="00992AB6">
      <w:pPr>
        <w:pStyle w:val="5"/>
        <w:rPr>
          <w:lang w:eastAsia="zh-TW"/>
        </w:rPr>
      </w:pPr>
      <w:r w:rsidRPr="00002E50">
        <w:rPr>
          <w:rStyle w:val="af7"/>
        </w:rPr>
        <w:footnoteRef/>
      </w:r>
      <w:r w:rsidRPr="00002E50">
        <w:rPr>
          <w:rStyle w:val="af7"/>
          <w:lang w:eastAsia="zh-TW"/>
        </w:rPr>
        <w:t xml:space="preserve"> </w:t>
      </w:r>
      <w:r w:rsidRPr="008147DC">
        <w:rPr>
          <w:lang w:eastAsia="zh-TW"/>
        </w:rPr>
        <w:tab/>
      </w:r>
      <w:r w:rsidRPr="008147DC">
        <w:rPr>
          <w:lang w:eastAsia="zh-TW"/>
        </w:rPr>
        <w:t>「台灣與中國處理雙方人民往來事務機構相互設立分支機構條例草案」第十二條：中國依本條例許可設立之分支機構及其人員，依前二條各款規定得享有保障及便利措施之人員、項目及範圍，由主管機關會商有關機關擬訂，經行政院核定，送立法院兩岸事務因應對策小組及立法院院會同意後定之。</w:t>
      </w:r>
    </w:p>
  </w:footnote>
  <w:footnote w:id="659">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台灣與中國處理雙方人民往來事務機構相互設立分支機構條例草案」第十五條：本條例施行日期，於台灣與中國就處理雙方人民往來事務機構相互設立分支機構所簽定之協議，符合本條例第一條第二項、第五條、第七條、第十三條及第十四條之規定，並經立法院兩岸事務因應對策小組及立法院院會同意後，由行政院指定日期施行之。</w:t>
      </w:r>
    </w:p>
  </w:footnote>
  <w:footnote w:id="660">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「台灣與中國處理雙方人民往來事務機構相互設立分支機構條例草案」第十四條　基於對等互惠原則，台灣與中國處理雙方人民往來事務機構相互設立之分支機構，得依維也納領事關係公約，在館舍所在之建築物及其正門，及執行公務時搭乘之交通工具上，懸掛國旗並揭示國徽。</w:t>
      </w:r>
    </w:p>
  </w:footnote>
  <w:footnote w:id="661">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草案第</w:t>
      </w:r>
      <w:r w:rsidRPr="008147DC">
        <w:rPr>
          <w:lang w:eastAsia="zh-TW"/>
        </w:rPr>
        <w:t>1</w:t>
      </w:r>
      <w:r w:rsidRPr="008147DC">
        <w:rPr>
          <w:lang w:eastAsia="zh-TW"/>
        </w:rPr>
        <w:t>條立法理由書亦指出：</w:t>
      </w:r>
      <w:r w:rsidRPr="008147DC">
        <w:rPr>
          <w:lang w:eastAsia="zh-TW"/>
        </w:rPr>
        <w:t>1.</w:t>
      </w:r>
      <w:r w:rsidRPr="008147DC">
        <w:rPr>
          <w:lang w:eastAsia="zh-TW"/>
        </w:rPr>
        <w:t>法源依據部分，依台灣地區與大陸地區人民關係條例（以下簡稱兩岸人民關係條例）第</w:t>
      </w:r>
      <w:r w:rsidRPr="008147DC">
        <w:rPr>
          <w:lang w:eastAsia="zh-TW"/>
        </w:rPr>
        <w:t>6</w:t>
      </w:r>
      <w:r w:rsidRPr="008147DC">
        <w:rPr>
          <w:lang w:eastAsia="zh-TW"/>
        </w:rPr>
        <w:t>條規定，「為處理台灣地區與大陸地區人民往來有關之事務，行政院得依對等原則，許可大陸地區之法人、團體或其他機構在臺灣地區設立分支機構。前項設立許可事項，以法律定之」，故制定本條例；</w:t>
      </w:r>
      <w:r w:rsidRPr="008147DC">
        <w:rPr>
          <w:lang w:eastAsia="zh-TW"/>
        </w:rPr>
        <w:t>2</w:t>
      </w:r>
      <w:r w:rsidRPr="008147DC">
        <w:rPr>
          <w:lang w:eastAsia="zh-TW"/>
        </w:rPr>
        <w:t>、惟兩岸人民關係條例第</w:t>
      </w:r>
      <w:r w:rsidRPr="008147DC">
        <w:rPr>
          <w:lang w:eastAsia="zh-TW"/>
        </w:rPr>
        <w:t>6</w:t>
      </w:r>
      <w:r w:rsidRPr="008147DC">
        <w:rPr>
          <w:lang w:eastAsia="zh-TW"/>
        </w:rPr>
        <w:t>條對於台灣處理兩岸人民事務機構在中國設立分支機構，及兩岸對於互設分支機構所簽署之協議，並無任何規範，為使相關法制更為完善，避免「一國兩區」等不必要之爭議，特將本條例規範範圍擴及台灣與中國雙方。</w:t>
      </w:r>
    </w:p>
  </w:footnote>
  <w:footnote w:id="662">
    <w:p w:rsidR="00657FEF" w:rsidRPr="008147DC" w:rsidRDefault="00657FEF" w:rsidP="00992AB6">
      <w:pPr>
        <w:pStyle w:val="5"/>
        <w:rPr>
          <w:lang w:eastAsia="zh-TW"/>
        </w:rPr>
      </w:pPr>
      <w:r w:rsidRPr="00002E50">
        <w:rPr>
          <w:rStyle w:val="af7"/>
        </w:rPr>
        <w:footnoteRef/>
      </w:r>
      <w:r w:rsidRPr="008147DC">
        <w:rPr>
          <w:lang w:eastAsia="zh-TW"/>
        </w:rPr>
        <w:t xml:space="preserve"> </w:t>
      </w:r>
      <w:r w:rsidRPr="008147DC">
        <w:rPr>
          <w:lang w:eastAsia="zh-TW"/>
        </w:rPr>
        <w:tab/>
      </w:r>
      <w:r w:rsidRPr="008147DC">
        <w:rPr>
          <w:lang w:eastAsia="zh-TW"/>
        </w:rPr>
        <w:t>根據草案第五條之立法理由說明，分支機構功能，均以正面表列方式加以陳述，主法理由書指出：</w:t>
      </w:r>
      <w:r w:rsidRPr="008147DC">
        <w:rPr>
          <w:lang w:eastAsia="zh-TW"/>
        </w:rPr>
        <w:t>1</w:t>
      </w:r>
      <w:r w:rsidRPr="008147DC">
        <w:rPr>
          <w:lang w:eastAsia="zh-TW"/>
        </w:rPr>
        <w:t>、本條明訂台灣與中國基於對等互惠原則，處理雙方人民往來事務機構相互設立之分支機構應該具備之功能；</w:t>
      </w:r>
      <w:r w:rsidRPr="008147DC">
        <w:rPr>
          <w:lang w:eastAsia="zh-TW"/>
        </w:rPr>
        <w:t>2</w:t>
      </w:r>
      <w:r w:rsidRPr="008147DC">
        <w:rPr>
          <w:lang w:eastAsia="zh-TW"/>
        </w:rPr>
        <w:t>、為保障台灣與中國雙方人民之合法權益，提供往來兩岸人民旅行、經商、求學之便利，並保障雙方人民之人權，有關處理雙方人民事務機構相互設立之分支機構功能，均以正面表列方式，將核發護照及旅行文件、領事探視權、文書查驗證、擔任公證人等基本業務功能明訂於條文中。</w:t>
      </w:r>
    </w:p>
  </w:footnote>
  <w:footnote w:id="663">
    <w:p w:rsidR="00657FEF" w:rsidRPr="008147DC" w:rsidRDefault="00657FEF" w:rsidP="00992AB6">
      <w:pPr>
        <w:pStyle w:val="5"/>
        <w:rPr>
          <w:lang w:eastAsia="zh-TW"/>
        </w:rPr>
      </w:pPr>
      <w:r w:rsidRPr="00002E50">
        <w:rPr>
          <w:rStyle w:val="af7"/>
        </w:rPr>
        <w:footnoteRef/>
      </w:r>
      <w:r w:rsidRPr="00002E50">
        <w:rPr>
          <w:color w:val="FF6600"/>
          <w:lang w:eastAsia="zh-TW"/>
        </w:rPr>
        <w:t xml:space="preserve"> </w:t>
      </w:r>
      <w:r w:rsidRPr="008147DC">
        <w:rPr>
          <w:lang w:eastAsia="zh-TW"/>
        </w:rPr>
        <w:tab/>
      </w:r>
      <w:r w:rsidRPr="008147DC">
        <w:rPr>
          <w:lang w:eastAsia="zh-TW"/>
        </w:rPr>
        <w:t>「台灣與中國處理雙方人民往來事務機構相互設立分支機構條例草案」第十條：基於對等互惠原則，台灣與中國依協議之約定及本條例許可相互設立之分支機構，得享有下列保障及便利措施：</w:t>
      </w:r>
    </w:p>
    <w:p w:rsidR="00657FEF" w:rsidRPr="008147DC" w:rsidRDefault="00657FEF" w:rsidP="00992AB6">
      <w:pPr>
        <w:pStyle w:val="5"/>
        <w:rPr>
          <w:lang w:eastAsia="zh-TW"/>
        </w:rPr>
      </w:pPr>
      <w:r w:rsidRPr="008147DC">
        <w:rPr>
          <w:lang w:eastAsia="zh-TW"/>
        </w:rPr>
        <w:t>一、館舍不可侵犯，非經負責人同意，不得入內。但遇火災或其他災害須迅速採取行動時，得推定已獲其同意。</w:t>
      </w:r>
    </w:p>
    <w:p w:rsidR="00657FEF" w:rsidRPr="008147DC" w:rsidRDefault="00657FEF" w:rsidP="00992AB6">
      <w:pPr>
        <w:pStyle w:val="5"/>
        <w:rPr>
          <w:lang w:eastAsia="zh-TW"/>
        </w:rPr>
      </w:pPr>
      <w:r w:rsidRPr="008147DC">
        <w:rPr>
          <w:lang w:eastAsia="zh-TW"/>
        </w:rPr>
        <w:t>二、財產免於搜索、扣押、執行及徵收。</w:t>
      </w:r>
    </w:p>
    <w:p w:rsidR="00657FEF" w:rsidRPr="008147DC" w:rsidRDefault="00657FEF" w:rsidP="00992AB6">
      <w:pPr>
        <w:pStyle w:val="5"/>
        <w:rPr>
          <w:lang w:eastAsia="zh-TW"/>
        </w:rPr>
      </w:pPr>
      <w:r w:rsidRPr="008147DC">
        <w:rPr>
          <w:lang w:eastAsia="zh-TW"/>
        </w:rPr>
        <w:t>三、檔案文件不可侵犯。</w:t>
      </w:r>
    </w:p>
    <w:p w:rsidR="00657FEF" w:rsidRPr="008147DC" w:rsidRDefault="00657FEF" w:rsidP="00992AB6">
      <w:pPr>
        <w:pStyle w:val="5"/>
        <w:rPr>
          <w:lang w:eastAsia="zh-TW"/>
        </w:rPr>
      </w:pPr>
      <w:r w:rsidRPr="008147DC">
        <w:rPr>
          <w:lang w:eastAsia="zh-TW"/>
        </w:rPr>
        <w:t>四、免於民事、刑事及行政管轄。但下列情形不在此限：</w:t>
      </w:r>
      <w:r w:rsidRPr="008147DC">
        <w:rPr>
          <w:lang w:eastAsia="zh-TW"/>
        </w:rPr>
        <w:br/>
        <w:t>(</w:t>
      </w:r>
      <w:r w:rsidRPr="008147DC">
        <w:rPr>
          <w:lang w:eastAsia="zh-TW"/>
        </w:rPr>
        <w:t>一</w:t>
      </w:r>
      <w:r w:rsidRPr="008147DC">
        <w:rPr>
          <w:lang w:eastAsia="zh-TW"/>
        </w:rPr>
        <w:t>)</w:t>
      </w:r>
      <w:r w:rsidRPr="008147DC">
        <w:rPr>
          <w:lang w:eastAsia="zh-TW"/>
        </w:rPr>
        <w:t>捨棄免於民事、刑事或行政管轄之保障。</w:t>
      </w:r>
      <w:r w:rsidRPr="008147DC">
        <w:rPr>
          <w:lang w:eastAsia="zh-TW"/>
        </w:rPr>
        <w:br/>
        <w:t>(</w:t>
      </w:r>
      <w:r w:rsidRPr="008147DC">
        <w:rPr>
          <w:lang w:eastAsia="zh-TW"/>
        </w:rPr>
        <w:t>二</w:t>
      </w:r>
      <w:r w:rsidRPr="008147DC">
        <w:rPr>
          <w:lang w:eastAsia="zh-TW"/>
        </w:rPr>
        <w:t>)</w:t>
      </w:r>
      <w:r w:rsidRPr="008147DC">
        <w:rPr>
          <w:lang w:eastAsia="zh-TW"/>
        </w:rPr>
        <w:t>為反訴之被告。</w:t>
      </w:r>
      <w:r w:rsidRPr="008147DC">
        <w:rPr>
          <w:lang w:eastAsia="zh-TW"/>
        </w:rPr>
        <w:br/>
        <w:t>(</w:t>
      </w:r>
      <w:r w:rsidRPr="008147DC">
        <w:rPr>
          <w:lang w:eastAsia="zh-TW"/>
        </w:rPr>
        <w:t>三</w:t>
      </w:r>
      <w:r w:rsidRPr="008147DC">
        <w:rPr>
          <w:lang w:eastAsia="zh-TW"/>
        </w:rPr>
        <w:t>)</w:t>
      </w:r>
      <w:r w:rsidRPr="008147DC">
        <w:rPr>
          <w:lang w:eastAsia="zh-TW"/>
        </w:rPr>
        <w:t>因商業行為而涉訟。</w:t>
      </w:r>
      <w:r w:rsidRPr="008147DC">
        <w:rPr>
          <w:lang w:eastAsia="zh-TW"/>
        </w:rPr>
        <w:br/>
        <w:t>(</w:t>
      </w:r>
      <w:r w:rsidRPr="008147DC">
        <w:rPr>
          <w:lang w:eastAsia="zh-TW"/>
        </w:rPr>
        <w:t>四</w:t>
      </w:r>
      <w:r w:rsidRPr="008147DC">
        <w:rPr>
          <w:lang w:eastAsia="zh-TW"/>
        </w:rPr>
        <w:t>)</w:t>
      </w:r>
      <w:r w:rsidRPr="008147DC">
        <w:rPr>
          <w:lang w:eastAsia="zh-TW"/>
        </w:rPr>
        <w:t>因在對方境內之不動產而涉訟。</w:t>
      </w:r>
    </w:p>
    <w:p w:rsidR="00657FEF" w:rsidRPr="008147DC" w:rsidRDefault="00657FEF" w:rsidP="00992AB6">
      <w:pPr>
        <w:pStyle w:val="5"/>
        <w:rPr>
          <w:lang w:eastAsia="zh-TW"/>
        </w:rPr>
      </w:pPr>
      <w:r w:rsidRPr="008147DC">
        <w:rPr>
          <w:lang w:eastAsia="zh-TW"/>
        </w:rPr>
        <w:t>五、電信及郵件免除檢查，並得以密碼之方式行之。</w:t>
      </w:r>
    </w:p>
    <w:p w:rsidR="00657FEF" w:rsidRPr="008147DC" w:rsidRDefault="00657FEF" w:rsidP="00992AB6">
      <w:pPr>
        <w:pStyle w:val="5"/>
        <w:rPr>
          <w:lang w:eastAsia="zh-TW"/>
        </w:rPr>
      </w:pPr>
      <w:r w:rsidRPr="008147DC">
        <w:rPr>
          <w:lang w:eastAsia="zh-TW"/>
        </w:rPr>
        <w:t>六、稅捐之徵免。</w:t>
      </w:r>
    </w:p>
    <w:p w:rsidR="00657FEF" w:rsidRPr="008147DC" w:rsidRDefault="00657FEF" w:rsidP="00992AB6">
      <w:pPr>
        <w:pStyle w:val="5"/>
        <w:rPr>
          <w:lang w:eastAsia="zh-TW"/>
        </w:rPr>
      </w:pPr>
      <w:r w:rsidRPr="008147DC">
        <w:rPr>
          <w:lang w:eastAsia="zh-TW"/>
        </w:rPr>
        <w:t>七、公務用品之進出口便利。</w:t>
      </w:r>
    </w:p>
    <w:p w:rsidR="00657FEF" w:rsidRPr="008147DC" w:rsidRDefault="00657FEF" w:rsidP="00992AB6">
      <w:pPr>
        <w:pStyle w:val="5"/>
        <w:rPr>
          <w:lang w:eastAsia="zh-TW"/>
        </w:rPr>
      </w:pPr>
      <w:r w:rsidRPr="008147DC">
        <w:rPr>
          <w:lang w:eastAsia="zh-TW"/>
        </w:rPr>
        <w:t>八、其他經雙方協議約定之保障及便利措施。</w:t>
      </w:r>
    </w:p>
    <w:p w:rsidR="00657FEF" w:rsidRPr="008147DC" w:rsidRDefault="00657FEF" w:rsidP="00992AB6">
      <w:pPr>
        <w:pStyle w:val="5"/>
        <w:rPr>
          <w:lang w:eastAsia="zh-TW"/>
        </w:rPr>
      </w:pPr>
      <w:r w:rsidRPr="008147DC">
        <w:rPr>
          <w:lang w:eastAsia="zh-TW"/>
        </w:rPr>
        <w:t>中國處理雙方人民往來事務機構在台灣設立之分支機構，依前項規定享有之保障及便利措施，以台灣在對方境內設立之分支機構亦同等享有為前提。</w:t>
      </w:r>
    </w:p>
  </w:footnote>
  <w:footnote w:id="664">
    <w:p w:rsidR="00657FEF" w:rsidRPr="001775C3" w:rsidRDefault="00657FEF" w:rsidP="001775C3">
      <w:pPr>
        <w:pStyle w:val="5"/>
        <w:jc w:val="left"/>
      </w:pPr>
      <w:r w:rsidRPr="00002E50">
        <w:rPr>
          <w:rStyle w:val="af7"/>
        </w:rPr>
        <w:footnoteRef/>
      </w:r>
      <w:r w:rsidRPr="00002E50">
        <w:rPr>
          <w:rStyle w:val="afc"/>
          <w:color w:val="FF6600"/>
        </w:rPr>
        <w:t xml:space="preserve"> </w:t>
      </w:r>
      <w:r w:rsidRPr="008147DC">
        <w:rPr>
          <w:rStyle w:val="afc"/>
          <w:rFonts w:asciiTheme="minorEastAsia" w:eastAsiaTheme="minorEastAsia" w:hAnsiTheme="minorEastAsia"/>
        </w:rPr>
        <w:tab/>
      </w:r>
      <w:r w:rsidRPr="002F19DE">
        <w:rPr>
          <w:rStyle w:val="afc"/>
          <w:b w:val="0"/>
          <w:bCs/>
        </w:rPr>
        <w:t>中國公安出入境管理系統示意圖</w:t>
      </w:r>
      <w:r w:rsidRPr="002F19DE">
        <w:rPr>
          <w:rStyle w:val="afc"/>
          <w:b w:val="0"/>
          <w:bCs/>
        </w:rPr>
        <w:t>(2008)</w:t>
      </w:r>
      <w:r w:rsidRPr="002F19DE">
        <w:rPr>
          <w:rStyle w:val="afc"/>
          <w:b w:val="0"/>
          <w:bCs/>
        </w:rPr>
        <w:t>，上網瀏覽時間：</w:t>
      </w:r>
      <w:smartTag w:uri="urn:schemas-microsoft-com:office:smarttags" w:element="chsdate">
        <w:smartTagPr>
          <w:attr w:name="IsROCDate" w:val="False"/>
          <w:attr w:name="IsLunarDate" w:val="False"/>
          <w:attr w:name="Day" w:val="15"/>
          <w:attr w:name="Month" w:val="2"/>
          <w:attr w:name="Year" w:val="2014"/>
        </w:smartTagPr>
        <w:r w:rsidRPr="002F19DE">
          <w:rPr>
            <w:rStyle w:val="afc"/>
            <w:b w:val="0"/>
            <w:bCs/>
          </w:rPr>
          <w:t>2014</w:t>
        </w:r>
        <w:r w:rsidRPr="002F19DE">
          <w:rPr>
            <w:rStyle w:val="afc"/>
            <w:b w:val="0"/>
            <w:bCs/>
          </w:rPr>
          <w:t>年</w:t>
        </w:r>
        <w:r w:rsidRPr="002F19DE">
          <w:rPr>
            <w:rStyle w:val="afc"/>
            <w:b w:val="0"/>
            <w:bCs/>
          </w:rPr>
          <w:t>2</w:t>
        </w:r>
        <w:r w:rsidRPr="002F19DE">
          <w:rPr>
            <w:rStyle w:val="afc"/>
            <w:b w:val="0"/>
            <w:bCs/>
          </w:rPr>
          <w:t>月</w:t>
        </w:r>
        <w:r w:rsidRPr="002F19DE">
          <w:rPr>
            <w:rStyle w:val="afc"/>
            <w:b w:val="0"/>
            <w:bCs/>
          </w:rPr>
          <w:t>15</w:t>
        </w:r>
        <w:r w:rsidRPr="002F19DE">
          <w:rPr>
            <w:rStyle w:val="afc"/>
            <w:b w:val="0"/>
            <w:bCs/>
          </w:rPr>
          <w:t>日</w:t>
        </w:r>
      </w:smartTag>
      <w:r w:rsidRPr="002F19DE">
        <w:rPr>
          <w:rStyle w:val="afc"/>
          <w:b w:val="0"/>
          <w:bCs/>
        </w:rPr>
        <w:t>，</w:t>
      </w:r>
      <w:hyperlink r:id="rId157" w:history="1">
        <w:r w:rsidRPr="001775C3">
          <w:rPr>
            <w:rStyle w:val="a7"/>
            <w:rFonts w:ascii="Arial Unicode MS" w:eastAsia="新細明體" w:hAnsi="Arial Unicode MS" w:cs="Calibri"/>
            <w:color w:val="5F5F5F"/>
            <w:kern w:val="2"/>
            <w:sz w:val="18"/>
          </w:rPr>
          <w:t>http://www.mps.gov.cn/n16/n84147/n84165/1291517.html</w:t>
        </w:r>
      </w:hyperlink>
      <w:r>
        <w:t>。</w:t>
      </w:r>
      <w:r w:rsidRPr="001775C3">
        <w:br/>
      </w:r>
      <w:r w:rsidRPr="001775C3">
        <w:t>公安部出入境管理局</w:t>
      </w:r>
      <w:r w:rsidRPr="001775C3">
        <w:t>(2008)</w:t>
      </w:r>
      <w:r w:rsidRPr="001775C3">
        <w:t>，中國公安出入境管理機構設置與職責分工，上網瀏覽時間：</w:t>
      </w:r>
      <w:smartTag w:uri="urn:schemas-microsoft-com:office:smarttags" w:element="chsdate">
        <w:smartTagPr>
          <w:attr w:name="IsROCDate" w:val="False"/>
          <w:attr w:name="IsLunarDate" w:val="False"/>
          <w:attr w:name="Day" w:val="15"/>
          <w:attr w:name="Month" w:val="2"/>
          <w:attr w:name="Year" w:val="2014"/>
        </w:smartTagPr>
        <w:r w:rsidRPr="001775C3">
          <w:t>2014</w:t>
        </w:r>
        <w:r w:rsidRPr="001775C3">
          <w:t>年</w:t>
        </w:r>
        <w:r w:rsidRPr="001775C3">
          <w:t>2</w:t>
        </w:r>
        <w:r w:rsidRPr="001775C3">
          <w:t>月</w:t>
        </w:r>
        <w:r w:rsidRPr="001775C3">
          <w:t>15</w:t>
        </w:r>
        <w:r w:rsidRPr="001775C3">
          <w:t>日</w:t>
        </w:r>
      </w:smartTag>
      <w:r w:rsidRPr="001775C3">
        <w:t>，</w:t>
      </w:r>
      <w:hyperlink r:id="rId158" w:history="1">
        <w:r w:rsidRPr="001775C3">
          <w:rPr>
            <w:rStyle w:val="a7"/>
            <w:rFonts w:ascii="Arial Unicode MS" w:eastAsia="新細明體" w:hAnsi="Arial Unicode MS" w:cs="Calibri"/>
            <w:color w:val="5F5F5F"/>
            <w:kern w:val="2"/>
            <w:sz w:val="18"/>
          </w:rPr>
          <w:t>http://www.mps.gov.cn/n16/n84147/n84165/1291532.html</w:t>
        </w:r>
      </w:hyperlink>
      <w:r>
        <w:t>。</w:t>
      </w:r>
    </w:p>
  </w:footnote>
  <w:footnote w:id="665">
    <w:p w:rsidR="00657FEF" w:rsidRPr="001775C3" w:rsidRDefault="00657FEF" w:rsidP="001775C3">
      <w:pPr>
        <w:pStyle w:val="5"/>
        <w:jc w:val="left"/>
      </w:pPr>
      <w:r w:rsidRPr="001775C3">
        <w:rPr>
          <w:rStyle w:val="af7"/>
        </w:rPr>
        <w:footnoteRef/>
      </w:r>
      <w:r w:rsidRPr="001775C3">
        <w:rPr>
          <w:rStyle w:val="afc"/>
          <w:rFonts w:asciiTheme="minorEastAsia" w:eastAsiaTheme="minorEastAsia" w:hAnsiTheme="minorEastAsia"/>
        </w:rPr>
        <w:t xml:space="preserve"> </w:t>
      </w:r>
      <w:r w:rsidRPr="001775C3">
        <w:rPr>
          <w:rStyle w:val="afc"/>
          <w:rFonts w:asciiTheme="minorEastAsia" w:eastAsiaTheme="minorEastAsia" w:hAnsiTheme="minorEastAsia"/>
        </w:rPr>
        <w:tab/>
      </w:r>
      <w:r w:rsidRPr="001775C3">
        <w:t>公安部出入境管理局</w:t>
      </w:r>
      <w:r w:rsidRPr="001775C3">
        <w:t>(2013)</w:t>
      </w:r>
      <w:r w:rsidRPr="001775C3">
        <w:t>，大陸居民可在居住地提交換發補發大陸居民往來臺灣通行證以及再次赴台相同種類簽注的申請，上網瀏覽時間：</w:t>
      </w:r>
      <w:smartTag w:uri="urn:schemas-microsoft-com:office:smarttags" w:element="chsdate">
        <w:smartTagPr>
          <w:attr w:name="IsROCDate" w:val="False"/>
          <w:attr w:name="IsLunarDate" w:val="False"/>
          <w:attr w:name="Day" w:val="15"/>
          <w:attr w:name="Month" w:val="2"/>
          <w:attr w:name="Year" w:val="2014"/>
        </w:smartTagPr>
        <w:r w:rsidRPr="001775C3">
          <w:t>2014</w:t>
        </w:r>
        <w:r w:rsidRPr="001775C3">
          <w:t>年</w:t>
        </w:r>
        <w:r w:rsidRPr="001775C3">
          <w:t>2</w:t>
        </w:r>
        <w:r w:rsidRPr="001775C3">
          <w:t>月</w:t>
        </w:r>
        <w:r w:rsidRPr="001775C3">
          <w:t>15</w:t>
        </w:r>
        <w:r w:rsidRPr="001775C3">
          <w:t>日</w:t>
        </w:r>
      </w:smartTag>
      <w:r w:rsidRPr="001775C3">
        <w:t>，</w:t>
      </w:r>
      <w:hyperlink r:id="rId159" w:history="1">
        <w:r w:rsidRPr="001775C3">
          <w:rPr>
            <w:rStyle w:val="a7"/>
            <w:rFonts w:ascii="Arial Unicode MS" w:eastAsia="新細明體" w:hAnsi="Arial Unicode MS" w:cs="Calibri"/>
            <w:color w:val="5F5F5F"/>
            <w:kern w:val="2"/>
            <w:sz w:val="18"/>
          </w:rPr>
          <w:t>http://www.mps.gov.cn/n16/n84147/n84211/n84288/n398967/3942618.html</w:t>
        </w:r>
      </w:hyperlink>
      <w:r w:rsidRPr="001775C3">
        <w:t>。</w:t>
      </w:r>
    </w:p>
  </w:footnote>
  <w:footnote w:id="666">
    <w:p w:rsidR="00657FEF" w:rsidRPr="001775C3" w:rsidRDefault="00657FEF" w:rsidP="001775C3">
      <w:pPr>
        <w:pStyle w:val="5"/>
        <w:jc w:val="left"/>
      </w:pPr>
      <w:r w:rsidRPr="001775C3">
        <w:rPr>
          <w:rStyle w:val="af7"/>
          <w:rFonts w:eastAsia="新細明體"/>
          <w:kern w:val="2"/>
        </w:rPr>
        <w:footnoteRef/>
      </w:r>
      <w:r w:rsidRPr="001775C3">
        <w:rPr>
          <w:rStyle w:val="afc"/>
          <w:rFonts w:asciiTheme="minorEastAsia" w:eastAsiaTheme="minorEastAsia" w:hAnsiTheme="minorEastAsia"/>
        </w:rPr>
        <w:t xml:space="preserve"> </w:t>
      </w:r>
      <w:r w:rsidRPr="001775C3">
        <w:rPr>
          <w:rStyle w:val="afc"/>
          <w:rFonts w:asciiTheme="minorEastAsia" w:eastAsiaTheme="minorEastAsia" w:hAnsiTheme="minorEastAsia"/>
        </w:rPr>
        <w:tab/>
      </w:r>
      <w:r w:rsidRPr="001775C3">
        <w:t>公安部出入境管理局</w:t>
      </w:r>
      <w:r w:rsidRPr="001775C3">
        <w:t>(2013)</w:t>
      </w:r>
      <w:r w:rsidRPr="001775C3">
        <w:t>，</w:t>
      </w:r>
      <w:r w:rsidRPr="001775C3">
        <w:t>31</w:t>
      </w:r>
      <w:r w:rsidRPr="001775C3">
        <w:t>個城市允許符合條件的大陸居民異地提交大陸居民往來臺灣通行證及簽注申請，上網瀏覽時間：</w:t>
      </w:r>
      <w:smartTag w:uri="urn:schemas-microsoft-com:office:smarttags" w:element="chsdate">
        <w:smartTagPr>
          <w:attr w:name="IsROCDate" w:val="False"/>
          <w:attr w:name="IsLunarDate" w:val="False"/>
          <w:attr w:name="Day" w:val="15"/>
          <w:attr w:name="Month" w:val="2"/>
          <w:attr w:name="Year" w:val="2014"/>
        </w:smartTagPr>
        <w:r w:rsidRPr="001775C3">
          <w:t>2014</w:t>
        </w:r>
        <w:r w:rsidRPr="001775C3">
          <w:t>年</w:t>
        </w:r>
        <w:r w:rsidRPr="001775C3">
          <w:t>2</w:t>
        </w:r>
        <w:r w:rsidRPr="001775C3">
          <w:t>月</w:t>
        </w:r>
        <w:r w:rsidRPr="001775C3">
          <w:t>15</w:t>
        </w:r>
        <w:r w:rsidRPr="001775C3">
          <w:t>日</w:t>
        </w:r>
      </w:smartTag>
      <w:r w:rsidRPr="001775C3">
        <w:t>，</w:t>
      </w:r>
      <w:r w:rsidRPr="001775C3">
        <w:rPr>
          <w:rStyle w:val="a7"/>
          <w:rFonts w:ascii="Arial Unicode MS" w:eastAsia="新細明體" w:hAnsi="Arial Unicode MS" w:cs="Calibri"/>
          <w:color w:val="5F5F5F"/>
          <w:kern w:val="2"/>
          <w:sz w:val="18"/>
        </w:rPr>
        <w:t>http://www.mps.gov.cn/n16/n84147/n84211/n84288/n398967/3942574.html</w:t>
      </w:r>
      <w:r w:rsidRPr="001775C3">
        <w:t>。</w:t>
      </w:r>
    </w:p>
  </w:footnote>
  <w:footnote w:id="667">
    <w:p w:rsidR="00657FEF" w:rsidRPr="001775C3" w:rsidRDefault="00657FEF" w:rsidP="001775C3">
      <w:pPr>
        <w:pStyle w:val="5"/>
        <w:jc w:val="left"/>
        <w:rPr>
          <w:rStyle w:val="110"/>
          <w:rFonts w:asciiTheme="minorEastAsia" w:eastAsiaTheme="minorEastAsia" w:hAnsiTheme="minorEastAsia"/>
        </w:rPr>
      </w:pPr>
      <w:r w:rsidRPr="001775C3">
        <w:rPr>
          <w:rStyle w:val="af7"/>
          <w:rFonts w:eastAsia="新細明體"/>
          <w:kern w:val="2"/>
        </w:rPr>
        <w:footnoteRef/>
      </w:r>
      <w:r w:rsidRPr="001775C3">
        <w:rPr>
          <w:rStyle w:val="afc"/>
          <w:rFonts w:ascii="Arial Unicode MS" w:eastAsia="新細明體" w:hAnsi="Arial Unicode MS"/>
          <w:color w:val="FF6600"/>
          <w:kern w:val="2"/>
        </w:rPr>
        <w:t xml:space="preserve"> </w:t>
      </w:r>
      <w:r w:rsidRPr="001775C3">
        <w:rPr>
          <w:rStyle w:val="afc"/>
          <w:rFonts w:asciiTheme="minorEastAsia" w:eastAsiaTheme="minorEastAsia" w:hAnsiTheme="minorEastAsia"/>
        </w:rPr>
        <w:tab/>
      </w:r>
      <w:r w:rsidRPr="001775C3">
        <w:t>公安部出入境管理局</w:t>
      </w:r>
      <w:r w:rsidRPr="001775C3">
        <w:t>(2014)</w:t>
      </w:r>
      <w:r w:rsidRPr="001775C3">
        <w:t>，增加赴台探親多次簽注，進一步為大陸居民赴台探親提供便利，上網瀏覽時間：</w:t>
      </w:r>
      <w:smartTag w:uri="urn:schemas-microsoft-com:office:smarttags" w:element="chsdate">
        <w:smartTagPr>
          <w:attr w:name="IsROCDate" w:val="False"/>
          <w:attr w:name="IsLunarDate" w:val="False"/>
          <w:attr w:name="Day" w:val="25"/>
          <w:attr w:name="Month" w:val="3"/>
          <w:attr w:name="Year" w:val="2014"/>
        </w:smartTagPr>
        <w:r w:rsidRPr="001775C3">
          <w:t>2014</w:t>
        </w:r>
        <w:r w:rsidRPr="001775C3">
          <w:t>年</w:t>
        </w:r>
        <w:r w:rsidRPr="001775C3">
          <w:t>3</w:t>
        </w:r>
        <w:r w:rsidRPr="001775C3">
          <w:t>月</w:t>
        </w:r>
        <w:r w:rsidRPr="001775C3">
          <w:t>25</w:t>
        </w:r>
        <w:r w:rsidRPr="001775C3">
          <w:t>日</w:t>
        </w:r>
      </w:smartTag>
      <w:r w:rsidRPr="001775C3">
        <w:rPr>
          <w:rStyle w:val="110"/>
          <w:rFonts w:asciiTheme="minorEastAsia" w:eastAsiaTheme="minorEastAsia" w:hAnsiTheme="minorEastAsia"/>
        </w:rPr>
        <w:t>，</w:t>
      </w:r>
      <w:hyperlink r:id="rId160" w:history="1">
        <w:r w:rsidRPr="001775C3">
          <w:rPr>
            <w:rStyle w:val="a7"/>
            <w:rFonts w:ascii="Arial Unicode MS" w:eastAsia="新細明體" w:hAnsi="Arial Unicode MS" w:cs="Calibri"/>
            <w:color w:val="5F5F5F"/>
            <w:kern w:val="2"/>
            <w:sz w:val="18"/>
          </w:rPr>
          <w:t>http://www.mps.gov.cn/n16/n84147/ n84196/4009433.html</w:t>
        </w:r>
      </w:hyperlink>
      <w:r w:rsidRPr="001775C3">
        <w:rPr>
          <w:rStyle w:val="110"/>
          <w:rFonts w:asciiTheme="minorEastAsia" w:eastAsiaTheme="minorEastAsia" w:hAnsiTheme="minorEastAsia"/>
        </w:rPr>
        <w:t>。</w:t>
      </w:r>
    </w:p>
  </w:footnote>
  <w:footnote w:id="668">
    <w:p w:rsidR="00657FEF" w:rsidRPr="008147DC" w:rsidRDefault="00657FEF" w:rsidP="00992AB6">
      <w:pPr>
        <w:pStyle w:val="5"/>
        <w:rPr>
          <w:lang w:eastAsia="zh-TW"/>
        </w:rPr>
      </w:pPr>
      <w:r w:rsidRPr="002F19DE">
        <w:rPr>
          <w:rStyle w:val="af7"/>
        </w:rPr>
        <w:footnoteRef/>
      </w:r>
      <w:r w:rsidRPr="002F19DE">
        <w:rPr>
          <w:rStyle w:val="af7"/>
          <w:lang w:eastAsia="zh-TW"/>
        </w:rPr>
        <w:t xml:space="preserve"> </w:t>
      </w:r>
      <w:r w:rsidRPr="008147DC">
        <w:rPr>
          <w:lang w:eastAsia="zh-TW"/>
        </w:rPr>
        <w:tab/>
      </w:r>
      <w:r w:rsidRPr="008147DC">
        <w:rPr>
          <w:lang w:eastAsia="zh-TW"/>
        </w:rPr>
        <w:t>政治中心</w:t>
      </w:r>
      <w:r w:rsidRPr="008147DC">
        <w:rPr>
          <w:lang w:eastAsia="zh-TW"/>
        </w:rPr>
        <w:t>(2013)</w:t>
      </w:r>
      <w:r w:rsidRPr="008147DC">
        <w:rPr>
          <w:lang w:eastAsia="zh-TW"/>
        </w:rPr>
        <w:t>，兩岸互設辦事處，馬：屬政治性質，蘋果日報</w:t>
      </w:r>
      <w:r w:rsidRPr="008147DC">
        <w:rPr>
          <w:lang w:eastAsia="zh-TW"/>
        </w:rPr>
        <w:t>A14</w:t>
      </w:r>
      <w:r w:rsidRPr="008147DC">
        <w:rPr>
          <w:lang w:eastAsia="zh-TW"/>
        </w:rPr>
        <w:t>版，</w:t>
      </w:r>
      <w:smartTag w:uri="urn:schemas-microsoft-com:office:smarttags" w:element="chsdate">
        <w:smartTagPr>
          <w:attr w:name="IsROCDate" w:val="False"/>
          <w:attr w:name="IsLunarDate" w:val="False"/>
          <w:attr w:name="Day" w:val="19"/>
          <w:attr w:name="Month" w:val="10"/>
          <w:attr w:name="Year" w:val="2013"/>
        </w:smartTagPr>
        <w:r w:rsidRPr="008147DC">
          <w:rPr>
            <w:lang w:eastAsia="zh-TW"/>
          </w:rPr>
          <w:t>2013</w:t>
        </w:r>
        <w:r w:rsidRPr="008147DC">
          <w:rPr>
            <w:lang w:eastAsia="zh-TW"/>
          </w:rPr>
          <w:t>年</w:t>
        </w:r>
        <w:r w:rsidRPr="008147DC">
          <w:rPr>
            <w:lang w:eastAsia="zh-TW"/>
          </w:rPr>
          <w:t>10</w:t>
        </w:r>
        <w:r w:rsidRPr="008147DC">
          <w:rPr>
            <w:lang w:eastAsia="zh-TW"/>
          </w:rPr>
          <w:t>月</w:t>
        </w:r>
        <w:r w:rsidRPr="008147DC">
          <w:rPr>
            <w:lang w:eastAsia="zh-TW"/>
          </w:rPr>
          <w:t>19</w:t>
        </w:r>
        <w:r w:rsidRPr="008147DC">
          <w:rPr>
            <w:lang w:eastAsia="zh-TW"/>
          </w:rPr>
          <w:t>日</w:t>
        </w:r>
      </w:smartTag>
      <w:r w:rsidRPr="008147DC">
        <w:rPr>
          <w:lang w:eastAsia="zh-TW"/>
        </w:rPr>
        <w:t>。</w:t>
      </w:r>
    </w:p>
  </w:footnote>
  <w:footnote w:id="669">
    <w:p w:rsidR="00657FEF" w:rsidRPr="008147DC" w:rsidRDefault="00657FEF" w:rsidP="00992AB6">
      <w:pPr>
        <w:pStyle w:val="5"/>
        <w:rPr>
          <w:lang w:eastAsia="zh-TW"/>
        </w:rPr>
      </w:pPr>
      <w:r w:rsidRPr="002F19DE">
        <w:rPr>
          <w:rStyle w:val="af7"/>
        </w:rPr>
        <w:footnoteRef/>
      </w:r>
      <w:r w:rsidRPr="008147DC">
        <w:rPr>
          <w:lang w:eastAsia="zh-TW"/>
        </w:rPr>
        <w:t xml:space="preserve"> </w:t>
      </w:r>
      <w:r w:rsidRPr="008147DC">
        <w:rPr>
          <w:lang w:eastAsia="zh-TW"/>
        </w:rPr>
        <w:tab/>
      </w:r>
      <w:r w:rsidRPr="008147DC">
        <w:rPr>
          <w:lang w:eastAsia="zh-TW"/>
        </w:rPr>
        <w:t>因大陸地區土地面積廣大，為利偏遠省份可便於處理行政事務，於是在北京市設立辦公室，就近處理省務。</w:t>
      </w:r>
    </w:p>
  </w:footnote>
  <w:footnote w:id="670">
    <w:p w:rsidR="00657FEF" w:rsidRPr="008147DC" w:rsidRDefault="00657FEF" w:rsidP="00992AB6">
      <w:pPr>
        <w:pStyle w:val="5"/>
        <w:rPr>
          <w:lang w:eastAsia="zh-TW"/>
        </w:rPr>
      </w:pPr>
      <w:r w:rsidRPr="002F19DE">
        <w:rPr>
          <w:rStyle w:val="af7"/>
        </w:rPr>
        <w:footnoteRef/>
      </w:r>
      <w:r w:rsidRPr="002F19DE">
        <w:rPr>
          <w:color w:val="FF6600"/>
          <w:lang w:eastAsia="zh-TW"/>
        </w:rPr>
        <w:t xml:space="preserve"> </w:t>
      </w:r>
      <w:r w:rsidRPr="008147DC">
        <w:rPr>
          <w:lang w:eastAsia="zh-TW"/>
        </w:rPr>
        <w:t>如大陸居民檢附公司在職證明作為資格證明文件，但是台灣方面並無法去查明該公司是否正常營運或只是空頭公司，甚至根本沒有該公司的存在。</w:t>
      </w:r>
    </w:p>
  </w:footnote>
  <w:footnote w:id="671">
    <w:p w:rsidR="00657FEF" w:rsidRPr="008147DC" w:rsidRDefault="00657FEF" w:rsidP="00992AB6">
      <w:pPr>
        <w:pStyle w:val="5"/>
        <w:rPr>
          <w:lang w:eastAsia="zh-TW"/>
        </w:rPr>
      </w:pPr>
      <w:r w:rsidRPr="002F19DE">
        <w:rPr>
          <w:rStyle w:val="af7"/>
          <w:rFonts w:cs="Times New Roman"/>
          <w:szCs w:val="20"/>
        </w:rPr>
        <w:footnoteRef/>
      </w:r>
      <w:r w:rsidRPr="002F19DE">
        <w:rPr>
          <w:color w:val="FF6600"/>
          <w:lang w:eastAsia="zh-TW"/>
        </w:rPr>
        <w:t xml:space="preserve"> </w:t>
      </w:r>
      <w:r w:rsidRPr="008147DC">
        <w:rPr>
          <w:lang w:eastAsia="zh-TW"/>
        </w:rPr>
        <w:t>高佩珊主編（</w:t>
      </w:r>
      <w:r w:rsidRPr="008147DC">
        <w:rPr>
          <w:lang w:eastAsia="zh-TW"/>
        </w:rPr>
        <w:t>2016</w:t>
      </w:r>
      <w:r w:rsidRPr="008147DC">
        <w:rPr>
          <w:lang w:eastAsia="zh-TW"/>
        </w:rPr>
        <w:t>）。陳明傳、柯雨瑞、蔡政杰、王智盛、王寬弘、許義寶、黃文志、何招凡、高佩珊等合著（</w:t>
      </w:r>
      <w:r w:rsidRPr="008147DC">
        <w:rPr>
          <w:lang w:eastAsia="zh-TW"/>
        </w:rPr>
        <w:t>2016</w:t>
      </w:r>
      <w:r w:rsidRPr="008147DC">
        <w:rPr>
          <w:lang w:eastAsia="zh-TW"/>
        </w:rPr>
        <w:t>）。全球化下之國境執法，臺北：五南圖書出版公司。</w:t>
      </w:r>
    </w:p>
  </w:footnote>
  <w:footnote w:id="672">
    <w:p w:rsidR="00657FEF" w:rsidRPr="003F05BB" w:rsidRDefault="00657FEF" w:rsidP="00BF5F93">
      <w:pPr>
        <w:pStyle w:val="5"/>
        <w:jc w:val="left"/>
        <w:rPr>
          <w:lang w:eastAsia="zh-TW"/>
        </w:rPr>
      </w:pPr>
      <w:r w:rsidRPr="003F05BB">
        <w:rPr>
          <w:rStyle w:val="af7"/>
          <w:szCs w:val="20"/>
        </w:rPr>
        <w:footnoteRef/>
      </w:r>
      <w:r w:rsidRPr="008147DC">
        <w:rPr>
          <w:lang w:eastAsia="zh-TW"/>
        </w:rPr>
        <w:t>新唐人亞太台</w:t>
      </w:r>
      <w:r w:rsidRPr="008147DC">
        <w:rPr>
          <w:lang w:eastAsia="zh-TW"/>
        </w:rPr>
        <w:t>( 2017)</w:t>
      </w:r>
      <w:r w:rsidRPr="008147DC">
        <w:rPr>
          <w:lang w:eastAsia="zh-TW"/>
        </w:rPr>
        <w:t>，台灣人才流失成隱憂，學者：低薪為主因，</w:t>
      </w:r>
      <w:hyperlink r:id="rId161" w:history="1">
        <w:r w:rsidRPr="00AF69C2">
          <w:rPr>
            <w:rStyle w:val="a7"/>
            <w:rFonts w:ascii="Arial Unicode MS" w:eastAsia="新細明體" w:hAnsi="Arial Unicode MS" w:cs="Calibri"/>
            <w:color w:val="5F5F5F"/>
            <w:kern w:val="2"/>
            <w:sz w:val="18"/>
            <w:lang w:eastAsia="zh-TW"/>
          </w:rPr>
          <w:t>http://www.ntdtv.com.tw/b5/20171121/video/209951.html?%E5%8F%B0%E7%81%A3%E4%BA%BA%E6%89%8D%E6%B5%81%E5%A4%B1%E6%88%90%E9%9A%B1%E6%86%82%20%E5%AD%B8%E8%80%85%EF%BC%9A%E4%BD%8E%E8%96%AA%E7%82%BA%E4%B8%BB%E5%9B%A0</w:t>
        </w:r>
      </w:hyperlink>
      <w:r w:rsidRPr="003F05BB">
        <w:rPr>
          <w:lang w:eastAsia="zh-TW"/>
        </w:rPr>
        <w:t>。</w:t>
      </w:r>
    </w:p>
  </w:footnote>
  <w:footnote w:id="673">
    <w:p w:rsidR="00657FEF" w:rsidRPr="008147DC" w:rsidRDefault="00657FEF" w:rsidP="00BF5F93">
      <w:pPr>
        <w:pStyle w:val="5"/>
        <w:jc w:val="left"/>
        <w:rPr>
          <w:lang w:eastAsia="zh-TW"/>
        </w:rPr>
      </w:pPr>
      <w:r w:rsidRPr="001775C3">
        <w:rPr>
          <w:rStyle w:val="af7"/>
          <w:rFonts w:eastAsia="新細明體"/>
          <w:kern w:val="2"/>
          <w:szCs w:val="20"/>
        </w:rPr>
        <w:footnoteRef/>
      </w:r>
      <w:r w:rsidRPr="008147DC">
        <w:rPr>
          <w:lang w:eastAsia="zh-TW"/>
        </w:rPr>
        <w:t>新唐人亞太台</w:t>
      </w:r>
      <w:r w:rsidRPr="008147DC">
        <w:rPr>
          <w:lang w:eastAsia="zh-TW"/>
        </w:rPr>
        <w:t>( 2017)</w:t>
      </w:r>
      <w:r w:rsidRPr="008147DC">
        <w:rPr>
          <w:lang w:eastAsia="zh-TW"/>
        </w:rPr>
        <w:t>，台灣人才流失成隱憂，學者：低薪為主因，</w:t>
      </w:r>
      <w:hyperlink r:id="rId162" w:history="1">
        <w:r w:rsidRPr="001775C3">
          <w:rPr>
            <w:rStyle w:val="a7"/>
            <w:rFonts w:ascii="Arial Unicode MS" w:eastAsia="新細明體" w:hAnsi="Arial Unicode MS" w:cs="Calibri"/>
            <w:color w:val="5F5F5F"/>
            <w:kern w:val="2"/>
            <w:sz w:val="18"/>
            <w:lang w:eastAsia="zh-TW"/>
          </w:rPr>
          <w:t>http://www.ntdtv.com.tw/b5/20171121/video/209951.html?%E5%8F%B0%E7%81%A3%E4%BA%BA%E6%89%8D%E6%B5%81%E5%A4%B1%E6%88%90%E9%9A%B1%E6%86%82%20%E5%AD%B8%E8%80%85%EF%BC%9A%E4%BD%8E%E8%96%AA%E7%82%BA%E4%B8%BB%E5%9B%A0</w:t>
        </w:r>
      </w:hyperlink>
      <w:r w:rsidRPr="001775C3">
        <w:rPr>
          <w:rStyle w:val="a7"/>
          <w:rFonts w:ascii="Arial Unicode MS" w:eastAsia="新細明體" w:hAnsi="Arial Unicode MS" w:cs="Calibri"/>
          <w:color w:val="5F5F5F"/>
          <w:kern w:val="2"/>
          <w:sz w:val="18"/>
          <w:lang w:eastAsia="zh-TW"/>
        </w:rPr>
        <w:t>。</w:t>
      </w:r>
    </w:p>
  </w:footnote>
  <w:footnote w:id="674">
    <w:p w:rsidR="00657FEF" w:rsidRPr="008147DC" w:rsidRDefault="00657FEF" w:rsidP="00992AB6">
      <w:pPr>
        <w:pStyle w:val="5"/>
        <w:rPr>
          <w:lang w:eastAsia="zh-TW"/>
        </w:rPr>
      </w:pPr>
      <w:r w:rsidRPr="002F19DE">
        <w:rPr>
          <w:rStyle w:val="af7"/>
          <w:szCs w:val="20"/>
        </w:rPr>
        <w:footnoteRef/>
      </w:r>
      <w:r w:rsidRPr="008147DC">
        <w:rPr>
          <w:lang w:eastAsia="zh-TW"/>
        </w:rPr>
        <w:t>洪凱音</w:t>
      </w:r>
      <w:r w:rsidRPr="008147DC">
        <w:rPr>
          <w:lang w:eastAsia="zh-TW"/>
        </w:rPr>
        <w:t>(2017)</w:t>
      </w:r>
      <w:r w:rsidRPr="008147DC">
        <w:rPr>
          <w:lang w:eastAsia="zh-TW"/>
        </w:rPr>
        <w:t>，教育評比第</w:t>
      </w:r>
      <w:r w:rsidRPr="008147DC">
        <w:rPr>
          <w:lang w:eastAsia="zh-TW"/>
        </w:rPr>
        <w:t>2</w:t>
      </w:r>
      <w:r w:rsidRPr="008147DC">
        <w:rPr>
          <w:lang w:eastAsia="zh-TW"/>
        </w:rPr>
        <w:t>名，卻淪為人才中繼站，中國時報</w:t>
      </w:r>
      <w:r w:rsidRPr="008147DC">
        <w:rPr>
          <w:lang w:eastAsia="zh-TW"/>
        </w:rPr>
        <w:t>A4</w:t>
      </w:r>
      <w:r w:rsidRPr="008147DC">
        <w:rPr>
          <w:lang w:eastAsia="zh-TW"/>
        </w:rPr>
        <w:t>版，</w:t>
      </w:r>
      <w:r w:rsidRPr="008147DC">
        <w:rPr>
          <w:lang w:eastAsia="zh-TW"/>
        </w:rPr>
        <w:t>2017</w:t>
      </w:r>
      <w:r w:rsidRPr="008147DC">
        <w:rPr>
          <w:lang w:eastAsia="zh-TW"/>
        </w:rPr>
        <w:t>年</w:t>
      </w:r>
      <w:r w:rsidRPr="008147DC">
        <w:rPr>
          <w:lang w:eastAsia="zh-TW"/>
        </w:rPr>
        <w:t>11</w:t>
      </w:r>
      <w:r w:rsidRPr="008147DC">
        <w:rPr>
          <w:lang w:eastAsia="zh-TW"/>
        </w:rPr>
        <w:t>月</w:t>
      </w:r>
      <w:r w:rsidRPr="008147DC">
        <w:rPr>
          <w:lang w:eastAsia="zh-TW"/>
        </w:rPr>
        <w:t>22</w:t>
      </w:r>
      <w:r w:rsidRPr="008147DC">
        <w:rPr>
          <w:lang w:eastAsia="zh-TW"/>
        </w:rPr>
        <w:t>日。</w:t>
      </w:r>
    </w:p>
  </w:footnote>
  <w:footnote w:id="675">
    <w:p w:rsidR="00657FEF" w:rsidRPr="008147DC" w:rsidRDefault="00657FEF" w:rsidP="00992AB6">
      <w:pPr>
        <w:pStyle w:val="5"/>
        <w:rPr>
          <w:lang w:eastAsia="zh-TW"/>
        </w:rPr>
      </w:pPr>
      <w:r w:rsidRPr="002F19DE">
        <w:rPr>
          <w:rStyle w:val="af7"/>
          <w:szCs w:val="20"/>
        </w:rPr>
        <w:footnoteRef/>
      </w:r>
      <w:r w:rsidRPr="008147DC">
        <w:rPr>
          <w:lang w:eastAsia="zh-TW"/>
        </w:rPr>
        <w:t>洪凱音</w:t>
      </w:r>
      <w:r w:rsidRPr="008147DC">
        <w:rPr>
          <w:lang w:eastAsia="zh-TW"/>
        </w:rPr>
        <w:t>(2017)</w:t>
      </w:r>
      <w:r w:rsidRPr="008147DC">
        <w:rPr>
          <w:lang w:eastAsia="zh-TW"/>
        </w:rPr>
        <w:t>，教育評比第</w:t>
      </w:r>
      <w:r w:rsidRPr="008147DC">
        <w:rPr>
          <w:lang w:eastAsia="zh-TW"/>
        </w:rPr>
        <w:t>2</w:t>
      </w:r>
      <w:r w:rsidRPr="008147DC">
        <w:rPr>
          <w:lang w:eastAsia="zh-TW"/>
        </w:rPr>
        <w:t>名，卻淪為人才中繼站，中國時報</w:t>
      </w:r>
      <w:r w:rsidRPr="008147DC">
        <w:rPr>
          <w:lang w:eastAsia="zh-TW"/>
        </w:rPr>
        <w:t>A4</w:t>
      </w:r>
      <w:r w:rsidRPr="008147DC">
        <w:rPr>
          <w:lang w:eastAsia="zh-TW"/>
        </w:rPr>
        <w:t>版，</w:t>
      </w:r>
      <w:r w:rsidRPr="008147DC">
        <w:rPr>
          <w:lang w:eastAsia="zh-TW"/>
        </w:rPr>
        <w:t>2017</w:t>
      </w:r>
      <w:r w:rsidRPr="008147DC">
        <w:rPr>
          <w:lang w:eastAsia="zh-TW"/>
        </w:rPr>
        <w:t>年</w:t>
      </w:r>
      <w:r w:rsidRPr="008147DC">
        <w:rPr>
          <w:lang w:eastAsia="zh-TW"/>
        </w:rPr>
        <w:t>11</w:t>
      </w:r>
      <w:r w:rsidRPr="008147DC">
        <w:rPr>
          <w:lang w:eastAsia="zh-TW"/>
        </w:rPr>
        <w:t>月</w:t>
      </w:r>
      <w:r w:rsidRPr="008147DC">
        <w:rPr>
          <w:lang w:eastAsia="zh-TW"/>
        </w:rPr>
        <w:t>22</w:t>
      </w:r>
      <w:r w:rsidRPr="008147DC">
        <w:rPr>
          <w:lang w:eastAsia="zh-TW"/>
        </w:rPr>
        <w:t>日。</w:t>
      </w:r>
    </w:p>
  </w:footnote>
  <w:footnote w:id="676">
    <w:p w:rsidR="00657FEF" w:rsidRPr="008147DC" w:rsidRDefault="00657FEF" w:rsidP="00992AB6">
      <w:pPr>
        <w:pStyle w:val="5"/>
        <w:rPr>
          <w:lang w:eastAsia="zh-TW"/>
        </w:rPr>
      </w:pPr>
      <w:r w:rsidRPr="002F19DE">
        <w:rPr>
          <w:rStyle w:val="af7"/>
          <w:szCs w:val="20"/>
        </w:rPr>
        <w:footnoteRef/>
      </w:r>
      <w:r w:rsidRPr="008147DC">
        <w:rPr>
          <w:lang w:eastAsia="zh-TW"/>
        </w:rPr>
        <w:t>洪凱音</w:t>
      </w:r>
      <w:r w:rsidRPr="008147DC">
        <w:rPr>
          <w:lang w:eastAsia="zh-TW"/>
        </w:rPr>
        <w:t>(2017)</w:t>
      </w:r>
      <w:r w:rsidRPr="008147DC">
        <w:rPr>
          <w:lang w:eastAsia="zh-TW"/>
        </w:rPr>
        <w:t>，教育評比第</w:t>
      </w:r>
      <w:r w:rsidRPr="008147DC">
        <w:rPr>
          <w:lang w:eastAsia="zh-TW"/>
        </w:rPr>
        <w:t>2</w:t>
      </w:r>
      <w:r w:rsidRPr="008147DC">
        <w:rPr>
          <w:lang w:eastAsia="zh-TW"/>
        </w:rPr>
        <w:t>名，卻淪為人才中繼站，中國時報</w:t>
      </w:r>
      <w:r w:rsidRPr="008147DC">
        <w:rPr>
          <w:lang w:eastAsia="zh-TW"/>
        </w:rPr>
        <w:t>A4</w:t>
      </w:r>
      <w:r w:rsidRPr="008147DC">
        <w:rPr>
          <w:lang w:eastAsia="zh-TW"/>
        </w:rPr>
        <w:t>版，</w:t>
      </w:r>
      <w:r w:rsidRPr="008147DC">
        <w:rPr>
          <w:lang w:eastAsia="zh-TW"/>
        </w:rPr>
        <w:t>2017</w:t>
      </w:r>
      <w:r w:rsidRPr="008147DC">
        <w:rPr>
          <w:lang w:eastAsia="zh-TW"/>
        </w:rPr>
        <w:t>年</w:t>
      </w:r>
      <w:r w:rsidRPr="008147DC">
        <w:rPr>
          <w:lang w:eastAsia="zh-TW"/>
        </w:rPr>
        <w:t>11</w:t>
      </w:r>
      <w:r w:rsidRPr="008147DC">
        <w:rPr>
          <w:lang w:eastAsia="zh-TW"/>
        </w:rPr>
        <w:t>月</w:t>
      </w:r>
      <w:r w:rsidRPr="008147DC">
        <w:rPr>
          <w:lang w:eastAsia="zh-TW"/>
        </w:rPr>
        <w:t>22</w:t>
      </w:r>
      <w:r w:rsidRPr="008147DC">
        <w:rPr>
          <w:lang w:eastAsia="zh-TW"/>
        </w:rPr>
        <w:t>日。</w:t>
      </w:r>
    </w:p>
  </w:footnote>
  <w:footnote w:id="677">
    <w:p w:rsidR="00657FEF" w:rsidRPr="00F5542D" w:rsidRDefault="00657FEF" w:rsidP="00992AB6">
      <w:pPr>
        <w:pStyle w:val="5"/>
      </w:pPr>
      <w:r w:rsidRPr="00F5542D">
        <w:rPr>
          <w:rStyle w:val="af7"/>
          <w:rFonts w:eastAsia="新細明體"/>
          <w:kern w:val="2"/>
        </w:rPr>
        <w:footnoteRef/>
      </w:r>
      <w:r w:rsidRPr="008147DC">
        <w:t>李侑珊</w:t>
      </w:r>
      <w:r w:rsidRPr="008147DC">
        <w:t>(2017)</w:t>
      </w:r>
      <w:r w:rsidRPr="008147DC">
        <w:t>，這廂大砍福利，那廂狂撒銀彈！陸祭年薪</w:t>
      </w:r>
      <w:r w:rsidRPr="008147DC">
        <w:t>220</w:t>
      </w:r>
      <w:r w:rsidRPr="008147DC">
        <w:t>萬，台師明春湧逃離潮，</w:t>
      </w:r>
      <w:hyperlink r:id="rId163" w:history="1">
        <w:r w:rsidRPr="00F5542D">
          <w:rPr>
            <w:rStyle w:val="a7"/>
            <w:rFonts w:ascii="Arial Unicode MS" w:eastAsia="新細明體" w:hAnsi="Arial Unicode MS" w:cs="Calibri"/>
            <w:color w:val="5F5F5F"/>
            <w:kern w:val="2"/>
            <w:sz w:val="18"/>
          </w:rPr>
          <w:t>http://www.chinatimes.com/newspapers/20171210000284-260108</w:t>
        </w:r>
      </w:hyperlink>
      <w:r w:rsidRPr="00F5542D">
        <w:t>。</w:t>
      </w:r>
    </w:p>
  </w:footnote>
  <w:footnote w:id="678">
    <w:p w:rsidR="00657FEF" w:rsidRPr="003F05BB" w:rsidRDefault="00657FEF" w:rsidP="00992AB6">
      <w:pPr>
        <w:pStyle w:val="5"/>
      </w:pPr>
      <w:r w:rsidRPr="00F5542D">
        <w:rPr>
          <w:rStyle w:val="af7"/>
          <w:rFonts w:eastAsia="新細明體"/>
          <w:kern w:val="2"/>
        </w:rPr>
        <w:footnoteRef/>
      </w:r>
      <w:r w:rsidRPr="00F5542D">
        <w:t>李侑珊</w:t>
      </w:r>
      <w:r w:rsidRPr="00F5542D">
        <w:t>(2017)</w:t>
      </w:r>
      <w:r w:rsidRPr="00F5542D">
        <w:t>，這廂大砍福利，那廂狂撒銀彈！陸祭年薪</w:t>
      </w:r>
      <w:r w:rsidRPr="00F5542D">
        <w:t>220</w:t>
      </w:r>
      <w:r w:rsidRPr="00F5542D">
        <w:t>萬，台師明春湧逃離潮，</w:t>
      </w:r>
      <w:hyperlink r:id="rId164" w:history="1">
        <w:r w:rsidRPr="00F5542D">
          <w:rPr>
            <w:rStyle w:val="a7"/>
            <w:rFonts w:ascii="Arial Unicode MS" w:eastAsia="新細明體" w:hAnsi="Arial Unicode MS" w:cs="Calibri"/>
            <w:color w:val="5F5F5F"/>
            <w:kern w:val="2"/>
            <w:sz w:val="18"/>
          </w:rPr>
          <w:t>http://www.chinatimes.com/newspapers/20171210000284-260108</w:t>
        </w:r>
      </w:hyperlink>
      <w:r w:rsidRPr="00F5542D">
        <w:t>。</w:t>
      </w:r>
    </w:p>
  </w:footnote>
  <w:footnote w:id="679">
    <w:p w:rsidR="00657FEF" w:rsidRPr="000C4650" w:rsidRDefault="00657FEF" w:rsidP="00992AB6">
      <w:pPr>
        <w:pStyle w:val="5"/>
      </w:pPr>
      <w:r w:rsidRPr="003F05BB">
        <w:rPr>
          <w:rStyle w:val="af7"/>
        </w:rPr>
        <w:footnoteRef/>
      </w:r>
      <w:r w:rsidRPr="008147DC">
        <w:t xml:space="preserve"> </w:t>
      </w:r>
      <w:r w:rsidRPr="008147DC">
        <w:t>李侑珊</w:t>
      </w:r>
      <w:r w:rsidRPr="008147DC">
        <w:t>(2017)</w:t>
      </w:r>
      <w:r w:rsidRPr="008147DC">
        <w:t>，這廂大砍福利，那廂狂撒銀彈！陸祭年薪</w:t>
      </w:r>
      <w:r w:rsidRPr="008147DC">
        <w:t>220</w:t>
      </w:r>
      <w:r w:rsidRPr="008147DC">
        <w:t>萬，台師明春湧逃離潮，</w:t>
      </w:r>
      <w:hyperlink r:id="rId165" w:history="1">
        <w:r w:rsidRPr="000C4650">
          <w:rPr>
            <w:rStyle w:val="a7"/>
            <w:rFonts w:ascii="Arial Unicode MS" w:eastAsia="新細明體" w:hAnsi="Arial Unicode MS" w:cs="Calibri"/>
            <w:color w:val="5F5F5F"/>
            <w:kern w:val="2"/>
            <w:sz w:val="18"/>
          </w:rPr>
          <w:t>http://www.chinatimes.com/newspapers/20171210000284-260108</w:t>
        </w:r>
      </w:hyperlink>
      <w:r w:rsidRPr="000C4650">
        <w:t>。</w:t>
      </w:r>
    </w:p>
  </w:footnote>
  <w:footnote w:id="680">
    <w:tbl>
      <w:tblPr>
        <w:tblW w:w="5000" w:type="pct"/>
        <w:jc w:val="center"/>
        <w:tblCellSpacing w:w="0" w:type="dxa"/>
        <w:tblCellMar>
          <w:left w:w="0" w:type="dxa"/>
          <w:right w:w="0" w:type="dxa"/>
        </w:tblCellMar>
        <w:tblLook w:val="04A0" w:firstRow="1" w:lastRow="0" w:firstColumn="1" w:lastColumn="0" w:noHBand="0" w:noVBand="1"/>
      </w:tblPr>
      <w:tblGrid>
        <w:gridCol w:w="9720"/>
        <w:gridCol w:w="202"/>
      </w:tblGrid>
      <w:tr w:rsidR="00657FEF" w:rsidRPr="000C4650" w:rsidTr="00B40DC1">
        <w:trPr>
          <w:tblCellSpacing w:w="0" w:type="dxa"/>
          <w:jc w:val="center"/>
        </w:trPr>
        <w:tc>
          <w:tcPr>
            <w:tcW w:w="4898" w:type="pct"/>
            <w:vAlign w:val="center"/>
            <w:hideMark/>
          </w:tcPr>
          <w:p w:rsidR="00657FEF" w:rsidRPr="000C4650" w:rsidRDefault="00657FEF" w:rsidP="00992AB6">
            <w:pPr>
              <w:pStyle w:val="5"/>
              <w:rPr>
                <w:lang w:eastAsia="zh-TW"/>
              </w:rPr>
            </w:pPr>
            <w:r w:rsidRPr="000C4650">
              <w:rPr>
                <w:rStyle w:val="af7"/>
                <w:szCs w:val="20"/>
              </w:rPr>
              <w:footnoteRef/>
            </w:r>
            <w:r w:rsidRPr="000C4650">
              <w:rPr>
                <w:rStyle w:val="afc"/>
                <w:rFonts w:asciiTheme="minorEastAsia" w:eastAsiaTheme="minorEastAsia" w:hAnsiTheme="minorEastAsia"/>
                <w:lang w:eastAsia="zh-TW"/>
              </w:rPr>
              <w:t>《關於促進兩岸經濟文化交流合作的若干措施》之前言指出：「</w:t>
            </w:r>
            <w:r w:rsidRPr="000C4650">
              <w:rPr>
                <w:lang w:eastAsia="zh-TW"/>
              </w:rPr>
              <w:t>為深入貫徹黨的十九大精神和習近平總書記關於深化兩岸經濟文化交流合作的重要思想，率先同台灣同胞分享大陸發展的機遇，逐步為台灣同胞在大陸學習、創業、就業、生活提供與大陸同胞同等的待遇，國務院台辦、國家發展改革委經商中央組織部、中央宣傳部、中央網信辦、教育部、科技部、工業和信息化部、民政部、財政部、人力資源社會保障部、國土資源部、住房城鄉建設部、交通運輸部、水利部、農業部、商務部、文化部、衛生計生委、人民銀行、稅務總局、質檢總局、新聞出版廣電總局、林業局、旅遊局、銀監會、證監會、保監會、文物局、全國總工會、全國婦聯，出台若干措施如下</w:t>
            </w:r>
            <w:r w:rsidRPr="000C4650">
              <w:rPr>
                <w:lang w:eastAsia="zh-TW"/>
              </w:rPr>
              <w:t>---</w:t>
            </w:r>
            <w:r w:rsidRPr="000C4650">
              <w:rPr>
                <w:lang w:eastAsia="zh-TW"/>
              </w:rPr>
              <w:t>」。資料來源：中國評論通訊社</w:t>
            </w:r>
            <w:r w:rsidRPr="000C4650">
              <w:rPr>
                <w:lang w:eastAsia="zh-TW"/>
              </w:rPr>
              <w:t>(2018)</w:t>
            </w:r>
            <w:r w:rsidRPr="000C4650">
              <w:rPr>
                <w:lang w:eastAsia="zh-TW"/>
              </w:rPr>
              <w:t>，《關於促進兩岸經濟文化交流合作的若干措施》全文</w:t>
            </w:r>
            <w:r w:rsidRPr="000C4650">
              <w:rPr>
                <w:lang w:eastAsia="zh-TW"/>
              </w:rPr>
              <w:t xml:space="preserve"> </w:t>
            </w:r>
            <w:r w:rsidRPr="000C4650">
              <w:rPr>
                <w:lang w:eastAsia="zh-TW"/>
              </w:rPr>
              <w:t>，</w:t>
            </w:r>
            <w:hyperlink r:id="rId166" w:history="1">
              <w:r w:rsidRPr="000C4650">
                <w:rPr>
                  <w:rStyle w:val="a7"/>
                  <w:rFonts w:ascii="Arial Unicode MS" w:eastAsia="新細明體" w:hAnsi="Arial Unicode MS" w:cs="Calibri"/>
                  <w:color w:val="5F5F5F"/>
                  <w:kern w:val="2"/>
                  <w:sz w:val="18"/>
                  <w:lang w:eastAsia="zh-TW"/>
                </w:rPr>
                <w:t>http://www.CRNTT.com</w:t>
              </w:r>
            </w:hyperlink>
            <w:r w:rsidRPr="000C4650">
              <w:rPr>
                <w:lang w:eastAsia="zh-TW"/>
              </w:rPr>
              <w:t>。</w:t>
            </w:r>
          </w:p>
        </w:tc>
        <w:tc>
          <w:tcPr>
            <w:tcW w:w="102" w:type="pct"/>
            <w:noWrap/>
            <w:tcMar>
              <w:top w:w="0" w:type="dxa"/>
              <w:left w:w="0" w:type="dxa"/>
              <w:bottom w:w="0" w:type="dxa"/>
              <w:right w:w="150" w:type="dxa"/>
            </w:tcMar>
            <w:vAlign w:val="center"/>
            <w:hideMark/>
          </w:tcPr>
          <w:p w:rsidR="00657FEF" w:rsidRPr="000C4650" w:rsidRDefault="00657FEF" w:rsidP="00992AB6">
            <w:pPr>
              <w:pStyle w:val="5"/>
              <w:rPr>
                <w:lang w:eastAsia="zh-TW"/>
              </w:rPr>
            </w:pPr>
          </w:p>
        </w:tc>
      </w:tr>
    </w:tbl>
    <w:p w:rsidR="00657FEF" w:rsidRPr="008147DC" w:rsidRDefault="00657FEF" w:rsidP="00992AB6">
      <w:pPr>
        <w:pStyle w:val="5"/>
        <w:rPr>
          <w:lang w:eastAsia="zh-TW"/>
        </w:rPr>
      </w:pPr>
    </w:p>
  </w:footnote>
  <w:footnote w:id="681">
    <w:p w:rsidR="00657FEF" w:rsidRPr="008147DC" w:rsidRDefault="00657FEF" w:rsidP="00992AB6">
      <w:pPr>
        <w:pStyle w:val="5"/>
      </w:pPr>
      <w:r w:rsidRPr="003F05BB">
        <w:rPr>
          <w:rStyle w:val="af7"/>
        </w:rPr>
        <w:footnoteRef/>
      </w:r>
      <w:r w:rsidRPr="008147DC">
        <w:t>中國評論通訊社</w:t>
      </w:r>
      <w:r w:rsidRPr="008147DC">
        <w:t>(2018)</w:t>
      </w:r>
      <w:r w:rsidRPr="008147DC">
        <w:t>，《關於促進兩岸經濟文化交流合作的若干措施》全文，</w:t>
      </w:r>
      <w:hyperlink r:id="rId167" w:history="1">
        <w:r w:rsidRPr="000C4650">
          <w:rPr>
            <w:rStyle w:val="a7"/>
            <w:rFonts w:ascii="Arial Unicode MS" w:eastAsia="新細明體" w:hAnsi="Arial Unicode MS" w:cs="Calibri"/>
            <w:color w:val="5F5F5F"/>
            <w:kern w:val="2"/>
            <w:sz w:val="18"/>
          </w:rPr>
          <w:t>http://www.CRNTT.com</w:t>
        </w:r>
      </w:hyperlink>
      <w:r w:rsidRPr="008147DC">
        <w:t>。</w:t>
      </w:r>
    </w:p>
  </w:footnote>
  <w:footnote w:id="682">
    <w:p w:rsidR="00657FEF" w:rsidRPr="008147DC" w:rsidRDefault="00657FEF" w:rsidP="00992AB6">
      <w:pPr>
        <w:pStyle w:val="5"/>
      </w:pPr>
      <w:r w:rsidRPr="000C4650">
        <w:rPr>
          <w:rStyle w:val="af7"/>
          <w:rFonts w:eastAsia="新細明體"/>
          <w:kern w:val="2"/>
        </w:rPr>
        <w:footnoteRef/>
      </w:r>
      <w:r w:rsidRPr="008147DC">
        <w:t>中國評論通訊社</w:t>
      </w:r>
      <w:r w:rsidRPr="008147DC">
        <w:t>(2018)</w:t>
      </w:r>
      <w:r w:rsidRPr="008147DC">
        <w:t>，《關於促進兩岸經濟文化交流合作的若干措施》全文，</w:t>
      </w:r>
      <w:hyperlink r:id="rId168" w:history="1">
        <w:r w:rsidRPr="000C4650">
          <w:rPr>
            <w:rStyle w:val="a7"/>
            <w:rFonts w:ascii="Arial Unicode MS" w:eastAsia="新細明體" w:hAnsi="Arial Unicode MS" w:cs="Calibri"/>
            <w:color w:val="5F5F5F"/>
            <w:kern w:val="2"/>
            <w:sz w:val="18"/>
          </w:rPr>
          <w:t>http://www.CRNTT.com</w:t>
        </w:r>
      </w:hyperlink>
      <w:r w:rsidRPr="008147DC">
        <w:t>。</w:t>
      </w:r>
    </w:p>
  </w:footnote>
  <w:footnote w:id="683">
    <w:p w:rsidR="00657FEF" w:rsidRPr="005A55DE" w:rsidRDefault="00657FEF" w:rsidP="00992AB6">
      <w:pPr>
        <w:pStyle w:val="5"/>
      </w:pPr>
      <w:r w:rsidRPr="005A55DE">
        <w:rPr>
          <w:rStyle w:val="af7"/>
          <w:rFonts w:eastAsia="新細明體"/>
          <w:kern w:val="2"/>
        </w:rPr>
        <w:footnoteRef/>
      </w:r>
      <w:r w:rsidRPr="005A55DE">
        <w:t>中國評論通訊社</w:t>
      </w:r>
      <w:r w:rsidRPr="005A55DE">
        <w:t>(2018)</w:t>
      </w:r>
      <w:r w:rsidRPr="005A55DE">
        <w:t>，《關於促進兩岸經濟文化交流合作的若干措施》全文，</w:t>
      </w:r>
      <w:hyperlink r:id="rId169" w:history="1">
        <w:r w:rsidRPr="005A55DE">
          <w:rPr>
            <w:rStyle w:val="a7"/>
            <w:rFonts w:ascii="Arial Unicode MS" w:eastAsia="新細明體" w:hAnsi="Arial Unicode MS" w:cs="Calibri"/>
            <w:color w:val="5F5F5F"/>
            <w:kern w:val="2"/>
            <w:sz w:val="18"/>
          </w:rPr>
          <w:t>http://www.CRNTT.com</w:t>
        </w:r>
      </w:hyperlink>
      <w:r w:rsidRPr="005A55DE">
        <w:t>。</w:t>
      </w:r>
    </w:p>
  </w:footnote>
  <w:footnote w:id="684">
    <w:p w:rsidR="00657FEF" w:rsidRPr="005A55DE" w:rsidRDefault="00657FEF" w:rsidP="00992AB6">
      <w:pPr>
        <w:pStyle w:val="5"/>
      </w:pPr>
      <w:r w:rsidRPr="005A55DE">
        <w:rPr>
          <w:rStyle w:val="af7"/>
          <w:rFonts w:eastAsia="新細明體"/>
          <w:kern w:val="2"/>
        </w:rPr>
        <w:footnoteRef/>
      </w:r>
      <w:r w:rsidRPr="005A55DE">
        <w:t>中國評論通訊社</w:t>
      </w:r>
      <w:r w:rsidRPr="005A55DE">
        <w:t>(2018)</w:t>
      </w:r>
      <w:r w:rsidRPr="005A55DE">
        <w:t>，《關於促進兩岸經濟文化交流合作的若干措施》全文，</w:t>
      </w:r>
      <w:hyperlink r:id="rId170" w:history="1">
        <w:r w:rsidRPr="005A55DE">
          <w:rPr>
            <w:rStyle w:val="a7"/>
            <w:rFonts w:ascii="Arial Unicode MS" w:eastAsia="新細明體" w:hAnsi="Arial Unicode MS" w:cs="Calibri"/>
            <w:color w:val="5F5F5F"/>
            <w:kern w:val="2"/>
            <w:sz w:val="18"/>
          </w:rPr>
          <w:t>http://www.CRNTT.com</w:t>
        </w:r>
      </w:hyperlink>
      <w:r w:rsidRPr="005A55DE">
        <w:t>。</w:t>
      </w:r>
    </w:p>
  </w:footnote>
  <w:footnote w:id="685">
    <w:p w:rsidR="00657FEF" w:rsidRPr="008147DC" w:rsidRDefault="00657FEF" w:rsidP="00992AB6">
      <w:pPr>
        <w:pStyle w:val="5"/>
        <w:rPr>
          <w:lang w:eastAsia="zh-TW"/>
        </w:rPr>
      </w:pPr>
      <w:r w:rsidRPr="005A55DE">
        <w:rPr>
          <w:rStyle w:val="af7"/>
          <w:rFonts w:eastAsia="新細明體"/>
          <w:kern w:val="2"/>
        </w:rPr>
        <w:footnoteRef/>
      </w:r>
      <w:r w:rsidRPr="005A55DE">
        <w:rPr>
          <w:rFonts w:ascii="Arial Unicode MS" w:eastAsia="新細明體" w:hAnsi="Arial Unicode MS"/>
          <w:color w:val="FF6600"/>
          <w:kern w:val="2"/>
          <w:lang w:eastAsia="zh-TW"/>
        </w:rPr>
        <w:t xml:space="preserve"> </w:t>
      </w:r>
      <w:r w:rsidRPr="008147DC">
        <w:rPr>
          <w:lang w:eastAsia="zh-TW"/>
        </w:rPr>
        <w:t>每提升無期徒刑之人數</w:t>
      </w:r>
      <w:r w:rsidRPr="008147DC">
        <w:rPr>
          <w:lang w:eastAsia="zh-TW"/>
        </w:rPr>
        <w:t>1</w:t>
      </w:r>
      <w:r w:rsidRPr="008147DC">
        <w:rPr>
          <w:lang w:eastAsia="zh-TW"/>
        </w:rPr>
        <w:t>個單位之標準差</w:t>
      </w:r>
      <w:r w:rsidRPr="008147DC">
        <w:rPr>
          <w:lang w:eastAsia="zh-TW"/>
        </w:rPr>
        <w:t>(1</w:t>
      </w:r>
      <w:r w:rsidRPr="008147DC">
        <w:rPr>
          <w:rStyle w:val="st1"/>
          <w:rFonts w:asciiTheme="minorEastAsia" w:eastAsiaTheme="minorEastAsia" w:hAnsiTheme="minorEastAsia"/>
          <w:lang w:eastAsia="zh-TW"/>
        </w:rPr>
        <w:t>個標準單位)</w:t>
      </w:r>
      <w:r w:rsidRPr="008147DC">
        <w:rPr>
          <w:lang w:eastAsia="zh-TW"/>
        </w:rPr>
        <w:t>，則可增加</w:t>
      </w:r>
      <w:r w:rsidRPr="008147DC">
        <w:rPr>
          <w:lang w:eastAsia="zh-TW"/>
        </w:rPr>
        <w:t>0.763</w:t>
      </w:r>
      <w:r w:rsidRPr="008147DC">
        <w:rPr>
          <w:lang w:eastAsia="zh-TW"/>
        </w:rPr>
        <w:t>個單位之標準差</w:t>
      </w:r>
      <w:r w:rsidRPr="008147DC">
        <w:rPr>
          <w:lang w:eastAsia="zh-TW"/>
        </w:rPr>
        <w:t>(</w:t>
      </w:r>
      <w:r w:rsidRPr="008147DC">
        <w:rPr>
          <w:lang w:eastAsia="zh-TW"/>
        </w:rPr>
        <w:t>標準化迴歸係數值，</w:t>
      </w:r>
      <w:r w:rsidRPr="008147DC">
        <w:rPr>
          <w:lang w:eastAsia="zh-TW"/>
        </w:rPr>
        <w:t>Beta=0.763)</w:t>
      </w:r>
      <w:r w:rsidRPr="008147DC">
        <w:rPr>
          <w:lang w:eastAsia="zh-TW"/>
        </w:rPr>
        <w:t>之當年度殺人犯罪被定罪人數。每提升被執行死刑之人數</w:t>
      </w:r>
      <w:r w:rsidRPr="008147DC">
        <w:rPr>
          <w:lang w:eastAsia="zh-TW"/>
        </w:rPr>
        <w:t>1</w:t>
      </w:r>
      <w:r w:rsidRPr="008147DC">
        <w:rPr>
          <w:lang w:eastAsia="zh-TW"/>
        </w:rPr>
        <w:t>個單位之標準差</w:t>
      </w:r>
      <w:r w:rsidRPr="008147DC">
        <w:rPr>
          <w:lang w:eastAsia="zh-TW"/>
        </w:rPr>
        <w:t>(1</w:t>
      </w:r>
      <w:r w:rsidRPr="008147DC">
        <w:rPr>
          <w:rStyle w:val="st1"/>
          <w:rFonts w:asciiTheme="minorEastAsia" w:eastAsiaTheme="minorEastAsia" w:hAnsiTheme="minorEastAsia"/>
          <w:lang w:eastAsia="zh-TW"/>
        </w:rPr>
        <w:t>個標準單位)</w:t>
      </w:r>
      <w:r w:rsidRPr="008147DC">
        <w:rPr>
          <w:lang w:eastAsia="zh-TW"/>
        </w:rPr>
        <w:t>，則可增加</w:t>
      </w:r>
      <w:r w:rsidRPr="008147DC">
        <w:rPr>
          <w:lang w:eastAsia="zh-TW"/>
        </w:rPr>
        <w:t>0.276</w:t>
      </w:r>
      <w:r w:rsidRPr="008147DC">
        <w:rPr>
          <w:lang w:eastAsia="zh-TW"/>
        </w:rPr>
        <w:t>個單位之標準差</w:t>
      </w:r>
      <w:r w:rsidRPr="008147DC">
        <w:rPr>
          <w:lang w:eastAsia="zh-TW"/>
        </w:rPr>
        <w:t>(</w:t>
      </w:r>
      <w:r w:rsidRPr="008147DC">
        <w:rPr>
          <w:lang w:eastAsia="zh-TW"/>
        </w:rPr>
        <w:t>標準化迴歸係數值，</w:t>
      </w:r>
      <w:r w:rsidRPr="008147DC">
        <w:rPr>
          <w:lang w:eastAsia="zh-TW"/>
        </w:rPr>
        <w:t>Beta=0.276)</w:t>
      </w:r>
      <w:r w:rsidRPr="008147DC">
        <w:rPr>
          <w:lang w:eastAsia="zh-TW"/>
        </w:rPr>
        <w:t>之當年度殺人犯罪被定罪人數。由於無期徒刑不具有正向之效益，故宜廢除之。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B4FD6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3DB2624"/>
    <w:multiLevelType w:val="hybridMultilevel"/>
    <w:tmpl w:val="F9749A9A"/>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 w15:restartNumberingAfterBreak="0">
    <w:nsid w:val="06DC5AA0"/>
    <w:multiLevelType w:val="hybridMultilevel"/>
    <w:tmpl w:val="7C96FA76"/>
    <w:lvl w:ilvl="0" w:tplc="2D380ED8">
      <w:start w:val="1"/>
      <w:numFmt w:val="taiwaneseCountingThousand"/>
      <w:lvlText w:val="（%1）"/>
      <w:lvlJc w:val="left"/>
      <w:pPr>
        <w:ind w:left="720" w:hanging="72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66298C"/>
    <w:multiLevelType w:val="hybridMultilevel"/>
    <w:tmpl w:val="4B7648DA"/>
    <w:lvl w:ilvl="0" w:tplc="A92C6DF0">
      <w:start w:val="1"/>
      <w:numFmt w:val="ideographDigital"/>
      <w:pStyle w:val="a0"/>
      <w:lvlText w:val="%1、"/>
      <w:lvlJc w:val="left"/>
      <w:pPr>
        <w:tabs>
          <w:tab w:val="num" w:pos="1756"/>
        </w:tabs>
        <w:ind w:left="175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0095BD3"/>
    <w:multiLevelType w:val="hybridMultilevel"/>
    <w:tmpl w:val="432C43DA"/>
    <w:lvl w:ilvl="0" w:tplc="4D1C862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08B5619"/>
    <w:multiLevelType w:val="hybridMultilevel"/>
    <w:tmpl w:val="A8D43B1A"/>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 w15:restartNumberingAfterBreak="0">
    <w:nsid w:val="110B12C0"/>
    <w:multiLevelType w:val="hybridMultilevel"/>
    <w:tmpl w:val="1046A746"/>
    <w:lvl w:ilvl="0" w:tplc="0B6ED0A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8B27F0"/>
    <w:multiLevelType w:val="hybridMultilevel"/>
    <w:tmpl w:val="D804BA84"/>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8" w15:restartNumberingAfterBreak="0">
    <w:nsid w:val="234F3E0C"/>
    <w:multiLevelType w:val="hybridMultilevel"/>
    <w:tmpl w:val="BB009E7A"/>
    <w:lvl w:ilvl="0" w:tplc="23921270">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23E00E4D"/>
    <w:multiLevelType w:val="hybridMultilevel"/>
    <w:tmpl w:val="7F7411AC"/>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15:restartNumberingAfterBreak="0">
    <w:nsid w:val="25DE7D21"/>
    <w:multiLevelType w:val="hybridMultilevel"/>
    <w:tmpl w:val="7EDC214C"/>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15:restartNumberingAfterBreak="0">
    <w:nsid w:val="2C463E03"/>
    <w:multiLevelType w:val="hybridMultilevel"/>
    <w:tmpl w:val="41DA9864"/>
    <w:lvl w:ilvl="0" w:tplc="45A4165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249655C"/>
    <w:multiLevelType w:val="hybridMultilevel"/>
    <w:tmpl w:val="97D44640"/>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3" w15:restartNumberingAfterBreak="0">
    <w:nsid w:val="39D307AD"/>
    <w:multiLevelType w:val="hybridMultilevel"/>
    <w:tmpl w:val="60786A00"/>
    <w:lvl w:ilvl="0" w:tplc="F06E7566">
      <w:start w:val="1"/>
      <w:numFmt w:val="taiwaneseCountingThousand"/>
      <w:pStyle w:val="1"/>
      <w:lvlText w:val="%1、"/>
      <w:lvlJc w:val="left"/>
      <w:pPr>
        <w:ind w:left="8724" w:hanging="360"/>
      </w:pPr>
      <w:rPr>
        <w:rFonts w:cs="Times New Roman" w:hint="default"/>
      </w:rPr>
    </w:lvl>
    <w:lvl w:ilvl="1" w:tplc="04090019" w:tentative="1">
      <w:start w:val="1"/>
      <w:numFmt w:val="lowerLetter"/>
      <w:lvlText w:val="%2."/>
      <w:lvlJc w:val="left"/>
      <w:pPr>
        <w:ind w:left="9444" w:hanging="360"/>
      </w:pPr>
      <w:rPr>
        <w:rFonts w:cs="Times New Roman"/>
      </w:rPr>
    </w:lvl>
    <w:lvl w:ilvl="2" w:tplc="0409001B" w:tentative="1">
      <w:start w:val="1"/>
      <w:numFmt w:val="lowerRoman"/>
      <w:lvlText w:val="%3."/>
      <w:lvlJc w:val="right"/>
      <w:pPr>
        <w:ind w:left="10164" w:hanging="180"/>
      </w:pPr>
      <w:rPr>
        <w:rFonts w:cs="Times New Roman"/>
      </w:rPr>
    </w:lvl>
    <w:lvl w:ilvl="3" w:tplc="0409000F" w:tentative="1">
      <w:start w:val="1"/>
      <w:numFmt w:val="decimal"/>
      <w:lvlText w:val="%4."/>
      <w:lvlJc w:val="left"/>
      <w:pPr>
        <w:ind w:left="10884" w:hanging="360"/>
      </w:pPr>
      <w:rPr>
        <w:rFonts w:cs="Times New Roman"/>
      </w:rPr>
    </w:lvl>
    <w:lvl w:ilvl="4" w:tplc="04090019" w:tentative="1">
      <w:start w:val="1"/>
      <w:numFmt w:val="lowerLetter"/>
      <w:lvlText w:val="%5."/>
      <w:lvlJc w:val="left"/>
      <w:pPr>
        <w:ind w:left="11604" w:hanging="360"/>
      </w:pPr>
      <w:rPr>
        <w:rFonts w:cs="Times New Roman"/>
      </w:rPr>
    </w:lvl>
    <w:lvl w:ilvl="5" w:tplc="0409001B" w:tentative="1">
      <w:start w:val="1"/>
      <w:numFmt w:val="lowerRoman"/>
      <w:lvlText w:val="%6."/>
      <w:lvlJc w:val="right"/>
      <w:pPr>
        <w:ind w:left="12324" w:hanging="180"/>
      </w:pPr>
      <w:rPr>
        <w:rFonts w:cs="Times New Roman"/>
      </w:rPr>
    </w:lvl>
    <w:lvl w:ilvl="6" w:tplc="0409000F" w:tentative="1">
      <w:start w:val="1"/>
      <w:numFmt w:val="decimal"/>
      <w:lvlText w:val="%7."/>
      <w:lvlJc w:val="left"/>
      <w:pPr>
        <w:ind w:left="13044" w:hanging="360"/>
      </w:pPr>
      <w:rPr>
        <w:rFonts w:cs="Times New Roman"/>
      </w:rPr>
    </w:lvl>
    <w:lvl w:ilvl="7" w:tplc="04090019" w:tentative="1">
      <w:start w:val="1"/>
      <w:numFmt w:val="lowerLetter"/>
      <w:lvlText w:val="%8."/>
      <w:lvlJc w:val="left"/>
      <w:pPr>
        <w:ind w:left="13764" w:hanging="360"/>
      </w:pPr>
      <w:rPr>
        <w:rFonts w:cs="Times New Roman"/>
      </w:rPr>
    </w:lvl>
    <w:lvl w:ilvl="8" w:tplc="0409001B" w:tentative="1">
      <w:start w:val="1"/>
      <w:numFmt w:val="lowerRoman"/>
      <w:lvlText w:val="%9."/>
      <w:lvlJc w:val="right"/>
      <w:pPr>
        <w:ind w:left="14484" w:hanging="180"/>
      </w:pPr>
      <w:rPr>
        <w:rFonts w:cs="Times New Roman"/>
      </w:rPr>
    </w:lvl>
  </w:abstractNum>
  <w:abstractNum w:abstractNumId="14" w15:restartNumberingAfterBreak="0">
    <w:nsid w:val="49701B8E"/>
    <w:multiLevelType w:val="hybridMultilevel"/>
    <w:tmpl w:val="A5A667C0"/>
    <w:lvl w:ilvl="0" w:tplc="FF32C8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498A0030"/>
    <w:multiLevelType w:val="hybridMultilevel"/>
    <w:tmpl w:val="A560FC7E"/>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 w15:restartNumberingAfterBreak="0">
    <w:nsid w:val="4E6E1E76"/>
    <w:multiLevelType w:val="hybridMultilevel"/>
    <w:tmpl w:val="21506580"/>
    <w:lvl w:ilvl="0" w:tplc="E202E906">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4F4D02A9"/>
    <w:multiLevelType w:val="hybridMultilevel"/>
    <w:tmpl w:val="651E8FBA"/>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15:restartNumberingAfterBreak="0">
    <w:nsid w:val="51B5581F"/>
    <w:multiLevelType w:val="hybridMultilevel"/>
    <w:tmpl w:val="B5F63B6C"/>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15:restartNumberingAfterBreak="0">
    <w:nsid w:val="55556557"/>
    <w:multiLevelType w:val="hybridMultilevel"/>
    <w:tmpl w:val="187A750C"/>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0" w15:restartNumberingAfterBreak="0">
    <w:nsid w:val="5C6C616E"/>
    <w:multiLevelType w:val="hybridMultilevel"/>
    <w:tmpl w:val="E4E494D8"/>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15:restartNumberingAfterBreak="0">
    <w:nsid w:val="61C35266"/>
    <w:multiLevelType w:val="hybridMultilevel"/>
    <w:tmpl w:val="ABA0CCA4"/>
    <w:lvl w:ilvl="0" w:tplc="0B6ED0A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7F32C5A"/>
    <w:multiLevelType w:val="hybridMultilevel"/>
    <w:tmpl w:val="594AE314"/>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3" w15:restartNumberingAfterBreak="0">
    <w:nsid w:val="6827792D"/>
    <w:multiLevelType w:val="hybridMultilevel"/>
    <w:tmpl w:val="7DA20D86"/>
    <w:lvl w:ilvl="0" w:tplc="1A00D08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6B601C14"/>
    <w:multiLevelType w:val="hybridMultilevel"/>
    <w:tmpl w:val="F9B08A3E"/>
    <w:lvl w:ilvl="0" w:tplc="21F07CC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6C611B18"/>
    <w:multiLevelType w:val="hybridMultilevel"/>
    <w:tmpl w:val="30C42C38"/>
    <w:lvl w:ilvl="0" w:tplc="04090015">
      <w:start w:val="1"/>
      <w:numFmt w:val="ideographDigital"/>
      <w:pStyle w:val="a1"/>
      <w:lvlText w:val="%1."/>
      <w:lvlJc w:val="left"/>
      <w:pPr>
        <w:tabs>
          <w:tab w:val="num" w:pos="480"/>
        </w:tabs>
        <w:ind w:left="480" w:hanging="480"/>
      </w:pPr>
      <w:rPr>
        <w:rFonts w:hint="eastAsia"/>
        <w:b w:val="0"/>
        <w:i w:val="0"/>
        <w:sz w:val="32"/>
        <w:szCs w:val="32"/>
      </w:rPr>
    </w:lvl>
    <w:lvl w:ilvl="1" w:tplc="8048CCA4"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CFD70D4"/>
    <w:multiLevelType w:val="hybridMultilevel"/>
    <w:tmpl w:val="D7B8494E"/>
    <w:lvl w:ilvl="0" w:tplc="B82E5858">
      <w:start w:val="1"/>
      <w:numFmt w:val="bullet"/>
      <w:pStyle w:val="10"/>
      <w:lvlText w:val=""/>
      <w:lvlJc w:val="left"/>
      <w:pPr>
        <w:ind w:left="764"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E145145"/>
    <w:multiLevelType w:val="hybridMultilevel"/>
    <w:tmpl w:val="4FF83AD4"/>
    <w:lvl w:ilvl="0" w:tplc="C204ABB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15:restartNumberingAfterBreak="0">
    <w:nsid w:val="70890494"/>
    <w:multiLevelType w:val="hybridMultilevel"/>
    <w:tmpl w:val="9E20CC84"/>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9" w15:restartNumberingAfterBreak="0">
    <w:nsid w:val="731F33C2"/>
    <w:multiLevelType w:val="hybridMultilevel"/>
    <w:tmpl w:val="7AA0D8B0"/>
    <w:lvl w:ilvl="0" w:tplc="1248C096">
      <w:start w:val="1"/>
      <w:numFmt w:val="decimal"/>
      <w:pStyle w:val="a2"/>
      <w:lvlText w:val="%1."/>
      <w:lvlJc w:val="left"/>
      <w:pPr>
        <w:tabs>
          <w:tab w:val="num" w:pos="360"/>
        </w:tabs>
        <w:ind w:left="360" w:hanging="360"/>
      </w:pPr>
      <w:rPr>
        <w:rFonts w:hint="default"/>
        <w:i w:val="0"/>
      </w:rPr>
    </w:lvl>
    <w:lvl w:ilvl="1" w:tplc="AE348FA0" w:tentative="1">
      <w:start w:val="1"/>
      <w:numFmt w:val="ideographTraditional"/>
      <w:lvlText w:val="%2、"/>
      <w:lvlJc w:val="left"/>
      <w:pPr>
        <w:tabs>
          <w:tab w:val="num" w:pos="960"/>
        </w:tabs>
        <w:ind w:left="960" w:hanging="480"/>
      </w:pPr>
    </w:lvl>
    <w:lvl w:ilvl="2" w:tplc="99BE7FF4" w:tentative="1">
      <w:start w:val="1"/>
      <w:numFmt w:val="lowerRoman"/>
      <w:lvlText w:val="%3."/>
      <w:lvlJc w:val="right"/>
      <w:pPr>
        <w:tabs>
          <w:tab w:val="num" w:pos="1440"/>
        </w:tabs>
        <w:ind w:left="1440" w:hanging="480"/>
      </w:pPr>
    </w:lvl>
    <w:lvl w:ilvl="3" w:tplc="26945DC2" w:tentative="1">
      <w:start w:val="1"/>
      <w:numFmt w:val="decimal"/>
      <w:lvlText w:val="%4."/>
      <w:lvlJc w:val="left"/>
      <w:pPr>
        <w:tabs>
          <w:tab w:val="num" w:pos="1920"/>
        </w:tabs>
        <w:ind w:left="1920" w:hanging="480"/>
      </w:pPr>
    </w:lvl>
    <w:lvl w:ilvl="4" w:tplc="5888E5CE" w:tentative="1">
      <w:start w:val="1"/>
      <w:numFmt w:val="ideographTraditional"/>
      <w:lvlText w:val="%5、"/>
      <w:lvlJc w:val="left"/>
      <w:pPr>
        <w:tabs>
          <w:tab w:val="num" w:pos="2400"/>
        </w:tabs>
        <w:ind w:left="2400" w:hanging="480"/>
      </w:pPr>
    </w:lvl>
    <w:lvl w:ilvl="5" w:tplc="BD62E1AC" w:tentative="1">
      <w:start w:val="1"/>
      <w:numFmt w:val="lowerRoman"/>
      <w:lvlText w:val="%6."/>
      <w:lvlJc w:val="right"/>
      <w:pPr>
        <w:tabs>
          <w:tab w:val="num" w:pos="2880"/>
        </w:tabs>
        <w:ind w:left="2880" w:hanging="480"/>
      </w:pPr>
    </w:lvl>
    <w:lvl w:ilvl="6" w:tplc="103E7E20" w:tentative="1">
      <w:start w:val="1"/>
      <w:numFmt w:val="decimal"/>
      <w:lvlText w:val="%7."/>
      <w:lvlJc w:val="left"/>
      <w:pPr>
        <w:tabs>
          <w:tab w:val="num" w:pos="3360"/>
        </w:tabs>
        <w:ind w:left="3360" w:hanging="480"/>
      </w:pPr>
    </w:lvl>
    <w:lvl w:ilvl="7" w:tplc="38DEEF34" w:tentative="1">
      <w:start w:val="1"/>
      <w:numFmt w:val="ideographTraditional"/>
      <w:lvlText w:val="%8、"/>
      <w:lvlJc w:val="left"/>
      <w:pPr>
        <w:tabs>
          <w:tab w:val="num" w:pos="3840"/>
        </w:tabs>
        <w:ind w:left="3840" w:hanging="480"/>
      </w:pPr>
    </w:lvl>
    <w:lvl w:ilvl="8" w:tplc="32A08CC8" w:tentative="1">
      <w:start w:val="1"/>
      <w:numFmt w:val="lowerRoman"/>
      <w:lvlText w:val="%9."/>
      <w:lvlJc w:val="right"/>
      <w:pPr>
        <w:tabs>
          <w:tab w:val="num" w:pos="4320"/>
        </w:tabs>
        <w:ind w:left="4320" w:hanging="480"/>
      </w:pPr>
    </w:lvl>
  </w:abstractNum>
  <w:abstractNum w:abstractNumId="30" w15:restartNumberingAfterBreak="0">
    <w:nsid w:val="760A2B24"/>
    <w:multiLevelType w:val="hybridMultilevel"/>
    <w:tmpl w:val="1A8A779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252425"/>
    <w:multiLevelType w:val="hybridMultilevel"/>
    <w:tmpl w:val="B6C65472"/>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2" w15:restartNumberingAfterBreak="0">
    <w:nsid w:val="797B453B"/>
    <w:multiLevelType w:val="hybridMultilevel"/>
    <w:tmpl w:val="B3041106"/>
    <w:lvl w:ilvl="0" w:tplc="FAA67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F0D6309"/>
    <w:multiLevelType w:val="hybridMultilevel"/>
    <w:tmpl w:val="490EFD04"/>
    <w:lvl w:ilvl="0" w:tplc="455C4DAE">
      <w:start w:val="1"/>
      <w:numFmt w:val="decimal"/>
      <w:lvlText w:val="%1."/>
      <w:lvlJc w:val="left"/>
      <w:pPr>
        <w:tabs>
          <w:tab w:val="num" w:pos="840"/>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26"/>
  </w:num>
  <w:num w:numId="2">
    <w:abstractNumId w:val="3"/>
  </w:num>
  <w:num w:numId="3">
    <w:abstractNumId w:val="25"/>
  </w:num>
  <w:num w:numId="4">
    <w:abstractNumId w:val="29"/>
  </w:num>
  <w:num w:numId="5">
    <w:abstractNumId w:val="0"/>
  </w:num>
  <w:num w:numId="6">
    <w:abstractNumId w:val="13"/>
  </w:num>
  <w:num w:numId="7">
    <w:abstractNumId w:val="2"/>
  </w:num>
  <w:num w:numId="8">
    <w:abstractNumId w:val="27"/>
  </w:num>
  <w:num w:numId="9">
    <w:abstractNumId w:val="8"/>
  </w:num>
  <w:num w:numId="10">
    <w:abstractNumId w:val="23"/>
  </w:num>
  <w:num w:numId="11">
    <w:abstractNumId w:val="16"/>
  </w:num>
  <w:num w:numId="12">
    <w:abstractNumId w:val="24"/>
  </w:num>
  <w:num w:numId="13">
    <w:abstractNumId w:val="11"/>
  </w:num>
  <w:num w:numId="14">
    <w:abstractNumId w:val="4"/>
  </w:num>
  <w:num w:numId="15">
    <w:abstractNumId w:val="20"/>
  </w:num>
  <w:num w:numId="16">
    <w:abstractNumId w:val="18"/>
  </w:num>
  <w:num w:numId="17">
    <w:abstractNumId w:val="31"/>
  </w:num>
  <w:num w:numId="18">
    <w:abstractNumId w:val="33"/>
  </w:num>
  <w:num w:numId="19">
    <w:abstractNumId w:val="7"/>
  </w:num>
  <w:num w:numId="20">
    <w:abstractNumId w:val="1"/>
  </w:num>
  <w:num w:numId="21">
    <w:abstractNumId w:val="17"/>
  </w:num>
  <w:num w:numId="22">
    <w:abstractNumId w:val="9"/>
  </w:num>
  <w:num w:numId="23">
    <w:abstractNumId w:val="10"/>
  </w:num>
  <w:num w:numId="24">
    <w:abstractNumId w:val="28"/>
  </w:num>
  <w:num w:numId="25">
    <w:abstractNumId w:val="12"/>
  </w:num>
  <w:num w:numId="26">
    <w:abstractNumId w:val="15"/>
  </w:num>
  <w:num w:numId="27">
    <w:abstractNumId w:val="5"/>
  </w:num>
  <w:num w:numId="28">
    <w:abstractNumId w:val="19"/>
  </w:num>
  <w:num w:numId="29">
    <w:abstractNumId w:val="22"/>
  </w:num>
  <w:num w:numId="30">
    <w:abstractNumId w:val="21"/>
  </w:num>
  <w:num w:numId="31">
    <w:abstractNumId w:val="6"/>
  </w:num>
  <w:num w:numId="32">
    <w:abstractNumId w:val="14"/>
  </w:num>
  <w:num w:numId="33">
    <w:abstractNumId w:val="30"/>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25A"/>
    <w:rsid w:val="0000152A"/>
    <w:rsid w:val="00002E50"/>
    <w:rsid w:val="0000380F"/>
    <w:rsid w:val="0001086B"/>
    <w:rsid w:val="000152BE"/>
    <w:rsid w:val="00016E69"/>
    <w:rsid w:val="000260C3"/>
    <w:rsid w:val="00042127"/>
    <w:rsid w:val="000509F5"/>
    <w:rsid w:val="00054C20"/>
    <w:rsid w:val="0007693E"/>
    <w:rsid w:val="00077EEA"/>
    <w:rsid w:val="00081157"/>
    <w:rsid w:val="00082F73"/>
    <w:rsid w:val="0008714D"/>
    <w:rsid w:val="00096CA4"/>
    <w:rsid w:val="000A3C2C"/>
    <w:rsid w:val="000B564B"/>
    <w:rsid w:val="000C1D83"/>
    <w:rsid w:val="000C4650"/>
    <w:rsid w:val="000C513E"/>
    <w:rsid w:val="000C692C"/>
    <w:rsid w:val="000C7574"/>
    <w:rsid w:val="000C781E"/>
    <w:rsid w:val="000D0A2D"/>
    <w:rsid w:val="000D26BB"/>
    <w:rsid w:val="000D5F5F"/>
    <w:rsid w:val="000E02AE"/>
    <w:rsid w:val="000E1370"/>
    <w:rsid w:val="000E2576"/>
    <w:rsid w:val="000E65D1"/>
    <w:rsid w:val="000E6967"/>
    <w:rsid w:val="000F3530"/>
    <w:rsid w:val="00104FBB"/>
    <w:rsid w:val="00112EF1"/>
    <w:rsid w:val="00116CD1"/>
    <w:rsid w:val="001203F7"/>
    <w:rsid w:val="001256A0"/>
    <w:rsid w:val="00125FE6"/>
    <w:rsid w:val="00132A30"/>
    <w:rsid w:val="0014189D"/>
    <w:rsid w:val="00142B72"/>
    <w:rsid w:val="00150351"/>
    <w:rsid w:val="00151AD5"/>
    <w:rsid w:val="001605C6"/>
    <w:rsid w:val="00161005"/>
    <w:rsid w:val="00170A18"/>
    <w:rsid w:val="00173EDA"/>
    <w:rsid w:val="001775C3"/>
    <w:rsid w:val="00185C4E"/>
    <w:rsid w:val="00186C92"/>
    <w:rsid w:val="0019115F"/>
    <w:rsid w:val="0019463D"/>
    <w:rsid w:val="00196078"/>
    <w:rsid w:val="00196F1E"/>
    <w:rsid w:val="001A0B61"/>
    <w:rsid w:val="001A201D"/>
    <w:rsid w:val="001A6000"/>
    <w:rsid w:val="001A69E2"/>
    <w:rsid w:val="001B6AED"/>
    <w:rsid w:val="001C1E6A"/>
    <w:rsid w:val="001C52C3"/>
    <w:rsid w:val="001C57C4"/>
    <w:rsid w:val="001D50AD"/>
    <w:rsid w:val="001E3D5D"/>
    <w:rsid w:val="001E5891"/>
    <w:rsid w:val="001E5A9C"/>
    <w:rsid w:val="001F226D"/>
    <w:rsid w:val="002031B1"/>
    <w:rsid w:val="00205E80"/>
    <w:rsid w:val="00207302"/>
    <w:rsid w:val="00226805"/>
    <w:rsid w:val="002402AF"/>
    <w:rsid w:val="00241667"/>
    <w:rsid w:val="00255B89"/>
    <w:rsid w:val="0026279E"/>
    <w:rsid w:val="002744C6"/>
    <w:rsid w:val="002836A6"/>
    <w:rsid w:val="00294CC4"/>
    <w:rsid w:val="002A46F3"/>
    <w:rsid w:val="002B0F1A"/>
    <w:rsid w:val="002B171C"/>
    <w:rsid w:val="002B245E"/>
    <w:rsid w:val="002B2476"/>
    <w:rsid w:val="002B260C"/>
    <w:rsid w:val="002B4816"/>
    <w:rsid w:val="002D4379"/>
    <w:rsid w:val="002D5D5C"/>
    <w:rsid w:val="002D6847"/>
    <w:rsid w:val="002D770B"/>
    <w:rsid w:val="002E4FE0"/>
    <w:rsid w:val="002E62F1"/>
    <w:rsid w:val="002F101F"/>
    <w:rsid w:val="002F19DE"/>
    <w:rsid w:val="002F385B"/>
    <w:rsid w:val="0030350C"/>
    <w:rsid w:val="00306B20"/>
    <w:rsid w:val="00316E41"/>
    <w:rsid w:val="00321574"/>
    <w:rsid w:val="003276F8"/>
    <w:rsid w:val="00336DBD"/>
    <w:rsid w:val="00340832"/>
    <w:rsid w:val="003409A9"/>
    <w:rsid w:val="0034416F"/>
    <w:rsid w:val="0034744C"/>
    <w:rsid w:val="00350838"/>
    <w:rsid w:val="00361F5E"/>
    <w:rsid w:val="003631B6"/>
    <w:rsid w:val="00364D72"/>
    <w:rsid w:val="00366D57"/>
    <w:rsid w:val="003757D6"/>
    <w:rsid w:val="00394C1A"/>
    <w:rsid w:val="003A6AD0"/>
    <w:rsid w:val="003C1792"/>
    <w:rsid w:val="003C20F7"/>
    <w:rsid w:val="003C2947"/>
    <w:rsid w:val="003C52E0"/>
    <w:rsid w:val="003E18C8"/>
    <w:rsid w:val="003E5DAF"/>
    <w:rsid w:val="003F05BB"/>
    <w:rsid w:val="003F307C"/>
    <w:rsid w:val="003F4661"/>
    <w:rsid w:val="004007FE"/>
    <w:rsid w:val="0040543C"/>
    <w:rsid w:val="00407EEE"/>
    <w:rsid w:val="0041579E"/>
    <w:rsid w:val="00422203"/>
    <w:rsid w:val="004253B6"/>
    <w:rsid w:val="004277CF"/>
    <w:rsid w:val="00430875"/>
    <w:rsid w:val="00430C9D"/>
    <w:rsid w:val="004326A1"/>
    <w:rsid w:val="00434291"/>
    <w:rsid w:val="004413BE"/>
    <w:rsid w:val="0044169F"/>
    <w:rsid w:val="004501CB"/>
    <w:rsid w:val="0045425A"/>
    <w:rsid w:val="00461F58"/>
    <w:rsid w:val="00464EE7"/>
    <w:rsid w:val="004702E6"/>
    <w:rsid w:val="004825FA"/>
    <w:rsid w:val="0048564D"/>
    <w:rsid w:val="00485E45"/>
    <w:rsid w:val="0049577B"/>
    <w:rsid w:val="00496946"/>
    <w:rsid w:val="004A6E50"/>
    <w:rsid w:val="004B3637"/>
    <w:rsid w:val="004B4ED9"/>
    <w:rsid w:val="004B5698"/>
    <w:rsid w:val="004C1693"/>
    <w:rsid w:val="004D0406"/>
    <w:rsid w:val="004D3C24"/>
    <w:rsid w:val="004D607D"/>
    <w:rsid w:val="0050642D"/>
    <w:rsid w:val="0050701A"/>
    <w:rsid w:val="0051365B"/>
    <w:rsid w:val="005158D1"/>
    <w:rsid w:val="00520F8A"/>
    <w:rsid w:val="005234FE"/>
    <w:rsid w:val="00524329"/>
    <w:rsid w:val="00525791"/>
    <w:rsid w:val="00530898"/>
    <w:rsid w:val="00531F2F"/>
    <w:rsid w:val="005340E7"/>
    <w:rsid w:val="0054040C"/>
    <w:rsid w:val="005467C0"/>
    <w:rsid w:val="0054694E"/>
    <w:rsid w:val="00547EDB"/>
    <w:rsid w:val="005606DC"/>
    <w:rsid w:val="0056107E"/>
    <w:rsid w:val="005673A9"/>
    <w:rsid w:val="00570587"/>
    <w:rsid w:val="00587200"/>
    <w:rsid w:val="00587E93"/>
    <w:rsid w:val="00594C80"/>
    <w:rsid w:val="0059552B"/>
    <w:rsid w:val="0059675B"/>
    <w:rsid w:val="005A0586"/>
    <w:rsid w:val="005A55DE"/>
    <w:rsid w:val="005B648A"/>
    <w:rsid w:val="005B7477"/>
    <w:rsid w:val="005B7E67"/>
    <w:rsid w:val="005D0A32"/>
    <w:rsid w:val="005D4AAC"/>
    <w:rsid w:val="005D5F2F"/>
    <w:rsid w:val="005D61EC"/>
    <w:rsid w:val="005E4CE0"/>
    <w:rsid w:val="005F2057"/>
    <w:rsid w:val="005F2716"/>
    <w:rsid w:val="00600540"/>
    <w:rsid w:val="00600795"/>
    <w:rsid w:val="00602938"/>
    <w:rsid w:val="00610E6D"/>
    <w:rsid w:val="00614D5B"/>
    <w:rsid w:val="006173D9"/>
    <w:rsid w:val="00620FFF"/>
    <w:rsid w:val="00621AE2"/>
    <w:rsid w:val="0063266B"/>
    <w:rsid w:val="0065263F"/>
    <w:rsid w:val="00654D1D"/>
    <w:rsid w:val="00657FEF"/>
    <w:rsid w:val="006647F1"/>
    <w:rsid w:val="00664AD3"/>
    <w:rsid w:val="00666D15"/>
    <w:rsid w:val="00683889"/>
    <w:rsid w:val="00692A7A"/>
    <w:rsid w:val="0069516B"/>
    <w:rsid w:val="00696214"/>
    <w:rsid w:val="006B5D0A"/>
    <w:rsid w:val="006C53DB"/>
    <w:rsid w:val="006E019D"/>
    <w:rsid w:val="006E7FE9"/>
    <w:rsid w:val="006F7228"/>
    <w:rsid w:val="007010AD"/>
    <w:rsid w:val="00701592"/>
    <w:rsid w:val="00706DF9"/>
    <w:rsid w:val="0071030F"/>
    <w:rsid w:val="0071175F"/>
    <w:rsid w:val="007175B7"/>
    <w:rsid w:val="0072185D"/>
    <w:rsid w:val="0072241A"/>
    <w:rsid w:val="00737A49"/>
    <w:rsid w:val="00776F57"/>
    <w:rsid w:val="007878A4"/>
    <w:rsid w:val="007A22F1"/>
    <w:rsid w:val="007B59EF"/>
    <w:rsid w:val="007B5AFC"/>
    <w:rsid w:val="007C4FA0"/>
    <w:rsid w:val="007D602F"/>
    <w:rsid w:val="007E5802"/>
    <w:rsid w:val="007F4C46"/>
    <w:rsid w:val="0080033A"/>
    <w:rsid w:val="008013F3"/>
    <w:rsid w:val="00814432"/>
    <w:rsid w:val="00817A92"/>
    <w:rsid w:val="0083751F"/>
    <w:rsid w:val="008452E7"/>
    <w:rsid w:val="008563B2"/>
    <w:rsid w:val="00857650"/>
    <w:rsid w:val="00865ADB"/>
    <w:rsid w:val="00871524"/>
    <w:rsid w:val="00871AD8"/>
    <w:rsid w:val="008724EE"/>
    <w:rsid w:val="008760FC"/>
    <w:rsid w:val="00881F68"/>
    <w:rsid w:val="008839A6"/>
    <w:rsid w:val="00887127"/>
    <w:rsid w:val="00893AB9"/>
    <w:rsid w:val="008A0D9F"/>
    <w:rsid w:val="008A454E"/>
    <w:rsid w:val="008B0E12"/>
    <w:rsid w:val="008B0F5E"/>
    <w:rsid w:val="008B5DF5"/>
    <w:rsid w:val="008C05AF"/>
    <w:rsid w:val="008C4623"/>
    <w:rsid w:val="008D77EF"/>
    <w:rsid w:val="008E019C"/>
    <w:rsid w:val="008E2E42"/>
    <w:rsid w:val="008F3E2A"/>
    <w:rsid w:val="00900A70"/>
    <w:rsid w:val="00911FC0"/>
    <w:rsid w:val="0091385C"/>
    <w:rsid w:val="00916E3B"/>
    <w:rsid w:val="009214BE"/>
    <w:rsid w:val="009226F1"/>
    <w:rsid w:val="00927BB5"/>
    <w:rsid w:val="0094273F"/>
    <w:rsid w:val="009427DA"/>
    <w:rsid w:val="009457C7"/>
    <w:rsid w:val="00960C6D"/>
    <w:rsid w:val="00966D02"/>
    <w:rsid w:val="009670C0"/>
    <w:rsid w:val="00967AED"/>
    <w:rsid w:val="00971E86"/>
    <w:rsid w:val="00977F08"/>
    <w:rsid w:val="00991001"/>
    <w:rsid w:val="00992AB6"/>
    <w:rsid w:val="00997BC5"/>
    <w:rsid w:val="009A1D56"/>
    <w:rsid w:val="009A4731"/>
    <w:rsid w:val="009A7CC3"/>
    <w:rsid w:val="009B0282"/>
    <w:rsid w:val="009B228E"/>
    <w:rsid w:val="009B39F4"/>
    <w:rsid w:val="009B7ADE"/>
    <w:rsid w:val="009C17C9"/>
    <w:rsid w:val="009F0458"/>
    <w:rsid w:val="009F490E"/>
    <w:rsid w:val="009F4926"/>
    <w:rsid w:val="00A028E4"/>
    <w:rsid w:val="00A0752E"/>
    <w:rsid w:val="00A14BAA"/>
    <w:rsid w:val="00A175D1"/>
    <w:rsid w:val="00A21603"/>
    <w:rsid w:val="00A300F8"/>
    <w:rsid w:val="00A33265"/>
    <w:rsid w:val="00A35933"/>
    <w:rsid w:val="00A508B8"/>
    <w:rsid w:val="00A5712E"/>
    <w:rsid w:val="00A605C1"/>
    <w:rsid w:val="00A60C2B"/>
    <w:rsid w:val="00A63349"/>
    <w:rsid w:val="00A65CF7"/>
    <w:rsid w:val="00A65E34"/>
    <w:rsid w:val="00A662A2"/>
    <w:rsid w:val="00A66DFC"/>
    <w:rsid w:val="00A67DD0"/>
    <w:rsid w:val="00A951A1"/>
    <w:rsid w:val="00AA03F8"/>
    <w:rsid w:val="00AA33D8"/>
    <w:rsid w:val="00AB1C64"/>
    <w:rsid w:val="00AB30F1"/>
    <w:rsid w:val="00AB72F0"/>
    <w:rsid w:val="00AB7AEA"/>
    <w:rsid w:val="00AC5921"/>
    <w:rsid w:val="00AC655E"/>
    <w:rsid w:val="00AC6AC1"/>
    <w:rsid w:val="00AE1031"/>
    <w:rsid w:val="00AE2E64"/>
    <w:rsid w:val="00AE32E3"/>
    <w:rsid w:val="00AF1178"/>
    <w:rsid w:val="00AF4063"/>
    <w:rsid w:val="00AF4C29"/>
    <w:rsid w:val="00AF69C2"/>
    <w:rsid w:val="00B277E1"/>
    <w:rsid w:val="00B3048A"/>
    <w:rsid w:val="00B40DC1"/>
    <w:rsid w:val="00B4647C"/>
    <w:rsid w:val="00B50E39"/>
    <w:rsid w:val="00B662A4"/>
    <w:rsid w:val="00B66856"/>
    <w:rsid w:val="00B67208"/>
    <w:rsid w:val="00B809D1"/>
    <w:rsid w:val="00B82124"/>
    <w:rsid w:val="00B920DC"/>
    <w:rsid w:val="00BA2B9D"/>
    <w:rsid w:val="00BB452A"/>
    <w:rsid w:val="00BC2F56"/>
    <w:rsid w:val="00BF13FB"/>
    <w:rsid w:val="00BF5F93"/>
    <w:rsid w:val="00C00750"/>
    <w:rsid w:val="00C02593"/>
    <w:rsid w:val="00C055A3"/>
    <w:rsid w:val="00C12E3D"/>
    <w:rsid w:val="00C164DA"/>
    <w:rsid w:val="00C213EE"/>
    <w:rsid w:val="00C2607C"/>
    <w:rsid w:val="00C2709C"/>
    <w:rsid w:val="00C348EE"/>
    <w:rsid w:val="00C41545"/>
    <w:rsid w:val="00C4640B"/>
    <w:rsid w:val="00C564DD"/>
    <w:rsid w:val="00C62CF7"/>
    <w:rsid w:val="00C64E78"/>
    <w:rsid w:val="00C65885"/>
    <w:rsid w:val="00C739F8"/>
    <w:rsid w:val="00C73C9C"/>
    <w:rsid w:val="00C76F52"/>
    <w:rsid w:val="00C776C5"/>
    <w:rsid w:val="00C82059"/>
    <w:rsid w:val="00C8242E"/>
    <w:rsid w:val="00C91A2B"/>
    <w:rsid w:val="00C9725A"/>
    <w:rsid w:val="00CA456F"/>
    <w:rsid w:val="00CB46D7"/>
    <w:rsid w:val="00CC30C7"/>
    <w:rsid w:val="00CC4D07"/>
    <w:rsid w:val="00CD3262"/>
    <w:rsid w:val="00CE2331"/>
    <w:rsid w:val="00CE6E1A"/>
    <w:rsid w:val="00CE7AEA"/>
    <w:rsid w:val="00CF1603"/>
    <w:rsid w:val="00D10C9A"/>
    <w:rsid w:val="00D13520"/>
    <w:rsid w:val="00D162A0"/>
    <w:rsid w:val="00D20F89"/>
    <w:rsid w:val="00D25D69"/>
    <w:rsid w:val="00D2766B"/>
    <w:rsid w:val="00D30BC8"/>
    <w:rsid w:val="00D43F64"/>
    <w:rsid w:val="00D440E2"/>
    <w:rsid w:val="00D45CFC"/>
    <w:rsid w:val="00D62154"/>
    <w:rsid w:val="00D65845"/>
    <w:rsid w:val="00D65CA3"/>
    <w:rsid w:val="00D73296"/>
    <w:rsid w:val="00D80F61"/>
    <w:rsid w:val="00D85047"/>
    <w:rsid w:val="00D905D3"/>
    <w:rsid w:val="00DA14DC"/>
    <w:rsid w:val="00DA4C55"/>
    <w:rsid w:val="00DC26EE"/>
    <w:rsid w:val="00DC6142"/>
    <w:rsid w:val="00DD52C8"/>
    <w:rsid w:val="00DF678A"/>
    <w:rsid w:val="00E02D2A"/>
    <w:rsid w:val="00E06226"/>
    <w:rsid w:val="00E063B6"/>
    <w:rsid w:val="00E06828"/>
    <w:rsid w:val="00E11812"/>
    <w:rsid w:val="00E11853"/>
    <w:rsid w:val="00E159EC"/>
    <w:rsid w:val="00E2504E"/>
    <w:rsid w:val="00E26F8A"/>
    <w:rsid w:val="00E30C8F"/>
    <w:rsid w:val="00E316DE"/>
    <w:rsid w:val="00E33C4C"/>
    <w:rsid w:val="00E43C92"/>
    <w:rsid w:val="00E4765D"/>
    <w:rsid w:val="00E55FF5"/>
    <w:rsid w:val="00E56787"/>
    <w:rsid w:val="00E60425"/>
    <w:rsid w:val="00E6315D"/>
    <w:rsid w:val="00E72734"/>
    <w:rsid w:val="00E736D6"/>
    <w:rsid w:val="00E840C3"/>
    <w:rsid w:val="00E84370"/>
    <w:rsid w:val="00E9715D"/>
    <w:rsid w:val="00EB27D6"/>
    <w:rsid w:val="00EB4523"/>
    <w:rsid w:val="00EC027F"/>
    <w:rsid w:val="00EC0EE2"/>
    <w:rsid w:val="00EC69D4"/>
    <w:rsid w:val="00EC7AEC"/>
    <w:rsid w:val="00EE26E7"/>
    <w:rsid w:val="00EF16F2"/>
    <w:rsid w:val="00EF64FF"/>
    <w:rsid w:val="00EF79BE"/>
    <w:rsid w:val="00EF7F4C"/>
    <w:rsid w:val="00F020E7"/>
    <w:rsid w:val="00F07A6D"/>
    <w:rsid w:val="00F109B4"/>
    <w:rsid w:val="00F24DB0"/>
    <w:rsid w:val="00F25F91"/>
    <w:rsid w:val="00F35987"/>
    <w:rsid w:val="00F42002"/>
    <w:rsid w:val="00F427DA"/>
    <w:rsid w:val="00F478DC"/>
    <w:rsid w:val="00F50E72"/>
    <w:rsid w:val="00F5542D"/>
    <w:rsid w:val="00F61314"/>
    <w:rsid w:val="00F64183"/>
    <w:rsid w:val="00F70DE9"/>
    <w:rsid w:val="00F816F3"/>
    <w:rsid w:val="00F9063E"/>
    <w:rsid w:val="00F91FB1"/>
    <w:rsid w:val="00F94BFB"/>
    <w:rsid w:val="00FA0216"/>
    <w:rsid w:val="00FA14AC"/>
    <w:rsid w:val="00FA221B"/>
    <w:rsid w:val="00FC5049"/>
    <w:rsid w:val="00FD17B6"/>
    <w:rsid w:val="00FD5837"/>
    <w:rsid w:val="00FD79D3"/>
    <w:rsid w:val="00FE0747"/>
    <w:rsid w:val="00FE312B"/>
    <w:rsid w:val="00FE51DB"/>
    <w:rsid w:val="00FF66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B65CECAE-EFFB-4203-B847-D0871BEC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3">
    <w:name w:val="Normal"/>
    <w:qFormat/>
    <w:rsid w:val="00E30C8F"/>
    <w:pPr>
      <w:widowControl w:val="0"/>
      <w:spacing w:line="0" w:lineRule="atLeast"/>
      <w:ind w:leftChars="109" w:left="283" w:rightChars="54" w:right="140"/>
      <w:jc w:val="both"/>
    </w:pPr>
    <w:rPr>
      <w:rFonts w:ascii="標楷體" w:eastAsia="標楷體" w:hAnsi="標楷體"/>
      <w:kern w:val="2"/>
      <w:sz w:val="26"/>
      <w:szCs w:val="26"/>
    </w:rPr>
  </w:style>
  <w:style w:type="paragraph" w:styleId="11">
    <w:name w:val="heading 1"/>
    <w:basedOn w:val="a3"/>
    <w:next w:val="a3"/>
    <w:link w:val="12"/>
    <w:qFormat/>
    <w:rsid w:val="00B662A4"/>
    <w:pPr>
      <w:keepNext/>
      <w:adjustRightInd w:val="0"/>
      <w:snapToGrid w:val="0"/>
      <w:spacing w:beforeLines="30" w:before="108" w:afterLines="30" w:after="108"/>
      <w:ind w:leftChars="0" w:left="2" w:hanging="2"/>
      <w:outlineLvl w:val="0"/>
    </w:pPr>
    <w:rPr>
      <w:b/>
      <w:bCs/>
      <w:color w:val="000080"/>
      <w:kern w:val="52"/>
      <w:sz w:val="30"/>
      <w:szCs w:val="30"/>
    </w:rPr>
  </w:style>
  <w:style w:type="paragraph" w:styleId="2">
    <w:name w:val="heading 2"/>
    <w:basedOn w:val="a3"/>
    <w:next w:val="a3"/>
    <w:link w:val="20"/>
    <w:unhideWhenUsed/>
    <w:qFormat/>
    <w:rsid w:val="002F19DE"/>
    <w:pPr>
      <w:keepNext/>
      <w:adjustRightInd w:val="0"/>
      <w:snapToGrid w:val="0"/>
      <w:spacing w:beforeLines="30" w:before="108" w:afterLines="30" w:after="108" w:line="240" w:lineRule="auto"/>
      <w:ind w:leftChars="0" w:left="0" w:rightChars="0" w:right="0"/>
      <w:jc w:val="left"/>
      <w:outlineLvl w:val="1"/>
    </w:pPr>
    <w:rPr>
      <w:rFonts w:cs="Arial Unicode MS"/>
      <w:b/>
      <w:bCs/>
      <w:color w:val="990000"/>
      <w:kern w:val="0"/>
      <w:sz w:val="28"/>
      <w:szCs w:val="28"/>
    </w:rPr>
  </w:style>
  <w:style w:type="paragraph" w:styleId="3">
    <w:name w:val="heading 3"/>
    <w:basedOn w:val="4"/>
    <w:next w:val="a3"/>
    <w:link w:val="30"/>
    <w:unhideWhenUsed/>
    <w:qFormat/>
    <w:rsid w:val="00EC0EE2"/>
    <w:pPr>
      <w:spacing w:afterLines="30" w:after="108"/>
      <w:outlineLvl w:val="2"/>
    </w:pPr>
    <w:rPr>
      <w:b w:val="0"/>
      <w:kern w:val="0"/>
    </w:rPr>
  </w:style>
  <w:style w:type="paragraph" w:styleId="4">
    <w:name w:val="heading 4"/>
    <w:basedOn w:val="a3"/>
    <w:next w:val="a3"/>
    <w:link w:val="40"/>
    <w:unhideWhenUsed/>
    <w:qFormat/>
    <w:rsid w:val="00E736D6"/>
    <w:pPr>
      <w:keepNext/>
      <w:adjustRightInd w:val="0"/>
      <w:snapToGrid w:val="0"/>
      <w:spacing w:beforeLines="50" w:before="180" w:afterLines="50" w:after="180" w:line="240" w:lineRule="auto"/>
      <w:ind w:leftChars="0" w:left="0" w:rightChars="0" w:right="0"/>
      <w:jc w:val="left"/>
      <w:outlineLvl w:val="3"/>
    </w:pPr>
    <w:rPr>
      <w:rFonts w:cs="Arial Unicode MS"/>
      <w:b/>
      <w:bCs/>
      <w:iCs/>
      <w:color w:val="990000"/>
      <w:lang w:eastAsia="en-US" w:bidi="en-US"/>
    </w:rPr>
  </w:style>
  <w:style w:type="paragraph" w:styleId="5">
    <w:name w:val="heading 5"/>
    <w:basedOn w:val="a3"/>
    <w:next w:val="a3"/>
    <w:link w:val="50"/>
    <w:unhideWhenUsed/>
    <w:qFormat/>
    <w:rsid w:val="00992AB6"/>
    <w:pPr>
      <w:widowControl/>
      <w:spacing w:line="240" w:lineRule="auto"/>
      <w:ind w:leftChars="54" w:left="140"/>
      <w:outlineLvl w:val="4"/>
    </w:pPr>
    <w:rPr>
      <w:rFonts w:asciiTheme="majorHAnsi" w:eastAsiaTheme="majorEastAsia" w:hAnsiTheme="majorHAnsi" w:cstheme="majorBidi"/>
      <w:bCs/>
      <w:color w:val="7F7F7F" w:themeColor="text1" w:themeTint="80"/>
      <w:kern w:val="0"/>
      <w:sz w:val="20"/>
      <w:szCs w:val="20"/>
      <w:lang w:eastAsia="en-US" w:bidi="en-US"/>
    </w:rPr>
  </w:style>
  <w:style w:type="paragraph" w:styleId="6">
    <w:name w:val="heading 6"/>
    <w:basedOn w:val="a3"/>
    <w:next w:val="a3"/>
    <w:link w:val="60"/>
    <w:unhideWhenUsed/>
    <w:qFormat/>
    <w:rsid w:val="008E2E42"/>
    <w:pPr>
      <w:widowControl/>
      <w:spacing w:line="271" w:lineRule="auto"/>
      <w:outlineLvl w:val="5"/>
    </w:pPr>
    <w:rPr>
      <w:rFonts w:asciiTheme="majorHAnsi" w:eastAsiaTheme="majorEastAsia" w:hAnsiTheme="majorHAnsi" w:cstheme="majorBidi"/>
      <w:b/>
      <w:bCs/>
      <w:i/>
      <w:iCs/>
      <w:color w:val="7F7F7F" w:themeColor="text1" w:themeTint="80"/>
      <w:kern w:val="0"/>
      <w:sz w:val="22"/>
      <w:szCs w:val="22"/>
      <w:lang w:eastAsia="en-US" w:bidi="en-US"/>
    </w:rPr>
  </w:style>
  <w:style w:type="paragraph" w:styleId="7">
    <w:name w:val="heading 7"/>
    <w:basedOn w:val="a3"/>
    <w:next w:val="a3"/>
    <w:link w:val="70"/>
    <w:unhideWhenUsed/>
    <w:qFormat/>
    <w:rsid w:val="008E2E42"/>
    <w:pPr>
      <w:widowControl/>
      <w:spacing w:line="360" w:lineRule="auto"/>
      <w:outlineLvl w:val="6"/>
    </w:pPr>
    <w:rPr>
      <w:rFonts w:asciiTheme="majorHAnsi" w:eastAsiaTheme="majorEastAsia" w:hAnsiTheme="majorHAnsi" w:cstheme="majorBidi"/>
      <w:i/>
      <w:iCs/>
      <w:kern w:val="0"/>
      <w:sz w:val="22"/>
      <w:szCs w:val="22"/>
      <w:lang w:eastAsia="en-US" w:bidi="en-US"/>
    </w:rPr>
  </w:style>
  <w:style w:type="paragraph" w:styleId="8">
    <w:name w:val="heading 8"/>
    <w:basedOn w:val="a3"/>
    <w:next w:val="a3"/>
    <w:link w:val="80"/>
    <w:unhideWhenUsed/>
    <w:qFormat/>
    <w:rsid w:val="008E2E42"/>
    <w:pPr>
      <w:widowControl/>
      <w:spacing w:line="360" w:lineRule="auto"/>
      <w:outlineLvl w:val="7"/>
    </w:pPr>
    <w:rPr>
      <w:rFonts w:asciiTheme="majorHAnsi" w:eastAsiaTheme="majorEastAsia" w:hAnsiTheme="majorHAnsi" w:cstheme="majorBidi"/>
      <w:kern w:val="0"/>
      <w:szCs w:val="20"/>
      <w:lang w:eastAsia="en-US" w:bidi="en-US"/>
    </w:rPr>
  </w:style>
  <w:style w:type="paragraph" w:styleId="9">
    <w:name w:val="heading 9"/>
    <w:basedOn w:val="a3"/>
    <w:next w:val="a3"/>
    <w:link w:val="90"/>
    <w:unhideWhenUsed/>
    <w:qFormat/>
    <w:rsid w:val="008E2E42"/>
    <w:pPr>
      <w:widowControl/>
      <w:spacing w:line="360" w:lineRule="auto"/>
      <w:outlineLvl w:val="8"/>
    </w:pPr>
    <w:rPr>
      <w:rFonts w:asciiTheme="majorHAnsi" w:eastAsiaTheme="majorEastAsia" w:hAnsiTheme="majorHAnsi" w:cstheme="majorBidi"/>
      <w:i/>
      <w:iCs/>
      <w:spacing w:val="5"/>
      <w:kern w:val="0"/>
      <w:szCs w:val="20"/>
      <w:lang w:eastAsia="en-US" w:bidi="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basedOn w:val="120"/>
    <w:autoRedefine/>
    <w:uiPriority w:val="99"/>
    <w:rsid w:val="002F19DE"/>
    <w:rPr>
      <w:rFonts w:ascii="標楷體" w:eastAsia="標楷體" w:hAnsi="標楷體" w:cs="Arial Unicode MS"/>
      <w:bCs/>
      <w:iCs/>
      <w:color w:val="808000"/>
      <w:sz w:val="26"/>
      <w:szCs w:val="26"/>
      <w:u w:val="single"/>
      <w:lang w:eastAsia="en-US" w:bidi="en-US"/>
    </w:rPr>
  </w:style>
  <w:style w:type="paragraph" w:styleId="HTML">
    <w:name w:val="HTML Preformatted"/>
    <w:basedOn w:val="a3"/>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Cs w:val="20"/>
    </w:rPr>
  </w:style>
  <w:style w:type="character" w:styleId="a8">
    <w:name w:val="FollowedHyperlink"/>
    <w:autoRedefine/>
    <w:rsid w:val="00E30C8F"/>
    <w:rPr>
      <w:rFonts w:ascii="新細明體" w:eastAsia="標楷體" w:hAnsi="新細明體"/>
      <w:color w:val="800080"/>
      <w:sz w:val="24"/>
      <w:u w:val="single"/>
    </w:rPr>
  </w:style>
  <w:style w:type="paragraph" w:styleId="a9">
    <w:name w:val="header"/>
    <w:basedOn w:val="a3"/>
    <w:link w:val="aa"/>
    <w:pPr>
      <w:tabs>
        <w:tab w:val="center" w:pos="4153"/>
        <w:tab w:val="right" w:pos="8306"/>
      </w:tabs>
      <w:snapToGrid w:val="0"/>
    </w:pPr>
    <w:rPr>
      <w:szCs w:val="20"/>
    </w:rPr>
  </w:style>
  <w:style w:type="paragraph" w:styleId="ab">
    <w:name w:val="footer"/>
    <w:basedOn w:val="a3"/>
    <w:link w:val="ac"/>
    <w:uiPriority w:val="99"/>
    <w:pPr>
      <w:tabs>
        <w:tab w:val="center" w:pos="4153"/>
        <w:tab w:val="right" w:pos="8306"/>
      </w:tabs>
      <w:snapToGrid w:val="0"/>
    </w:pPr>
    <w:rPr>
      <w:szCs w:val="20"/>
    </w:rPr>
  </w:style>
  <w:style w:type="character" w:styleId="ad">
    <w:name w:val="page number"/>
    <w:basedOn w:val="a4"/>
  </w:style>
  <w:style w:type="character" w:customStyle="1" w:styleId="20">
    <w:name w:val="標題 2 字元"/>
    <w:link w:val="2"/>
    <w:rsid w:val="002F19DE"/>
    <w:rPr>
      <w:rFonts w:ascii="標楷體" w:eastAsia="標楷體" w:hAnsi="標楷體" w:cs="Arial Unicode MS"/>
      <w:b/>
      <w:bCs/>
      <w:color w:val="990000"/>
      <w:sz w:val="28"/>
      <w:szCs w:val="28"/>
    </w:rPr>
  </w:style>
  <w:style w:type="paragraph" w:styleId="ae">
    <w:name w:val="Document Map"/>
    <w:basedOn w:val="a3"/>
    <w:link w:val="af"/>
    <w:rsid w:val="00464EE7"/>
    <w:rPr>
      <w:rFonts w:ascii="新細明體" w:hAnsi="新細明體"/>
      <w:szCs w:val="18"/>
    </w:rPr>
  </w:style>
  <w:style w:type="character" w:customStyle="1" w:styleId="af">
    <w:name w:val="文件引導模式 字元"/>
    <w:link w:val="ae"/>
    <w:rsid w:val="00464EE7"/>
    <w:rPr>
      <w:rFonts w:ascii="新細明體" w:hAnsi="新細明體"/>
      <w:kern w:val="2"/>
      <w:szCs w:val="18"/>
    </w:rPr>
  </w:style>
  <w:style w:type="paragraph" w:styleId="af0">
    <w:name w:val="Balloon Text"/>
    <w:basedOn w:val="a3"/>
    <w:link w:val="af1"/>
    <w:rsid w:val="00D65CA3"/>
    <w:rPr>
      <w:rFonts w:asciiTheme="majorHAnsi" w:eastAsiaTheme="majorEastAsia" w:hAnsiTheme="majorHAnsi" w:cstheme="majorBidi"/>
      <w:sz w:val="18"/>
      <w:szCs w:val="18"/>
    </w:rPr>
  </w:style>
  <w:style w:type="character" w:customStyle="1" w:styleId="af1">
    <w:name w:val="註解方塊文字 字元"/>
    <w:basedOn w:val="a4"/>
    <w:link w:val="af0"/>
    <w:uiPriority w:val="99"/>
    <w:rsid w:val="00D65CA3"/>
    <w:rPr>
      <w:rFonts w:asciiTheme="majorHAnsi" w:eastAsiaTheme="majorEastAsia" w:hAnsiTheme="majorHAnsi" w:cstheme="majorBidi"/>
      <w:kern w:val="2"/>
      <w:sz w:val="18"/>
      <w:szCs w:val="18"/>
    </w:rPr>
  </w:style>
  <w:style w:type="character" w:customStyle="1" w:styleId="30">
    <w:name w:val="標題 3 字元"/>
    <w:basedOn w:val="a4"/>
    <w:link w:val="3"/>
    <w:rsid w:val="00EC0EE2"/>
    <w:rPr>
      <w:rFonts w:ascii="標楷體" w:eastAsia="標楷體" w:hAnsi="標楷體" w:cs="Arial Unicode MS"/>
      <w:bCs/>
      <w:iCs/>
      <w:color w:val="990000"/>
      <w:sz w:val="26"/>
      <w:szCs w:val="26"/>
      <w:lang w:eastAsia="en-US" w:bidi="en-US"/>
    </w:rPr>
  </w:style>
  <w:style w:type="paragraph" w:styleId="Web">
    <w:name w:val="Normal (Web)"/>
    <w:basedOn w:val="a3"/>
    <w:uiPriority w:val="99"/>
    <w:unhideWhenUsed/>
    <w:rsid w:val="004277CF"/>
    <w:pPr>
      <w:widowControl/>
      <w:spacing w:before="100" w:beforeAutospacing="1" w:after="100" w:afterAutospacing="1"/>
    </w:pPr>
    <w:rPr>
      <w:rFonts w:ascii="新細明體" w:hAnsi="新細明體" w:cs="新細明體"/>
      <w:kern w:val="0"/>
      <w:sz w:val="24"/>
    </w:rPr>
  </w:style>
  <w:style w:type="paragraph" w:styleId="af2">
    <w:name w:val="List Paragraph"/>
    <w:basedOn w:val="a3"/>
    <w:link w:val="af3"/>
    <w:uiPriority w:val="34"/>
    <w:qFormat/>
    <w:rsid w:val="00A175D1"/>
    <w:pPr>
      <w:ind w:leftChars="200" w:left="480"/>
    </w:pPr>
    <w:rPr>
      <w:rFonts w:asciiTheme="minorHAnsi" w:eastAsiaTheme="minorEastAsia" w:hAnsiTheme="minorHAnsi" w:cstheme="minorBidi"/>
      <w:sz w:val="24"/>
      <w:szCs w:val="22"/>
    </w:rPr>
  </w:style>
  <w:style w:type="table" w:styleId="af4">
    <w:name w:val="Table Grid"/>
    <w:basedOn w:val="a5"/>
    <w:rsid w:val="00A17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tionko">
    <w:name w:val="description ko"/>
    <w:basedOn w:val="a4"/>
    <w:rsid w:val="00A175D1"/>
  </w:style>
  <w:style w:type="paragraph" w:styleId="af5">
    <w:name w:val="footnote text"/>
    <w:aliases w:val="註腳文字(論文) 字元1 字元 字元,註腳文字(論文) 字元 字元 字元 字元 字元,註腳文字 字元1,註腳文字 字元 字元,註腳文字(論文) 字元1 字元,註腳文字(論文) 字元 字元 字元,註腳文字 字元2 字元 字元,註腳文字 字元 字元1 字元 字元,註腳文字 字元2 字元 字元 字元 字元,註腳文字 字元 字元1 字元 字元 字元 字元,註腳文字 字元2 字元 字元 字元 字元 字元1 字元,註腳文字 字元 字元1 字元 字元 字元 字元 字元1 字元,ftx,fn,FA"/>
    <w:basedOn w:val="a3"/>
    <w:link w:val="21"/>
    <w:uiPriority w:val="99"/>
    <w:rsid w:val="00A175D1"/>
    <w:pPr>
      <w:snapToGrid w:val="0"/>
    </w:pPr>
    <w:rPr>
      <w:kern w:val="0"/>
      <w:szCs w:val="20"/>
      <w:lang w:val="x-none" w:eastAsia="x-none"/>
    </w:rPr>
  </w:style>
  <w:style w:type="character" w:customStyle="1" w:styleId="af6">
    <w:name w:val="註腳文字 字元"/>
    <w:aliases w:val="註腳文字 字元2 字元,註腳文字 字元 字元1 字元, 字元 字元 字元1 字元,fn 字元"/>
    <w:basedOn w:val="a4"/>
    <w:rsid w:val="00A175D1"/>
    <w:rPr>
      <w:kern w:val="2"/>
    </w:rPr>
  </w:style>
  <w:style w:type="character" w:customStyle="1" w:styleId="21">
    <w:name w:val="註腳文字 字元2"/>
    <w:aliases w:val="註腳文字(論文) 字元1 字元 字元 字元,註腳文字(論文) 字元 字元 字元 字元 字元 字元,註腳文字 字元1 字元,註腳文字 字元 字元 字元,註腳文字(論文) 字元1 字元 字元1,註腳文字(論文) 字元 字元 字元 字元,註腳文字 字元2 字元 字元 字元,註腳文字 字元 字元1 字元 字元 字元,註腳文字 字元2 字元 字元 字元 字元 字元,註腳文字 字元 字元1 字元 字元 字元 字元 字元,註腳文字 字元2 字元 字元 字元 字元 字元1 字元 字元,ftx 字元"/>
    <w:link w:val="af5"/>
    <w:rsid w:val="00A175D1"/>
    <w:rPr>
      <w:lang w:val="x-none" w:eastAsia="x-none"/>
    </w:rPr>
  </w:style>
  <w:style w:type="character" w:styleId="af7">
    <w:name w:val="footnote reference"/>
    <w:aliases w:val="註腳參照－碩,Footnote Reference Superscript,FR,FR1,FR2,FR3,FR4,FR5,FR6,Ref,de nota al pie,註腳內容,FZ"/>
    <w:rsid w:val="000F3530"/>
    <w:rPr>
      <w:rFonts w:ascii="Arial Unicode MS" w:hAnsi="Arial Unicode MS" w:cs="Calibri"/>
      <w:color w:val="FF6600"/>
      <w:szCs w:val="26"/>
    </w:rPr>
  </w:style>
  <w:style w:type="character" w:customStyle="1" w:styleId="st1">
    <w:name w:val="st1"/>
    <w:rsid w:val="00A175D1"/>
  </w:style>
  <w:style w:type="paragraph" w:customStyle="1" w:styleId="EndNoteBibliography">
    <w:name w:val="EndNote Bibliography"/>
    <w:basedOn w:val="a3"/>
    <w:link w:val="EndNoteBibliography0"/>
    <w:rsid w:val="00A175D1"/>
    <w:rPr>
      <w:rFonts w:ascii="Calibri" w:eastAsiaTheme="minorEastAsia" w:hAnsi="Calibri" w:cstheme="minorBidi"/>
      <w:noProof/>
      <w:sz w:val="24"/>
      <w:szCs w:val="22"/>
    </w:rPr>
  </w:style>
  <w:style w:type="character" w:customStyle="1" w:styleId="EndNoteBibliography0">
    <w:name w:val="EndNote Bibliography 字元"/>
    <w:basedOn w:val="a4"/>
    <w:link w:val="EndNoteBibliography"/>
    <w:rsid w:val="00A175D1"/>
    <w:rPr>
      <w:rFonts w:ascii="Calibri" w:eastAsiaTheme="minorEastAsia" w:hAnsi="Calibri" w:cstheme="minorBidi"/>
      <w:noProof/>
      <w:kern w:val="2"/>
      <w:sz w:val="24"/>
      <w:szCs w:val="22"/>
    </w:rPr>
  </w:style>
  <w:style w:type="paragraph" w:customStyle="1" w:styleId="13">
    <w:name w:val="註腳文字1"/>
    <w:basedOn w:val="af5"/>
    <w:link w:val="110"/>
    <w:rsid w:val="00A175D1"/>
    <w:pPr>
      <w:autoSpaceDN w:val="0"/>
      <w:spacing w:line="280" w:lineRule="exact"/>
      <w:ind w:left="379" w:hangingChars="150" w:hanging="379"/>
    </w:pPr>
    <w:rPr>
      <w:kern w:val="2"/>
      <w:sz w:val="19"/>
      <w:szCs w:val="24"/>
      <w:lang w:val="en-US" w:eastAsia="zh-TW"/>
    </w:rPr>
  </w:style>
  <w:style w:type="character" w:customStyle="1" w:styleId="110">
    <w:name w:val="註腳文字1 字元1"/>
    <w:link w:val="13"/>
    <w:rsid w:val="00A175D1"/>
    <w:rPr>
      <w:kern w:val="2"/>
      <w:sz w:val="19"/>
      <w:szCs w:val="24"/>
    </w:rPr>
  </w:style>
  <w:style w:type="character" w:customStyle="1" w:styleId="12">
    <w:name w:val="標題 1 字元"/>
    <w:link w:val="11"/>
    <w:rsid w:val="00B662A4"/>
    <w:rPr>
      <w:rFonts w:ascii="標楷體" w:eastAsia="標楷體" w:hAnsi="標楷體"/>
      <w:b/>
      <w:bCs/>
      <w:color w:val="000080"/>
      <w:kern w:val="52"/>
      <w:sz w:val="30"/>
      <w:szCs w:val="30"/>
    </w:rPr>
  </w:style>
  <w:style w:type="character" w:customStyle="1" w:styleId="40">
    <w:name w:val="標題 4 字元"/>
    <w:basedOn w:val="a4"/>
    <w:link w:val="4"/>
    <w:rsid w:val="00E736D6"/>
    <w:rPr>
      <w:rFonts w:ascii="標楷體" w:eastAsia="標楷體" w:hAnsi="標楷體" w:cs="Arial Unicode MS"/>
      <w:b/>
      <w:bCs/>
      <w:iCs/>
      <w:color w:val="990000"/>
      <w:kern w:val="2"/>
      <w:sz w:val="26"/>
      <w:szCs w:val="26"/>
      <w:lang w:eastAsia="en-US" w:bidi="en-US"/>
    </w:rPr>
  </w:style>
  <w:style w:type="character" w:customStyle="1" w:styleId="50">
    <w:name w:val="標題 5 字元"/>
    <w:basedOn w:val="a4"/>
    <w:link w:val="5"/>
    <w:rsid w:val="00992AB6"/>
    <w:rPr>
      <w:rFonts w:asciiTheme="majorHAnsi" w:eastAsiaTheme="majorEastAsia" w:hAnsiTheme="majorHAnsi" w:cstheme="majorBidi"/>
      <w:bCs/>
      <w:color w:val="7F7F7F" w:themeColor="text1" w:themeTint="80"/>
      <w:lang w:eastAsia="en-US" w:bidi="en-US"/>
    </w:rPr>
  </w:style>
  <w:style w:type="character" w:customStyle="1" w:styleId="60">
    <w:name w:val="標題 6 字元"/>
    <w:basedOn w:val="a4"/>
    <w:link w:val="6"/>
    <w:rsid w:val="008E2E42"/>
    <w:rPr>
      <w:rFonts w:asciiTheme="majorHAnsi" w:eastAsiaTheme="majorEastAsia" w:hAnsiTheme="majorHAnsi" w:cstheme="majorBidi"/>
      <w:b/>
      <w:bCs/>
      <w:i/>
      <w:iCs/>
      <w:color w:val="7F7F7F" w:themeColor="text1" w:themeTint="80"/>
      <w:sz w:val="22"/>
      <w:szCs w:val="22"/>
      <w:lang w:eastAsia="en-US" w:bidi="en-US"/>
    </w:rPr>
  </w:style>
  <w:style w:type="character" w:customStyle="1" w:styleId="70">
    <w:name w:val="標題 7 字元"/>
    <w:basedOn w:val="a4"/>
    <w:link w:val="7"/>
    <w:rsid w:val="008E2E42"/>
    <w:rPr>
      <w:rFonts w:asciiTheme="majorHAnsi" w:eastAsiaTheme="majorEastAsia" w:hAnsiTheme="majorHAnsi" w:cstheme="majorBidi"/>
      <w:i/>
      <w:iCs/>
      <w:sz w:val="22"/>
      <w:szCs w:val="22"/>
      <w:lang w:eastAsia="en-US" w:bidi="en-US"/>
    </w:rPr>
  </w:style>
  <w:style w:type="character" w:customStyle="1" w:styleId="80">
    <w:name w:val="標題 8 字元"/>
    <w:basedOn w:val="a4"/>
    <w:link w:val="8"/>
    <w:rsid w:val="008E2E42"/>
    <w:rPr>
      <w:rFonts w:asciiTheme="majorHAnsi" w:eastAsiaTheme="majorEastAsia" w:hAnsiTheme="majorHAnsi" w:cstheme="majorBidi"/>
      <w:lang w:eastAsia="en-US" w:bidi="en-US"/>
    </w:rPr>
  </w:style>
  <w:style w:type="character" w:customStyle="1" w:styleId="90">
    <w:name w:val="標題 9 字元"/>
    <w:basedOn w:val="a4"/>
    <w:link w:val="9"/>
    <w:rsid w:val="008E2E42"/>
    <w:rPr>
      <w:rFonts w:asciiTheme="majorHAnsi" w:eastAsiaTheme="majorEastAsia" w:hAnsiTheme="majorHAnsi" w:cstheme="majorBidi"/>
      <w:i/>
      <w:iCs/>
      <w:spacing w:val="5"/>
      <w:lang w:eastAsia="en-US" w:bidi="en-US"/>
    </w:rPr>
  </w:style>
  <w:style w:type="paragraph" w:styleId="14">
    <w:name w:val="toc 1"/>
    <w:basedOn w:val="a3"/>
    <w:next w:val="a3"/>
    <w:link w:val="15"/>
    <w:autoRedefine/>
    <w:uiPriority w:val="39"/>
    <w:unhideWhenUsed/>
    <w:qFormat/>
    <w:rsid w:val="008E2E42"/>
    <w:pPr>
      <w:widowControl/>
      <w:spacing w:before="120" w:after="120" w:line="360" w:lineRule="auto"/>
    </w:pPr>
    <w:rPr>
      <w:rFonts w:asciiTheme="minorHAnsi" w:hAnsiTheme="minorHAnsi" w:cstheme="minorBidi"/>
      <w:b/>
      <w:bCs/>
      <w:caps/>
      <w:color w:val="1F497D" w:themeColor="text2"/>
      <w:kern w:val="0"/>
      <w:sz w:val="28"/>
      <w:szCs w:val="20"/>
      <w:lang w:eastAsia="en-US" w:bidi="en-US"/>
    </w:rPr>
  </w:style>
  <w:style w:type="paragraph" w:styleId="af8">
    <w:name w:val="Title"/>
    <w:basedOn w:val="a3"/>
    <w:next w:val="a3"/>
    <w:link w:val="af9"/>
    <w:qFormat/>
    <w:rsid w:val="008E2E42"/>
    <w:pPr>
      <w:widowControl/>
      <w:pBdr>
        <w:bottom w:val="single" w:sz="4" w:space="1" w:color="auto"/>
      </w:pBdr>
      <w:contextualSpacing/>
    </w:pPr>
    <w:rPr>
      <w:rFonts w:asciiTheme="majorHAnsi" w:eastAsiaTheme="majorEastAsia" w:hAnsiTheme="majorHAnsi" w:cstheme="majorBidi"/>
      <w:spacing w:val="5"/>
      <w:kern w:val="0"/>
      <w:sz w:val="52"/>
      <w:szCs w:val="52"/>
      <w:lang w:eastAsia="en-US" w:bidi="en-US"/>
    </w:rPr>
  </w:style>
  <w:style w:type="character" w:customStyle="1" w:styleId="af9">
    <w:name w:val="標題 字元"/>
    <w:basedOn w:val="a4"/>
    <w:link w:val="af8"/>
    <w:rsid w:val="008E2E42"/>
    <w:rPr>
      <w:rFonts w:asciiTheme="majorHAnsi" w:eastAsiaTheme="majorEastAsia" w:hAnsiTheme="majorHAnsi" w:cstheme="majorBidi"/>
      <w:spacing w:val="5"/>
      <w:sz w:val="52"/>
      <w:szCs w:val="52"/>
      <w:lang w:eastAsia="en-US" w:bidi="en-US"/>
    </w:rPr>
  </w:style>
  <w:style w:type="paragraph" w:styleId="afa">
    <w:name w:val="Subtitle"/>
    <w:basedOn w:val="a3"/>
    <w:next w:val="a3"/>
    <w:link w:val="afb"/>
    <w:uiPriority w:val="99"/>
    <w:qFormat/>
    <w:rsid w:val="008E2E42"/>
    <w:pPr>
      <w:widowControl/>
      <w:spacing w:after="600" w:line="360" w:lineRule="auto"/>
    </w:pPr>
    <w:rPr>
      <w:rFonts w:asciiTheme="majorHAnsi" w:eastAsiaTheme="majorEastAsia" w:hAnsiTheme="majorHAnsi" w:cstheme="majorBidi"/>
      <w:i/>
      <w:iCs/>
      <w:spacing w:val="13"/>
      <w:kern w:val="0"/>
      <w:sz w:val="24"/>
      <w:lang w:eastAsia="en-US" w:bidi="en-US"/>
    </w:rPr>
  </w:style>
  <w:style w:type="character" w:customStyle="1" w:styleId="afb">
    <w:name w:val="副標題 字元"/>
    <w:basedOn w:val="a4"/>
    <w:link w:val="afa"/>
    <w:uiPriority w:val="99"/>
    <w:rsid w:val="008E2E42"/>
    <w:rPr>
      <w:rFonts w:asciiTheme="majorHAnsi" w:eastAsiaTheme="majorEastAsia" w:hAnsiTheme="majorHAnsi" w:cstheme="majorBidi"/>
      <w:i/>
      <w:iCs/>
      <w:spacing w:val="13"/>
      <w:sz w:val="24"/>
      <w:szCs w:val="24"/>
      <w:lang w:eastAsia="en-US" w:bidi="en-US"/>
    </w:rPr>
  </w:style>
  <w:style w:type="character" w:styleId="afc">
    <w:name w:val="Strong"/>
    <w:uiPriority w:val="22"/>
    <w:qFormat/>
    <w:rsid w:val="008E2E42"/>
    <w:rPr>
      <w:b/>
      <w:bCs/>
    </w:rPr>
  </w:style>
  <w:style w:type="character" w:styleId="afd">
    <w:name w:val="Emphasis"/>
    <w:qFormat/>
    <w:rsid w:val="008E2E42"/>
    <w:rPr>
      <w:b/>
      <w:bCs/>
      <w:i/>
      <w:iCs/>
      <w:spacing w:val="10"/>
      <w:bdr w:val="none" w:sz="0" w:space="0" w:color="auto"/>
      <w:shd w:val="clear" w:color="auto" w:fill="auto"/>
    </w:rPr>
  </w:style>
  <w:style w:type="paragraph" w:styleId="afe">
    <w:name w:val="No Spacing"/>
    <w:basedOn w:val="a3"/>
    <w:link w:val="aff"/>
    <w:uiPriority w:val="1"/>
    <w:qFormat/>
    <w:rsid w:val="008E2E42"/>
    <w:pPr>
      <w:widowControl/>
    </w:pPr>
    <w:rPr>
      <w:rFonts w:asciiTheme="minorHAnsi" w:hAnsiTheme="minorHAnsi" w:cstheme="minorBidi"/>
      <w:color w:val="1F497D" w:themeColor="text2"/>
      <w:kern w:val="0"/>
      <w:sz w:val="24"/>
      <w:szCs w:val="22"/>
      <w:lang w:eastAsia="en-US" w:bidi="en-US"/>
    </w:rPr>
  </w:style>
  <w:style w:type="paragraph" w:styleId="aff0">
    <w:name w:val="Quote"/>
    <w:basedOn w:val="a3"/>
    <w:next w:val="a3"/>
    <w:link w:val="aff1"/>
    <w:uiPriority w:val="29"/>
    <w:qFormat/>
    <w:rsid w:val="008E2E42"/>
    <w:pPr>
      <w:widowControl/>
      <w:spacing w:before="200" w:line="360" w:lineRule="auto"/>
      <w:ind w:left="360" w:right="360"/>
    </w:pPr>
    <w:rPr>
      <w:rFonts w:asciiTheme="minorHAnsi" w:hAnsiTheme="minorHAnsi" w:cstheme="minorBidi"/>
      <w:i/>
      <w:iCs/>
      <w:kern w:val="0"/>
      <w:sz w:val="22"/>
      <w:szCs w:val="22"/>
      <w:lang w:eastAsia="en-US" w:bidi="en-US"/>
    </w:rPr>
  </w:style>
  <w:style w:type="character" w:customStyle="1" w:styleId="aff1">
    <w:name w:val="引文 字元"/>
    <w:basedOn w:val="a4"/>
    <w:link w:val="aff0"/>
    <w:uiPriority w:val="29"/>
    <w:rsid w:val="008E2E42"/>
    <w:rPr>
      <w:rFonts w:asciiTheme="minorHAnsi" w:eastAsia="標楷體" w:hAnsiTheme="minorHAnsi" w:cstheme="minorBidi"/>
      <w:i/>
      <w:iCs/>
      <w:sz w:val="22"/>
      <w:szCs w:val="22"/>
      <w:lang w:eastAsia="en-US" w:bidi="en-US"/>
    </w:rPr>
  </w:style>
  <w:style w:type="paragraph" w:styleId="aff2">
    <w:name w:val="Intense Quote"/>
    <w:basedOn w:val="a3"/>
    <w:next w:val="a3"/>
    <w:link w:val="aff3"/>
    <w:uiPriority w:val="30"/>
    <w:rsid w:val="008E2E42"/>
    <w:pPr>
      <w:widowControl/>
      <w:pBdr>
        <w:bottom w:val="single" w:sz="4" w:space="1" w:color="auto"/>
      </w:pBdr>
      <w:spacing w:before="200" w:after="280" w:line="360" w:lineRule="auto"/>
      <w:ind w:left="1008" w:right="1152"/>
    </w:pPr>
    <w:rPr>
      <w:rFonts w:asciiTheme="minorHAnsi" w:hAnsiTheme="minorHAnsi" w:cstheme="minorBidi"/>
      <w:b/>
      <w:bCs/>
      <w:i/>
      <w:iCs/>
      <w:kern w:val="0"/>
      <w:sz w:val="22"/>
      <w:szCs w:val="22"/>
      <w:lang w:eastAsia="en-US" w:bidi="en-US"/>
    </w:rPr>
  </w:style>
  <w:style w:type="character" w:customStyle="1" w:styleId="aff3">
    <w:name w:val="鮮明引文 字元"/>
    <w:basedOn w:val="a4"/>
    <w:link w:val="aff2"/>
    <w:uiPriority w:val="30"/>
    <w:rsid w:val="008E2E42"/>
    <w:rPr>
      <w:rFonts w:asciiTheme="minorHAnsi" w:eastAsia="標楷體" w:hAnsiTheme="minorHAnsi" w:cstheme="minorBidi"/>
      <w:b/>
      <w:bCs/>
      <w:i/>
      <w:iCs/>
      <w:sz w:val="22"/>
      <w:szCs w:val="22"/>
      <w:lang w:eastAsia="en-US" w:bidi="en-US"/>
    </w:rPr>
  </w:style>
  <w:style w:type="character" w:styleId="aff4">
    <w:name w:val="Subtle Emphasis"/>
    <w:uiPriority w:val="19"/>
    <w:qFormat/>
    <w:rsid w:val="008E2E42"/>
    <w:rPr>
      <w:i/>
      <w:iCs/>
    </w:rPr>
  </w:style>
  <w:style w:type="character" w:styleId="aff5">
    <w:name w:val="Intense Emphasis"/>
    <w:uiPriority w:val="21"/>
    <w:qFormat/>
    <w:rsid w:val="008E2E42"/>
    <w:rPr>
      <w:b/>
      <w:bCs/>
    </w:rPr>
  </w:style>
  <w:style w:type="character" w:styleId="aff6">
    <w:name w:val="Subtle Reference"/>
    <w:uiPriority w:val="31"/>
    <w:qFormat/>
    <w:rsid w:val="008E2E42"/>
    <w:rPr>
      <w:smallCaps/>
    </w:rPr>
  </w:style>
  <w:style w:type="character" w:styleId="aff7">
    <w:name w:val="Intense Reference"/>
    <w:uiPriority w:val="32"/>
    <w:qFormat/>
    <w:rsid w:val="008E2E42"/>
    <w:rPr>
      <w:smallCaps/>
      <w:spacing w:val="5"/>
      <w:u w:val="single"/>
    </w:rPr>
  </w:style>
  <w:style w:type="character" w:styleId="aff8">
    <w:name w:val="Book Title"/>
    <w:uiPriority w:val="33"/>
    <w:qFormat/>
    <w:rsid w:val="008E2E42"/>
    <w:rPr>
      <w:i/>
      <w:iCs/>
      <w:smallCaps/>
      <w:spacing w:val="5"/>
    </w:rPr>
  </w:style>
  <w:style w:type="paragraph" w:styleId="aff9">
    <w:name w:val="TOC Heading"/>
    <w:basedOn w:val="11"/>
    <w:next w:val="a3"/>
    <w:unhideWhenUsed/>
    <w:qFormat/>
    <w:rsid w:val="008E2E42"/>
    <w:pPr>
      <w:keepNext w:val="0"/>
      <w:widowControl/>
      <w:adjustRightInd/>
      <w:snapToGrid/>
      <w:spacing w:beforeLines="0" w:before="480" w:afterLines="0" w:after="0" w:line="360" w:lineRule="auto"/>
      <w:contextualSpacing/>
      <w:outlineLvl w:val="9"/>
    </w:pPr>
    <w:rPr>
      <w:rFonts w:asciiTheme="majorHAnsi" w:eastAsiaTheme="majorEastAsia" w:hAnsiTheme="majorHAnsi" w:cstheme="majorBidi"/>
      <w:color w:val="1F497D" w:themeColor="text2"/>
      <w:kern w:val="0"/>
      <w:lang w:eastAsia="en-US" w:bidi="en-US"/>
    </w:rPr>
  </w:style>
  <w:style w:type="paragraph" w:styleId="22">
    <w:name w:val="toc 2"/>
    <w:basedOn w:val="16"/>
    <w:next w:val="a3"/>
    <w:autoRedefine/>
    <w:uiPriority w:val="39"/>
    <w:unhideWhenUsed/>
    <w:qFormat/>
    <w:rsid w:val="00B40DC1"/>
    <w:pPr>
      <w:tabs>
        <w:tab w:val="right" w:leader="dot" w:pos="8269"/>
      </w:tabs>
      <w:spacing w:after="120" w:line="0" w:lineRule="atLeast"/>
      <w:ind w:left="240"/>
      <w:jc w:val="both"/>
    </w:pPr>
    <w:rPr>
      <w:b w:val="0"/>
      <w:smallCaps/>
      <w:sz w:val="28"/>
      <w:szCs w:val="20"/>
    </w:rPr>
  </w:style>
  <w:style w:type="paragraph" w:styleId="31">
    <w:name w:val="toc 3"/>
    <w:basedOn w:val="a3"/>
    <w:next w:val="a3"/>
    <w:autoRedefine/>
    <w:unhideWhenUsed/>
    <w:qFormat/>
    <w:rsid w:val="008E2E42"/>
    <w:pPr>
      <w:widowControl/>
      <w:spacing w:line="360" w:lineRule="auto"/>
      <w:ind w:left="480"/>
    </w:pPr>
    <w:rPr>
      <w:rFonts w:asciiTheme="minorHAnsi" w:hAnsiTheme="minorHAnsi" w:cstheme="minorBidi"/>
      <w:i/>
      <w:iCs/>
      <w:color w:val="1F497D" w:themeColor="text2"/>
      <w:kern w:val="0"/>
      <w:szCs w:val="20"/>
      <w:lang w:eastAsia="en-US" w:bidi="en-US"/>
    </w:rPr>
  </w:style>
  <w:style w:type="paragraph" w:customStyle="1" w:styleId="10">
    <w:name w:val="樣式1"/>
    <w:basedOn w:val="affa"/>
    <w:link w:val="17"/>
    <w:rsid w:val="008E2E42"/>
    <w:pPr>
      <w:numPr>
        <w:numId w:val="1"/>
      </w:numPr>
      <w:spacing w:after="100" w:afterAutospacing="1"/>
      <w:contextualSpacing/>
    </w:pPr>
  </w:style>
  <w:style w:type="paragraph" w:customStyle="1" w:styleId="23">
    <w:name w:val="樣式2"/>
    <w:basedOn w:val="affb"/>
    <w:qFormat/>
    <w:rsid w:val="00FF6603"/>
  </w:style>
  <w:style w:type="paragraph" w:customStyle="1" w:styleId="32">
    <w:name w:val="樣式3"/>
    <w:basedOn w:val="affa"/>
    <w:qFormat/>
    <w:rsid w:val="008E2E42"/>
  </w:style>
  <w:style w:type="paragraph" w:customStyle="1" w:styleId="41">
    <w:name w:val="樣式4"/>
    <w:basedOn w:val="3"/>
    <w:qFormat/>
    <w:rsid w:val="008E2E42"/>
    <w:pPr>
      <w:adjustRightInd/>
      <w:snapToGrid/>
      <w:spacing w:before="200" w:line="271" w:lineRule="auto"/>
      <w:jc w:val="center"/>
    </w:pPr>
    <w:rPr>
      <w:rFonts w:asciiTheme="majorHAnsi" w:eastAsiaTheme="majorEastAsia" w:hAnsiTheme="majorHAnsi" w:cstheme="majorBidi"/>
      <w:b/>
      <w:color w:val="1F497D" w:themeColor="text2"/>
      <w:sz w:val="24"/>
      <w:szCs w:val="22"/>
    </w:rPr>
  </w:style>
  <w:style w:type="paragraph" w:customStyle="1" w:styleId="16">
    <w:name w:val="大綱1"/>
    <w:basedOn w:val="11"/>
    <w:uiPriority w:val="99"/>
    <w:qFormat/>
    <w:rsid w:val="008E2E42"/>
    <w:pPr>
      <w:keepNext w:val="0"/>
      <w:widowControl/>
      <w:adjustRightInd/>
      <w:snapToGrid/>
      <w:spacing w:beforeLines="0" w:before="480" w:afterLines="50" w:after="0" w:line="360" w:lineRule="auto"/>
      <w:contextualSpacing/>
      <w:jc w:val="center"/>
    </w:pPr>
    <w:rPr>
      <w:rFonts w:asciiTheme="majorHAnsi" w:hAnsiTheme="majorHAnsi" w:cstheme="majorBidi"/>
      <w:color w:val="1F497D" w:themeColor="text2"/>
      <w:kern w:val="0"/>
      <w:sz w:val="32"/>
      <w:lang w:eastAsia="en-US" w:bidi="en-US"/>
    </w:rPr>
  </w:style>
  <w:style w:type="paragraph" w:customStyle="1" w:styleId="33">
    <w:name w:val="大綱3"/>
    <w:basedOn w:val="2"/>
    <w:qFormat/>
    <w:rsid w:val="008E2E42"/>
    <w:pPr>
      <w:keepNext w:val="0"/>
      <w:widowControl/>
      <w:adjustRightInd/>
      <w:snapToGrid/>
      <w:spacing w:beforeLines="0" w:before="200" w:afterLines="0" w:after="0" w:line="360" w:lineRule="auto"/>
    </w:pPr>
    <w:rPr>
      <w:rFonts w:asciiTheme="majorHAnsi" w:hAnsiTheme="majorHAnsi" w:cstheme="majorBidi"/>
      <w:b w:val="0"/>
      <w:color w:val="1F497D" w:themeColor="text2"/>
      <w:sz w:val="24"/>
      <w:lang w:eastAsia="en-US" w:bidi="en-US"/>
    </w:rPr>
  </w:style>
  <w:style w:type="paragraph" w:customStyle="1" w:styleId="24">
    <w:name w:val="大綱2"/>
    <w:basedOn w:val="33"/>
    <w:uiPriority w:val="99"/>
    <w:qFormat/>
    <w:rsid w:val="008E2E42"/>
    <w:pPr>
      <w:spacing w:before="120"/>
    </w:pPr>
    <w:rPr>
      <w:b/>
    </w:rPr>
  </w:style>
  <w:style w:type="paragraph" w:customStyle="1" w:styleId="51">
    <w:name w:val="樣式5"/>
    <w:basedOn w:val="a3"/>
    <w:link w:val="52"/>
    <w:qFormat/>
    <w:rsid w:val="008E2E42"/>
    <w:pPr>
      <w:widowControl/>
      <w:spacing w:line="360" w:lineRule="auto"/>
    </w:pPr>
    <w:rPr>
      <w:rFonts w:asciiTheme="minorHAnsi" w:hAnsiTheme="minorHAnsi" w:cstheme="minorBidi"/>
      <w:color w:val="1F497D" w:themeColor="text2"/>
      <w:kern w:val="0"/>
      <w:sz w:val="24"/>
      <w:szCs w:val="22"/>
      <w:lang w:bidi="hi-IN"/>
    </w:rPr>
  </w:style>
  <w:style w:type="character" w:customStyle="1" w:styleId="52">
    <w:name w:val="樣式5 字元"/>
    <w:basedOn w:val="a4"/>
    <w:link w:val="51"/>
    <w:rsid w:val="008E2E42"/>
    <w:rPr>
      <w:rFonts w:asciiTheme="minorHAnsi" w:eastAsia="標楷體" w:hAnsiTheme="minorHAnsi" w:cstheme="minorBidi"/>
      <w:color w:val="1F497D" w:themeColor="text2"/>
      <w:sz w:val="24"/>
      <w:szCs w:val="22"/>
      <w:lang w:bidi="hi-IN"/>
    </w:rPr>
  </w:style>
  <w:style w:type="paragraph" w:customStyle="1" w:styleId="affa">
    <w:name w:val="論文內文"/>
    <w:basedOn w:val="51"/>
    <w:link w:val="affc"/>
    <w:qFormat/>
    <w:rsid w:val="008E2E42"/>
    <w:rPr>
      <w:rFonts w:ascii="標楷體" w:hAnsi="標楷體" w:cs="新細明體"/>
      <w:color w:val="000000" w:themeColor="text1"/>
      <w:szCs w:val="24"/>
    </w:rPr>
  </w:style>
  <w:style w:type="character" w:customStyle="1" w:styleId="affc">
    <w:name w:val="論文內文 字元"/>
    <w:basedOn w:val="52"/>
    <w:link w:val="affa"/>
    <w:rsid w:val="008E2E42"/>
    <w:rPr>
      <w:rFonts w:ascii="標楷體" w:eastAsia="標楷體" w:hAnsi="標楷體" w:cs="新細明體"/>
      <w:color w:val="000000" w:themeColor="text1"/>
      <w:sz w:val="24"/>
      <w:szCs w:val="24"/>
      <w:lang w:bidi="hi-IN"/>
    </w:rPr>
  </w:style>
  <w:style w:type="character" w:customStyle="1" w:styleId="17">
    <w:name w:val="樣式1 字元"/>
    <w:basedOn w:val="affc"/>
    <w:link w:val="10"/>
    <w:rsid w:val="008E2E42"/>
    <w:rPr>
      <w:rFonts w:ascii="標楷體" w:eastAsia="標楷體" w:hAnsi="標楷體" w:cs="新細明體"/>
      <w:color w:val="000000" w:themeColor="text1"/>
      <w:sz w:val="24"/>
      <w:szCs w:val="24"/>
      <w:lang w:bidi="hi-IN"/>
    </w:rPr>
  </w:style>
  <w:style w:type="paragraph" w:customStyle="1" w:styleId="61">
    <w:name w:val="樣式6"/>
    <w:basedOn w:val="32"/>
    <w:qFormat/>
    <w:rsid w:val="008E2E42"/>
  </w:style>
  <w:style w:type="paragraph" w:customStyle="1" w:styleId="71">
    <w:name w:val="樣式7"/>
    <w:basedOn w:val="a3"/>
    <w:link w:val="72"/>
    <w:qFormat/>
    <w:rsid w:val="008E2E42"/>
    <w:pPr>
      <w:widowControl/>
      <w:spacing w:line="360" w:lineRule="auto"/>
    </w:pPr>
    <w:rPr>
      <w:rFonts w:ascii="inherit" w:hAnsi="inherit" w:cs="Arial"/>
      <w:color w:val="333333"/>
      <w:spacing w:val="12"/>
      <w:kern w:val="0"/>
      <w:sz w:val="24"/>
      <w:szCs w:val="18"/>
    </w:rPr>
  </w:style>
  <w:style w:type="paragraph" w:customStyle="1" w:styleId="81">
    <w:name w:val="樣式8"/>
    <w:basedOn w:val="a3"/>
    <w:qFormat/>
    <w:rsid w:val="008E2E42"/>
    <w:pPr>
      <w:widowControl/>
      <w:spacing w:line="360" w:lineRule="auto"/>
    </w:pPr>
    <w:rPr>
      <w:rFonts w:asciiTheme="minorHAnsi" w:hAnsiTheme="minorHAnsi" w:cstheme="minorBidi"/>
      <w:color w:val="1F497D" w:themeColor="text2"/>
      <w:kern w:val="0"/>
      <w:sz w:val="24"/>
      <w:szCs w:val="22"/>
      <w:lang w:eastAsia="en-US" w:bidi="en-US"/>
    </w:rPr>
  </w:style>
  <w:style w:type="paragraph" w:customStyle="1" w:styleId="affd">
    <w:name w:val="圖表標題"/>
    <w:basedOn w:val="a3"/>
    <w:link w:val="affe"/>
    <w:autoRedefine/>
    <w:qFormat/>
    <w:rsid w:val="008E2E42"/>
    <w:pPr>
      <w:widowControl/>
      <w:spacing w:beforeLines="50"/>
      <w:jc w:val="center"/>
    </w:pPr>
    <w:rPr>
      <w:rFonts w:cs="Songti TC"/>
      <w:color w:val="000000" w:themeColor="text1"/>
      <w:kern w:val="0"/>
      <w:sz w:val="24"/>
      <w:lang w:val="es-ES_tradnl"/>
    </w:rPr>
  </w:style>
  <w:style w:type="character" w:customStyle="1" w:styleId="affe">
    <w:name w:val="圖表標題 字元"/>
    <w:basedOn w:val="a4"/>
    <w:link w:val="affd"/>
    <w:rsid w:val="008E2E42"/>
    <w:rPr>
      <w:rFonts w:eastAsia="標楷體" w:cs="Songti TC"/>
      <w:color w:val="000000" w:themeColor="text1"/>
      <w:sz w:val="24"/>
      <w:szCs w:val="24"/>
      <w:lang w:val="es-ES_tradnl"/>
    </w:rPr>
  </w:style>
  <w:style w:type="paragraph" w:customStyle="1" w:styleId="afff">
    <w:name w:val="圖"/>
    <w:basedOn w:val="affd"/>
    <w:link w:val="afff0"/>
    <w:qFormat/>
    <w:rsid w:val="008E2E42"/>
    <w:pPr>
      <w:spacing w:before="180"/>
    </w:pPr>
    <w:rPr>
      <w:sz w:val="26"/>
    </w:rPr>
  </w:style>
  <w:style w:type="character" w:customStyle="1" w:styleId="afff0">
    <w:name w:val="圖 字元"/>
    <w:basedOn w:val="affe"/>
    <w:link w:val="afff"/>
    <w:rsid w:val="008E2E42"/>
    <w:rPr>
      <w:rFonts w:eastAsia="標楷體" w:cs="Songti TC"/>
      <w:color w:val="000000" w:themeColor="text1"/>
      <w:sz w:val="26"/>
      <w:szCs w:val="24"/>
      <w:lang w:val="es-ES_tradnl"/>
    </w:rPr>
  </w:style>
  <w:style w:type="paragraph" w:customStyle="1" w:styleId="afff1">
    <w:name w:val="表"/>
    <w:basedOn w:val="affd"/>
    <w:link w:val="afff2"/>
    <w:qFormat/>
    <w:rsid w:val="008E2E42"/>
    <w:pPr>
      <w:spacing w:before="180"/>
    </w:pPr>
    <w:rPr>
      <w:sz w:val="26"/>
    </w:rPr>
  </w:style>
  <w:style w:type="character" w:customStyle="1" w:styleId="afff2">
    <w:name w:val="表 字元"/>
    <w:basedOn w:val="affe"/>
    <w:link w:val="afff1"/>
    <w:rsid w:val="008E2E42"/>
    <w:rPr>
      <w:rFonts w:eastAsia="標楷體" w:cs="Songti TC"/>
      <w:color w:val="000000" w:themeColor="text1"/>
      <w:sz w:val="26"/>
      <w:szCs w:val="24"/>
      <w:lang w:val="es-ES_tradnl"/>
    </w:rPr>
  </w:style>
  <w:style w:type="character" w:customStyle="1" w:styleId="aa">
    <w:name w:val="頁首 字元"/>
    <w:basedOn w:val="a4"/>
    <w:link w:val="a9"/>
    <w:rsid w:val="008E2E42"/>
    <w:rPr>
      <w:kern w:val="2"/>
    </w:rPr>
  </w:style>
  <w:style w:type="character" w:customStyle="1" w:styleId="ac">
    <w:name w:val="頁尾 字元"/>
    <w:basedOn w:val="a4"/>
    <w:link w:val="ab"/>
    <w:uiPriority w:val="99"/>
    <w:rsid w:val="008E2E42"/>
    <w:rPr>
      <w:kern w:val="2"/>
    </w:rPr>
  </w:style>
  <w:style w:type="paragraph" w:styleId="affb">
    <w:name w:val="caption"/>
    <w:aliases w:val="註解"/>
    <w:basedOn w:val="ab"/>
    <w:next w:val="a3"/>
    <w:link w:val="afff3"/>
    <w:uiPriority w:val="35"/>
    <w:unhideWhenUsed/>
    <w:qFormat/>
    <w:rsid w:val="00FF6603"/>
    <w:pPr>
      <w:wordWrap w:val="0"/>
      <w:jc w:val="right"/>
    </w:pPr>
    <w:rPr>
      <w:sz w:val="20"/>
    </w:rPr>
  </w:style>
  <w:style w:type="paragraph" w:styleId="42">
    <w:name w:val="toc 4"/>
    <w:basedOn w:val="a3"/>
    <w:next w:val="a3"/>
    <w:autoRedefine/>
    <w:unhideWhenUsed/>
    <w:rsid w:val="008E2E42"/>
    <w:pPr>
      <w:widowControl/>
      <w:spacing w:line="360" w:lineRule="auto"/>
      <w:ind w:left="720"/>
    </w:pPr>
    <w:rPr>
      <w:rFonts w:asciiTheme="minorHAnsi" w:hAnsiTheme="minorHAnsi" w:cstheme="minorBidi"/>
      <w:color w:val="1F497D" w:themeColor="text2"/>
      <w:kern w:val="0"/>
      <w:sz w:val="18"/>
      <w:szCs w:val="18"/>
      <w:lang w:eastAsia="en-US" w:bidi="en-US"/>
    </w:rPr>
  </w:style>
  <w:style w:type="paragraph" w:styleId="53">
    <w:name w:val="toc 5"/>
    <w:basedOn w:val="a3"/>
    <w:next w:val="a3"/>
    <w:autoRedefine/>
    <w:uiPriority w:val="39"/>
    <w:unhideWhenUsed/>
    <w:rsid w:val="008E2E42"/>
    <w:pPr>
      <w:widowControl/>
      <w:spacing w:line="360" w:lineRule="auto"/>
      <w:ind w:left="960"/>
    </w:pPr>
    <w:rPr>
      <w:rFonts w:asciiTheme="minorHAnsi" w:hAnsiTheme="minorHAnsi" w:cstheme="minorBidi"/>
      <w:color w:val="1F497D" w:themeColor="text2"/>
      <w:kern w:val="0"/>
      <w:sz w:val="18"/>
      <w:szCs w:val="18"/>
      <w:lang w:eastAsia="en-US" w:bidi="en-US"/>
    </w:rPr>
  </w:style>
  <w:style w:type="paragraph" w:styleId="62">
    <w:name w:val="toc 6"/>
    <w:basedOn w:val="a3"/>
    <w:next w:val="a3"/>
    <w:autoRedefine/>
    <w:uiPriority w:val="39"/>
    <w:unhideWhenUsed/>
    <w:rsid w:val="008E2E42"/>
    <w:pPr>
      <w:widowControl/>
      <w:spacing w:line="360" w:lineRule="auto"/>
      <w:ind w:left="1200"/>
    </w:pPr>
    <w:rPr>
      <w:rFonts w:asciiTheme="minorHAnsi" w:hAnsiTheme="minorHAnsi" w:cstheme="minorBidi"/>
      <w:color w:val="1F497D" w:themeColor="text2"/>
      <w:kern w:val="0"/>
      <w:sz w:val="18"/>
      <w:szCs w:val="18"/>
      <w:lang w:eastAsia="en-US" w:bidi="en-US"/>
    </w:rPr>
  </w:style>
  <w:style w:type="paragraph" w:styleId="73">
    <w:name w:val="toc 7"/>
    <w:basedOn w:val="a3"/>
    <w:next w:val="a3"/>
    <w:autoRedefine/>
    <w:uiPriority w:val="39"/>
    <w:unhideWhenUsed/>
    <w:rsid w:val="008E2E42"/>
    <w:pPr>
      <w:widowControl/>
      <w:spacing w:line="360" w:lineRule="auto"/>
      <w:ind w:left="1440"/>
    </w:pPr>
    <w:rPr>
      <w:rFonts w:asciiTheme="minorHAnsi" w:hAnsiTheme="minorHAnsi" w:cstheme="minorBidi"/>
      <w:color w:val="1F497D" w:themeColor="text2"/>
      <w:kern w:val="0"/>
      <w:sz w:val="18"/>
      <w:szCs w:val="18"/>
      <w:lang w:eastAsia="en-US" w:bidi="en-US"/>
    </w:rPr>
  </w:style>
  <w:style w:type="paragraph" w:styleId="82">
    <w:name w:val="toc 8"/>
    <w:basedOn w:val="a3"/>
    <w:next w:val="a3"/>
    <w:autoRedefine/>
    <w:uiPriority w:val="39"/>
    <w:unhideWhenUsed/>
    <w:rsid w:val="008E2E42"/>
    <w:pPr>
      <w:widowControl/>
      <w:spacing w:line="360" w:lineRule="auto"/>
      <w:ind w:left="1680"/>
    </w:pPr>
    <w:rPr>
      <w:rFonts w:asciiTheme="minorHAnsi" w:hAnsiTheme="minorHAnsi" w:cstheme="minorBidi"/>
      <w:color w:val="1F497D" w:themeColor="text2"/>
      <w:kern w:val="0"/>
      <w:sz w:val="18"/>
      <w:szCs w:val="18"/>
      <w:lang w:eastAsia="en-US" w:bidi="en-US"/>
    </w:rPr>
  </w:style>
  <w:style w:type="paragraph" w:styleId="91">
    <w:name w:val="toc 9"/>
    <w:basedOn w:val="a3"/>
    <w:next w:val="a3"/>
    <w:autoRedefine/>
    <w:uiPriority w:val="39"/>
    <w:unhideWhenUsed/>
    <w:rsid w:val="008E2E42"/>
    <w:pPr>
      <w:widowControl/>
      <w:spacing w:line="360" w:lineRule="auto"/>
      <w:ind w:left="1920"/>
    </w:pPr>
    <w:rPr>
      <w:rFonts w:asciiTheme="minorHAnsi" w:hAnsiTheme="minorHAnsi" w:cstheme="minorBidi"/>
      <w:color w:val="1F497D" w:themeColor="text2"/>
      <w:kern w:val="0"/>
      <w:sz w:val="18"/>
      <w:szCs w:val="18"/>
      <w:lang w:eastAsia="en-US" w:bidi="en-US"/>
    </w:rPr>
  </w:style>
  <w:style w:type="paragraph" w:customStyle="1" w:styleId="afff4">
    <w:name w:val="第四章譯文"/>
    <w:basedOn w:val="10"/>
    <w:link w:val="afff5"/>
    <w:qFormat/>
    <w:rsid w:val="008E2E42"/>
    <w:pPr>
      <w:numPr>
        <w:numId w:val="0"/>
      </w:numPr>
      <w:spacing w:after="0" w:afterAutospacing="0"/>
      <w:ind w:left="992" w:firstLineChars="200" w:firstLine="200"/>
    </w:pPr>
  </w:style>
  <w:style w:type="character" w:customStyle="1" w:styleId="afff5">
    <w:name w:val="第四章譯文 字元"/>
    <w:basedOn w:val="17"/>
    <w:link w:val="afff4"/>
    <w:rsid w:val="008E2E42"/>
    <w:rPr>
      <w:rFonts w:ascii="標楷體" w:eastAsia="標楷體" w:hAnsi="標楷體" w:cs="新細明體"/>
      <w:color w:val="000000" w:themeColor="text1"/>
      <w:sz w:val="24"/>
      <w:szCs w:val="24"/>
      <w:lang w:bidi="hi-IN"/>
    </w:rPr>
  </w:style>
  <w:style w:type="paragraph" w:styleId="afff6">
    <w:name w:val="endnote text"/>
    <w:basedOn w:val="a3"/>
    <w:link w:val="afff7"/>
    <w:unhideWhenUsed/>
    <w:rsid w:val="008E2E42"/>
    <w:pPr>
      <w:widowControl/>
      <w:snapToGrid w:val="0"/>
      <w:spacing w:line="360" w:lineRule="auto"/>
    </w:pPr>
    <w:rPr>
      <w:rFonts w:asciiTheme="minorHAnsi" w:hAnsiTheme="minorHAnsi" w:cstheme="minorBidi"/>
      <w:color w:val="1F497D" w:themeColor="text2"/>
      <w:kern w:val="0"/>
      <w:sz w:val="24"/>
      <w:szCs w:val="22"/>
      <w:lang w:eastAsia="en-US" w:bidi="en-US"/>
    </w:rPr>
  </w:style>
  <w:style w:type="character" w:customStyle="1" w:styleId="afff7">
    <w:name w:val="章節附註文字 字元"/>
    <w:basedOn w:val="a4"/>
    <w:link w:val="afff6"/>
    <w:rsid w:val="008E2E42"/>
    <w:rPr>
      <w:rFonts w:asciiTheme="minorHAnsi" w:eastAsia="標楷體" w:hAnsiTheme="minorHAnsi" w:cstheme="minorBidi"/>
      <w:color w:val="1F497D" w:themeColor="text2"/>
      <w:sz w:val="24"/>
      <w:szCs w:val="22"/>
      <w:lang w:eastAsia="en-US" w:bidi="en-US"/>
    </w:rPr>
  </w:style>
  <w:style w:type="character" w:styleId="afff8">
    <w:name w:val="endnote reference"/>
    <w:basedOn w:val="a4"/>
    <w:unhideWhenUsed/>
    <w:rsid w:val="008E2E42"/>
    <w:rPr>
      <w:vertAlign w:val="superscript"/>
    </w:rPr>
  </w:style>
  <w:style w:type="paragraph" w:customStyle="1" w:styleId="ilr">
    <w:name w:val="il_r"/>
    <w:basedOn w:val="a3"/>
    <w:rsid w:val="008E2E42"/>
    <w:pPr>
      <w:widowControl/>
      <w:spacing w:line="288" w:lineRule="auto"/>
    </w:pPr>
    <w:rPr>
      <w:rFonts w:ascii="新細明體" w:hAnsi="新細明體" w:cs="新細明體"/>
      <w:color w:val="228822"/>
      <w:kern w:val="0"/>
      <w:sz w:val="24"/>
      <w:szCs w:val="22"/>
      <w:lang w:bidi="bn-IN"/>
    </w:rPr>
  </w:style>
  <w:style w:type="character" w:styleId="HTML1">
    <w:name w:val="HTML Cite"/>
    <w:rsid w:val="008E2E42"/>
    <w:rPr>
      <w:b w:val="0"/>
      <w:bCs w:val="0"/>
      <w:i w:val="0"/>
      <w:iCs w:val="0"/>
    </w:rPr>
  </w:style>
  <w:style w:type="character" w:styleId="HTML2">
    <w:name w:val="HTML Code"/>
    <w:rsid w:val="008E2E42"/>
    <w:rPr>
      <w:rFonts w:ascii="細明體" w:eastAsia="細明體" w:hAnsi="細明體" w:cs="細明體"/>
      <w:sz w:val="24"/>
      <w:szCs w:val="24"/>
    </w:rPr>
  </w:style>
  <w:style w:type="character" w:styleId="HTML3">
    <w:name w:val="HTML Keyboard"/>
    <w:rsid w:val="008E2E42"/>
    <w:rPr>
      <w:rFonts w:ascii="細明體" w:eastAsia="細明體" w:hAnsi="細明體" w:cs="細明體"/>
      <w:sz w:val="24"/>
      <w:szCs w:val="24"/>
    </w:rPr>
  </w:style>
  <w:style w:type="paragraph" w:customStyle="1" w:styleId="posttags">
    <w:name w:val="posttags"/>
    <w:basedOn w:val="a3"/>
    <w:rsid w:val="008E2E42"/>
    <w:pPr>
      <w:widowControl/>
      <w:spacing w:before="480" w:after="120"/>
    </w:pPr>
    <w:rPr>
      <w:rFonts w:ascii="新細明體" w:hAnsi="新細明體" w:cs="新細明體"/>
      <w:kern w:val="0"/>
      <w:sz w:val="24"/>
      <w:szCs w:val="22"/>
      <w:lang w:bidi="bn-IN"/>
    </w:rPr>
  </w:style>
  <w:style w:type="paragraph" w:customStyle="1" w:styleId="imicons">
    <w:name w:val="imicons"/>
    <w:basedOn w:val="a3"/>
    <w:rsid w:val="008E2E42"/>
    <w:pPr>
      <w:widowControl/>
      <w:pBdr>
        <w:top w:val="single" w:sz="4" w:space="2" w:color="E8E8E8"/>
        <w:left w:val="single" w:sz="4" w:space="1" w:color="E8E8E8"/>
        <w:bottom w:val="single" w:sz="4" w:space="2" w:color="E8E8E8"/>
        <w:right w:val="single" w:sz="4" w:space="1" w:color="E8E8E8"/>
      </w:pBdr>
      <w:shd w:val="clear" w:color="auto" w:fill="FFFFFF"/>
      <w:spacing w:before="80" w:after="80"/>
      <w:jc w:val="center"/>
    </w:pPr>
    <w:rPr>
      <w:rFonts w:ascii="新細明體" w:hAnsi="新細明體" w:cs="新細明體"/>
      <w:kern w:val="0"/>
      <w:sz w:val="24"/>
      <w:szCs w:val="22"/>
      <w:lang w:bidi="bn-IN"/>
    </w:rPr>
  </w:style>
  <w:style w:type="paragraph" w:customStyle="1" w:styleId="customstatus">
    <w:name w:val="customstatu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radename">
    <w:name w:val="tradenam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zen1">
    <w:name w:val="zen1"/>
    <w:basedOn w:val="a3"/>
    <w:rsid w:val="008E2E42"/>
    <w:pPr>
      <w:widowControl/>
      <w:pBdr>
        <w:top w:val="single" w:sz="2" w:space="0" w:color="000000"/>
        <w:left w:val="single" w:sz="2" w:space="0" w:color="000000"/>
        <w:bottom w:val="single" w:sz="2" w:space="0" w:color="000000"/>
        <w:right w:val="single" w:sz="2" w:space="0" w:color="000000"/>
      </w:pBdr>
      <w:spacing w:before="100" w:beforeAutospacing="1" w:after="100" w:afterAutospacing="1"/>
      <w:jc w:val="center"/>
      <w:textAlignment w:val="bottom"/>
    </w:pPr>
    <w:rPr>
      <w:rFonts w:ascii="Calibri" w:hAnsi="Calibri" w:cs="新細明體"/>
      <w:color w:val="000000"/>
      <w:kern w:val="0"/>
      <w:sz w:val="19"/>
      <w:szCs w:val="19"/>
      <w:lang w:bidi="bn-IN"/>
    </w:rPr>
  </w:style>
  <w:style w:type="paragraph" w:customStyle="1" w:styleId="zen2">
    <w:name w:val="zen2"/>
    <w:basedOn w:val="a3"/>
    <w:rsid w:val="008E2E42"/>
    <w:pPr>
      <w:widowControl/>
      <w:pBdr>
        <w:top w:val="single" w:sz="2" w:space="0" w:color="000000"/>
        <w:left w:val="single" w:sz="2" w:space="0" w:color="000000"/>
        <w:bottom w:val="single" w:sz="2" w:space="0" w:color="000000"/>
        <w:right w:val="single" w:sz="2" w:space="0" w:color="000000"/>
      </w:pBdr>
      <w:spacing w:before="100" w:beforeAutospacing="1" w:after="100" w:afterAutospacing="1"/>
      <w:jc w:val="center"/>
      <w:textAlignment w:val="bottom"/>
    </w:pPr>
    <w:rPr>
      <w:rFonts w:ascii="Calibri" w:hAnsi="Calibri" w:cs="新細明體"/>
      <w:color w:val="000000"/>
      <w:kern w:val="0"/>
      <w:sz w:val="19"/>
      <w:szCs w:val="19"/>
      <w:lang w:bidi="bn-IN"/>
    </w:rPr>
  </w:style>
  <w:style w:type="paragraph" w:customStyle="1" w:styleId="wrap">
    <w:name w:val="wrap"/>
    <w:basedOn w:val="a3"/>
    <w:rsid w:val="008E2E42"/>
    <w:pPr>
      <w:widowControl/>
    </w:pPr>
    <w:rPr>
      <w:rFonts w:ascii="新細明體" w:hAnsi="新細明體" w:cs="新細明體"/>
      <w:kern w:val="0"/>
      <w:sz w:val="24"/>
      <w:szCs w:val="22"/>
      <w:lang w:bidi="bn-IN"/>
    </w:rPr>
  </w:style>
  <w:style w:type="paragraph" w:customStyle="1" w:styleId="notice">
    <w:name w:val="notice"/>
    <w:basedOn w:val="a3"/>
    <w:rsid w:val="008E2E42"/>
    <w:pPr>
      <w:widowControl/>
      <w:pBdr>
        <w:top w:val="single" w:sz="4" w:space="6" w:color="EDEDCE"/>
        <w:left w:val="single" w:sz="4" w:space="31" w:color="EDEDCE"/>
        <w:bottom w:val="single" w:sz="4" w:space="4" w:color="EDEDCE"/>
        <w:right w:val="single" w:sz="4" w:space="12" w:color="EDEDCE"/>
      </w:pBdr>
      <w:shd w:val="clear" w:color="auto" w:fill="FFFFF2"/>
      <w:spacing w:before="100" w:beforeAutospacing="1" w:after="100"/>
    </w:pPr>
    <w:rPr>
      <w:rFonts w:ascii="新細明體" w:hAnsi="新細明體" w:cs="新細明體"/>
      <w:color w:val="009900"/>
      <w:kern w:val="0"/>
      <w:sz w:val="24"/>
      <w:szCs w:val="22"/>
      <w:lang w:bidi="bn-IN"/>
    </w:rPr>
  </w:style>
  <w:style w:type="paragraph" w:customStyle="1" w:styleId="frameswitch">
    <w:name w:val="frameswitch"/>
    <w:basedOn w:val="a3"/>
    <w:rsid w:val="008E2E42"/>
    <w:pPr>
      <w:widowControl/>
      <w:pBdr>
        <w:left w:val="single" w:sz="4" w:space="5" w:color="FFFFFF"/>
      </w:pBdr>
      <w:spacing w:before="100" w:beforeAutospacing="1" w:after="100" w:afterAutospacing="1" w:line="300" w:lineRule="atLeast"/>
    </w:pPr>
    <w:rPr>
      <w:rFonts w:ascii="新細明體" w:hAnsi="新細明體" w:cs="新細明體"/>
      <w:kern w:val="0"/>
      <w:sz w:val="24"/>
      <w:szCs w:val="22"/>
      <w:lang w:bidi="bn-IN"/>
    </w:rPr>
  </w:style>
  <w:style w:type="paragraph" w:customStyle="1" w:styleId="portalbox">
    <w:name w:val="portalbox"/>
    <w:basedOn w:val="a3"/>
    <w:rsid w:val="008E2E42"/>
    <w:pPr>
      <w:widowControl/>
      <w:shd w:val="clear" w:color="auto" w:fill="CAD9EA"/>
      <w:spacing w:before="100" w:beforeAutospacing="1" w:after="100"/>
    </w:pPr>
    <w:rPr>
      <w:rFonts w:ascii="新細明體" w:hAnsi="新細明體" w:cs="新細明體"/>
      <w:kern w:val="0"/>
      <w:sz w:val="24"/>
      <w:szCs w:val="22"/>
      <w:lang w:bidi="bn-IN"/>
    </w:rPr>
  </w:style>
  <w:style w:type="paragraph" w:customStyle="1" w:styleId="headactions">
    <w:name w:val="headactions"/>
    <w:basedOn w:val="a3"/>
    <w:rsid w:val="008E2E42"/>
    <w:pPr>
      <w:widowControl/>
      <w:spacing w:before="100" w:beforeAutospacing="1" w:after="100" w:afterAutospacing="1" w:line="240" w:lineRule="atLeast"/>
    </w:pPr>
    <w:rPr>
      <w:rFonts w:ascii="新細明體" w:hAnsi="新細明體" w:cs="新細明體"/>
      <w:kern w:val="0"/>
      <w:sz w:val="24"/>
      <w:szCs w:val="22"/>
      <w:lang w:bidi="bn-IN"/>
    </w:rPr>
  </w:style>
  <w:style w:type="paragraph" w:customStyle="1" w:styleId="pagesbtns">
    <w:name w:val="pages_btn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btn">
    <w:name w:val="postbtn"/>
    <w:basedOn w:val="a3"/>
    <w:rsid w:val="008E2E42"/>
    <w:pPr>
      <w:widowControl/>
      <w:spacing w:before="100" w:beforeAutospacing="1" w:after="100" w:afterAutospacing="1"/>
      <w:ind w:left="100"/>
    </w:pPr>
    <w:rPr>
      <w:rFonts w:ascii="新細明體" w:hAnsi="新細明體" w:cs="新細明體"/>
      <w:kern w:val="0"/>
      <w:sz w:val="24"/>
      <w:szCs w:val="22"/>
      <w:lang w:bidi="bn-IN"/>
    </w:rPr>
  </w:style>
  <w:style w:type="paragraph" w:customStyle="1" w:styleId="pages">
    <w:name w:val="pages"/>
    <w:basedOn w:val="a3"/>
    <w:rsid w:val="008E2E42"/>
    <w:pPr>
      <w:widowControl/>
      <w:pBdr>
        <w:top w:val="single" w:sz="4" w:space="0" w:color="CAD9EA"/>
        <w:left w:val="single" w:sz="4" w:space="0" w:color="CAD9EA"/>
        <w:bottom w:val="single" w:sz="4" w:space="0" w:color="CAD9EA"/>
        <w:right w:val="single" w:sz="4" w:space="0" w:color="CAD9EA"/>
      </w:pBdr>
      <w:shd w:val="clear" w:color="auto" w:fill="F7F7F7"/>
      <w:spacing w:before="100" w:beforeAutospacing="1" w:after="100" w:afterAutospacing="1" w:line="260" w:lineRule="atLeast"/>
    </w:pPr>
    <w:rPr>
      <w:rFonts w:ascii="新細明體" w:hAnsi="新細明體" w:cs="新細明體"/>
      <w:color w:val="999999"/>
      <w:kern w:val="0"/>
      <w:sz w:val="24"/>
      <w:szCs w:val="22"/>
      <w:lang w:bidi="bn-IN"/>
    </w:rPr>
  </w:style>
  <w:style w:type="paragraph" w:customStyle="1" w:styleId="threadflow">
    <w:name w:val="threadflow"/>
    <w:basedOn w:val="a3"/>
    <w:rsid w:val="008E2E42"/>
    <w:pPr>
      <w:widowControl/>
      <w:pBdr>
        <w:top w:val="single" w:sz="4" w:space="0" w:color="CAD9EA"/>
        <w:left w:val="single" w:sz="4" w:space="0" w:color="CAD9EA"/>
        <w:bottom w:val="single" w:sz="4" w:space="0" w:color="CAD9EA"/>
        <w:right w:val="single" w:sz="4" w:space="0" w:color="CAD9EA"/>
      </w:pBdr>
      <w:shd w:val="clear" w:color="auto" w:fill="F7F7F7"/>
      <w:spacing w:before="100" w:beforeAutospacing="1" w:after="100" w:afterAutospacing="1" w:line="260" w:lineRule="atLeast"/>
      <w:ind w:right="50"/>
    </w:pPr>
    <w:rPr>
      <w:rFonts w:ascii="新細明體" w:hAnsi="新細明體" w:cs="新細明體"/>
      <w:color w:val="999999"/>
      <w:kern w:val="0"/>
      <w:sz w:val="24"/>
      <w:szCs w:val="22"/>
      <w:lang w:bidi="bn-IN"/>
    </w:rPr>
  </w:style>
  <w:style w:type="paragraph" w:customStyle="1" w:styleId="tabs">
    <w:name w:val="tabs"/>
    <w:basedOn w:val="a3"/>
    <w:rsid w:val="008E2E42"/>
    <w:pPr>
      <w:widowControl/>
      <w:pBdr>
        <w:top w:val="single" w:sz="4" w:space="0" w:color="FFFFFF"/>
        <w:bottom w:val="single" w:sz="4" w:space="13" w:color="CAD9EA"/>
      </w:pBdr>
      <w:shd w:val="clear" w:color="auto" w:fill="E8F3FD"/>
      <w:spacing w:before="100" w:beforeAutospacing="1" w:after="150"/>
    </w:pPr>
    <w:rPr>
      <w:rFonts w:ascii="新細明體" w:hAnsi="新細明體" w:cs="新細明體"/>
      <w:kern w:val="0"/>
      <w:sz w:val="24"/>
      <w:szCs w:val="22"/>
      <w:lang w:bidi="bn-IN"/>
    </w:rPr>
  </w:style>
  <w:style w:type="paragraph" w:customStyle="1" w:styleId="headertabs">
    <w:name w:val="headertabs"/>
    <w:basedOn w:val="a3"/>
    <w:rsid w:val="008E2E42"/>
    <w:pPr>
      <w:widowControl/>
      <w:shd w:val="clear" w:color="auto" w:fill="FFFFFF"/>
      <w:spacing w:before="100" w:beforeAutospacing="1"/>
    </w:pPr>
    <w:rPr>
      <w:rFonts w:ascii="新細明體" w:hAnsi="新細明體" w:cs="新細明體"/>
      <w:kern w:val="0"/>
      <w:sz w:val="24"/>
      <w:szCs w:val="22"/>
      <w:lang w:bidi="bn-IN"/>
    </w:rPr>
  </w:style>
  <w:style w:type="paragraph" w:customStyle="1" w:styleId="legend">
    <w:name w:val="legend"/>
    <w:basedOn w:val="a3"/>
    <w:rsid w:val="008E2E42"/>
    <w:pPr>
      <w:widowControl/>
      <w:pBdr>
        <w:top w:val="single" w:sz="4" w:space="5" w:color="CAD9EA"/>
        <w:left w:val="single" w:sz="4" w:space="5" w:color="CAD9EA"/>
        <w:bottom w:val="single" w:sz="4" w:space="5" w:color="CAD9EA"/>
        <w:right w:val="single" w:sz="4" w:space="5" w:color="CAD9EA"/>
      </w:pBdr>
      <w:shd w:val="clear" w:color="auto" w:fill="F5FAFE"/>
      <w:spacing w:before="100" w:after="100" w:line="350" w:lineRule="atLeast"/>
      <w:jc w:val="center"/>
    </w:pPr>
    <w:rPr>
      <w:rFonts w:ascii="新細明體" w:hAnsi="新細明體" w:cs="新細明體"/>
      <w:kern w:val="0"/>
      <w:sz w:val="24"/>
      <w:szCs w:val="22"/>
      <w:lang w:bidi="bn-IN"/>
    </w:rPr>
  </w:style>
  <w:style w:type="paragraph" w:customStyle="1" w:styleId="avatarlist">
    <w:name w:val="avatarli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aglist">
    <w:name w:val="tagli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userlist">
    <w:name w:val="userli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recommendrules">
    <w:name w:val="recommendrule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bsmiddle">
    <w:name w:val="absmiddle"/>
    <w:basedOn w:val="a3"/>
    <w:rsid w:val="008E2E42"/>
    <w:pPr>
      <w:widowControl/>
      <w:spacing w:before="100" w:beforeAutospacing="1" w:after="100" w:afterAutospacing="1"/>
      <w:textAlignment w:val="center"/>
    </w:pPr>
    <w:rPr>
      <w:rFonts w:ascii="新細明體" w:hAnsi="新細明體" w:cs="新細明體"/>
      <w:kern w:val="0"/>
      <w:sz w:val="24"/>
      <w:szCs w:val="22"/>
      <w:lang w:bidi="bn-IN"/>
    </w:rPr>
  </w:style>
  <w:style w:type="paragraph" w:customStyle="1" w:styleId="mainbox">
    <w:name w:val="mainbox"/>
    <w:basedOn w:val="a3"/>
    <w:rsid w:val="008E2E42"/>
    <w:pPr>
      <w:widowControl/>
      <w:pBdr>
        <w:top w:val="single" w:sz="4" w:space="1" w:color="9DB3C5"/>
        <w:left w:val="single" w:sz="4" w:space="1" w:color="9DB3C5"/>
        <w:bottom w:val="single" w:sz="4" w:space="1" w:color="9DB3C5"/>
        <w:right w:val="single" w:sz="4" w:space="1" w:color="9DB3C5"/>
      </w:pBdr>
      <w:shd w:val="clear" w:color="auto" w:fill="FFFFFF"/>
      <w:spacing w:before="100" w:beforeAutospacing="1" w:after="100"/>
    </w:pPr>
    <w:rPr>
      <w:rFonts w:ascii="新細明體" w:hAnsi="新細明體" w:cs="新細明體"/>
      <w:kern w:val="0"/>
      <w:sz w:val="24"/>
      <w:szCs w:val="22"/>
      <w:lang w:bidi="bn-IN"/>
    </w:rPr>
  </w:style>
  <w:style w:type="paragraph" w:customStyle="1" w:styleId="footoperation">
    <w:name w:val="footoperation"/>
    <w:basedOn w:val="a3"/>
    <w:rsid w:val="008E2E42"/>
    <w:pPr>
      <w:widowControl/>
      <w:pBdr>
        <w:top w:val="single" w:sz="4" w:space="3" w:color="CAD9EA"/>
      </w:pBdr>
      <w:shd w:val="clear" w:color="auto" w:fill="E8F3FD"/>
      <w:spacing w:before="100" w:beforeAutospacing="1" w:after="100" w:afterAutospacing="1"/>
    </w:pPr>
    <w:rPr>
      <w:rFonts w:ascii="新細明體" w:hAnsi="新細明體" w:cs="新細明體"/>
      <w:kern w:val="0"/>
      <w:sz w:val="24"/>
      <w:szCs w:val="22"/>
      <w:lang w:bidi="bn-IN"/>
    </w:rPr>
  </w:style>
  <w:style w:type="paragraph" w:customStyle="1" w:styleId="footoperationbutton">
    <w:name w:val="footoperation&gt;button"/>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hreadpages">
    <w:name w:val="threadpages"/>
    <w:basedOn w:val="a3"/>
    <w:rsid w:val="008E2E42"/>
    <w:pPr>
      <w:widowControl/>
      <w:spacing w:before="100" w:beforeAutospacing="1" w:after="100" w:afterAutospacing="1"/>
      <w:ind w:left="50"/>
    </w:pPr>
    <w:rPr>
      <w:rFonts w:ascii="新細明體" w:hAnsi="新細明體" w:cs="新細明體"/>
      <w:kern w:val="0"/>
      <w:sz w:val="11"/>
      <w:szCs w:val="11"/>
      <w:lang w:bidi="bn-IN"/>
    </w:rPr>
  </w:style>
  <w:style w:type="paragraph" w:customStyle="1" w:styleId="viewthread">
    <w:name w:val="viewthrea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info">
    <w:name w:val="postinfo"/>
    <w:basedOn w:val="a3"/>
    <w:rsid w:val="008E2E42"/>
    <w:pPr>
      <w:widowControl/>
      <w:pBdr>
        <w:bottom w:val="single" w:sz="4" w:space="0" w:color="CAD9EA"/>
      </w:pBdr>
      <w:spacing w:before="100" w:beforeAutospacing="1" w:after="100" w:afterAutospacing="1" w:line="260" w:lineRule="atLeast"/>
    </w:pPr>
    <w:rPr>
      <w:rFonts w:ascii="新細明體" w:hAnsi="新細明體" w:cs="新細明體"/>
      <w:color w:val="666666"/>
      <w:kern w:val="0"/>
      <w:sz w:val="24"/>
      <w:szCs w:val="22"/>
      <w:lang w:bidi="bn-IN"/>
    </w:rPr>
  </w:style>
  <w:style w:type="paragraph" w:customStyle="1" w:styleId="postmessage">
    <w:name w:val="postmessag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defaultpost">
    <w:name w:val="defaultpos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msgfont">
    <w:name w:val="t_msgfont"/>
    <w:basedOn w:val="a3"/>
    <w:rsid w:val="008E2E42"/>
    <w:pPr>
      <w:widowControl/>
      <w:spacing w:before="100" w:beforeAutospacing="1" w:after="100" w:afterAutospacing="1" w:line="384" w:lineRule="atLeast"/>
    </w:pPr>
    <w:rPr>
      <w:rFonts w:ascii="新細明體" w:hAnsi="新細明體" w:cs="新細明體"/>
      <w:kern w:val="0"/>
      <w:sz w:val="24"/>
      <w:szCs w:val="22"/>
      <w:lang w:bidi="bn-IN"/>
    </w:rPr>
  </w:style>
  <w:style w:type="paragraph" w:customStyle="1" w:styleId="tsmallfont">
    <w:name w:val="t_smallfont"/>
    <w:basedOn w:val="a3"/>
    <w:rsid w:val="008E2E42"/>
    <w:pPr>
      <w:widowControl/>
      <w:spacing w:before="100" w:beforeAutospacing="1" w:after="100" w:afterAutospacing="1" w:line="384" w:lineRule="atLeast"/>
    </w:pPr>
    <w:rPr>
      <w:rFonts w:ascii="新細明體" w:hAnsi="新細明體" w:cs="新細明體"/>
      <w:kern w:val="0"/>
      <w:sz w:val="22"/>
      <w:szCs w:val="22"/>
      <w:lang w:bidi="bn-IN"/>
    </w:rPr>
  </w:style>
  <w:style w:type="paragraph" w:customStyle="1" w:styleId="tbigfont">
    <w:name w:val="t_bigfont"/>
    <w:basedOn w:val="a3"/>
    <w:rsid w:val="008E2E42"/>
    <w:pPr>
      <w:widowControl/>
      <w:spacing w:before="100" w:beforeAutospacing="1" w:after="100" w:afterAutospacing="1" w:line="384" w:lineRule="atLeast"/>
    </w:pPr>
    <w:rPr>
      <w:rFonts w:ascii="新細明體" w:hAnsi="新細明體" w:cs="新細明體"/>
      <w:kern w:val="0"/>
      <w:lang w:bidi="bn-IN"/>
    </w:rPr>
  </w:style>
  <w:style w:type="paragraph" w:customStyle="1" w:styleId="signatures">
    <w:name w:val="signatures"/>
    <w:basedOn w:val="a3"/>
    <w:rsid w:val="008E2E42"/>
    <w:pPr>
      <w:widowControl/>
      <w:spacing w:before="100" w:after="100" w:line="384" w:lineRule="atLeast"/>
      <w:ind w:left="100" w:right="100"/>
    </w:pPr>
    <w:rPr>
      <w:rFonts w:ascii="新細明體" w:hAnsi="新細明體" w:cs="新細明體"/>
      <w:color w:val="666666"/>
      <w:kern w:val="0"/>
      <w:sz w:val="24"/>
      <w:szCs w:val="22"/>
      <w:lang w:bidi="bn-IN"/>
    </w:rPr>
  </w:style>
  <w:style w:type="paragraph" w:customStyle="1" w:styleId="postactions">
    <w:name w:val="postactions"/>
    <w:basedOn w:val="a3"/>
    <w:rsid w:val="008E2E42"/>
    <w:pPr>
      <w:widowControl/>
      <w:pBdr>
        <w:top w:val="single" w:sz="4" w:space="0" w:color="E8E8E8"/>
      </w:pBdr>
      <w:shd w:val="clear" w:color="auto" w:fill="F7F7F7"/>
      <w:spacing w:before="100" w:beforeAutospacing="1" w:after="100" w:afterAutospacing="1" w:line="300" w:lineRule="atLeast"/>
    </w:pPr>
    <w:rPr>
      <w:rFonts w:ascii="新細明體" w:hAnsi="新細明體" w:cs="新細明體"/>
      <w:kern w:val="0"/>
      <w:sz w:val="24"/>
      <w:szCs w:val="22"/>
      <w:lang w:bidi="bn-IN"/>
    </w:rPr>
  </w:style>
  <w:style w:type="paragraph" w:customStyle="1" w:styleId="postattach">
    <w:name w:val="postattach"/>
    <w:basedOn w:val="a3"/>
    <w:rsid w:val="008E2E42"/>
    <w:pPr>
      <w:widowControl/>
      <w:spacing w:before="100" w:after="100"/>
    </w:pPr>
    <w:rPr>
      <w:rFonts w:ascii="新細明體" w:hAnsi="新細明體" w:cs="新細明體"/>
      <w:kern w:val="0"/>
      <w:sz w:val="24"/>
      <w:szCs w:val="22"/>
      <w:lang w:bidi="bn-IN"/>
    </w:rPr>
  </w:style>
  <w:style w:type="paragraph" w:customStyle="1" w:styleId="postattachlist">
    <w:name w:val="postattachlist"/>
    <w:basedOn w:val="a3"/>
    <w:rsid w:val="008E2E42"/>
    <w:pPr>
      <w:widowControl/>
      <w:spacing w:before="480" w:after="100" w:afterAutospacing="1"/>
    </w:pPr>
    <w:rPr>
      <w:rFonts w:ascii="新細明體" w:hAnsi="新細明體" w:cs="新細明體"/>
      <w:kern w:val="0"/>
      <w:sz w:val="12"/>
      <w:szCs w:val="12"/>
      <w:lang w:bidi="bn-IN"/>
    </w:rPr>
  </w:style>
  <w:style w:type="paragraph" w:customStyle="1" w:styleId="tattach">
    <w:name w:val="t_attach"/>
    <w:basedOn w:val="a3"/>
    <w:rsid w:val="008E2E42"/>
    <w:pPr>
      <w:widowControl/>
      <w:pBdr>
        <w:top w:val="single" w:sz="4" w:space="3" w:color="E8E8E8"/>
        <w:left w:val="single" w:sz="4" w:space="3" w:color="E8E8E8"/>
        <w:bottom w:val="single" w:sz="4" w:space="3" w:color="E8E8E8"/>
        <w:right w:val="single" w:sz="4" w:space="3" w:color="E8E8E8"/>
      </w:pBdr>
      <w:shd w:val="clear" w:color="auto" w:fill="FFFFFF"/>
      <w:spacing w:before="100" w:beforeAutospacing="1" w:after="100" w:afterAutospacing="1"/>
    </w:pPr>
    <w:rPr>
      <w:rFonts w:ascii="新細明體" w:hAnsi="新細明體" w:cs="新細明體"/>
      <w:kern w:val="0"/>
      <w:sz w:val="12"/>
      <w:szCs w:val="12"/>
      <w:lang w:bidi="bn-IN"/>
    </w:rPr>
  </w:style>
  <w:style w:type="paragraph" w:customStyle="1" w:styleId="tattachlist">
    <w:name w:val="t_attachlist"/>
    <w:basedOn w:val="a3"/>
    <w:rsid w:val="008E2E42"/>
    <w:pPr>
      <w:widowControl/>
      <w:pBdr>
        <w:bottom w:val="dashed" w:sz="4" w:space="3" w:color="E8E8E8"/>
      </w:pBdr>
      <w:spacing w:before="100" w:beforeAutospacing="1" w:after="100" w:afterAutospacing="1"/>
    </w:pPr>
    <w:rPr>
      <w:rFonts w:ascii="新細明體" w:hAnsi="新細明體" w:cs="新細明體"/>
      <w:kern w:val="0"/>
      <w:sz w:val="24"/>
      <w:szCs w:val="22"/>
      <w:lang w:bidi="bn-IN"/>
    </w:rPr>
  </w:style>
  <w:style w:type="paragraph" w:customStyle="1" w:styleId="tattachinsert">
    <w:name w:val="t_attachinsert"/>
    <w:basedOn w:val="a3"/>
    <w:rsid w:val="008E2E42"/>
    <w:pPr>
      <w:widowControl/>
      <w:spacing w:before="240" w:after="240"/>
    </w:pPr>
    <w:rPr>
      <w:rFonts w:ascii="新細明體" w:hAnsi="新細明體" w:cs="新細明體"/>
      <w:kern w:val="0"/>
      <w:sz w:val="12"/>
      <w:szCs w:val="12"/>
      <w:lang w:bidi="bn-IN"/>
    </w:rPr>
  </w:style>
  <w:style w:type="paragraph" w:customStyle="1" w:styleId="ttable">
    <w:name w:val="t_table"/>
    <w:basedOn w:val="a3"/>
    <w:rsid w:val="008E2E42"/>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blockcode">
    <w:name w:val="blockcode"/>
    <w:basedOn w:val="a3"/>
    <w:rsid w:val="008E2E42"/>
    <w:pPr>
      <w:widowControl/>
      <w:pBdr>
        <w:top w:val="single" w:sz="18" w:space="0" w:color="CAD9EA"/>
        <w:left w:val="single" w:sz="4" w:space="0" w:color="CAD9EA"/>
        <w:bottom w:val="single" w:sz="4" w:space="0" w:color="CAD9EA"/>
        <w:right w:val="single" w:sz="4" w:space="0" w:color="CAD9EA"/>
      </w:pBdr>
      <w:shd w:val="clear" w:color="auto" w:fill="FFFFFF"/>
      <w:spacing w:before="100" w:after="100"/>
      <w:ind w:left="200" w:right="200"/>
    </w:pPr>
    <w:rPr>
      <w:rFonts w:ascii="新細明體" w:hAnsi="新細明體" w:cs="新細明體"/>
      <w:kern w:val="0"/>
      <w:sz w:val="12"/>
      <w:szCs w:val="12"/>
      <w:lang w:bidi="bn-IN"/>
    </w:rPr>
  </w:style>
  <w:style w:type="paragraph" w:customStyle="1" w:styleId="18">
    <w:name w:val="引文1"/>
    <w:basedOn w:val="a3"/>
    <w:rsid w:val="008E2E42"/>
    <w:pPr>
      <w:widowControl/>
      <w:pBdr>
        <w:top w:val="single" w:sz="18" w:space="0" w:color="CAD9EA"/>
        <w:left w:val="single" w:sz="4" w:space="0" w:color="CAD9EA"/>
        <w:bottom w:val="single" w:sz="4" w:space="0" w:color="CAD9EA"/>
        <w:right w:val="single" w:sz="4" w:space="0" w:color="CAD9EA"/>
      </w:pBdr>
      <w:shd w:val="clear" w:color="auto" w:fill="FFFFFF"/>
      <w:spacing w:before="100" w:after="100"/>
      <w:ind w:left="200" w:right="200"/>
    </w:pPr>
    <w:rPr>
      <w:rFonts w:ascii="新細明體" w:hAnsi="新細明體" w:cs="新細明體"/>
      <w:kern w:val="0"/>
      <w:sz w:val="12"/>
      <w:szCs w:val="12"/>
      <w:lang w:bidi="bn-IN"/>
    </w:rPr>
  </w:style>
  <w:style w:type="paragraph" w:customStyle="1" w:styleId="box">
    <w:name w:val="box"/>
    <w:basedOn w:val="a3"/>
    <w:rsid w:val="008E2E42"/>
    <w:pPr>
      <w:widowControl/>
      <w:pBdr>
        <w:top w:val="single" w:sz="4" w:space="1" w:color="CAD9EA"/>
        <w:left w:val="single" w:sz="4" w:space="1" w:color="CAD9EA"/>
        <w:bottom w:val="single" w:sz="4" w:space="1" w:color="CAD9EA"/>
        <w:right w:val="single" w:sz="4" w:space="1" w:color="CAD9EA"/>
      </w:pBdr>
      <w:shd w:val="clear" w:color="auto" w:fill="FFFFFF"/>
      <w:spacing w:before="100" w:beforeAutospacing="1" w:after="100"/>
    </w:pPr>
    <w:rPr>
      <w:rFonts w:ascii="新細明體" w:hAnsi="新細明體" w:cs="新細明體"/>
      <w:kern w:val="0"/>
      <w:sz w:val="24"/>
      <w:szCs w:val="22"/>
      <w:lang w:bidi="bn-IN"/>
    </w:rPr>
  </w:style>
  <w:style w:type="paragraph" w:customStyle="1" w:styleId="specialpostcontainer">
    <w:name w:val="specialpostcontaine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pecialpost">
    <w:name w:val="specialpost"/>
    <w:basedOn w:val="a3"/>
    <w:rsid w:val="008E2E42"/>
    <w:pPr>
      <w:widowControl/>
      <w:pBdr>
        <w:bottom w:val="single" w:sz="18" w:space="0" w:color="F5FAFE"/>
      </w:pBdr>
      <w:spacing w:before="100" w:beforeAutospacing="1" w:after="100" w:afterAutospacing="1"/>
      <w:jc w:val="right"/>
    </w:pPr>
    <w:rPr>
      <w:rFonts w:ascii="新細明體" w:hAnsi="新細明體" w:cs="新細明體"/>
      <w:kern w:val="0"/>
      <w:sz w:val="24"/>
      <w:szCs w:val="22"/>
      <w:lang w:bidi="bn-IN"/>
    </w:rPr>
  </w:style>
  <w:style w:type="paragraph" w:customStyle="1" w:styleId="pollpanel">
    <w:name w:val="pollpanel"/>
    <w:basedOn w:val="a3"/>
    <w:rsid w:val="008E2E42"/>
    <w:pPr>
      <w:widowControl/>
      <w:spacing w:before="240" w:after="240"/>
    </w:pPr>
    <w:rPr>
      <w:rFonts w:ascii="新細明體" w:hAnsi="新細明體" w:cs="新細明體"/>
      <w:kern w:val="0"/>
      <w:sz w:val="24"/>
      <w:szCs w:val="22"/>
      <w:lang w:bidi="bn-IN"/>
    </w:rPr>
  </w:style>
  <w:style w:type="paragraph" w:customStyle="1" w:styleId="optionbar">
    <w:name w:val="optionbar"/>
    <w:basedOn w:val="a3"/>
    <w:rsid w:val="008E2E42"/>
    <w:pPr>
      <w:widowControl/>
      <w:pBdr>
        <w:top w:val="single" w:sz="4" w:space="0" w:color="CAD9EA"/>
        <w:left w:val="single" w:sz="4" w:space="0" w:color="CAD9EA"/>
        <w:bottom w:val="single" w:sz="4" w:space="0" w:color="CAD9EA"/>
        <w:right w:val="single" w:sz="4" w:space="0" w:color="CAD9EA"/>
      </w:pBdr>
      <w:shd w:val="clear" w:color="auto" w:fill="2F589C"/>
      <w:spacing w:before="100" w:beforeAutospacing="1" w:after="100" w:afterAutospacing="1"/>
      <w:ind w:right="120"/>
    </w:pPr>
    <w:rPr>
      <w:rFonts w:ascii="新細明體" w:hAnsi="新細明體" w:cs="新細明體"/>
      <w:kern w:val="0"/>
      <w:sz w:val="24"/>
      <w:szCs w:val="22"/>
      <w:lang w:bidi="bn-IN"/>
    </w:rPr>
  </w:style>
  <w:style w:type="paragraph" w:customStyle="1" w:styleId="tradethumb">
    <w:name w:val="tradethumb"/>
    <w:basedOn w:val="a3"/>
    <w:rsid w:val="008E2E42"/>
    <w:pPr>
      <w:widowControl/>
      <w:spacing w:before="100" w:beforeAutospacing="1" w:after="100" w:afterAutospacing="1"/>
      <w:jc w:val="center"/>
    </w:pPr>
    <w:rPr>
      <w:rFonts w:ascii="新細明體" w:hAnsi="新細明體" w:cs="新細明體"/>
      <w:kern w:val="0"/>
      <w:sz w:val="24"/>
      <w:szCs w:val="22"/>
      <w:lang w:bidi="bn-IN"/>
    </w:rPr>
  </w:style>
  <w:style w:type="paragraph" w:customStyle="1" w:styleId="tradeattribute">
    <w:name w:val="tradeattribut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ellerinfo">
    <w:name w:val="sellerinfo"/>
    <w:basedOn w:val="a3"/>
    <w:rsid w:val="008E2E42"/>
    <w:pPr>
      <w:widowControl/>
      <w:spacing w:before="100" w:beforeAutospacing="1" w:after="100" w:afterAutospacing="1"/>
      <w:ind w:right="240"/>
    </w:pPr>
    <w:rPr>
      <w:rFonts w:ascii="新細明體" w:hAnsi="新細明體" w:cs="新細明體"/>
      <w:kern w:val="0"/>
      <w:sz w:val="24"/>
      <w:szCs w:val="22"/>
      <w:lang w:bidi="bn-IN"/>
    </w:rPr>
  </w:style>
  <w:style w:type="paragraph" w:customStyle="1" w:styleId="poststand0">
    <w:name w:val="poststand0"/>
    <w:basedOn w:val="a3"/>
    <w:rsid w:val="008E2E42"/>
    <w:pPr>
      <w:widowControl/>
      <w:pBdr>
        <w:top w:val="single" w:sz="4" w:space="0" w:color="E8E8E8"/>
        <w:left w:val="single" w:sz="4" w:space="0" w:color="E8E8E8"/>
        <w:bottom w:val="single" w:sz="4" w:space="0" w:color="E8E8E8"/>
        <w:right w:val="single" w:sz="4" w:space="0" w:color="E8E8E8"/>
      </w:pBdr>
      <w:shd w:val="clear" w:color="auto" w:fill="F7F7F7"/>
      <w:spacing w:before="100" w:beforeAutospacing="1" w:after="100" w:afterAutospacing="1" w:line="220" w:lineRule="atLeast"/>
      <w:ind w:right="120"/>
      <w:jc w:val="center"/>
    </w:pPr>
    <w:rPr>
      <w:rFonts w:ascii="新細明體" w:hAnsi="新細明體" w:cs="新細明體"/>
      <w:color w:val="999999"/>
      <w:kern w:val="0"/>
      <w:sz w:val="28"/>
      <w:szCs w:val="28"/>
      <w:lang w:bidi="bn-IN"/>
    </w:rPr>
  </w:style>
  <w:style w:type="paragraph" w:customStyle="1" w:styleId="poststand1">
    <w:name w:val="poststand1"/>
    <w:basedOn w:val="a3"/>
    <w:rsid w:val="008E2E42"/>
    <w:pPr>
      <w:widowControl/>
      <w:pBdr>
        <w:top w:val="single" w:sz="4" w:space="0" w:color="EDEDCE"/>
        <w:left w:val="single" w:sz="4" w:space="0" w:color="EDEDCE"/>
        <w:bottom w:val="single" w:sz="4" w:space="0" w:color="EDEDCE"/>
        <w:right w:val="single" w:sz="4" w:space="0" w:color="EDEDCE"/>
      </w:pBdr>
      <w:shd w:val="clear" w:color="auto" w:fill="FFFFF2"/>
      <w:spacing w:before="100" w:beforeAutospacing="1" w:after="100" w:afterAutospacing="1" w:line="220" w:lineRule="atLeast"/>
      <w:ind w:right="120"/>
      <w:jc w:val="center"/>
    </w:pPr>
    <w:rPr>
      <w:rFonts w:ascii="新細明體" w:hAnsi="新細明體" w:cs="新細明體"/>
      <w:color w:val="009900"/>
      <w:kern w:val="0"/>
      <w:sz w:val="28"/>
      <w:szCs w:val="28"/>
      <w:lang w:bidi="bn-IN"/>
    </w:rPr>
  </w:style>
  <w:style w:type="paragraph" w:customStyle="1" w:styleId="poststand2">
    <w:name w:val="poststand2"/>
    <w:basedOn w:val="a3"/>
    <w:rsid w:val="008E2E42"/>
    <w:pPr>
      <w:widowControl/>
      <w:pBdr>
        <w:top w:val="single" w:sz="4" w:space="0" w:color="CAD9EA"/>
        <w:left w:val="single" w:sz="4" w:space="0" w:color="CAD9EA"/>
        <w:bottom w:val="single" w:sz="4" w:space="0" w:color="CAD9EA"/>
        <w:right w:val="single" w:sz="4" w:space="0" w:color="CAD9EA"/>
      </w:pBdr>
      <w:shd w:val="clear" w:color="auto" w:fill="F5FAFE"/>
      <w:spacing w:before="100" w:beforeAutospacing="1" w:after="100" w:afterAutospacing="1" w:line="220" w:lineRule="atLeast"/>
      <w:ind w:right="120"/>
      <w:jc w:val="center"/>
    </w:pPr>
    <w:rPr>
      <w:rFonts w:ascii="新細明體" w:hAnsi="新細明體" w:cs="新細明體"/>
      <w:color w:val="006699"/>
      <w:kern w:val="0"/>
      <w:sz w:val="28"/>
      <w:szCs w:val="28"/>
      <w:lang w:bidi="bn-IN"/>
    </w:rPr>
  </w:style>
  <w:style w:type="paragraph" w:customStyle="1" w:styleId="container">
    <w:name w:val="containe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ontent">
    <w:name w:val="conten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ide">
    <w:name w:val="sid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mysearch">
    <w:name w:val="mysearch"/>
    <w:basedOn w:val="a3"/>
    <w:rsid w:val="008E2E42"/>
    <w:pPr>
      <w:widowControl/>
      <w:spacing w:after="100" w:afterAutospacing="1"/>
      <w:ind w:left="100"/>
    </w:pPr>
    <w:rPr>
      <w:rFonts w:ascii="新細明體" w:hAnsi="新細明體" w:cs="新細明體"/>
      <w:kern w:val="0"/>
      <w:sz w:val="24"/>
      <w:szCs w:val="22"/>
      <w:lang w:bidi="bn-IN"/>
    </w:rPr>
  </w:style>
  <w:style w:type="paragraph" w:customStyle="1" w:styleId="msgtabs">
    <w:name w:val="msgtabs"/>
    <w:basedOn w:val="a3"/>
    <w:rsid w:val="008E2E42"/>
    <w:pPr>
      <w:widowControl/>
      <w:pBdr>
        <w:bottom w:val="single" w:sz="4" w:space="12" w:color="CAD9EA"/>
      </w:pBdr>
      <w:spacing w:before="192" w:after="100" w:afterAutospacing="1"/>
    </w:pPr>
    <w:rPr>
      <w:rFonts w:ascii="新細明體" w:hAnsi="新細明體" w:cs="新細明體"/>
      <w:kern w:val="0"/>
      <w:sz w:val="24"/>
      <w:szCs w:val="22"/>
      <w:lang w:bidi="bn-IN"/>
    </w:rPr>
  </w:style>
  <w:style w:type="paragraph" w:customStyle="1" w:styleId="popupmenupopup">
    <w:name w:val="popupmenu_popup"/>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sz w:val="24"/>
      <w:szCs w:val="22"/>
      <w:lang w:bidi="bn-IN"/>
    </w:rPr>
  </w:style>
  <w:style w:type="paragraph" w:customStyle="1" w:styleId="headermenupopup">
    <w:name w:val="headermenu_popup"/>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newspecialmenu">
    <w:name w:val="newspecial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userinfopanel">
    <w:name w:val="userinfopanel"/>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pPr>
    <w:rPr>
      <w:rFonts w:ascii="新細明體" w:hAnsi="新細明體" w:cs="新細明體"/>
      <w:kern w:val="0"/>
      <w:sz w:val="24"/>
      <w:szCs w:val="22"/>
      <w:lang w:bidi="bn-IN"/>
    </w:rPr>
  </w:style>
  <w:style w:type="paragraph" w:customStyle="1" w:styleId="calendarexpire">
    <w:name w:val="calendar_expire"/>
    <w:basedOn w:val="a3"/>
    <w:rsid w:val="008E2E42"/>
    <w:pPr>
      <w:widowControl/>
      <w:spacing w:before="100" w:beforeAutospacing="1" w:after="100" w:afterAutospacing="1"/>
    </w:pPr>
    <w:rPr>
      <w:rFonts w:ascii="新細明體" w:hAnsi="新細明體" w:cs="新細明體"/>
      <w:color w:val="666666"/>
      <w:kern w:val="0"/>
      <w:sz w:val="24"/>
      <w:szCs w:val="22"/>
      <w:lang w:bidi="bn-IN"/>
    </w:rPr>
  </w:style>
  <w:style w:type="paragraph" w:customStyle="1" w:styleId="calendardefault">
    <w:name w:val="calendar_default"/>
    <w:basedOn w:val="a3"/>
    <w:rsid w:val="008E2E42"/>
    <w:pPr>
      <w:widowControl/>
      <w:spacing w:before="100" w:beforeAutospacing="1" w:after="100" w:afterAutospacing="1"/>
    </w:pPr>
    <w:rPr>
      <w:rFonts w:ascii="新細明體" w:hAnsi="新細明體" w:cs="新細明體"/>
      <w:color w:val="006699"/>
      <w:kern w:val="0"/>
      <w:sz w:val="24"/>
      <w:szCs w:val="22"/>
      <w:lang w:bidi="bn-IN"/>
    </w:rPr>
  </w:style>
  <w:style w:type="paragraph" w:customStyle="1" w:styleId="calendarchecked">
    <w:name w:val="calendar_checked"/>
    <w:basedOn w:val="a3"/>
    <w:rsid w:val="008E2E42"/>
    <w:pPr>
      <w:widowControl/>
      <w:spacing w:before="100" w:beforeAutospacing="1" w:after="100" w:afterAutospacing="1"/>
    </w:pPr>
    <w:rPr>
      <w:rFonts w:ascii="新細明體" w:hAnsi="新細明體" w:cs="新細明體"/>
      <w:b/>
      <w:bCs/>
      <w:color w:val="009900"/>
      <w:kern w:val="0"/>
      <w:sz w:val="24"/>
      <w:szCs w:val="22"/>
      <w:lang w:bidi="bn-IN"/>
    </w:rPr>
  </w:style>
  <w:style w:type="paragraph" w:customStyle="1" w:styleId="calendartoday">
    <w:name w:val="calendar_today"/>
    <w:basedOn w:val="a3"/>
    <w:rsid w:val="008E2E42"/>
    <w:pPr>
      <w:widowControl/>
      <w:spacing w:before="100" w:beforeAutospacing="1" w:after="100" w:afterAutospacing="1"/>
    </w:pPr>
    <w:rPr>
      <w:rFonts w:ascii="新細明體" w:hAnsi="新細明體" w:cs="新細明體"/>
      <w:b/>
      <w:bCs/>
      <w:color w:val="000000"/>
      <w:kern w:val="0"/>
      <w:sz w:val="24"/>
      <w:szCs w:val="22"/>
      <w:lang w:bidi="bn-IN"/>
    </w:rPr>
  </w:style>
  <w:style w:type="paragraph" w:customStyle="1" w:styleId="tagthread">
    <w:name w:val="tagthrea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radio">
    <w:name w:val="radio"/>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heckbox">
    <w:name w:val="checkbox"/>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cell">
    <w:name w:val="editor_cell"/>
    <w:basedOn w:val="a3"/>
    <w:rsid w:val="008E2E42"/>
    <w:pPr>
      <w:widowControl/>
      <w:spacing w:before="100" w:beforeAutospacing="1" w:after="100" w:afterAutospacing="1"/>
      <w:textAlignment w:val="top"/>
    </w:pPr>
    <w:rPr>
      <w:rFonts w:ascii="新細明體" w:hAnsi="新細明體" w:cs="新細明體"/>
      <w:kern w:val="0"/>
      <w:sz w:val="24"/>
      <w:szCs w:val="22"/>
      <w:lang w:bidi="bn-IN"/>
    </w:rPr>
  </w:style>
  <w:style w:type="paragraph" w:customStyle="1" w:styleId="editortext">
    <w:name w:val="editor_text"/>
    <w:basedOn w:val="a3"/>
    <w:rsid w:val="008E2E42"/>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editorbutton">
    <w:name w:val="editor_button"/>
    <w:basedOn w:val="a3"/>
    <w:rsid w:val="008E2E42"/>
    <w:pPr>
      <w:widowControl/>
      <w:pBdr>
        <w:top w:val="single" w:sz="2" w:space="0" w:color="CAD9EA"/>
        <w:left w:val="single" w:sz="4" w:space="0" w:color="CAD9EA"/>
        <w:bottom w:val="single" w:sz="2" w:space="0" w:color="CAD9EA"/>
        <w:right w:val="single" w:sz="4" w:space="0" w:color="CAD9EA"/>
      </w:pBdr>
      <w:shd w:val="clear" w:color="auto" w:fill="F7F7F7"/>
      <w:spacing w:before="100" w:beforeAutospacing="1" w:after="100"/>
    </w:pPr>
    <w:rPr>
      <w:rFonts w:ascii="新細明體" w:hAnsi="新細明體" w:cs="新細明體"/>
      <w:kern w:val="0"/>
      <w:sz w:val="24"/>
      <w:szCs w:val="22"/>
      <w:lang w:bidi="bn-IN"/>
    </w:rPr>
  </w:style>
  <w:style w:type="paragraph" w:customStyle="1" w:styleId="editorattach">
    <w:name w:val="editor_attach"/>
    <w:basedOn w:val="a3"/>
    <w:rsid w:val="008E2E42"/>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fontnamemenu">
    <w:name w:val="fontname_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fontsizemenu">
    <w:name w:val="fontsize_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options">
    <w:name w:val="postoption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milies">
    <w:name w:val="smilie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form">
    <w:name w:val="postform"/>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dtext">
    <w:name w:val="ad_text"/>
    <w:basedOn w:val="a3"/>
    <w:rsid w:val="008E2E42"/>
    <w:pPr>
      <w:widowControl/>
      <w:pBdr>
        <w:top w:val="single" w:sz="4" w:space="3" w:color="CAD9EA"/>
        <w:left w:val="single" w:sz="4" w:space="3" w:color="CAD9EA"/>
        <w:bottom w:val="single" w:sz="4" w:space="3" w:color="CAD9EA"/>
        <w:right w:val="single" w:sz="4" w:space="3" w:color="CAD9EA"/>
      </w:pBdr>
      <w:shd w:val="clear" w:color="auto" w:fill="FFFFFF"/>
      <w:spacing w:before="100" w:beforeAutospacing="1" w:after="100"/>
    </w:pPr>
    <w:rPr>
      <w:rFonts w:ascii="新細明體" w:hAnsi="新細明體" w:cs="新細明體"/>
      <w:kern w:val="0"/>
      <w:sz w:val="24"/>
      <w:szCs w:val="22"/>
      <w:lang w:bidi="bn-IN"/>
    </w:rPr>
  </w:style>
  <w:style w:type="paragraph" w:customStyle="1" w:styleId="adtextlink1">
    <w:name w:val="ad_textlink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dtextlink2">
    <w:name w:val="ad_textlink2"/>
    <w:basedOn w:val="a3"/>
    <w:rsid w:val="008E2E42"/>
    <w:pPr>
      <w:widowControl/>
      <w:spacing w:before="100" w:after="100"/>
      <w:ind w:left="100" w:right="100"/>
    </w:pPr>
    <w:rPr>
      <w:rFonts w:ascii="新細明體" w:hAnsi="新細明體" w:cs="新細明體"/>
      <w:kern w:val="0"/>
      <w:sz w:val="24"/>
      <w:szCs w:val="22"/>
      <w:lang w:bidi="bn-IN"/>
    </w:rPr>
  </w:style>
  <w:style w:type="paragraph" w:customStyle="1" w:styleId="adpip">
    <w:name w:val="ad_pip"/>
    <w:basedOn w:val="a3"/>
    <w:rsid w:val="008E2E42"/>
    <w:pPr>
      <w:widowControl/>
      <w:spacing w:before="100" w:after="100"/>
      <w:ind w:left="100" w:right="100"/>
    </w:pPr>
    <w:rPr>
      <w:rFonts w:ascii="新細明體" w:hAnsi="新細明體" w:cs="新細明體"/>
      <w:kern w:val="0"/>
      <w:sz w:val="24"/>
      <w:szCs w:val="22"/>
      <w:lang w:bidi="bn-IN"/>
    </w:rPr>
  </w:style>
  <w:style w:type="paragraph" w:customStyle="1" w:styleId="adtopicrelated">
    <w:name w:val="ad_topicrelated"/>
    <w:basedOn w:val="a3"/>
    <w:rsid w:val="008E2E42"/>
    <w:pPr>
      <w:widowControl/>
      <w:pBdr>
        <w:top w:val="single" w:sz="4" w:space="5" w:color="78A73D"/>
        <w:left w:val="single" w:sz="4" w:space="15" w:color="78A73D"/>
        <w:bottom w:val="single" w:sz="4" w:space="5" w:color="78A73D"/>
        <w:right w:val="single" w:sz="4" w:space="5" w:color="78A73D"/>
      </w:pBdr>
      <w:shd w:val="clear" w:color="auto" w:fill="CAEEC0"/>
      <w:spacing w:after="100"/>
      <w:ind w:left="100" w:right="100"/>
    </w:pPr>
    <w:rPr>
      <w:rFonts w:ascii="新細明體" w:hAnsi="新細明體" w:cs="新細明體"/>
      <w:kern w:val="0"/>
      <w:sz w:val="24"/>
      <w:szCs w:val="22"/>
      <w:lang w:bidi="bn-IN"/>
    </w:rPr>
  </w:style>
  <w:style w:type="paragraph" w:customStyle="1" w:styleId="adcolumn">
    <w:name w:val="ad_column"/>
    <w:basedOn w:val="a3"/>
    <w:rsid w:val="008E2E42"/>
    <w:pPr>
      <w:widowControl/>
      <w:spacing w:before="100" w:beforeAutospacing="1" w:after="100"/>
      <w:jc w:val="center"/>
    </w:pPr>
    <w:rPr>
      <w:rFonts w:ascii="新細明體" w:hAnsi="新細明體" w:cs="新細明體"/>
      <w:kern w:val="0"/>
      <w:sz w:val="24"/>
      <w:szCs w:val="22"/>
      <w:lang w:bidi="bn-IN"/>
    </w:rPr>
  </w:style>
  <w:style w:type="paragraph" w:customStyle="1" w:styleId="adfooterbanner">
    <w:name w:val="ad_footerbanner"/>
    <w:basedOn w:val="a3"/>
    <w:rsid w:val="008E2E42"/>
    <w:pPr>
      <w:widowControl/>
      <w:spacing w:before="50" w:after="50"/>
      <w:ind w:left="50" w:right="50"/>
      <w:jc w:val="center"/>
    </w:pPr>
    <w:rPr>
      <w:rFonts w:ascii="新細明體" w:hAnsi="新細明體" w:cs="新細明體"/>
      <w:kern w:val="0"/>
      <w:sz w:val="24"/>
      <w:szCs w:val="22"/>
      <w:lang w:bidi="bn-IN"/>
    </w:rPr>
  </w:style>
  <w:style w:type="paragraph" w:customStyle="1" w:styleId="archiverbanner">
    <w:name w:val="archiver_banner"/>
    <w:basedOn w:val="a3"/>
    <w:rsid w:val="008E2E42"/>
    <w:pPr>
      <w:widowControl/>
      <w:spacing w:before="400" w:after="100" w:afterAutospacing="1"/>
      <w:jc w:val="center"/>
    </w:pPr>
    <w:rPr>
      <w:rFonts w:ascii="新細明體" w:hAnsi="新細明體" w:cs="新細明體"/>
      <w:kern w:val="0"/>
      <w:sz w:val="24"/>
      <w:szCs w:val="22"/>
      <w:lang w:bidi="bn-IN"/>
    </w:rPr>
  </w:style>
  <w:style w:type="paragraph" w:customStyle="1" w:styleId="archiverforumlist">
    <w:name w:val="archiver_forumlist"/>
    <w:basedOn w:val="a3"/>
    <w:rsid w:val="008E2E42"/>
    <w:pPr>
      <w:widowControl/>
      <w:spacing w:before="100" w:beforeAutospacing="1" w:after="100" w:afterAutospacing="1" w:line="384" w:lineRule="atLeast"/>
    </w:pPr>
    <w:rPr>
      <w:rFonts w:ascii="新細明體" w:hAnsi="新細明體" w:cs="新細明體"/>
      <w:kern w:val="0"/>
      <w:sz w:val="28"/>
      <w:szCs w:val="28"/>
      <w:lang w:bidi="bn-IN"/>
    </w:rPr>
  </w:style>
  <w:style w:type="paragraph" w:customStyle="1" w:styleId="archiverthreadlist">
    <w:name w:val="archiver_threadlist"/>
    <w:basedOn w:val="a3"/>
    <w:rsid w:val="008E2E42"/>
    <w:pPr>
      <w:widowControl/>
      <w:spacing w:before="100" w:beforeAutospacing="1" w:after="100" w:afterAutospacing="1" w:line="384" w:lineRule="atLeast"/>
    </w:pPr>
    <w:rPr>
      <w:rFonts w:ascii="新細明體" w:hAnsi="新細明體" w:cs="新細明體"/>
      <w:kern w:val="0"/>
      <w:sz w:val="28"/>
      <w:szCs w:val="28"/>
      <w:lang w:bidi="bn-IN"/>
    </w:rPr>
  </w:style>
  <w:style w:type="paragraph" w:customStyle="1" w:styleId="archiverpost">
    <w:name w:val="archiver_post"/>
    <w:basedOn w:val="a3"/>
    <w:rsid w:val="008E2E42"/>
    <w:pPr>
      <w:widowControl/>
      <w:pBdr>
        <w:top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archiverpostbody">
    <w:name w:val="archiver_postbody"/>
    <w:basedOn w:val="a3"/>
    <w:rsid w:val="008E2E42"/>
    <w:pPr>
      <w:widowControl/>
      <w:pBdr>
        <w:bottom w:val="single" w:sz="4" w:space="5" w:color="E8E8E8"/>
      </w:pBdr>
      <w:spacing w:before="100" w:beforeAutospacing="1" w:after="100" w:afterAutospacing="1"/>
    </w:pPr>
    <w:rPr>
      <w:rFonts w:ascii="新細明體" w:hAnsi="新細明體" w:cs="新細明體"/>
      <w:kern w:val="0"/>
      <w:sz w:val="28"/>
      <w:szCs w:val="28"/>
      <w:lang w:bidi="bn-IN"/>
    </w:rPr>
  </w:style>
  <w:style w:type="paragraph" w:customStyle="1" w:styleId="archiverpages">
    <w:name w:val="archiver_page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rchiverfullversion">
    <w:name w:val="archiver_fullversion"/>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wd">
    <w:name w:val="w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wt">
    <w:name w:val="w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yd">
    <w:name w:val="yd"/>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yt">
    <w:name w:val="y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name">
    <w:name w:val="nam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arget">
    <w:name w:val="target"/>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typeoption">
    <w:name w:val="typeoption"/>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author">
    <w:name w:val="postautho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debatepoints">
    <w:name w:val="debatepoint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lose">
    <w:name w:val="clos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fff9">
    <w:name w:val="a"/>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switcher">
    <w:name w:val="editor_switche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btns">
    <w:name w:val="btns"/>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special">
    <w:name w:val="special"/>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irclelogo">
    <w:name w:val="circlelogo"/>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rice">
    <w:name w:val="price"/>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memberinfoavatar">
    <w:name w:val="memberinfo_avatar"/>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ol">
    <w:name w:val="col"/>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message">
    <w:name w:val="message"/>
    <w:basedOn w:val="a3"/>
    <w:rsid w:val="008E2E42"/>
    <w:pPr>
      <w:widowControl/>
      <w:spacing w:before="720" w:after="1200"/>
      <w:ind w:left="2400" w:right="2400"/>
    </w:pPr>
    <w:rPr>
      <w:rFonts w:ascii="新細明體" w:hAnsi="新細明體" w:cs="新細明體"/>
      <w:kern w:val="0"/>
      <w:sz w:val="24"/>
      <w:szCs w:val="22"/>
      <w:lang w:bidi="bn-IN"/>
    </w:rPr>
  </w:style>
  <w:style w:type="paragraph" w:customStyle="1" w:styleId="dropmenu">
    <w:name w:val="dropmenu"/>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colornormal">
    <w:name w:val="editor_colornormal"/>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editorcolorhover">
    <w:name w:val="editor_colorhover"/>
    <w:basedOn w:val="a3"/>
    <w:rsid w:val="008E2E42"/>
    <w:pPr>
      <w:widowControl/>
      <w:spacing w:before="100" w:beforeAutospacing="1" w:after="100" w:afterAutospacing="1"/>
    </w:pPr>
    <w:rPr>
      <w:rFonts w:ascii="新細明體" w:hAnsi="新細明體" w:cs="新細明體"/>
      <w:kern w:val="0"/>
      <w:sz w:val="24"/>
      <w:szCs w:val="22"/>
      <w:lang w:bidi="bn-IN"/>
    </w:rPr>
  </w:style>
  <w:style w:type="character" w:customStyle="1" w:styleId="calendarchecked1">
    <w:name w:val="calendar_checked1"/>
    <w:rsid w:val="008E2E42"/>
    <w:rPr>
      <w:b/>
      <w:bCs/>
      <w:color w:val="009900"/>
      <w:shd w:val="clear" w:color="auto" w:fill="CAD9EA"/>
    </w:rPr>
  </w:style>
  <w:style w:type="character" w:customStyle="1" w:styleId="ttag">
    <w:name w:val="t_tag"/>
    <w:basedOn w:val="a4"/>
    <w:rsid w:val="008E2E42"/>
  </w:style>
  <w:style w:type="paragraph" w:customStyle="1" w:styleId="headactions1">
    <w:name w:val="headactions1"/>
    <w:basedOn w:val="a3"/>
    <w:rsid w:val="008E2E42"/>
    <w:pPr>
      <w:widowControl/>
      <w:spacing w:before="100" w:beforeAutospacing="1" w:after="100" w:afterAutospacing="1" w:line="240" w:lineRule="atLeast"/>
    </w:pPr>
    <w:rPr>
      <w:rFonts w:ascii="新細明體" w:hAnsi="新細明體" w:cs="新細明體"/>
      <w:color w:val="FFFFFF"/>
      <w:kern w:val="0"/>
      <w:sz w:val="24"/>
      <w:szCs w:val="22"/>
      <w:lang w:bidi="bn-IN"/>
    </w:rPr>
  </w:style>
  <w:style w:type="paragraph" w:customStyle="1" w:styleId="tabs1">
    <w:name w:val="tabs1"/>
    <w:basedOn w:val="a3"/>
    <w:rsid w:val="008E2E42"/>
    <w:pPr>
      <w:widowControl/>
      <w:pBdr>
        <w:top w:val="single" w:sz="4" w:space="0" w:color="FFFFFF"/>
        <w:bottom w:val="single" w:sz="4" w:space="13" w:color="FFFFFF"/>
      </w:pBdr>
      <w:shd w:val="clear" w:color="auto" w:fill="E8F3FD"/>
      <w:spacing w:before="100" w:beforeAutospacing="1"/>
    </w:pPr>
    <w:rPr>
      <w:rFonts w:ascii="新細明體" w:hAnsi="新細明體" w:cs="新細明體"/>
      <w:kern w:val="0"/>
      <w:sz w:val="24"/>
      <w:szCs w:val="22"/>
      <w:lang w:bidi="bn-IN"/>
    </w:rPr>
  </w:style>
  <w:style w:type="paragraph" w:customStyle="1" w:styleId="name1">
    <w:name w:val="name1"/>
    <w:basedOn w:val="a3"/>
    <w:rsid w:val="008E2E42"/>
    <w:pPr>
      <w:widowControl/>
      <w:spacing w:before="100" w:beforeAutospacing="1" w:after="100" w:afterAutospacing="1"/>
    </w:pPr>
    <w:rPr>
      <w:rFonts w:ascii="新細明體" w:hAnsi="新細明體" w:cs="新細明體"/>
      <w:b/>
      <w:bCs/>
      <w:kern w:val="0"/>
      <w:sz w:val="24"/>
      <w:szCs w:val="22"/>
      <w:lang w:bidi="bn-IN"/>
    </w:rPr>
  </w:style>
  <w:style w:type="paragraph" w:customStyle="1" w:styleId="footoperation1">
    <w:name w:val="footoperation1"/>
    <w:basedOn w:val="a3"/>
    <w:rsid w:val="008E2E42"/>
    <w:pPr>
      <w:widowControl/>
      <w:pBdr>
        <w:top w:val="single" w:sz="4" w:space="3" w:color="CAD9EA"/>
      </w:pBdr>
      <w:shd w:val="clear" w:color="auto" w:fill="E8F3FD"/>
      <w:spacing w:before="100" w:beforeAutospacing="1" w:after="100" w:afterAutospacing="1"/>
    </w:pPr>
    <w:rPr>
      <w:rFonts w:ascii="新細明體" w:hAnsi="新細明體" w:cs="新細明體"/>
      <w:kern w:val="0"/>
      <w:sz w:val="24"/>
      <w:szCs w:val="22"/>
      <w:lang w:bidi="bn-IN"/>
    </w:rPr>
  </w:style>
  <w:style w:type="paragraph" w:customStyle="1" w:styleId="target1">
    <w:name w:val="target1"/>
    <w:basedOn w:val="a3"/>
    <w:rsid w:val="008E2E42"/>
    <w:pPr>
      <w:widowControl/>
      <w:spacing w:before="100" w:beforeAutospacing="1" w:after="100" w:afterAutospacing="1"/>
      <w:ind w:left="-280" w:firstLine="31082"/>
    </w:pPr>
    <w:rPr>
      <w:rFonts w:ascii="新細明體" w:hAnsi="新細明體" w:cs="新細明體"/>
      <w:kern w:val="0"/>
      <w:sz w:val="24"/>
      <w:szCs w:val="22"/>
      <w:lang w:bidi="bn-IN"/>
    </w:rPr>
  </w:style>
  <w:style w:type="paragraph" w:customStyle="1" w:styleId="circlelogo1">
    <w:name w:val="circlelogo1"/>
    <w:basedOn w:val="a3"/>
    <w:rsid w:val="008E2E42"/>
    <w:pPr>
      <w:widowControl/>
      <w:spacing w:before="100" w:after="100" w:afterAutospacing="1"/>
      <w:ind w:left="-400"/>
    </w:pPr>
    <w:rPr>
      <w:rFonts w:ascii="新細明體" w:hAnsi="新細明體" w:cs="新細明體"/>
      <w:kern w:val="0"/>
      <w:sz w:val="24"/>
      <w:szCs w:val="22"/>
      <w:lang w:bidi="bn-IN"/>
    </w:rPr>
  </w:style>
  <w:style w:type="paragraph" w:customStyle="1" w:styleId="box1">
    <w:name w:val="box1"/>
    <w:basedOn w:val="a3"/>
    <w:rsid w:val="008E2E42"/>
    <w:pPr>
      <w:widowControl/>
      <w:pBdr>
        <w:top w:val="single" w:sz="2" w:space="1" w:color="CAD9EA"/>
        <w:left w:val="single" w:sz="2" w:space="1" w:color="CAD9EA"/>
        <w:bottom w:val="single" w:sz="2" w:space="1" w:color="CAD9EA"/>
        <w:right w:val="single" w:sz="2" w:space="1" w:color="CAD9EA"/>
      </w:pBdr>
      <w:shd w:val="clear" w:color="auto" w:fill="FFFFFF"/>
      <w:spacing w:before="50" w:after="50"/>
    </w:pPr>
    <w:rPr>
      <w:rFonts w:ascii="新細明體" w:hAnsi="新細明體" w:cs="新細明體"/>
      <w:kern w:val="0"/>
      <w:sz w:val="24"/>
      <w:szCs w:val="22"/>
      <w:lang w:bidi="bn-IN"/>
    </w:rPr>
  </w:style>
  <w:style w:type="paragraph" w:customStyle="1" w:styleId="typeoption1">
    <w:name w:val="typeoption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headactions2">
    <w:name w:val="headactions2"/>
    <w:basedOn w:val="a3"/>
    <w:rsid w:val="008E2E42"/>
    <w:pPr>
      <w:widowControl/>
      <w:spacing w:before="100" w:beforeAutospacing="1" w:after="100" w:afterAutospacing="1" w:line="240" w:lineRule="atLeast"/>
    </w:pPr>
    <w:rPr>
      <w:rFonts w:ascii="新細明體" w:hAnsi="新細明體" w:cs="新細明體"/>
      <w:color w:val="666666"/>
      <w:kern w:val="0"/>
      <w:sz w:val="22"/>
      <w:szCs w:val="22"/>
      <w:lang w:bidi="bn-IN"/>
    </w:rPr>
  </w:style>
  <w:style w:type="character" w:customStyle="1" w:styleId="ttag1">
    <w:name w:val="t_tag1"/>
    <w:basedOn w:val="a4"/>
    <w:rsid w:val="008E2E42"/>
  </w:style>
  <w:style w:type="paragraph" w:customStyle="1" w:styleId="customstatus1">
    <w:name w:val="customstatus1"/>
    <w:basedOn w:val="a3"/>
    <w:rsid w:val="008E2E42"/>
    <w:pPr>
      <w:widowControl/>
      <w:ind w:left="100" w:right="100"/>
    </w:pPr>
    <w:rPr>
      <w:rFonts w:ascii="新細明體" w:hAnsi="新細明體" w:cs="新細明體"/>
      <w:color w:val="666666"/>
      <w:kern w:val="0"/>
      <w:sz w:val="24"/>
      <w:szCs w:val="22"/>
      <w:lang w:bidi="bn-IN"/>
    </w:rPr>
  </w:style>
  <w:style w:type="paragraph" w:customStyle="1" w:styleId="postauthor1">
    <w:name w:val="postauthor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postinfo1">
    <w:name w:val="postinfo1"/>
    <w:basedOn w:val="a3"/>
    <w:rsid w:val="008E2E42"/>
    <w:pPr>
      <w:widowControl/>
      <w:pBdr>
        <w:bottom w:val="single" w:sz="4" w:space="0" w:color="E8F3FD"/>
      </w:pBdr>
      <w:spacing w:before="100" w:beforeAutospacing="1" w:after="100" w:afterAutospacing="1" w:line="260" w:lineRule="atLeast"/>
    </w:pPr>
    <w:rPr>
      <w:rFonts w:ascii="新細明體" w:hAnsi="新細明體" w:cs="新細明體"/>
      <w:color w:val="666666"/>
      <w:kern w:val="0"/>
      <w:sz w:val="24"/>
      <w:szCs w:val="22"/>
      <w:lang w:bidi="bn-IN"/>
    </w:rPr>
  </w:style>
  <w:style w:type="paragraph" w:customStyle="1" w:styleId="postmessage1">
    <w:name w:val="postmessage1"/>
    <w:basedOn w:val="a3"/>
    <w:rsid w:val="008E2E42"/>
    <w:pPr>
      <w:widowControl/>
      <w:pBdr>
        <w:bottom w:val="single" w:sz="4" w:space="0" w:color="CAD9EA"/>
      </w:pBdr>
      <w:spacing w:before="100" w:beforeAutospacing="1" w:after="100" w:afterAutospacing="1"/>
    </w:pPr>
    <w:rPr>
      <w:rFonts w:ascii="新細明體" w:hAnsi="新細明體" w:cs="新細明體"/>
      <w:kern w:val="0"/>
      <w:sz w:val="24"/>
      <w:szCs w:val="22"/>
      <w:lang w:bidi="bn-IN"/>
    </w:rPr>
  </w:style>
  <w:style w:type="paragraph" w:customStyle="1" w:styleId="postinfo2">
    <w:name w:val="postinfo2"/>
    <w:basedOn w:val="a3"/>
    <w:rsid w:val="008E2E42"/>
    <w:pPr>
      <w:widowControl/>
      <w:pBdr>
        <w:bottom w:val="single" w:sz="4" w:space="0" w:color="CAD9EA"/>
      </w:pBdr>
      <w:spacing w:before="100" w:beforeAutospacing="1" w:after="100" w:afterAutospacing="1" w:line="260" w:lineRule="atLeast"/>
    </w:pPr>
    <w:rPr>
      <w:rFonts w:ascii="新細明體" w:hAnsi="新細明體" w:cs="新細明體"/>
      <w:color w:val="666666"/>
      <w:kern w:val="0"/>
      <w:sz w:val="24"/>
      <w:szCs w:val="22"/>
      <w:lang w:bidi="bn-IN"/>
    </w:rPr>
  </w:style>
  <w:style w:type="paragraph" w:customStyle="1" w:styleId="tradename1">
    <w:name w:val="tradename1"/>
    <w:basedOn w:val="a3"/>
    <w:rsid w:val="008E2E42"/>
    <w:pPr>
      <w:widowControl/>
      <w:spacing w:before="50" w:after="100" w:afterAutospacing="1" w:line="180" w:lineRule="atLeast"/>
    </w:pPr>
    <w:rPr>
      <w:rFonts w:ascii="新細明體" w:hAnsi="新細明體" w:cs="新細明體"/>
      <w:kern w:val="0"/>
      <w:sz w:val="24"/>
      <w:szCs w:val="22"/>
      <w:lang w:bidi="bn-IN"/>
    </w:rPr>
  </w:style>
  <w:style w:type="paragraph" w:customStyle="1" w:styleId="price1">
    <w:name w:val="price1"/>
    <w:basedOn w:val="a3"/>
    <w:rsid w:val="008E2E42"/>
    <w:pPr>
      <w:widowControl/>
      <w:spacing w:before="100" w:beforeAutospacing="1" w:after="100" w:afterAutospacing="1"/>
      <w:jc w:val="right"/>
    </w:pPr>
    <w:rPr>
      <w:rFonts w:ascii="新細明體" w:hAnsi="新細明體" w:cs="新細明體"/>
      <w:kern w:val="0"/>
      <w:sz w:val="24"/>
      <w:szCs w:val="22"/>
      <w:lang w:bidi="bn-IN"/>
    </w:rPr>
  </w:style>
  <w:style w:type="paragraph" w:customStyle="1" w:styleId="popupmenupopup1">
    <w:name w:val="popupmenu_popup1"/>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sz w:val="24"/>
      <w:szCs w:val="22"/>
      <w:lang w:bidi="bn-IN"/>
    </w:rPr>
  </w:style>
  <w:style w:type="paragraph" w:customStyle="1" w:styleId="box2">
    <w:name w:val="box2"/>
    <w:basedOn w:val="a3"/>
    <w:rsid w:val="008E2E42"/>
    <w:pPr>
      <w:widowControl/>
      <w:pBdr>
        <w:top w:val="single" w:sz="4" w:space="1" w:color="CAD9EA"/>
        <w:left w:val="single" w:sz="4" w:space="1" w:color="CAD9EA"/>
        <w:bottom w:val="single" w:sz="4" w:space="1" w:color="CAD9EA"/>
        <w:right w:val="single" w:sz="4" w:space="1" w:color="CAD9EA"/>
      </w:pBdr>
      <w:shd w:val="clear" w:color="auto" w:fill="FFFFFF"/>
    </w:pPr>
    <w:rPr>
      <w:rFonts w:ascii="新細明體" w:hAnsi="新細明體" w:cs="新細明體"/>
      <w:kern w:val="0"/>
      <w:sz w:val="24"/>
      <w:szCs w:val="22"/>
      <w:lang w:bidi="bn-IN"/>
    </w:rPr>
  </w:style>
  <w:style w:type="paragraph" w:customStyle="1" w:styleId="debatepoints1">
    <w:name w:val="debatepoints1"/>
    <w:basedOn w:val="a3"/>
    <w:rsid w:val="008E2E42"/>
    <w:pPr>
      <w:widowControl/>
      <w:spacing w:before="100" w:beforeAutospacing="1" w:after="100"/>
    </w:pPr>
    <w:rPr>
      <w:rFonts w:ascii="新細明體" w:hAnsi="新細明體" w:cs="新細明體"/>
      <w:kern w:val="0"/>
      <w:sz w:val="24"/>
      <w:szCs w:val="22"/>
      <w:lang w:bidi="bn-IN"/>
    </w:rPr>
  </w:style>
  <w:style w:type="paragraph" w:customStyle="1" w:styleId="mainbox1">
    <w:name w:val="mainbox1"/>
    <w:basedOn w:val="a3"/>
    <w:rsid w:val="008E2E42"/>
    <w:pPr>
      <w:widowControl/>
      <w:pBdr>
        <w:top w:val="single" w:sz="4" w:space="1" w:color="9DB3C5"/>
        <w:left w:val="single" w:sz="4" w:space="1" w:color="9DB3C5"/>
        <w:bottom w:val="single" w:sz="4" w:space="1" w:color="9DB3C5"/>
        <w:right w:val="single" w:sz="4" w:space="1" w:color="9DB3C5"/>
      </w:pBdr>
      <w:shd w:val="clear" w:color="auto" w:fill="FFFFFF"/>
      <w:spacing w:before="100" w:beforeAutospacing="1" w:after="100"/>
    </w:pPr>
    <w:rPr>
      <w:rFonts w:ascii="新細明體" w:hAnsi="新細明體" w:cs="新細明體"/>
      <w:kern w:val="0"/>
      <w:sz w:val="24"/>
      <w:szCs w:val="22"/>
      <w:lang w:bidi="bn-IN"/>
    </w:rPr>
  </w:style>
  <w:style w:type="paragraph" w:customStyle="1" w:styleId="footoperation2">
    <w:name w:val="footoperation2"/>
    <w:basedOn w:val="a3"/>
    <w:rsid w:val="008E2E42"/>
    <w:pPr>
      <w:widowControl/>
      <w:pBdr>
        <w:bottom w:val="single" w:sz="4" w:space="0" w:color="CAD9EA"/>
      </w:pBdr>
      <w:shd w:val="clear" w:color="auto" w:fill="E8F3FD"/>
      <w:spacing w:before="100" w:beforeAutospacing="1" w:after="100" w:afterAutospacing="1"/>
    </w:pPr>
    <w:rPr>
      <w:rFonts w:ascii="新細明體" w:hAnsi="新細明體" w:cs="新細明體"/>
      <w:kern w:val="0"/>
      <w:sz w:val="24"/>
      <w:szCs w:val="22"/>
      <w:lang w:bidi="bn-IN"/>
    </w:rPr>
  </w:style>
  <w:style w:type="paragraph" w:customStyle="1" w:styleId="memberinfoavatar1">
    <w:name w:val="memberinfo_avatar1"/>
    <w:basedOn w:val="a3"/>
    <w:rsid w:val="008E2E42"/>
    <w:pPr>
      <w:widowControl/>
      <w:spacing w:before="100" w:beforeAutospacing="1" w:after="100" w:afterAutospacing="1"/>
      <w:jc w:val="center"/>
    </w:pPr>
    <w:rPr>
      <w:rFonts w:ascii="新細明體" w:hAnsi="新細明體" w:cs="新細明體"/>
      <w:b/>
      <w:bCs/>
      <w:kern w:val="0"/>
      <w:sz w:val="24"/>
      <w:szCs w:val="22"/>
      <w:lang w:bidi="bn-IN"/>
    </w:rPr>
  </w:style>
  <w:style w:type="paragraph" w:customStyle="1" w:styleId="postauthor2">
    <w:name w:val="postauthor2"/>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col1">
    <w:name w:val="col1"/>
    <w:basedOn w:val="a3"/>
    <w:rsid w:val="008E2E42"/>
    <w:pPr>
      <w:widowControl/>
      <w:pBdr>
        <w:top w:val="single" w:sz="4" w:space="2" w:color="CAD9EA"/>
        <w:left w:val="single" w:sz="4" w:space="2" w:color="CAD9EA"/>
        <w:bottom w:val="single" w:sz="4" w:space="2" w:color="CAD9EA"/>
        <w:right w:val="single" w:sz="4" w:space="2" w:color="CAD9EA"/>
      </w:pBdr>
      <w:shd w:val="clear" w:color="auto" w:fill="F5FAFE"/>
      <w:spacing w:before="100" w:beforeAutospacing="1" w:after="100" w:afterAutospacing="1"/>
      <w:ind w:left="10"/>
    </w:pPr>
    <w:rPr>
      <w:rFonts w:ascii="新細明體" w:hAnsi="新細明體" w:cs="新細明體"/>
      <w:kern w:val="0"/>
      <w:sz w:val="24"/>
      <w:szCs w:val="22"/>
      <w:lang w:bidi="bn-IN"/>
    </w:rPr>
  </w:style>
  <w:style w:type="paragraph" w:customStyle="1" w:styleId="close1">
    <w:name w:val="close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a10">
    <w:name w:val="a1"/>
    <w:basedOn w:val="a3"/>
    <w:rsid w:val="008E2E42"/>
    <w:pPr>
      <w:widowControl/>
      <w:pBdr>
        <w:top w:val="single" w:sz="4" w:space="1" w:color="F7F7F7"/>
        <w:left w:val="single" w:sz="4" w:space="1" w:color="F7F7F7"/>
        <w:bottom w:val="single" w:sz="4" w:space="1" w:color="F7F7F7"/>
        <w:right w:val="single" w:sz="4" w:space="1" w:color="F7F7F7"/>
      </w:pBdr>
      <w:spacing w:before="100" w:beforeAutospacing="1" w:after="100" w:afterAutospacing="1"/>
    </w:pPr>
    <w:rPr>
      <w:rFonts w:ascii="新細明體" w:hAnsi="新細明體" w:cs="新細明體"/>
      <w:kern w:val="0"/>
      <w:sz w:val="24"/>
      <w:szCs w:val="22"/>
      <w:lang w:bidi="bn-IN"/>
    </w:rPr>
  </w:style>
  <w:style w:type="paragraph" w:customStyle="1" w:styleId="editorswitcher1">
    <w:name w:val="editor_switcher1"/>
    <w:basedOn w:val="a3"/>
    <w:rsid w:val="008E2E42"/>
    <w:pPr>
      <w:widowControl/>
      <w:spacing w:before="100" w:beforeAutospacing="1" w:after="100" w:afterAutospacing="1"/>
    </w:pPr>
    <w:rPr>
      <w:rFonts w:ascii="新細明體" w:hAnsi="新細明體" w:cs="新細明體"/>
      <w:kern w:val="0"/>
      <w:sz w:val="24"/>
      <w:szCs w:val="22"/>
      <w:lang w:bidi="bn-IN"/>
    </w:rPr>
  </w:style>
  <w:style w:type="paragraph" w:customStyle="1" w:styleId="btns1">
    <w:name w:val="btns1"/>
    <w:basedOn w:val="a3"/>
    <w:rsid w:val="008E2E42"/>
    <w:pPr>
      <w:widowControl/>
      <w:spacing w:before="120" w:line="300" w:lineRule="atLeast"/>
      <w:ind w:left="240" w:right="240"/>
    </w:pPr>
    <w:rPr>
      <w:rFonts w:ascii="新細明體" w:hAnsi="新細明體" w:cs="新細明體"/>
      <w:color w:val="999999"/>
      <w:kern w:val="0"/>
      <w:sz w:val="24"/>
      <w:szCs w:val="22"/>
      <w:lang w:bidi="bn-IN"/>
    </w:rPr>
  </w:style>
  <w:style w:type="paragraph" w:customStyle="1" w:styleId="pages1">
    <w:name w:val="pages1"/>
    <w:basedOn w:val="a3"/>
    <w:rsid w:val="008E2E42"/>
    <w:pPr>
      <w:widowControl/>
      <w:pBdr>
        <w:top w:val="single" w:sz="4" w:space="0" w:color="CAD9EA"/>
        <w:left w:val="single" w:sz="2" w:space="0" w:color="CAD9EA"/>
        <w:bottom w:val="single" w:sz="2" w:space="0" w:color="CAD9EA"/>
        <w:right w:val="single" w:sz="2" w:space="0" w:color="CAD9EA"/>
      </w:pBdr>
      <w:shd w:val="clear" w:color="auto" w:fill="F7F7F7"/>
      <w:spacing w:before="100" w:beforeAutospacing="1" w:after="100" w:afterAutospacing="1" w:line="260" w:lineRule="atLeast"/>
    </w:pPr>
    <w:rPr>
      <w:rFonts w:ascii="新細明體" w:hAnsi="新細明體" w:cs="新細明體"/>
      <w:color w:val="999999"/>
      <w:kern w:val="0"/>
      <w:sz w:val="24"/>
      <w:szCs w:val="22"/>
      <w:lang w:bidi="bn-IN"/>
    </w:rPr>
  </w:style>
  <w:style w:type="paragraph" w:customStyle="1" w:styleId="popupmenupopup2">
    <w:name w:val="popupmenu_popup2"/>
    <w:basedOn w:val="a3"/>
    <w:rsid w:val="008E2E42"/>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sz w:val="24"/>
      <w:szCs w:val="22"/>
      <w:lang w:bidi="bn-IN"/>
    </w:rPr>
  </w:style>
  <w:style w:type="paragraph" w:customStyle="1" w:styleId="wrap1">
    <w:name w:val="wrap1"/>
    <w:basedOn w:val="a3"/>
    <w:rsid w:val="008E2E42"/>
    <w:pPr>
      <w:widowControl/>
      <w:pBdr>
        <w:top w:val="single" w:sz="4" w:space="5" w:color="CAD9EA"/>
        <w:left w:val="single" w:sz="4" w:space="5" w:color="CAD9EA"/>
        <w:bottom w:val="single" w:sz="4" w:space="5" w:color="CAD9EA"/>
        <w:right w:val="single" w:sz="4" w:space="5" w:color="CAD9EA"/>
      </w:pBdr>
      <w:spacing w:before="200" w:after="100"/>
    </w:pPr>
    <w:rPr>
      <w:rFonts w:ascii="新細明體" w:hAnsi="新細明體" w:cs="新細明體"/>
      <w:kern w:val="0"/>
      <w:sz w:val="24"/>
      <w:szCs w:val="22"/>
      <w:lang w:bidi="bn-IN"/>
    </w:rPr>
  </w:style>
  <w:style w:type="paragraph" w:customStyle="1" w:styleId="special1">
    <w:name w:val="special1"/>
    <w:basedOn w:val="a3"/>
    <w:rsid w:val="008E2E42"/>
    <w:pPr>
      <w:widowControl/>
      <w:ind w:left="240" w:right="240"/>
    </w:pPr>
    <w:rPr>
      <w:rFonts w:ascii="新細明體" w:hAnsi="新細明體" w:cs="新細明體"/>
      <w:b/>
      <w:bCs/>
      <w:color w:val="006699"/>
      <w:kern w:val="0"/>
      <w:sz w:val="24"/>
      <w:szCs w:val="22"/>
      <w:lang w:bidi="bn-IN"/>
    </w:rPr>
  </w:style>
  <w:style w:type="paragraph" w:customStyle="1" w:styleId="special2">
    <w:name w:val="special2"/>
    <w:basedOn w:val="a3"/>
    <w:rsid w:val="008E2E42"/>
    <w:pPr>
      <w:widowControl/>
      <w:spacing w:before="100" w:beforeAutospacing="1" w:after="100" w:afterAutospacing="1"/>
    </w:pPr>
    <w:rPr>
      <w:rFonts w:ascii="新細明體" w:hAnsi="新細明體" w:cs="新細明體"/>
      <w:b/>
      <w:bCs/>
      <w:color w:val="006699"/>
      <w:kern w:val="0"/>
      <w:sz w:val="24"/>
      <w:szCs w:val="22"/>
      <w:lang w:bidi="bn-IN"/>
    </w:rPr>
  </w:style>
  <w:style w:type="character" w:customStyle="1" w:styleId="frameswitch1">
    <w:name w:val="frameswitch1"/>
    <w:basedOn w:val="a4"/>
    <w:rsid w:val="008E2E42"/>
  </w:style>
  <w:style w:type="character" w:customStyle="1" w:styleId="postbtn1">
    <w:name w:val="postbtn1"/>
    <w:basedOn w:val="a4"/>
    <w:rsid w:val="008E2E42"/>
  </w:style>
  <w:style w:type="character" w:customStyle="1" w:styleId="replybtn">
    <w:name w:val="replybtn"/>
    <w:basedOn w:val="a4"/>
    <w:rsid w:val="008E2E42"/>
  </w:style>
  <w:style w:type="paragraph" w:styleId="z-">
    <w:name w:val="HTML Top of Form"/>
    <w:basedOn w:val="a3"/>
    <w:next w:val="a3"/>
    <w:link w:val="z-0"/>
    <w:hidden/>
    <w:rsid w:val="008E2E42"/>
    <w:pPr>
      <w:widowControl/>
      <w:pBdr>
        <w:bottom w:val="single" w:sz="6" w:space="1" w:color="auto"/>
      </w:pBdr>
      <w:jc w:val="center"/>
    </w:pPr>
    <w:rPr>
      <w:rFonts w:ascii="Arial" w:hAnsi="Arial" w:cs="新細明體"/>
      <w:vanish/>
      <w:kern w:val="0"/>
      <w:sz w:val="16"/>
      <w:szCs w:val="16"/>
      <w:lang w:bidi="bn-IN"/>
    </w:rPr>
  </w:style>
  <w:style w:type="character" w:customStyle="1" w:styleId="z-0">
    <w:name w:val="z-表單的頂端 字元"/>
    <w:basedOn w:val="a4"/>
    <w:link w:val="z-"/>
    <w:rsid w:val="008E2E42"/>
    <w:rPr>
      <w:rFonts w:ascii="Arial" w:hAnsi="Arial" w:cs="新細明體"/>
      <w:vanish/>
      <w:sz w:val="16"/>
      <w:szCs w:val="16"/>
      <w:lang w:bidi="bn-IN"/>
    </w:rPr>
  </w:style>
  <w:style w:type="character" w:customStyle="1" w:styleId="headactions3">
    <w:name w:val="headactions3"/>
    <w:basedOn w:val="a4"/>
    <w:rsid w:val="008E2E42"/>
  </w:style>
  <w:style w:type="character" w:customStyle="1" w:styleId="postratings">
    <w:name w:val="postratings"/>
    <w:basedOn w:val="a4"/>
    <w:rsid w:val="008E2E42"/>
  </w:style>
  <w:style w:type="paragraph" w:styleId="z-1">
    <w:name w:val="HTML Bottom of Form"/>
    <w:basedOn w:val="a3"/>
    <w:next w:val="a3"/>
    <w:link w:val="z-2"/>
    <w:hidden/>
    <w:rsid w:val="008E2E42"/>
    <w:pPr>
      <w:widowControl/>
      <w:pBdr>
        <w:top w:val="single" w:sz="6" w:space="1" w:color="auto"/>
      </w:pBdr>
      <w:jc w:val="center"/>
    </w:pPr>
    <w:rPr>
      <w:rFonts w:ascii="Arial" w:hAnsi="Arial" w:cs="新細明體"/>
      <w:vanish/>
      <w:kern w:val="0"/>
      <w:sz w:val="16"/>
      <w:szCs w:val="16"/>
      <w:lang w:bidi="bn-IN"/>
    </w:rPr>
  </w:style>
  <w:style w:type="character" w:customStyle="1" w:styleId="z-2">
    <w:name w:val="z-表單的底部 字元"/>
    <w:basedOn w:val="a4"/>
    <w:link w:val="z-1"/>
    <w:rsid w:val="008E2E42"/>
    <w:rPr>
      <w:rFonts w:ascii="Arial" w:hAnsi="Arial" w:cs="新細明體"/>
      <w:vanish/>
      <w:sz w:val="16"/>
      <w:szCs w:val="16"/>
      <w:lang w:bidi="bn-IN"/>
    </w:rPr>
  </w:style>
  <w:style w:type="character" w:customStyle="1" w:styleId="scrolltop">
    <w:name w:val="scrolltop"/>
    <w:basedOn w:val="a4"/>
    <w:rsid w:val="008E2E42"/>
  </w:style>
  <w:style w:type="character" w:customStyle="1" w:styleId="gphoto-context-current1">
    <w:name w:val="gphoto-context-current1"/>
    <w:rsid w:val="008E2E42"/>
    <w:rPr>
      <w:b/>
      <w:bCs/>
      <w:color w:val="000000"/>
      <w:sz w:val="31"/>
      <w:szCs w:val="31"/>
    </w:rPr>
  </w:style>
  <w:style w:type="character" w:customStyle="1" w:styleId="font-size121">
    <w:name w:val="font-size121"/>
    <w:rsid w:val="008E2E42"/>
    <w:rPr>
      <w:rFonts w:ascii="Verdana" w:hAnsi="Verdana" w:hint="default"/>
      <w:strike w:val="0"/>
      <w:dstrike w:val="0"/>
      <w:sz w:val="12"/>
      <w:szCs w:val="12"/>
      <w:u w:val="none"/>
      <w:effect w:val="none"/>
    </w:rPr>
  </w:style>
  <w:style w:type="character" w:customStyle="1" w:styleId="openbtn">
    <w:name w:val="open_btn"/>
    <w:basedOn w:val="a4"/>
    <w:rsid w:val="008E2E42"/>
  </w:style>
  <w:style w:type="character" w:customStyle="1" w:styleId="closebtn">
    <w:name w:val="close_btn"/>
    <w:basedOn w:val="a4"/>
    <w:rsid w:val="008E2E42"/>
  </w:style>
  <w:style w:type="character" w:customStyle="1" w:styleId="ptcp2">
    <w:name w:val="ptcp2"/>
    <w:basedOn w:val="a4"/>
    <w:rsid w:val="008E2E42"/>
  </w:style>
  <w:style w:type="character" w:customStyle="1" w:styleId="iblockbcmimg">
    <w:name w:val="iblock bcmimg"/>
    <w:basedOn w:val="a4"/>
    <w:rsid w:val="008E2E42"/>
  </w:style>
  <w:style w:type="character" w:customStyle="1" w:styleId="nbc-0nbc-0-40ptcmtptcmt-2">
    <w:name w:val="nbc-0 nbc-0-40 ptcmt ptcmt-2"/>
    <w:basedOn w:val="a4"/>
    <w:rsid w:val="008E2E42"/>
  </w:style>
  <w:style w:type="character" w:customStyle="1" w:styleId="nbc-0nbc-0-40ptcmt">
    <w:name w:val="nbc-0 nbc-0-40 ptcmt"/>
    <w:basedOn w:val="a4"/>
    <w:rsid w:val="008E2E42"/>
  </w:style>
  <w:style w:type="character" w:customStyle="1" w:styleId="pleftrdctphide">
    <w:name w:val="pleft rdct  phide"/>
    <w:basedOn w:val="a4"/>
    <w:rsid w:val="008E2E42"/>
  </w:style>
  <w:style w:type="character" w:customStyle="1" w:styleId="pleftulfc03">
    <w:name w:val="pleft ul fc03"/>
    <w:basedOn w:val="a4"/>
    <w:rsid w:val="008E2E42"/>
  </w:style>
  <w:style w:type="character" w:customStyle="1" w:styleId="pleftiblockicn0icn0-722nbw-tgl1nas-icn0fix">
    <w:name w:val="pleft iblock icn0 icn0-722 nbw-tgl1 nas-icn0fix"/>
    <w:basedOn w:val="a4"/>
    <w:rsid w:val="008E2E42"/>
  </w:style>
  <w:style w:type="character" w:customStyle="1" w:styleId="pleftiblockicn0icn0-621nbw-tgl0nas-icn0fix">
    <w:name w:val="pleft iblock icn0 icn0-621 nbw-tgl0 nas-icn0fix"/>
    <w:basedOn w:val="a4"/>
    <w:rsid w:val="008E2E42"/>
  </w:style>
  <w:style w:type="character" w:customStyle="1" w:styleId="fc071">
    <w:name w:val="fc071"/>
    <w:rsid w:val="008E2E42"/>
    <w:rPr>
      <w:color w:val="000000"/>
    </w:rPr>
  </w:style>
  <w:style w:type="character" w:customStyle="1" w:styleId="fc07pleftnas-tofix">
    <w:name w:val="fc07 pleft nas-tofix"/>
    <w:basedOn w:val="a4"/>
    <w:rsid w:val="008E2E42"/>
  </w:style>
  <w:style w:type="character" w:customStyle="1" w:styleId="nas-itmnas-itm0">
    <w:name w:val="nas-itm nas-itm0"/>
    <w:basedOn w:val="a4"/>
    <w:rsid w:val="008E2E42"/>
  </w:style>
  <w:style w:type="character" w:customStyle="1" w:styleId="nas-itmnas-itm6">
    <w:name w:val="nas-itm nas-itm6"/>
    <w:basedOn w:val="a4"/>
    <w:rsid w:val="008E2E42"/>
  </w:style>
  <w:style w:type="character" w:customStyle="1" w:styleId="nas-itmnas-itm9">
    <w:name w:val="nas-itm nas-itm9"/>
    <w:basedOn w:val="a4"/>
    <w:rsid w:val="008E2E42"/>
  </w:style>
  <w:style w:type="character" w:customStyle="1" w:styleId="nas-itmnas-itm7">
    <w:name w:val="nas-itm nas-itm7"/>
    <w:basedOn w:val="a4"/>
    <w:rsid w:val="008E2E42"/>
  </w:style>
  <w:style w:type="character" w:customStyle="1" w:styleId="nas-itmnas-itm3">
    <w:name w:val="nas-itm nas-itm3"/>
    <w:basedOn w:val="a4"/>
    <w:rsid w:val="008E2E42"/>
  </w:style>
  <w:style w:type="character" w:customStyle="1" w:styleId="nas-itmnas-itm1">
    <w:name w:val="nas-itm nas-itm1"/>
    <w:basedOn w:val="a4"/>
    <w:rsid w:val="008E2E42"/>
  </w:style>
  <w:style w:type="character" w:customStyle="1" w:styleId="nas-itmnas-itm2">
    <w:name w:val="nas-itm nas-itm2"/>
    <w:basedOn w:val="a4"/>
    <w:rsid w:val="008E2E42"/>
  </w:style>
  <w:style w:type="character" w:customStyle="1" w:styleId="nas-itmnas-itm4">
    <w:name w:val="nas-itm nas-itm4"/>
    <w:basedOn w:val="a4"/>
    <w:rsid w:val="008E2E42"/>
  </w:style>
  <w:style w:type="character" w:customStyle="1" w:styleId="sepfc07">
    <w:name w:val="sep fc07"/>
    <w:basedOn w:val="a4"/>
    <w:rsid w:val="008E2E42"/>
  </w:style>
  <w:style w:type="character" w:customStyle="1" w:styleId="m2a">
    <w:name w:val="m2a"/>
    <w:basedOn w:val="a4"/>
    <w:rsid w:val="008E2E42"/>
  </w:style>
  <w:style w:type="character" w:customStyle="1" w:styleId="ilftiblockicn0icn0-620">
    <w:name w:val="ilft iblock icn0 icn0-620"/>
    <w:basedOn w:val="a4"/>
    <w:rsid w:val="008E2E42"/>
  </w:style>
  <w:style w:type="character" w:customStyle="1" w:styleId="ul2">
    <w:name w:val="ul2"/>
    <w:basedOn w:val="a4"/>
    <w:rsid w:val="008E2E42"/>
  </w:style>
  <w:style w:type="character" w:customStyle="1" w:styleId="m2afc03ztag">
    <w:name w:val="m2a fc03 ztag"/>
    <w:basedOn w:val="a4"/>
    <w:rsid w:val="008E2E42"/>
  </w:style>
  <w:style w:type="character" w:customStyle="1" w:styleId="sep9">
    <w:name w:val="sep9"/>
    <w:basedOn w:val="a4"/>
    <w:rsid w:val="008E2E42"/>
  </w:style>
  <w:style w:type="character" w:customStyle="1" w:styleId="fc051">
    <w:name w:val="fc051"/>
    <w:rsid w:val="008E2E42"/>
    <w:rPr>
      <w:color w:val="000000"/>
    </w:rPr>
  </w:style>
  <w:style w:type="character" w:customStyle="1" w:styleId="zfcezbgpztagspace">
    <w:name w:val="zfce zbgp ztag space"/>
    <w:basedOn w:val="a4"/>
    <w:rsid w:val="008E2E42"/>
  </w:style>
  <w:style w:type="character" w:customStyle="1" w:styleId="zbcczhndztagfc04">
    <w:name w:val="zbcc zhnd ztag fc04"/>
    <w:basedOn w:val="a4"/>
    <w:rsid w:val="008E2E42"/>
  </w:style>
  <w:style w:type="character" w:customStyle="1" w:styleId="xtagfc04">
    <w:name w:val="xtag fc04"/>
    <w:basedOn w:val="a4"/>
    <w:rsid w:val="008E2E42"/>
  </w:style>
  <w:style w:type="character" w:customStyle="1" w:styleId="zicnzbgpiblock">
    <w:name w:val="zicn zbgp iblock"/>
    <w:basedOn w:val="a4"/>
    <w:rsid w:val="008E2E42"/>
  </w:style>
  <w:style w:type="character" w:customStyle="1" w:styleId="pgipgbiblockfc03bgc9bdc0js-znpg-097">
    <w:name w:val="pgi pgb iblock fc03 bgc9 bdc0 js-znpg-097"/>
    <w:basedOn w:val="a4"/>
    <w:rsid w:val="008E2E42"/>
  </w:style>
  <w:style w:type="character" w:customStyle="1" w:styleId="pgizpg1iblockfc03bgc9bdc0js-zslt-987fc05">
    <w:name w:val="pgi zpg1 iblock fc03 bgc9 bdc0 js-zslt-987 fc05"/>
    <w:basedOn w:val="a4"/>
    <w:rsid w:val="008E2E42"/>
  </w:style>
  <w:style w:type="character" w:customStyle="1" w:styleId="frgfgpfc06">
    <w:name w:val="frg fgp fc06"/>
    <w:basedOn w:val="a4"/>
    <w:rsid w:val="008E2E42"/>
  </w:style>
  <w:style w:type="character" w:customStyle="1" w:styleId="pgizpg2iblockfc03bgc9bdc0">
    <w:name w:val="pgi zpg2 iblock fc03 bgc9 bdc0"/>
    <w:basedOn w:val="a4"/>
    <w:rsid w:val="008E2E42"/>
  </w:style>
  <w:style w:type="character" w:customStyle="1" w:styleId="pgizpg3iblockfc03bgc9bdc0">
    <w:name w:val="pgi zpg3 iblock fc03 bgc9 bdc0"/>
    <w:basedOn w:val="a4"/>
    <w:rsid w:val="008E2E42"/>
  </w:style>
  <w:style w:type="character" w:customStyle="1" w:styleId="pgizpg4iblockfc03bgc9bdc0">
    <w:name w:val="pgi zpg4 iblock fc03 bgc9 bdc0"/>
    <w:basedOn w:val="a4"/>
    <w:rsid w:val="008E2E42"/>
  </w:style>
  <w:style w:type="character" w:customStyle="1" w:styleId="pgizpg5iblockfc03bgc9bdc0">
    <w:name w:val="pgi zpg5 iblock fc03 bgc9 bdc0"/>
    <w:basedOn w:val="a4"/>
    <w:rsid w:val="008E2E42"/>
  </w:style>
  <w:style w:type="character" w:customStyle="1" w:styleId="pgizpg6iblockfc03bgc9bdc0">
    <w:name w:val="pgi zpg6 iblock fc03 bgc9 bdc0"/>
    <w:basedOn w:val="a4"/>
    <w:rsid w:val="008E2E42"/>
  </w:style>
  <w:style w:type="character" w:customStyle="1" w:styleId="pgizpg7iblockfc03bgc9bdc0">
    <w:name w:val="pgi zpg7 iblock fc03 bgc9 bdc0"/>
    <w:basedOn w:val="a4"/>
    <w:rsid w:val="008E2E42"/>
  </w:style>
  <w:style w:type="character" w:customStyle="1" w:styleId="pgizpg8iblockfc03bgc9bdc0">
    <w:name w:val="pgi zpg8 iblock fc03 bgc9 bdc0"/>
    <w:basedOn w:val="a4"/>
    <w:rsid w:val="008E2E42"/>
  </w:style>
  <w:style w:type="character" w:customStyle="1" w:styleId="frgfgnfc06">
    <w:name w:val="frg fgn fc06"/>
    <w:basedOn w:val="a4"/>
    <w:rsid w:val="008E2E42"/>
  </w:style>
  <w:style w:type="character" w:customStyle="1" w:styleId="pgizpg9iblockfc03bgc9bdc0">
    <w:name w:val="pgi zpg9 iblock fc03 bgc9 bdc0"/>
    <w:basedOn w:val="a4"/>
    <w:rsid w:val="008E2E42"/>
  </w:style>
  <w:style w:type="character" w:customStyle="1" w:styleId="cc">
    <w:name w:val="cc"/>
    <w:basedOn w:val="a4"/>
    <w:rsid w:val="008E2E42"/>
  </w:style>
  <w:style w:type="paragraph" w:customStyle="1" w:styleId="attachment">
    <w:name w:val="attachment"/>
    <w:basedOn w:val="a3"/>
    <w:rsid w:val="008E2E42"/>
    <w:pPr>
      <w:widowControl/>
      <w:spacing w:after="200"/>
    </w:pPr>
    <w:rPr>
      <w:rFonts w:ascii="新細明體" w:hAnsi="新細明體" w:cs="新細明體"/>
      <w:kern w:val="0"/>
      <w:sz w:val="24"/>
      <w:szCs w:val="22"/>
      <w:lang w:bidi="bn-IN"/>
    </w:rPr>
  </w:style>
  <w:style w:type="paragraph" w:customStyle="1" w:styleId="Default">
    <w:name w:val="Default"/>
    <w:rsid w:val="008E2E42"/>
    <w:pPr>
      <w:widowControl w:val="0"/>
      <w:autoSpaceDE w:val="0"/>
      <w:autoSpaceDN w:val="0"/>
      <w:adjustRightInd w:val="0"/>
    </w:pPr>
    <w:rPr>
      <w:rFonts w:ascii="標楷體" w:eastAsia="標楷體" w:cs="標楷體"/>
      <w:color w:val="000000"/>
      <w:sz w:val="24"/>
      <w:szCs w:val="24"/>
      <w:lang w:bidi="bn-IN"/>
    </w:rPr>
  </w:style>
  <w:style w:type="paragraph" w:customStyle="1" w:styleId="subheadredh3">
    <w:name w:val="subhead_red_h3"/>
    <w:basedOn w:val="a3"/>
    <w:rsid w:val="008E2E42"/>
    <w:pPr>
      <w:widowControl/>
      <w:spacing w:before="100" w:beforeAutospacing="1" w:after="100" w:afterAutospacing="1"/>
    </w:pPr>
    <w:rPr>
      <w:rFonts w:ascii="新細明體" w:hAnsi="新細明體" w:cs="新細明體"/>
      <w:kern w:val="0"/>
      <w:sz w:val="24"/>
      <w:szCs w:val="22"/>
      <w:lang w:bidi="bn-IN"/>
    </w:rPr>
  </w:style>
  <w:style w:type="character" w:customStyle="1" w:styleId="yiv1772763008msid1227">
    <w:name w:val="yiv1772763008ms__id1227"/>
    <w:basedOn w:val="a4"/>
    <w:rsid w:val="008E2E42"/>
  </w:style>
  <w:style w:type="character" w:customStyle="1" w:styleId="insubject1">
    <w:name w:val="insubject1"/>
    <w:basedOn w:val="a4"/>
    <w:rsid w:val="008E2E42"/>
  </w:style>
  <w:style w:type="character" w:customStyle="1" w:styleId="font4">
    <w:name w:val="font4"/>
    <w:basedOn w:val="a4"/>
    <w:rsid w:val="008E2E42"/>
  </w:style>
  <w:style w:type="paragraph" w:customStyle="1" w:styleId="copy">
    <w:name w:val="copy"/>
    <w:basedOn w:val="a3"/>
    <w:rsid w:val="008E2E42"/>
    <w:pPr>
      <w:widowControl/>
      <w:spacing w:line="200" w:lineRule="atLeast"/>
      <w:ind w:firstLine="360"/>
    </w:pPr>
    <w:rPr>
      <w:rFonts w:ascii="Times NR MT" w:hAnsi="Times NR MT" w:cs="新細明體"/>
      <w:kern w:val="0"/>
      <w:szCs w:val="20"/>
      <w:lang w:bidi="bn-IN"/>
    </w:rPr>
  </w:style>
  <w:style w:type="paragraph" w:customStyle="1" w:styleId="subhead">
    <w:name w:val="subhead"/>
    <w:basedOn w:val="a3"/>
    <w:rsid w:val="008E2E42"/>
    <w:pPr>
      <w:keepNext/>
      <w:widowControl/>
      <w:spacing w:before="172" w:after="172" w:line="200" w:lineRule="atLeast"/>
      <w:jc w:val="center"/>
    </w:pPr>
    <w:rPr>
      <w:rFonts w:ascii="Times NR MT" w:hAnsi="Times NR MT" w:cs="新細明體"/>
      <w:b/>
      <w:bCs/>
      <w:kern w:val="0"/>
      <w:szCs w:val="20"/>
      <w:lang w:bidi="bn-IN"/>
    </w:rPr>
  </w:style>
  <w:style w:type="character" w:customStyle="1" w:styleId="dlzonlybdaside">
    <w:name w:val="d_lzonly_bdaside"/>
    <w:basedOn w:val="a4"/>
    <w:rsid w:val="008E2E42"/>
  </w:style>
  <w:style w:type="character" w:customStyle="1" w:styleId="x">
    <w:name w:val="x"/>
    <w:basedOn w:val="a4"/>
    <w:rsid w:val="008E2E42"/>
  </w:style>
  <w:style w:type="character" w:customStyle="1" w:styleId="postcontentubbcode">
    <w:name w:val="postcontent ubbcode"/>
    <w:basedOn w:val="a4"/>
    <w:rsid w:val="008E2E42"/>
  </w:style>
  <w:style w:type="paragraph" w:customStyle="1" w:styleId="author">
    <w:name w:val="author"/>
    <w:basedOn w:val="a3"/>
    <w:rsid w:val="008E2E42"/>
    <w:pPr>
      <w:widowControl/>
      <w:spacing w:before="100" w:beforeAutospacing="1" w:after="100" w:afterAutospacing="1"/>
    </w:pPr>
    <w:rPr>
      <w:rFonts w:ascii="新細明體" w:hAnsi="新細明體" w:cs="新細明體"/>
      <w:kern w:val="0"/>
      <w:sz w:val="24"/>
      <w:szCs w:val="22"/>
      <w:lang w:bidi="bn-IN"/>
    </w:rPr>
  </w:style>
  <w:style w:type="character" w:customStyle="1" w:styleId="msid831">
    <w:name w:val="ms__id831"/>
    <w:basedOn w:val="a4"/>
    <w:rsid w:val="008E2E42"/>
  </w:style>
  <w:style w:type="character" w:customStyle="1" w:styleId="msid832">
    <w:name w:val="ms__id832"/>
    <w:basedOn w:val="a4"/>
    <w:rsid w:val="008E2E42"/>
  </w:style>
  <w:style w:type="character" w:customStyle="1" w:styleId="afffa">
    <w:name w:val="問候 字元"/>
    <w:link w:val="afffb"/>
    <w:locked/>
    <w:rsid w:val="008E2E42"/>
    <w:rPr>
      <w:rFonts w:ascii="標楷體" w:eastAsia="標楷體" w:hAnsi="標楷體"/>
      <w:b/>
      <w:bCs/>
      <w:kern w:val="2"/>
      <w:sz w:val="28"/>
      <w:szCs w:val="24"/>
    </w:rPr>
  </w:style>
  <w:style w:type="paragraph" w:styleId="afffb">
    <w:name w:val="Salutation"/>
    <w:basedOn w:val="a3"/>
    <w:next w:val="a3"/>
    <w:link w:val="afffa"/>
    <w:rsid w:val="008E2E42"/>
    <w:rPr>
      <w:b/>
      <w:bCs/>
      <w:sz w:val="28"/>
    </w:rPr>
  </w:style>
  <w:style w:type="character" w:customStyle="1" w:styleId="19">
    <w:name w:val="問候 字元1"/>
    <w:basedOn w:val="a4"/>
    <w:uiPriority w:val="99"/>
    <w:semiHidden/>
    <w:rsid w:val="008E2E42"/>
    <w:rPr>
      <w:kern w:val="2"/>
      <w:szCs w:val="24"/>
    </w:rPr>
  </w:style>
  <w:style w:type="character" w:customStyle="1" w:styleId="mw-headline">
    <w:name w:val="mw-headline"/>
    <w:basedOn w:val="a4"/>
    <w:rsid w:val="008E2E42"/>
  </w:style>
  <w:style w:type="character" w:customStyle="1" w:styleId="mw-editsection">
    <w:name w:val="mw-editsection"/>
    <w:basedOn w:val="a4"/>
    <w:rsid w:val="008E2E42"/>
  </w:style>
  <w:style w:type="paragraph" w:customStyle="1" w:styleId="ipa">
    <w:name w:val="ipa"/>
    <w:basedOn w:val="a3"/>
    <w:rsid w:val="008E2E42"/>
    <w:pPr>
      <w:widowControl/>
      <w:spacing w:before="100" w:beforeAutospacing="1" w:after="100" w:afterAutospacing="1"/>
    </w:pPr>
    <w:rPr>
      <w:rFonts w:ascii="Lucida Sans Unicode" w:hAnsi="Lucida Sans Unicode" w:cs="新細明體"/>
      <w:kern w:val="0"/>
      <w:sz w:val="24"/>
      <w:lang w:bidi="bn-IN"/>
    </w:rPr>
  </w:style>
  <w:style w:type="paragraph" w:customStyle="1" w:styleId="unicode">
    <w:name w:val="unicode"/>
    <w:basedOn w:val="a3"/>
    <w:rsid w:val="008E2E42"/>
    <w:pPr>
      <w:widowControl/>
      <w:spacing w:before="100" w:beforeAutospacing="1" w:after="100" w:afterAutospacing="1"/>
    </w:pPr>
    <w:rPr>
      <w:rFonts w:ascii="新細明體" w:eastAsia="Arial Unicode MS" w:hAnsi="Arial Unicode MS" w:cs="Arial Unicode MS"/>
      <w:kern w:val="0"/>
      <w:sz w:val="24"/>
      <w:lang w:bidi="bn-IN"/>
    </w:rPr>
  </w:style>
  <w:style w:type="paragraph" w:styleId="afffc">
    <w:name w:val="table of figures"/>
    <w:aliases w:val=" 字元 字元"/>
    <w:basedOn w:val="a3"/>
    <w:next w:val="a3"/>
    <w:link w:val="afffd"/>
    <w:rsid w:val="008E2E42"/>
    <w:pPr>
      <w:ind w:leftChars="400" w:left="960" w:hangingChars="200" w:hanging="480"/>
    </w:pPr>
    <w:rPr>
      <w:sz w:val="24"/>
    </w:rPr>
  </w:style>
  <w:style w:type="paragraph" w:customStyle="1" w:styleId="100">
    <w:name w:val="樣式10"/>
    <w:basedOn w:val="afffc"/>
    <w:autoRedefine/>
    <w:rsid w:val="008E2E42"/>
  </w:style>
  <w:style w:type="paragraph" w:customStyle="1" w:styleId="1a">
    <w:name w:val="圖表目錄1"/>
    <w:basedOn w:val="afffc"/>
    <w:next w:val="afffc"/>
    <w:rsid w:val="008E2E42"/>
    <w:rPr>
      <w:bCs/>
      <w:sz w:val="32"/>
    </w:rPr>
  </w:style>
  <w:style w:type="character" w:styleId="HTML4">
    <w:name w:val="HTML Definition"/>
    <w:rsid w:val="008E2E42"/>
    <w:rPr>
      <w:i/>
      <w:iCs/>
    </w:rPr>
  </w:style>
  <w:style w:type="paragraph" w:customStyle="1" w:styleId="Pa0">
    <w:name w:val="Pa0"/>
    <w:basedOn w:val="Default"/>
    <w:next w:val="Default"/>
    <w:rsid w:val="008E2E42"/>
    <w:pPr>
      <w:spacing w:line="241" w:lineRule="atLeast"/>
    </w:pPr>
    <w:rPr>
      <w:rFonts w:ascii="DFMingUBold-B5" w:eastAsia="DFMingUBold-B5" w:cs="Vrinda"/>
      <w:color w:val="auto"/>
    </w:rPr>
  </w:style>
  <w:style w:type="character" w:customStyle="1" w:styleId="A60">
    <w:name w:val="A6"/>
    <w:rsid w:val="008E2E42"/>
    <w:rPr>
      <w:rFonts w:cs="DFMingUBold-B5"/>
      <w:color w:val="000000"/>
      <w:sz w:val="40"/>
      <w:szCs w:val="40"/>
    </w:rPr>
  </w:style>
  <w:style w:type="paragraph" w:styleId="afffe">
    <w:name w:val="Body Text"/>
    <w:basedOn w:val="a3"/>
    <w:link w:val="affff"/>
    <w:qFormat/>
    <w:rsid w:val="000D26BB"/>
    <w:pPr>
      <w:ind w:leftChars="54" w:left="140" w:rightChars="11" w:right="29"/>
    </w:pPr>
  </w:style>
  <w:style w:type="character" w:customStyle="1" w:styleId="affff">
    <w:name w:val="本文 字元"/>
    <w:basedOn w:val="a4"/>
    <w:link w:val="afffe"/>
    <w:rsid w:val="000D26BB"/>
    <w:rPr>
      <w:rFonts w:ascii="標楷體" w:eastAsia="標楷體" w:hAnsi="標楷體"/>
      <w:kern w:val="2"/>
      <w:sz w:val="26"/>
      <w:szCs w:val="26"/>
    </w:rPr>
  </w:style>
  <w:style w:type="paragraph" w:styleId="affff0">
    <w:name w:val="Body Text Indent"/>
    <w:basedOn w:val="a3"/>
    <w:link w:val="affff1"/>
    <w:rsid w:val="008E2E42"/>
    <w:pPr>
      <w:spacing w:after="120"/>
      <w:ind w:leftChars="200" w:left="480"/>
    </w:pPr>
    <w:rPr>
      <w:rFonts w:ascii="Calibri" w:hAnsi="Calibri"/>
      <w:sz w:val="24"/>
      <w:szCs w:val="22"/>
    </w:rPr>
  </w:style>
  <w:style w:type="character" w:customStyle="1" w:styleId="affff1">
    <w:name w:val="本文縮排 字元"/>
    <w:basedOn w:val="a4"/>
    <w:link w:val="affff0"/>
    <w:uiPriority w:val="99"/>
    <w:rsid w:val="008E2E42"/>
    <w:rPr>
      <w:rFonts w:ascii="Calibri" w:hAnsi="Calibri"/>
      <w:kern w:val="2"/>
      <w:sz w:val="24"/>
      <w:szCs w:val="22"/>
    </w:rPr>
  </w:style>
  <w:style w:type="paragraph" w:customStyle="1" w:styleId="1b">
    <w:name w:val="頁首1"/>
    <w:basedOn w:val="a3"/>
    <w:rsid w:val="008E2E42"/>
    <w:pPr>
      <w:widowControl/>
    </w:pPr>
    <w:rPr>
      <w:rFonts w:ascii="新細明體" w:hAnsi="新細明體" w:cs="新細明體"/>
      <w:kern w:val="0"/>
      <w:sz w:val="24"/>
      <w:lang w:bidi="bn-IN"/>
    </w:rPr>
  </w:style>
  <w:style w:type="paragraph" w:customStyle="1" w:styleId="layout">
    <w:name w:val="layout"/>
    <w:basedOn w:val="a3"/>
    <w:rsid w:val="008E2E42"/>
    <w:pPr>
      <w:widowControl/>
      <w:shd w:val="clear" w:color="auto" w:fill="FFFFFF"/>
    </w:pPr>
    <w:rPr>
      <w:rFonts w:ascii="新細明體" w:hAnsi="新細明體" w:cs="新細明體"/>
      <w:kern w:val="0"/>
      <w:sz w:val="24"/>
      <w:lang w:bidi="bn-IN"/>
    </w:rPr>
  </w:style>
  <w:style w:type="paragraph" w:customStyle="1" w:styleId="1c">
    <w:name w:val="頁尾1"/>
    <w:basedOn w:val="a3"/>
    <w:rsid w:val="008E2E42"/>
    <w:pPr>
      <w:widowControl/>
      <w:spacing w:before="100" w:beforeAutospacing="1" w:after="100" w:afterAutospacing="1"/>
    </w:pPr>
    <w:rPr>
      <w:rFonts w:ascii="新細明體" w:hAnsi="新細明體" w:cs="新細明體"/>
      <w:color w:val="D3D3D3"/>
      <w:kern w:val="0"/>
      <w:sz w:val="18"/>
      <w:szCs w:val="18"/>
      <w:lang w:bidi="bn-IN"/>
    </w:rPr>
  </w:style>
  <w:style w:type="paragraph" w:customStyle="1" w:styleId="duration">
    <w:name w:val="duration"/>
    <w:basedOn w:val="a3"/>
    <w:rsid w:val="008E2E42"/>
    <w:pPr>
      <w:widowControl/>
      <w:spacing w:before="100" w:beforeAutospacing="1" w:after="100" w:afterAutospacing="1"/>
    </w:pPr>
    <w:rPr>
      <w:rFonts w:ascii="新細明體" w:hAnsi="新細明體" w:cs="新細明體"/>
      <w:color w:val="666666"/>
      <w:kern w:val="0"/>
      <w:sz w:val="18"/>
      <w:szCs w:val="18"/>
      <w:lang w:bidi="bn-IN"/>
    </w:rPr>
  </w:style>
  <w:style w:type="paragraph" w:customStyle="1" w:styleId="nav">
    <w:name w:val="nav"/>
    <w:basedOn w:val="a3"/>
    <w:rsid w:val="008E2E42"/>
    <w:pPr>
      <w:widowControl/>
      <w:spacing w:before="100" w:beforeAutospacing="1" w:after="100" w:afterAutospacing="1"/>
      <w:ind w:left="6120" w:right="240"/>
      <w:jc w:val="right"/>
    </w:pPr>
    <w:rPr>
      <w:rFonts w:ascii="新細明體" w:hAnsi="新細明體" w:cs="新細明體"/>
      <w:kern w:val="0"/>
      <w:sz w:val="24"/>
      <w:lang w:bidi="bn-IN"/>
    </w:rPr>
  </w:style>
  <w:style w:type="paragraph" w:customStyle="1" w:styleId="path">
    <w:name w:val="path"/>
    <w:basedOn w:val="a3"/>
    <w:rsid w:val="008E2E42"/>
    <w:pPr>
      <w:widowControl/>
      <w:spacing w:after="80"/>
    </w:pPr>
    <w:rPr>
      <w:rFonts w:ascii="新細明體" w:hAnsi="新細明體" w:cs="新細明體"/>
      <w:kern w:val="0"/>
      <w:sz w:val="18"/>
      <w:szCs w:val="18"/>
      <w:lang w:bidi="bn-IN"/>
    </w:rPr>
  </w:style>
  <w:style w:type="paragraph" w:customStyle="1" w:styleId="back">
    <w:name w:val="back"/>
    <w:basedOn w:val="a3"/>
    <w:rsid w:val="008E2E42"/>
    <w:pPr>
      <w:widowControl/>
      <w:spacing w:after="150"/>
      <w:jc w:val="right"/>
    </w:pPr>
    <w:rPr>
      <w:rFonts w:ascii="新細明體" w:hAnsi="新細明體" w:cs="新細明體"/>
      <w:kern w:val="0"/>
      <w:sz w:val="24"/>
      <w:lang w:bidi="bn-IN"/>
    </w:rPr>
  </w:style>
  <w:style w:type="paragraph" w:customStyle="1" w:styleId="aaa">
    <w:name w:val="aaa"/>
    <w:basedOn w:val="a3"/>
    <w:rsid w:val="008E2E42"/>
    <w:pPr>
      <w:widowControl/>
      <w:spacing w:before="100" w:beforeAutospacing="1" w:after="100" w:afterAutospacing="1"/>
      <w:jc w:val="center"/>
    </w:pPr>
    <w:rPr>
      <w:rFonts w:ascii="新細明體" w:hAnsi="新細明體" w:cs="新細明體"/>
      <w:kern w:val="0"/>
      <w:sz w:val="24"/>
      <w:lang w:bidi="bn-IN"/>
    </w:rPr>
  </w:style>
  <w:style w:type="paragraph" w:customStyle="1" w:styleId="copyright">
    <w:name w:val="copyright"/>
    <w:basedOn w:val="a3"/>
    <w:rsid w:val="008E2E42"/>
    <w:pPr>
      <w:widowControl/>
      <w:spacing w:before="100" w:beforeAutospacing="1" w:after="48"/>
    </w:pPr>
    <w:rPr>
      <w:rFonts w:ascii="新細明體" w:hAnsi="新細明體" w:cs="新細明體"/>
      <w:kern w:val="0"/>
      <w:sz w:val="24"/>
      <w:lang w:bidi="bn-IN"/>
    </w:rPr>
  </w:style>
  <w:style w:type="paragraph" w:customStyle="1" w:styleId="menu1">
    <w:name w:val="menu1"/>
    <w:basedOn w:val="a3"/>
    <w:rsid w:val="008E2E42"/>
    <w:pPr>
      <w:widowControl/>
      <w:shd w:val="clear" w:color="auto" w:fill="DFDFDF"/>
      <w:spacing w:before="100" w:beforeAutospacing="1" w:after="100" w:afterAutospacing="1"/>
    </w:pPr>
    <w:rPr>
      <w:rFonts w:ascii="新細明體" w:hAnsi="新細明體" w:cs="新細明體"/>
      <w:kern w:val="0"/>
      <w:sz w:val="24"/>
      <w:lang w:bidi="bn-IN"/>
    </w:rPr>
  </w:style>
  <w:style w:type="paragraph" w:customStyle="1" w:styleId="menu2">
    <w:name w:val="menu2"/>
    <w:basedOn w:val="a3"/>
    <w:rsid w:val="008E2E42"/>
    <w:pPr>
      <w:widowControl/>
      <w:shd w:val="clear" w:color="auto" w:fill="F9E547"/>
      <w:spacing w:before="100" w:beforeAutospacing="1" w:after="50"/>
    </w:pPr>
    <w:rPr>
      <w:rFonts w:ascii="新細明體" w:hAnsi="新細明體" w:cs="新細明體"/>
      <w:kern w:val="0"/>
      <w:sz w:val="24"/>
      <w:lang w:bidi="bn-IN"/>
    </w:rPr>
  </w:style>
  <w:style w:type="paragraph" w:customStyle="1" w:styleId="menu3">
    <w:name w:val="menu3"/>
    <w:basedOn w:val="a3"/>
    <w:rsid w:val="008E2E42"/>
    <w:pPr>
      <w:widowControl/>
      <w:shd w:val="clear" w:color="auto" w:fill="CFF287"/>
      <w:spacing w:before="100" w:beforeAutospacing="1" w:after="100" w:afterAutospacing="1"/>
    </w:pPr>
    <w:rPr>
      <w:rFonts w:ascii="新細明體" w:hAnsi="新細明體" w:cs="新細明體"/>
      <w:kern w:val="0"/>
      <w:sz w:val="24"/>
      <w:lang w:bidi="bn-IN"/>
    </w:rPr>
  </w:style>
  <w:style w:type="paragraph" w:customStyle="1" w:styleId="inlineform">
    <w:name w:val="inlineform"/>
    <w:basedOn w:val="a3"/>
    <w:rsid w:val="008E2E42"/>
    <w:pPr>
      <w:widowControl/>
      <w:jc w:val="right"/>
    </w:pPr>
    <w:rPr>
      <w:rFonts w:ascii="新細明體" w:hAnsi="新細明體" w:cs="新細明體"/>
      <w:kern w:val="0"/>
      <w:sz w:val="18"/>
      <w:szCs w:val="18"/>
      <w:lang w:bidi="bn-IN"/>
    </w:rPr>
  </w:style>
  <w:style w:type="paragraph" w:customStyle="1" w:styleId="page">
    <w:name w:val="page"/>
    <w:basedOn w:val="a3"/>
    <w:rsid w:val="008E2E42"/>
    <w:pPr>
      <w:widowControl/>
      <w:spacing w:before="80" w:after="80" w:line="288" w:lineRule="auto"/>
    </w:pPr>
    <w:rPr>
      <w:rFonts w:ascii="新細明體" w:hAnsi="新細明體" w:cs="新細明體"/>
      <w:kern w:val="0"/>
      <w:sz w:val="18"/>
      <w:szCs w:val="18"/>
      <w:lang w:bidi="bn-IN"/>
    </w:rPr>
  </w:style>
  <w:style w:type="paragraph" w:customStyle="1" w:styleId="prevnext">
    <w:name w:val="prev_next"/>
    <w:basedOn w:val="a3"/>
    <w:rsid w:val="008E2E42"/>
    <w:pPr>
      <w:widowControl/>
      <w:spacing w:before="100" w:after="100"/>
      <w:jc w:val="center"/>
    </w:pPr>
    <w:rPr>
      <w:rFonts w:ascii="新細明體" w:hAnsi="新細明體" w:cs="新細明體"/>
      <w:kern w:val="0"/>
      <w:sz w:val="24"/>
      <w:lang w:bidi="bn-IN"/>
    </w:rPr>
  </w:style>
  <w:style w:type="paragraph" w:customStyle="1" w:styleId="listtb">
    <w:name w:val="listtb"/>
    <w:basedOn w:val="a3"/>
    <w:rsid w:val="008E2E42"/>
    <w:pPr>
      <w:widowControl/>
    </w:pPr>
    <w:rPr>
      <w:rFonts w:ascii="新細明體" w:hAnsi="新細明體" w:cs="新細明體"/>
      <w:kern w:val="0"/>
      <w:sz w:val="24"/>
      <w:lang w:bidi="bn-IN"/>
    </w:rPr>
  </w:style>
  <w:style w:type="paragraph" w:customStyle="1" w:styleId="preface">
    <w:name w:val="preface"/>
    <w:basedOn w:val="a3"/>
    <w:rsid w:val="008E2E42"/>
    <w:pPr>
      <w:widowControl/>
      <w:pBdr>
        <w:bottom w:val="single" w:sz="8" w:space="2" w:color="CCCCCC"/>
      </w:pBdr>
      <w:spacing w:before="100" w:beforeAutospacing="1" w:after="100" w:afterAutospacing="1" w:line="360" w:lineRule="auto"/>
    </w:pPr>
    <w:rPr>
      <w:rFonts w:ascii="新細明體" w:hAnsi="新細明體" w:cs="新細明體"/>
      <w:color w:val="666666"/>
      <w:kern w:val="0"/>
      <w:sz w:val="18"/>
      <w:szCs w:val="18"/>
      <w:lang w:bidi="bn-IN"/>
    </w:rPr>
  </w:style>
  <w:style w:type="paragraph" w:customStyle="1" w:styleId="function">
    <w:name w:val="function"/>
    <w:basedOn w:val="a3"/>
    <w:rsid w:val="008E2E42"/>
    <w:pPr>
      <w:widowControl/>
      <w:spacing w:after="150"/>
      <w:jc w:val="right"/>
    </w:pPr>
    <w:rPr>
      <w:rFonts w:ascii="新細明體" w:hAnsi="新細明體" w:cs="新細明體"/>
      <w:kern w:val="0"/>
      <w:sz w:val="24"/>
      <w:lang w:bidi="bn-IN"/>
    </w:rPr>
  </w:style>
  <w:style w:type="paragraph" w:customStyle="1" w:styleId="f2">
    <w:name w:val="f2"/>
    <w:basedOn w:val="a3"/>
    <w:rsid w:val="008E2E42"/>
    <w:pPr>
      <w:widowControl/>
      <w:spacing w:after="100"/>
    </w:pPr>
    <w:rPr>
      <w:rFonts w:ascii="新細明體" w:hAnsi="新細明體" w:cs="新細明體"/>
      <w:kern w:val="0"/>
      <w:sz w:val="24"/>
      <w:lang w:bidi="bn-IN"/>
    </w:rPr>
  </w:style>
  <w:style w:type="paragraph" w:customStyle="1" w:styleId="checkall">
    <w:name w:val="checkall"/>
    <w:basedOn w:val="a3"/>
    <w:rsid w:val="008E2E42"/>
    <w:pPr>
      <w:widowControl/>
      <w:spacing w:before="350" w:after="180"/>
      <w:ind w:left="50"/>
    </w:pPr>
    <w:rPr>
      <w:rFonts w:ascii="新細明體" w:hAnsi="新細明體" w:cs="新細明體"/>
      <w:kern w:val="0"/>
      <w:sz w:val="18"/>
      <w:szCs w:val="18"/>
      <w:lang w:bidi="bn-IN"/>
    </w:rPr>
  </w:style>
  <w:style w:type="paragraph" w:customStyle="1" w:styleId="bulletin">
    <w:name w:val="bulletin"/>
    <w:basedOn w:val="a3"/>
    <w:rsid w:val="008E2E42"/>
    <w:pPr>
      <w:widowControl/>
      <w:spacing w:after="150"/>
    </w:pPr>
    <w:rPr>
      <w:rFonts w:ascii="新細明體" w:hAnsi="新細明體" w:cs="新細明體"/>
      <w:kern w:val="0"/>
      <w:sz w:val="23"/>
      <w:szCs w:val="23"/>
      <w:lang w:bidi="bn-IN"/>
    </w:rPr>
  </w:style>
  <w:style w:type="paragraph" w:customStyle="1" w:styleId="qa">
    <w:name w:val="qa"/>
    <w:basedOn w:val="a3"/>
    <w:rsid w:val="008E2E42"/>
    <w:pPr>
      <w:widowControl/>
      <w:spacing w:after="150"/>
    </w:pPr>
    <w:rPr>
      <w:rFonts w:ascii="新細明體" w:hAnsi="新細明體" w:cs="新細明體"/>
      <w:kern w:val="0"/>
      <w:sz w:val="23"/>
      <w:szCs w:val="23"/>
      <w:lang w:bidi="bn-IN"/>
    </w:rPr>
  </w:style>
  <w:style w:type="paragraph" w:customStyle="1" w:styleId="tabcontainer">
    <w:name w:val="tabcontainer"/>
    <w:basedOn w:val="a3"/>
    <w:rsid w:val="008E2E42"/>
    <w:pPr>
      <w:widowControl/>
      <w:pBdr>
        <w:left w:val="single" w:sz="4" w:space="8" w:color="BBBBBB"/>
        <w:bottom w:val="single" w:sz="4" w:space="8" w:color="BBBBBB"/>
        <w:right w:val="single" w:sz="4" w:space="8" w:color="BBBBBB"/>
      </w:pBdr>
    </w:pPr>
    <w:rPr>
      <w:rFonts w:ascii="新細明體" w:hAnsi="新細明體" w:cs="新細明體"/>
      <w:kern w:val="0"/>
      <w:sz w:val="24"/>
      <w:lang w:bidi="bn-IN"/>
    </w:rPr>
  </w:style>
  <w:style w:type="paragraph" w:customStyle="1" w:styleId="tab">
    <w:name w:val="tab"/>
    <w:basedOn w:val="a3"/>
    <w:rsid w:val="008E2E42"/>
    <w:pPr>
      <w:widowControl/>
      <w:spacing w:before="120"/>
    </w:pPr>
    <w:rPr>
      <w:rFonts w:ascii="新細明體" w:hAnsi="新細明體" w:cs="新細明體"/>
      <w:kern w:val="0"/>
      <w:sz w:val="24"/>
      <w:lang w:bidi="bn-IN"/>
    </w:rPr>
  </w:style>
  <w:style w:type="paragraph" w:customStyle="1" w:styleId="tablevel2">
    <w:name w:val="tablevel2"/>
    <w:basedOn w:val="a3"/>
    <w:rsid w:val="008E2E42"/>
    <w:pPr>
      <w:widowControl/>
      <w:spacing w:after="50"/>
    </w:pPr>
    <w:rPr>
      <w:rFonts w:ascii="新細明體" w:hAnsi="新細明體" w:cs="新細明體"/>
      <w:kern w:val="0"/>
      <w:sz w:val="24"/>
      <w:lang w:bidi="bn-IN"/>
    </w:rPr>
  </w:style>
  <w:style w:type="paragraph" w:customStyle="1" w:styleId="class2">
    <w:name w:val="class2"/>
    <w:basedOn w:val="a3"/>
    <w:rsid w:val="008E2E42"/>
    <w:pPr>
      <w:widowControl/>
      <w:spacing w:after="50"/>
    </w:pPr>
    <w:rPr>
      <w:rFonts w:ascii="新細明體" w:hAnsi="新細明體" w:cs="新細明體"/>
      <w:kern w:val="0"/>
      <w:sz w:val="24"/>
      <w:lang w:bidi="bn-IN"/>
    </w:rPr>
  </w:style>
  <w:style w:type="paragraph" w:customStyle="1" w:styleId="detail">
    <w:name w:val="detail"/>
    <w:basedOn w:val="a3"/>
    <w:rsid w:val="008E2E42"/>
    <w:pPr>
      <w:widowControl/>
      <w:pBdr>
        <w:top w:val="single" w:sz="4" w:space="5" w:color="CCCCCC"/>
        <w:left w:val="single" w:sz="4" w:space="8" w:color="CCCCCC"/>
        <w:bottom w:val="single" w:sz="4" w:space="5" w:color="CCCCCC"/>
        <w:right w:val="single" w:sz="4" w:space="8" w:color="CCCCCC"/>
      </w:pBdr>
      <w:spacing w:before="100" w:beforeAutospacing="1" w:after="100" w:afterAutospacing="1"/>
    </w:pPr>
    <w:rPr>
      <w:rFonts w:ascii="新細明體" w:hAnsi="新細明體" w:cs="新細明體"/>
      <w:kern w:val="0"/>
      <w:sz w:val="24"/>
      <w:lang w:bidi="bn-IN"/>
    </w:rPr>
  </w:style>
  <w:style w:type="paragraph" w:customStyle="1" w:styleId="1d">
    <w:name w:val="標號1"/>
    <w:basedOn w:val="a3"/>
    <w:rsid w:val="008E2E42"/>
    <w:pPr>
      <w:widowControl/>
      <w:spacing w:line="288" w:lineRule="auto"/>
    </w:pPr>
    <w:rPr>
      <w:rFonts w:ascii="新細明體" w:hAnsi="新細明體" w:cs="新細明體"/>
      <w:color w:val="000000"/>
      <w:kern w:val="0"/>
      <w:szCs w:val="20"/>
      <w:lang w:bidi="bn-IN"/>
    </w:rPr>
  </w:style>
  <w:style w:type="paragraph" w:customStyle="1" w:styleId="info">
    <w:name w:val="info"/>
    <w:basedOn w:val="a3"/>
    <w:rsid w:val="008E2E42"/>
    <w:pPr>
      <w:widowControl/>
      <w:spacing w:before="100" w:beforeAutospacing="1" w:after="30"/>
    </w:pPr>
    <w:rPr>
      <w:rFonts w:ascii="新細明體" w:hAnsi="新細明體" w:cs="新細明體"/>
      <w:kern w:val="0"/>
      <w:sz w:val="24"/>
      <w:lang w:bidi="bn-IN"/>
    </w:rPr>
  </w:style>
  <w:style w:type="paragraph" w:customStyle="1" w:styleId="datatb">
    <w:name w:val="datatb"/>
    <w:basedOn w:val="a3"/>
    <w:rsid w:val="008E2E42"/>
    <w:pPr>
      <w:widowControl/>
      <w:spacing w:before="30"/>
    </w:pPr>
    <w:rPr>
      <w:rFonts w:ascii="新細明體" w:hAnsi="新細明體" w:cs="新細明體"/>
      <w:kern w:val="0"/>
      <w:sz w:val="24"/>
      <w:lang w:bidi="bn-IN"/>
    </w:rPr>
  </w:style>
  <w:style w:type="paragraph" w:customStyle="1" w:styleId="article">
    <w:name w:val="article"/>
    <w:basedOn w:val="a3"/>
    <w:rsid w:val="008E2E42"/>
    <w:pPr>
      <w:widowControl/>
      <w:spacing w:before="100" w:beforeAutospacing="1" w:after="100" w:afterAutospacing="1" w:line="360" w:lineRule="auto"/>
    </w:pPr>
    <w:rPr>
      <w:rFonts w:ascii="新細明體" w:hAnsi="新細明體" w:cs="新細明體"/>
      <w:kern w:val="0"/>
      <w:sz w:val="18"/>
      <w:szCs w:val="18"/>
      <w:lang w:bidi="bn-IN"/>
    </w:rPr>
  </w:style>
  <w:style w:type="paragraph" w:customStyle="1" w:styleId="image">
    <w:name w:val="image"/>
    <w:basedOn w:val="a3"/>
    <w:rsid w:val="008E2E42"/>
    <w:pPr>
      <w:widowControl/>
      <w:pBdr>
        <w:top w:val="single" w:sz="4" w:space="0" w:color="CCCCCC"/>
        <w:left w:val="single" w:sz="4" w:space="0" w:color="CCCCCC"/>
        <w:bottom w:val="single" w:sz="4" w:space="0" w:color="CCCCCC"/>
        <w:right w:val="single" w:sz="4" w:space="0" w:color="CCCCCC"/>
      </w:pBdr>
      <w:spacing w:before="240" w:after="50"/>
      <w:ind w:left="80"/>
    </w:pPr>
    <w:rPr>
      <w:rFonts w:ascii="新細明體" w:hAnsi="新細明體" w:cs="新細明體"/>
      <w:kern w:val="0"/>
      <w:sz w:val="24"/>
      <w:lang w:bidi="bn-IN"/>
    </w:rPr>
  </w:style>
  <w:style w:type="paragraph" w:customStyle="1" w:styleId="download">
    <w:name w:val="download"/>
    <w:basedOn w:val="a3"/>
    <w:rsid w:val="008E2E42"/>
    <w:pPr>
      <w:widowControl/>
      <w:spacing w:after="288"/>
    </w:pPr>
    <w:rPr>
      <w:rFonts w:ascii="新細明體" w:hAnsi="新細明體" w:cs="新細明體"/>
      <w:kern w:val="0"/>
      <w:sz w:val="24"/>
      <w:lang w:bidi="bn-IN"/>
    </w:rPr>
  </w:style>
  <w:style w:type="paragraph" w:customStyle="1" w:styleId="links">
    <w:name w:val="links"/>
    <w:basedOn w:val="a3"/>
    <w:rsid w:val="008E2E42"/>
    <w:pPr>
      <w:widowControl/>
      <w:spacing w:after="288"/>
    </w:pPr>
    <w:rPr>
      <w:rFonts w:ascii="新細明體" w:hAnsi="新細明體" w:cs="新細明體"/>
      <w:kern w:val="0"/>
      <w:sz w:val="24"/>
      <w:lang w:bidi="bn-IN"/>
    </w:rPr>
  </w:style>
  <w:style w:type="paragraph" w:customStyle="1" w:styleId="rightblock">
    <w:name w:val="rightblock"/>
    <w:basedOn w:val="a3"/>
    <w:rsid w:val="008E2E42"/>
    <w:pPr>
      <w:widowControl/>
      <w:spacing w:after="100"/>
    </w:pPr>
    <w:rPr>
      <w:rFonts w:ascii="新細明體" w:hAnsi="新細明體" w:cs="新細明體"/>
      <w:kern w:val="0"/>
      <w:sz w:val="24"/>
      <w:lang w:bidi="bn-IN"/>
    </w:rPr>
  </w:style>
  <w:style w:type="paragraph" w:customStyle="1" w:styleId="category">
    <w:name w:val="category"/>
    <w:basedOn w:val="a3"/>
    <w:rsid w:val="008E2E42"/>
    <w:pPr>
      <w:widowControl/>
      <w:spacing w:after="30"/>
    </w:pPr>
    <w:rPr>
      <w:rFonts w:ascii="新細明體" w:hAnsi="新細明體" w:cs="新細明體"/>
      <w:kern w:val="0"/>
      <w:sz w:val="24"/>
      <w:lang w:bidi="bn-IN"/>
    </w:rPr>
  </w:style>
  <w:style w:type="paragraph" w:customStyle="1" w:styleId="index">
    <w:name w:val="index"/>
    <w:basedOn w:val="a3"/>
    <w:rsid w:val="008E2E42"/>
    <w:pPr>
      <w:widowControl/>
      <w:spacing w:before="100"/>
    </w:pPr>
    <w:rPr>
      <w:rFonts w:ascii="新細明體" w:hAnsi="新細明體" w:cs="新細明體"/>
      <w:kern w:val="0"/>
      <w:sz w:val="24"/>
      <w:lang w:bidi="bn-IN"/>
    </w:rPr>
  </w:style>
  <w:style w:type="paragraph" w:customStyle="1" w:styleId="help">
    <w:name w:val="help"/>
    <w:basedOn w:val="a3"/>
    <w:rsid w:val="008E2E42"/>
    <w:pPr>
      <w:widowControl/>
      <w:pBdr>
        <w:top w:val="single" w:sz="8" w:space="5" w:color="CCCCCC"/>
      </w:pBdr>
      <w:spacing w:before="150" w:after="150" w:line="360" w:lineRule="auto"/>
    </w:pPr>
    <w:rPr>
      <w:rFonts w:ascii="新細明體" w:hAnsi="新細明體" w:cs="新細明體"/>
      <w:kern w:val="0"/>
      <w:sz w:val="23"/>
      <w:szCs w:val="23"/>
      <w:lang w:bidi="bn-IN"/>
    </w:rPr>
  </w:style>
  <w:style w:type="paragraph" w:customStyle="1" w:styleId="sitemap">
    <w:name w:val="sitemap"/>
    <w:basedOn w:val="a3"/>
    <w:rsid w:val="008E2E42"/>
    <w:pPr>
      <w:widowControl/>
      <w:spacing w:before="100" w:beforeAutospacing="1" w:after="100" w:afterAutospacing="1" w:line="360" w:lineRule="auto"/>
      <w:ind w:left="100"/>
    </w:pPr>
    <w:rPr>
      <w:rFonts w:ascii="新細明體" w:hAnsi="新細明體" w:cs="新細明體"/>
      <w:kern w:val="0"/>
      <w:sz w:val="18"/>
      <w:szCs w:val="18"/>
      <w:lang w:bidi="bn-IN"/>
    </w:rPr>
  </w:style>
  <w:style w:type="paragraph" w:customStyle="1" w:styleId="keylist">
    <w:name w:val="keylist"/>
    <w:basedOn w:val="a3"/>
    <w:rsid w:val="008E2E42"/>
    <w:pPr>
      <w:widowControl/>
      <w:spacing w:before="100" w:after="100"/>
      <w:ind w:left="350"/>
    </w:pPr>
    <w:rPr>
      <w:rFonts w:ascii="新細明體" w:hAnsi="新細明體" w:cs="新細明體"/>
      <w:kern w:val="0"/>
      <w:sz w:val="24"/>
      <w:lang w:bidi="bn-IN"/>
    </w:rPr>
  </w:style>
  <w:style w:type="paragraph" w:customStyle="1" w:styleId="maptree">
    <w:name w:val="maptree"/>
    <w:basedOn w:val="a3"/>
    <w:rsid w:val="008E2E42"/>
    <w:pPr>
      <w:widowControl/>
    </w:pPr>
    <w:rPr>
      <w:rFonts w:ascii="新細明體" w:hAnsi="新細明體" w:cs="新細明體"/>
      <w:kern w:val="0"/>
      <w:sz w:val="24"/>
      <w:lang w:bidi="bn-IN"/>
    </w:rPr>
  </w:style>
  <w:style w:type="paragraph" w:customStyle="1" w:styleId="intro">
    <w:name w:val="intro"/>
    <w:basedOn w:val="a3"/>
    <w:rsid w:val="008E2E42"/>
    <w:pPr>
      <w:widowControl/>
      <w:spacing w:before="150" w:after="150" w:line="360" w:lineRule="auto"/>
    </w:pPr>
    <w:rPr>
      <w:rFonts w:ascii="新細明體" w:hAnsi="新細明體" w:cs="新細明體"/>
      <w:spacing w:val="24"/>
      <w:kern w:val="0"/>
      <w:sz w:val="23"/>
      <w:szCs w:val="23"/>
      <w:lang w:bidi="bn-IN"/>
    </w:rPr>
  </w:style>
  <w:style w:type="paragraph" w:customStyle="1" w:styleId="red">
    <w:name w:val="red"/>
    <w:basedOn w:val="a3"/>
    <w:rsid w:val="008E2E42"/>
    <w:pPr>
      <w:widowControl/>
      <w:spacing w:before="100" w:beforeAutospacing="1" w:after="100" w:afterAutospacing="1"/>
    </w:pPr>
    <w:rPr>
      <w:rFonts w:ascii="新細明體" w:hAnsi="新細明體" w:cs="新細明體"/>
      <w:color w:val="ED1313"/>
      <w:kern w:val="0"/>
      <w:sz w:val="24"/>
      <w:lang w:bidi="bn-IN"/>
    </w:rPr>
  </w:style>
  <w:style w:type="paragraph" w:customStyle="1" w:styleId="login">
    <w:name w:val="login"/>
    <w:basedOn w:val="a3"/>
    <w:rsid w:val="008E2E42"/>
    <w:pPr>
      <w:widowControl/>
      <w:spacing w:before="100" w:beforeAutospacing="1" w:after="100" w:afterAutospacing="1"/>
      <w:ind w:left="240"/>
    </w:pPr>
    <w:rPr>
      <w:rFonts w:ascii="sөũ" w:hAnsi="sөũ" w:cs="新細明體"/>
      <w:color w:val="D8D9D1"/>
      <w:kern w:val="0"/>
      <w:sz w:val="24"/>
      <w:lang w:bidi="bn-IN"/>
    </w:rPr>
  </w:style>
  <w:style w:type="paragraph" w:customStyle="1" w:styleId="slist">
    <w:name w:val="slist"/>
    <w:basedOn w:val="a3"/>
    <w:rsid w:val="008E2E42"/>
    <w:pPr>
      <w:widowControl/>
      <w:pBdr>
        <w:bottom w:val="single" w:sz="2" w:space="4" w:color="CCCCCC"/>
      </w:pBdr>
      <w:spacing w:before="100" w:beforeAutospacing="1" w:after="100" w:afterAutospacing="1"/>
    </w:pPr>
    <w:rPr>
      <w:rFonts w:ascii="新細明體" w:hAnsi="新細明體" w:cs="新細明體"/>
      <w:kern w:val="0"/>
      <w:sz w:val="23"/>
      <w:szCs w:val="23"/>
      <w:lang w:bidi="bn-IN"/>
    </w:rPr>
  </w:style>
  <w:style w:type="paragraph" w:customStyle="1" w:styleId="exp">
    <w:name w:val="exp"/>
    <w:basedOn w:val="a3"/>
    <w:rsid w:val="008E2E42"/>
    <w:pPr>
      <w:widowControl/>
      <w:spacing w:before="100" w:beforeAutospacing="1" w:after="100" w:afterAutospacing="1"/>
    </w:pPr>
    <w:rPr>
      <w:rFonts w:ascii="新細明體" w:hAnsi="新細明體" w:cs="新細明體"/>
      <w:kern w:val="0"/>
      <w:sz w:val="18"/>
      <w:szCs w:val="18"/>
      <w:lang w:bidi="bn-IN"/>
    </w:rPr>
  </w:style>
  <w:style w:type="paragraph" w:customStyle="1" w:styleId="leftbg">
    <w:name w:val="leftbg"/>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enter">
    <w:name w:val="center"/>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ightbg">
    <w:name w:val="rightbg"/>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accesskey">
    <w:name w:val="accesskey"/>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before">
    <w:name w:val="before"/>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ort">
    <w:name w:val="sort"/>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authorize">
    <w:name w:val="authorize"/>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hotterm">
    <w:name w:val="hotterm"/>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publishinfo">
    <w:name w:val="publishinfo"/>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pinfo">
    <w:name w:val="cpinfo"/>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over">
    <w:name w:val="cover"/>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elmatrix">
    <w:name w:val="selmatrix"/>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elmatrix1">
    <w:name w:val="selmatrix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header1">
    <w:name w:val="header1"/>
    <w:basedOn w:val="a3"/>
    <w:rsid w:val="008E2E42"/>
    <w:pPr>
      <w:widowControl/>
    </w:pPr>
    <w:rPr>
      <w:rFonts w:ascii="新細明體" w:hAnsi="新細明體" w:cs="新細明體"/>
      <w:kern w:val="0"/>
      <w:sz w:val="24"/>
      <w:lang w:bidi="bn-IN"/>
    </w:rPr>
  </w:style>
  <w:style w:type="paragraph" w:customStyle="1" w:styleId="leftbg1">
    <w:name w:val="leftbg1"/>
    <w:basedOn w:val="a3"/>
    <w:rsid w:val="008E2E42"/>
    <w:pPr>
      <w:widowControl/>
      <w:textAlignment w:val="top"/>
    </w:pPr>
    <w:rPr>
      <w:rFonts w:ascii="新細明體" w:hAnsi="新細明體" w:cs="新細明體"/>
      <w:kern w:val="0"/>
      <w:sz w:val="24"/>
      <w:lang w:bidi="bn-IN"/>
    </w:rPr>
  </w:style>
  <w:style w:type="paragraph" w:customStyle="1" w:styleId="center1">
    <w:name w:val="center1"/>
    <w:basedOn w:val="a3"/>
    <w:rsid w:val="008E2E42"/>
    <w:pPr>
      <w:widowControl/>
      <w:spacing w:before="100" w:beforeAutospacing="1" w:after="100" w:afterAutospacing="1"/>
      <w:textAlignment w:val="top"/>
    </w:pPr>
    <w:rPr>
      <w:rFonts w:ascii="新細明體" w:hAnsi="新細明體" w:cs="新細明體"/>
      <w:kern w:val="0"/>
      <w:sz w:val="24"/>
      <w:lang w:bidi="bn-IN"/>
    </w:rPr>
  </w:style>
  <w:style w:type="paragraph" w:customStyle="1" w:styleId="center2">
    <w:name w:val="center2"/>
    <w:basedOn w:val="a3"/>
    <w:rsid w:val="008E2E42"/>
    <w:pPr>
      <w:widowControl/>
      <w:spacing w:before="100" w:beforeAutospacing="1" w:after="100" w:afterAutospacing="1"/>
      <w:textAlignment w:val="top"/>
    </w:pPr>
    <w:rPr>
      <w:rFonts w:ascii="新細明體" w:hAnsi="新細明體" w:cs="新細明體"/>
      <w:kern w:val="0"/>
      <w:sz w:val="24"/>
      <w:lang w:bidi="bn-IN"/>
    </w:rPr>
  </w:style>
  <w:style w:type="paragraph" w:customStyle="1" w:styleId="rightbg1">
    <w:name w:val="rightbg1"/>
    <w:basedOn w:val="a3"/>
    <w:rsid w:val="008E2E42"/>
    <w:pPr>
      <w:widowControl/>
      <w:spacing w:before="100" w:beforeAutospacing="1" w:after="100" w:afterAutospacing="1"/>
      <w:textAlignment w:val="top"/>
    </w:pPr>
    <w:rPr>
      <w:rFonts w:ascii="新細明體" w:hAnsi="新細明體" w:cs="新細明體"/>
      <w:kern w:val="0"/>
      <w:sz w:val="24"/>
      <w:lang w:bidi="bn-IN"/>
    </w:rPr>
  </w:style>
  <w:style w:type="paragraph" w:customStyle="1" w:styleId="accesskey1">
    <w:name w:val="accesskey1"/>
    <w:basedOn w:val="a3"/>
    <w:rsid w:val="008E2E42"/>
    <w:pPr>
      <w:widowControl/>
      <w:spacing w:after="100" w:afterAutospacing="1"/>
    </w:pPr>
    <w:rPr>
      <w:rFonts w:ascii="新細明體" w:hAnsi="新細明體" w:cs="新細明體"/>
      <w:kern w:val="0"/>
      <w:sz w:val="24"/>
      <w:lang w:bidi="bn-IN"/>
    </w:rPr>
  </w:style>
  <w:style w:type="paragraph" w:customStyle="1" w:styleId="accesskey2">
    <w:name w:val="accesskey2"/>
    <w:basedOn w:val="a3"/>
    <w:rsid w:val="008E2E42"/>
    <w:pPr>
      <w:widowControl/>
      <w:spacing w:after="100" w:afterAutospacing="1"/>
    </w:pPr>
    <w:rPr>
      <w:rFonts w:ascii="新細明體" w:hAnsi="新細明體" w:cs="新細明體"/>
      <w:kern w:val="0"/>
      <w:sz w:val="24"/>
      <w:lang w:bidi="bn-IN"/>
    </w:rPr>
  </w:style>
  <w:style w:type="paragraph" w:customStyle="1" w:styleId="accesskey3">
    <w:name w:val="accesskey3"/>
    <w:basedOn w:val="a3"/>
    <w:rsid w:val="008E2E42"/>
    <w:pPr>
      <w:widowControl/>
      <w:spacing w:after="100" w:afterAutospacing="1"/>
    </w:pPr>
    <w:rPr>
      <w:rFonts w:ascii="新細明體" w:hAnsi="新細明體" w:cs="新細明體"/>
      <w:kern w:val="0"/>
      <w:sz w:val="24"/>
      <w:lang w:bidi="bn-IN"/>
    </w:rPr>
  </w:style>
  <w:style w:type="paragraph" w:customStyle="1" w:styleId="accesskey4">
    <w:name w:val="accesskey4"/>
    <w:basedOn w:val="a3"/>
    <w:rsid w:val="008E2E42"/>
    <w:pPr>
      <w:widowControl/>
      <w:spacing w:before="100" w:beforeAutospacing="1" w:after="100" w:afterAutospacing="1"/>
      <w:ind w:left="-100"/>
    </w:pPr>
    <w:rPr>
      <w:rFonts w:ascii="新細明體" w:hAnsi="新細明體" w:cs="新細明體"/>
      <w:kern w:val="0"/>
      <w:sz w:val="24"/>
      <w:lang w:bidi="bn-IN"/>
    </w:rPr>
  </w:style>
  <w:style w:type="paragraph" w:customStyle="1" w:styleId="before1">
    <w:name w:val="before1"/>
    <w:basedOn w:val="a3"/>
    <w:rsid w:val="008E2E42"/>
    <w:pPr>
      <w:widowControl/>
      <w:spacing w:after="100" w:afterAutospacing="1" w:line="288" w:lineRule="auto"/>
    </w:pPr>
    <w:rPr>
      <w:rFonts w:ascii="新細明體" w:hAnsi="新細明體" w:cs="新細明體"/>
      <w:kern w:val="0"/>
      <w:sz w:val="24"/>
      <w:lang w:bidi="bn-IN"/>
    </w:rPr>
  </w:style>
  <w:style w:type="paragraph" w:customStyle="1" w:styleId="accesskey5">
    <w:name w:val="accesskey5"/>
    <w:basedOn w:val="a3"/>
    <w:rsid w:val="008E2E42"/>
    <w:pPr>
      <w:widowControl/>
      <w:spacing w:after="100" w:afterAutospacing="1"/>
    </w:pPr>
    <w:rPr>
      <w:rFonts w:ascii="新細明體" w:hAnsi="新細明體" w:cs="新細明體"/>
      <w:kern w:val="0"/>
      <w:sz w:val="24"/>
      <w:lang w:bidi="bn-IN"/>
    </w:rPr>
  </w:style>
  <w:style w:type="paragraph" w:customStyle="1" w:styleId="selmatrix2">
    <w:name w:val="selmatrix2"/>
    <w:basedOn w:val="a3"/>
    <w:rsid w:val="008E2E42"/>
    <w:pPr>
      <w:widowControl/>
      <w:spacing w:after="30"/>
      <w:jc w:val="right"/>
    </w:pPr>
    <w:rPr>
      <w:rFonts w:ascii="新細明體" w:hAnsi="新細明體" w:cs="新細明體"/>
      <w:kern w:val="0"/>
      <w:sz w:val="24"/>
      <w:lang w:bidi="bn-IN"/>
    </w:rPr>
  </w:style>
  <w:style w:type="paragraph" w:customStyle="1" w:styleId="selmatrix11">
    <w:name w:val="selmatrix11"/>
    <w:basedOn w:val="a3"/>
    <w:rsid w:val="008E2E42"/>
    <w:pPr>
      <w:widowControl/>
      <w:spacing w:after="30"/>
      <w:jc w:val="right"/>
    </w:pPr>
    <w:rPr>
      <w:rFonts w:ascii="新細明體" w:hAnsi="新細明體" w:cs="新細明體"/>
      <w:kern w:val="0"/>
      <w:sz w:val="24"/>
      <w:lang w:bidi="bn-IN"/>
    </w:rPr>
  </w:style>
  <w:style w:type="paragraph" w:customStyle="1" w:styleId="sort1">
    <w:name w:val="sort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heckall1">
    <w:name w:val="checkall1"/>
    <w:basedOn w:val="a3"/>
    <w:rsid w:val="008E2E42"/>
    <w:pPr>
      <w:widowControl/>
    </w:pPr>
    <w:rPr>
      <w:rFonts w:ascii="新細明體" w:hAnsi="新細明體" w:cs="新細明體"/>
      <w:kern w:val="0"/>
      <w:sz w:val="18"/>
      <w:szCs w:val="18"/>
      <w:lang w:bidi="bn-IN"/>
    </w:rPr>
  </w:style>
  <w:style w:type="paragraph" w:customStyle="1" w:styleId="authorize1">
    <w:name w:val="authorize1"/>
    <w:basedOn w:val="a3"/>
    <w:rsid w:val="008E2E42"/>
    <w:pPr>
      <w:widowControl/>
      <w:ind w:right="70"/>
      <w:jc w:val="right"/>
    </w:pPr>
    <w:rPr>
      <w:rFonts w:ascii="新細明體" w:hAnsi="新細明體" w:cs="新細明體"/>
      <w:kern w:val="0"/>
      <w:sz w:val="24"/>
      <w:lang w:bidi="bn-IN"/>
    </w:rPr>
  </w:style>
  <w:style w:type="paragraph" w:customStyle="1" w:styleId="hotterm1">
    <w:name w:val="hotterm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caption1">
    <w:name w:val="caption1"/>
    <w:basedOn w:val="a3"/>
    <w:rsid w:val="008E2E42"/>
    <w:pPr>
      <w:widowControl/>
      <w:spacing w:line="288" w:lineRule="auto"/>
    </w:pPr>
    <w:rPr>
      <w:rFonts w:ascii="新細明體" w:hAnsi="新細明體" w:cs="新細明體"/>
      <w:color w:val="000000"/>
      <w:kern w:val="0"/>
      <w:sz w:val="23"/>
      <w:szCs w:val="23"/>
      <w:lang w:bidi="bn-IN"/>
    </w:rPr>
  </w:style>
  <w:style w:type="paragraph" w:customStyle="1" w:styleId="publishinfo1">
    <w:name w:val="publishinfo1"/>
    <w:basedOn w:val="a3"/>
    <w:rsid w:val="008E2E42"/>
    <w:pPr>
      <w:widowControl/>
      <w:ind w:left="360"/>
    </w:pPr>
    <w:rPr>
      <w:rFonts w:ascii="新細明體" w:hAnsi="新細明體" w:cs="新細明體"/>
      <w:color w:val="666666"/>
      <w:kern w:val="0"/>
      <w:szCs w:val="20"/>
      <w:lang w:bidi="bn-IN"/>
    </w:rPr>
  </w:style>
  <w:style w:type="paragraph" w:customStyle="1" w:styleId="cpinfo1">
    <w:name w:val="cpinfo1"/>
    <w:basedOn w:val="a3"/>
    <w:rsid w:val="008E2E42"/>
    <w:pPr>
      <w:widowControl/>
      <w:pBdr>
        <w:bottom w:val="dashed" w:sz="4" w:space="2" w:color="CCCCCC"/>
      </w:pBdr>
      <w:spacing w:after="60"/>
    </w:pPr>
    <w:rPr>
      <w:rFonts w:ascii="新細明體" w:hAnsi="新細明體" w:cs="新細明體"/>
      <w:kern w:val="0"/>
      <w:sz w:val="18"/>
      <w:szCs w:val="18"/>
      <w:lang w:bidi="bn-IN"/>
    </w:rPr>
  </w:style>
  <w:style w:type="paragraph" w:customStyle="1" w:styleId="caption2">
    <w:name w:val="caption2"/>
    <w:basedOn w:val="a3"/>
    <w:rsid w:val="008E2E42"/>
    <w:pPr>
      <w:widowControl/>
      <w:spacing w:line="288" w:lineRule="auto"/>
    </w:pPr>
    <w:rPr>
      <w:rFonts w:ascii="新細明體" w:hAnsi="新細明體" w:cs="新細明體"/>
      <w:color w:val="000000"/>
      <w:kern w:val="0"/>
      <w:sz w:val="23"/>
      <w:szCs w:val="23"/>
      <w:lang w:bidi="bn-IN"/>
    </w:rPr>
  </w:style>
  <w:style w:type="paragraph" w:customStyle="1" w:styleId="cover1">
    <w:name w:val="cover1"/>
    <w:basedOn w:val="a3"/>
    <w:rsid w:val="008E2E42"/>
    <w:pPr>
      <w:widowControl/>
      <w:pBdr>
        <w:top w:val="single" w:sz="4" w:space="3" w:color="AAAAAA"/>
        <w:left w:val="single" w:sz="4" w:space="3" w:color="AAAAAA"/>
        <w:bottom w:val="single" w:sz="4" w:space="3" w:color="AAAAAA"/>
        <w:right w:val="single" w:sz="4" w:space="3" w:color="AAAAAA"/>
      </w:pBdr>
      <w:shd w:val="clear" w:color="auto" w:fill="FFFFFF"/>
      <w:spacing w:before="100" w:beforeAutospacing="1" w:after="100" w:afterAutospacing="1"/>
    </w:pPr>
    <w:rPr>
      <w:rFonts w:ascii="新細明體" w:hAnsi="新細明體" w:cs="新細明體"/>
      <w:kern w:val="0"/>
      <w:sz w:val="24"/>
      <w:lang w:bidi="bn-IN"/>
    </w:rPr>
  </w:style>
  <w:style w:type="paragraph" w:customStyle="1" w:styleId="selmatrix3">
    <w:name w:val="selmatrix3"/>
    <w:basedOn w:val="a3"/>
    <w:rsid w:val="008E2E42"/>
    <w:pPr>
      <w:widowControl/>
      <w:spacing w:after="30"/>
      <w:jc w:val="right"/>
    </w:pPr>
    <w:rPr>
      <w:rFonts w:ascii="新細明體" w:hAnsi="新細明體" w:cs="新細明體"/>
      <w:kern w:val="0"/>
      <w:sz w:val="24"/>
      <w:lang w:bidi="bn-IN"/>
    </w:rPr>
  </w:style>
  <w:style w:type="paragraph" w:customStyle="1" w:styleId="selmatrix12">
    <w:name w:val="selmatrix12"/>
    <w:basedOn w:val="a3"/>
    <w:rsid w:val="008E2E42"/>
    <w:pPr>
      <w:widowControl/>
      <w:spacing w:after="30"/>
      <w:jc w:val="right"/>
    </w:pPr>
    <w:rPr>
      <w:rFonts w:ascii="新細明體" w:hAnsi="新細明體" w:cs="新細明體"/>
      <w:kern w:val="0"/>
      <w:sz w:val="24"/>
      <w:lang w:bidi="bn-IN"/>
    </w:rPr>
  </w:style>
  <w:style w:type="character" w:customStyle="1" w:styleId="comment">
    <w:name w:val="comment"/>
    <w:basedOn w:val="a4"/>
    <w:rsid w:val="008E2E42"/>
  </w:style>
  <w:style w:type="character" w:customStyle="1" w:styleId="marky">
    <w:name w:val="marky"/>
    <w:basedOn w:val="a4"/>
    <w:rsid w:val="008E2E42"/>
  </w:style>
  <w:style w:type="character" w:customStyle="1" w:styleId="youhui">
    <w:name w:val="youhui"/>
    <w:basedOn w:val="a4"/>
    <w:rsid w:val="008E2E42"/>
  </w:style>
  <w:style w:type="character" w:customStyle="1" w:styleId="apple-converted-space">
    <w:name w:val="apple-converted-space"/>
    <w:basedOn w:val="a4"/>
    <w:rsid w:val="008E2E42"/>
  </w:style>
  <w:style w:type="character" w:customStyle="1" w:styleId="visitor">
    <w:name w:val="visitor"/>
    <w:basedOn w:val="a4"/>
    <w:rsid w:val="008E2E42"/>
  </w:style>
  <w:style w:type="character" w:customStyle="1" w:styleId="update">
    <w:name w:val="update"/>
    <w:basedOn w:val="a4"/>
    <w:rsid w:val="008E2E42"/>
  </w:style>
  <w:style w:type="character" w:customStyle="1" w:styleId="langwithname">
    <w:name w:val="langwithname"/>
    <w:basedOn w:val="a4"/>
    <w:rsid w:val="008E2E42"/>
  </w:style>
  <w:style w:type="character" w:customStyle="1" w:styleId="msid1100">
    <w:name w:val="ms__id1100"/>
    <w:basedOn w:val="a4"/>
    <w:rsid w:val="008E2E42"/>
  </w:style>
  <w:style w:type="character" w:customStyle="1" w:styleId="msid1103">
    <w:name w:val="ms__id1103"/>
    <w:basedOn w:val="a4"/>
    <w:rsid w:val="008E2E42"/>
  </w:style>
  <w:style w:type="character" w:customStyle="1" w:styleId="msid1104">
    <w:name w:val="ms__id1104"/>
    <w:basedOn w:val="a4"/>
    <w:rsid w:val="008E2E42"/>
  </w:style>
  <w:style w:type="character" w:customStyle="1" w:styleId="msid1107">
    <w:name w:val="ms__id1107"/>
    <w:basedOn w:val="a4"/>
    <w:rsid w:val="008E2E42"/>
  </w:style>
  <w:style w:type="character" w:customStyle="1" w:styleId="msid1110">
    <w:name w:val="ms__id1110"/>
    <w:basedOn w:val="a4"/>
    <w:rsid w:val="008E2E42"/>
  </w:style>
  <w:style w:type="character" w:customStyle="1" w:styleId="msid1111">
    <w:name w:val="ms__id1111"/>
    <w:basedOn w:val="a4"/>
    <w:rsid w:val="008E2E42"/>
  </w:style>
  <w:style w:type="character" w:customStyle="1" w:styleId="msid1113">
    <w:name w:val="ms__id1113"/>
    <w:basedOn w:val="a4"/>
    <w:rsid w:val="008E2E42"/>
  </w:style>
  <w:style w:type="character" w:customStyle="1" w:styleId="watch-titleyt-uix-expander-head">
    <w:name w:val="watch-title  yt-uix-expander-head"/>
    <w:basedOn w:val="a4"/>
    <w:rsid w:val="008E2E42"/>
  </w:style>
  <w:style w:type="character" w:customStyle="1" w:styleId="inner">
    <w:name w:val="inner"/>
    <w:basedOn w:val="a4"/>
    <w:rsid w:val="008E2E42"/>
  </w:style>
  <w:style w:type="character" w:customStyle="1" w:styleId="desc">
    <w:name w:val="desc"/>
    <w:basedOn w:val="a4"/>
    <w:rsid w:val="008E2E42"/>
  </w:style>
  <w:style w:type="character" w:customStyle="1" w:styleId="good">
    <w:name w:val="good"/>
    <w:basedOn w:val="a4"/>
    <w:rsid w:val="008E2E42"/>
  </w:style>
  <w:style w:type="character" w:customStyle="1" w:styleId="skypepnhmark">
    <w:name w:val="skype_pnh_mark"/>
    <w:basedOn w:val="a4"/>
    <w:rsid w:val="008E2E42"/>
  </w:style>
  <w:style w:type="paragraph" w:customStyle="1" w:styleId="style1style9">
    <w:name w:val="style1 style9"/>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HTML0">
    <w:name w:val="HTML 預設格式 字元"/>
    <w:basedOn w:val="a4"/>
    <w:link w:val="HTML"/>
    <w:rsid w:val="008E2E42"/>
    <w:rPr>
      <w:rFonts w:ascii="Arial Unicode MS" w:eastAsia="Arial Unicode MS" w:hAnsi="Arial Unicode MS" w:cs="Arial Unicode MS"/>
    </w:rPr>
  </w:style>
  <w:style w:type="paragraph" w:customStyle="1" w:styleId="reader-word-layerreader-word-s1-2">
    <w:name w:val="reader-word-layer reader-word-s1-2"/>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3">
    <w:name w:val="reader-word-layer reader-word-s1-3"/>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5">
    <w:name w:val="reader-word-layer reader-word-s1-5"/>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6">
    <w:name w:val="reader-word-layer reader-word-s1-6"/>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7">
    <w:name w:val="reader-word-layer reader-word-s1-7"/>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8">
    <w:name w:val="reader-word-layer reader-word-s1-8"/>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9">
    <w:name w:val="reader-word-layer reader-word-s1-9"/>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0">
    <w:name w:val="reader-word-layer reader-word-s1-10"/>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1">
    <w:name w:val="reader-word-layer reader-word-s1-11"/>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2">
    <w:name w:val="reader-word-layer reader-word-s1-12"/>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3">
    <w:name w:val="reader-word-layer reader-word-s1-13"/>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4">
    <w:name w:val="reader-word-layer reader-word-s1-14"/>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5">
    <w:name w:val="reader-word-layer reader-word-s1-15"/>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6">
    <w:name w:val="reader-word-layer reader-word-s1-16"/>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reader-word-layerreader-word-s1-17">
    <w:name w:val="reader-word-layer reader-word-s1-17"/>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titleb">
    <w:name w:val="title b"/>
    <w:basedOn w:val="a4"/>
    <w:rsid w:val="008E2E42"/>
  </w:style>
  <w:style w:type="character" w:customStyle="1" w:styleId="views">
    <w:name w:val="views"/>
    <w:basedOn w:val="a4"/>
    <w:rsid w:val="008E2E42"/>
  </w:style>
  <w:style w:type="character" w:customStyle="1" w:styleId="1e">
    <w:name w:val="日期1"/>
    <w:basedOn w:val="a4"/>
    <w:rsid w:val="008E2E42"/>
  </w:style>
  <w:style w:type="paragraph" w:styleId="affff2">
    <w:name w:val="Date"/>
    <w:basedOn w:val="a3"/>
    <w:next w:val="a3"/>
    <w:link w:val="affff3"/>
    <w:rsid w:val="008E2E42"/>
    <w:pPr>
      <w:jc w:val="right"/>
    </w:pPr>
    <w:rPr>
      <w:rFonts w:ascii="Calibri" w:hAnsi="Calibri"/>
      <w:sz w:val="24"/>
      <w:szCs w:val="22"/>
    </w:rPr>
  </w:style>
  <w:style w:type="character" w:customStyle="1" w:styleId="affff3">
    <w:name w:val="日期 字元"/>
    <w:basedOn w:val="a4"/>
    <w:link w:val="affff2"/>
    <w:rsid w:val="008E2E42"/>
    <w:rPr>
      <w:rFonts w:ascii="Calibri" w:hAnsi="Calibri"/>
      <w:kern w:val="2"/>
      <w:sz w:val="24"/>
      <w:szCs w:val="22"/>
    </w:rPr>
  </w:style>
  <w:style w:type="character" w:customStyle="1" w:styleId="description">
    <w:name w:val="description"/>
    <w:basedOn w:val="a4"/>
    <w:rsid w:val="008E2E42"/>
  </w:style>
  <w:style w:type="character" w:customStyle="1" w:styleId="cara">
    <w:name w:val="cara"/>
    <w:basedOn w:val="a4"/>
    <w:rsid w:val="008E2E42"/>
  </w:style>
  <w:style w:type="paragraph" w:customStyle="1" w:styleId="1f">
    <w:name w:val="內文1."/>
    <w:basedOn w:val="a3"/>
    <w:link w:val="1f0"/>
    <w:rsid w:val="008E2E42"/>
    <w:pPr>
      <w:autoSpaceDN w:val="0"/>
      <w:ind w:leftChars="165" w:left="315" w:hangingChars="150" w:hanging="150"/>
    </w:pPr>
    <w:rPr>
      <w:rFonts w:eastAsia="華康仿宋體"/>
      <w:sz w:val="23"/>
    </w:rPr>
  </w:style>
  <w:style w:type="character" w:customStyle="1" w:styleId="1f0">
    <w:name w:val="內文1. 字元"/>
    <w:link w:val="1f"/>
    <w:rsid w:val="008E2E42"/>
    <w:rPr>
      <w:rFonts w:eastAsia="華康仿宋體"/>
      <w:kern w:val="2"/>
      <w:sz w:val="23"/>
      <w:szCs w:val="24"/>
    </w:rPr>
  </w:style>
  <w:style w:type="paragraph" w:styleId="affff4">
    <w:name w:val="Plain Text"/>
    <w:aliases w:val="字元3"/>
    <w:basedOn w:val="a3"/>
    <w:link w:val="affff5"/>
    <w:uiPriority w:val="99"/>
    <w:rsid w:val="008E2E42"/>
    <w:rPr>
      <w:rFonts w:ascii="細明體" w:eastAsia="細明體" w:hAnsi="Courier New" w:cs="Courier New"/>
      <w:sz w:val="24"/>
    </w:rPr>
  </w:style>
  <w:style w:type="character" w:customStyle="1" w:styleId="affff5">
    <w:name w:val="純文字 字元"/>
    <w:aliases w:val="字元3 字元"/>
    <w:basedOn w:val="a4"/>
    <w:link w:val="affff4"/>
    <w:uiPriority w:val="99"/>
    <w:rsid w:val="008E2E42"/>
    <w:rPr>
      <w:rFonts w:ascii="細明體" w:eastAsia="細明體" w:hAnsi="Courier New" w:cs="Courier New"/>
      <w:kern w:val="2"/>
      <w:sz w:val="24"/>
      <w:szCs w:val="24"/>
    </w:rPr>
  </w:style>
  <w:style w:type="paragraph" w:customStyle="1" w:styleId="hiragana">
    <w:name w:val="hiragana"/>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bluewords">
    <w:name w:val="bluewords"/>
    <w:basedOn w:val="a4"/>
    <w:rsid w:val="008E2E42"/>
  </w:style>
  <w:style w:type="character" w:customStyle="1" w:styleId="label13px1">
    <w:name w:val="label_13px1"/>
    <w:rsid w:val="008E2E42"/>
    <w:rPr>
      <w:rFonts w:ascii="細明體" w:eastAsia="細明體" w:hAnsi="細明體" w:hint="eastAsia"/>
      <w:sz w:val="15"/>
      <w:szCs w:val="15"/>
    </w:rPr>
  </w:style>
  <w:style w:type="paragraph" w:customStyle="1" w:styleId="-1">
    <w:name w:val="內文-1"/>
    <w:basedOn w:val="a3"/>
    <w:rsid w:val="008E2E42"/>
    <w:pPr>
      <w:spacing w:beforeLines="50" w:before="180" w:afterLines="50" w:after="180"/>
    </w:pPr>
    <w:rPr>
      <w:rFonts w:cs="Arial"/>
      <w:sz w:val="27"/>
    </w:rPr>
  </w:style>
  <w:style w:type="paragraph" w:customStyle="1" w:styleId="1f1">
    <w:name w:val="字元 字元 字元 字元 字元1 字元"/>
    <w:basedOn w:val="a3"/>
    <w:rsid w:val="008E2E42"/>
    <w:pPr>
      <w:widowControl/>
      <w:spacing w:after="160" w:line="240" w:lineRule="exact"/>
    </w:pPr>
    <w:rPr>
      <w:rFonts w:ascii="Verdana" w:hAnsi="Verdana"/>
      <w:kern w:val="0"/>
      <w:szCs w:val="20"/>
      <w:lang w:eastAsia="en-US"/>
    </w:rPr>
  </w:style>
  <w:style w:type="character" w:customStyle="1" w:styleId="mw-editsection-bracket">
    <w:name w:val="mw-editsection-bracket"/>
    <w:basedOn w:val="a4"/>
    <w:rsid w:val="008E2E42"/>
  </w:style>
  <w:style w:type="character" w:customStyle="1" w:styleId="watch-titlelong-titleyt-uix-expander-head">
    <w:name w:val="watch-title long-title yt-uix-expander-head"/>
    <w:basedOn w:val="a4"/>
    <w:rsid w:val="008E2E42"/>
  </w:style>
  <w:style w:type="character" w:customStyle="1" w:styleId="ptinfoproperty1">
    <w:name w:val="ptinfoproperty1"/>
    <w:basedOn w:val="a4"/>
    <w:rsid w:val="008E2E42"/>
  </w:style>
  <w:style w:type="character" w:customStyle="1" w:styleId="lawsnameja">
    <w:name w:val="lawsname_ja"/>
    <w:basedOn w:val="a4"/>
    <w:rsid w:val="008E2E42"/>
  </w:style>
  <w:style w:type="character" w:customStyle="1" w:styleId="num">
    <w:name w:val="num"/>
    <w:basedOn w:val="a4"/>
    <w:rsid w:val="008E2E42"/>
  </w:style>
  <w:style w:type="character" w:customStyle="1" w:styleId="days">
    <w:name w:val="days"/>
    <w:basedOn w:val="a4"/>
    <w:rsid w:val="008E2E42"/>
  </w:style>
  <w:style w:type="character" w:customStyle="1" w:styleId="lawtitletext">
    <w:name w:val="lawtitle_text"/>
    <w:basedOn w:val="a4"/>
    <w:rsid w:val="008E2E42"/>
  </w:style>
  <w:style w:type="character" w:customStyle="1" w:styleId="articletitle">
    <w:name w:val="articletitle"/>
    <w:basedOn w:val="a4"/>
    <w:rsid w:val="008E2E42"/>
  </w:style>
  <w:style w:type="character" w:customStyle="1" w:styleId="dict">
    <w:name w:val="dict"/>
    <w:basedOn w:val="a4"/>
    <w:rsid w:val="008E2E42"/>
  </w:style>
  <w:style w:type="character" w:customStyle="1" w:styleId="itemtitle">
    <w:name w:val="itemtitle"/>
    <w:basedOn w:val="a4"/>
    <w:rsid w:val="008E2E42"/>
  </w:style>
  <w:style w:type="character" w:customStyle="1" w:styleId="subitem1title">
    <w:name w:val="subitem1title"/>
    <w:basedOn w:val="a4"/>
    <w:rsid w:val="008E2E42"/>
  </w:style>
  <w:style w:type="character" w:customStyle="1" w:styleId="paragraphnum">
    <w:name w:val="paragraphnum"/>
    <w:basedOn w:val="a4"/>
    <w:rsid w:val="008E2E42"/>
  </w:style>
  <w:style w:type="character" w:customStyle="1" w:styleId="subitem2title">
    <w:name w:val="subitem2title"/>
    <w:basedOn w:val="a4"/>
    <w:rsid w:val="008E2E42"/>
  </w:style>
  <w:style w:type="character" w:customStyle="1" w:styleId="relatedarticlenum">
    <w:name w:val="relatedarticlenum"/>
    <w:basedOn w:val="a4"/>
    <w:rsid w:val="008E2E42"/>
  </w:style>
  <w:style w:type="character" w:customStyle="1" w:styleId="msid3670">
    <w:name w:val="ms__id3670"/>
    <w:basedOn w:val="a4"/>
    <w:rsid w:val="008E2E42"/>
  </w:style>
  <w:style w:type="character" w:customStyle="1" w:styleId="msid3671">
    <w:name w:val="ms__id3671"/>
    <w:basedOn w:val="a4"/>
    <w:rsid w:val="008E2E42"/>
  </w:style>
  <w:style w:type="character" w:customStyle="1" w:styleId="msid3672">
    <w:name w:val="ms__id3672"/>
    <w:basedOn w:val="a4"/>
    <w:rsid w:val="008E2E42"/>
  </w:style>
  <w:style w:type="character" w:customStyle="1" w:styleId="msid3673">
    <w:name w:val="ms__id3673"/>
    <w:basedOn w:val="a4"/>
    <w:rsid w:val="008E2E42"/>
  </w:style>
  <w:style w:type="character" w:customStyle="1" w:styleId="msid3674">
    <w:name w:val="ms__id3674"/>
    <w:basedOn w:val="a4"/>
    <w:rsid w:val="008E2E42"/>
  </w:style>
  <w:style w:type="character" w:customStyle="1" w:styleId="msid3675">
    <w:name w:val="ms__id3675"/>
    <w:basedOn w:val="a4"/>
    <w:rsid w:val="008E2E42"/>
  </w:style>
  <w:style w:type="character" w:customStyle="1" w:styleId="msid3676">
    <w:name w:val="ms__id3676"/>
    <w:basedOn w:val="a4"/>
    <w:rsid w:val="008E2E42"/>
  </w:style>
  <w:style w:type="character" w:customStyle="1" w:styleId="flag">
    <w:name w:val="flag"/>
    <w:basedOn w:val="a4"/>
    <w:rsid w:val="008E2E42"/>
  </w:style>
  <w:style w:type="character" w:customStyle="1" w:styleId="st">
    <w:name w:val="st"/>
    <w:basedOn w:val="a4"/>
    <w:rsid w:val="008E2E42"/>
  </w:style>
  <w:style w:type="character" w:customStyle="1" w:styleId="f">
    <w:name w:val="f"/>
    <w:basedOn w:val="a4"/>
    <w:rsid w:val="008E2E42"/>
  </w:style>
  <w:style w:type="character" w:customStyle="1" w:styleId="sharecount">
    <w:name w:val="sharecount"/>
    <w:basedOn w:val="a4"/>
    <w:rsid w:val="008E2E42"/>
  </w:style>
  <w:style w:type="character" w:customStyle="1" w:styleId="textpink">
    <w:name w:val="text_pink"/>
    <w:basedOn w:val="a4"/>
    <w:rsid w:val="008E2E42"/>
  </w:style>
  <w:style w:type="paragraph" w:customStyle="1" w:styleId="affff6">
    <w:name w:val="一般項目符號"/>
    <w:basedOn w:val="a3"/>
    <w:next w:val="a3"/>
    <w:rsid w:val="008E2E42"/>
    <w:pPr>
      <w:kinsoku w:val="0"/>
      <w:wordWrap w:val="0"/>
      <w:overflowPunct w:val="0"/>
      <w:ind w:leftChars="100" w:left="210" w:firstLineChars="100" w:firstLine="210"/>
      <w:textAlignment w:val="center"/>
    </w:pPr>
    <w:rPr>
      <w:rFonts w:eastAsia="華康細明體"/>
      <w:noProof/>
      <w:kern w:val="0"/>
      <w:sz w:val="21"/>
    </w:rPr>
  </w:style>
  <w:style w:type="paragraph" w:customStyle="1" w:styleId="affff7">
    <w:name w:val="案由(議)"/>
    <w:basedOn w:val="a3"/>
    <w:next w:val="a3"/>
    <w:rsid w:val="008E2E42"/>
    <w:pPr>
      <w:kinsoku w:val="0"/>
      <w:overflowPunct w:val="0"/>
      <w:spacing w:line="480" w:lineRule="exact"/>
      <w:ind w:leftChars="250" w:left="550" w:hangingChars="300" w:hanging="300"/>
      <w:textAlignment w:val="center"/>
    </w:pPr>
    <w:rPr>
      <w:rFonts w:eastAsia="華康楷書體W5"/>
      <w:noProof/>
      <w:spacing w:val="2"/>
      <w:kern w:val="0"/>
      <w:sz w:val="28"/>
    </w:rPr>
  </w:style>
  <w:style w:type="paragraph" w:customStyle="1" w:styleId="affff8">
    <w:name w:val="表格第一列(文字分散)"/>
    <w:basedOn w:val="a3"/>
    <w:next w:val="a3"/>
    <w:rsid w:val="008E2E42"/>
    <w:pPr>
      <w:kinsoku w:val="0"/>
      <w:overflowPunct w:val="0"/>
      <w:spacing w:line="315" w:lineRule="exact"/>
      <w:ind w:leftChars="50" w:left="50" w:rightChars="50" w:right="50"/>
      <w:jc w:val="distribute"/>
      <w:textAlignment w:val="center"/>
    </w:pPr>
    <w:rPr>
      <w:rFonts w:eastAsia="華康細明體"/>
      <w:noProof/>
      <w:sz w:val="21"/>
    </w:rPr>
  </w:style>
  <w:style w:type="paragraph" w:customStyle="1" w:styleId="affff9">
    <w:name w:val="院總號"/>
    <w:basedOn w:val="a3"/>
    <w:next w:val="a3"/>
    <w:rsid w:val="008E2E42"/>
    <w:pPr>
      <w:kinsoku w:val="0"/>
      <w:overflowPunct w:val="0"/>
      <w:spacing w:line="420" w:lineRule="exact"/>
      <w:textAlignment w:val="center"/>
    </w:pPr>
    <w:rPr>
      <w:rFonts w:eastAsia="華康楷書體W5"/>
      <w:noProof/>
      <w:kern w:val="0"/>
      <w:sz w:val="42"/>
    </w:rPr>
  </w:style>
  <w:style w:type="paragraph" w:customStyle="1" w:styleId="affffa">
    <w:name w:val="提案號"/>
    <w:basedOn w:val="a3"/>
    <w:rsid w:val="008E2E42"/>
    <w:pPr>
      <w:kinsoku w:val="0"/>
      <w:overflowPunct w:val="0"/>
      <w:spacing w:line="420" w:lineRule="exact"/>
      <w:textAlignment w:val="center"/>
    </w:pPr>
    <w:rPr>
      <w:rFonts w:eastAsia="華康楷書體W5"/>
      <w:noProof/>
      <w:kern w:val="0"/>
      <w:sz w:val="34"/>
    </w:rPr>
  </w:style>
  <w:style w:type="paragraph" w:customStyle="1" w:styleId="affffb">
    <w:name w:val="說明"/>
    <w:basedOn w:val="a3"/>
    <w:next w:val="a3"/>
    <w:rsid w:val="008E2E42"/>
    <w:pPr>
      <w:kinsoku w:val="0"/>
      <w:overflowPunct w:val="0"/>
      <w:spacing w:line="420" w:lineRule="exact"/>
      <w:ind w:left="300" w:hangingChars="300" w:hanging="300"/>
      <w:textAlignment w:val="center"/>
    </w:pPr>
    <w:rPr>
      <w:rFonts w:eastAsia="華康細明體"/>
      <w:noProof/>
      <w:kern w:val="0"/>
      <w:sz w:val="21"/>
    </w:rPr>
  </w:style>
  <w:style w:type="paragraph" w:customStyle="1" w:styleId="affffc">
    <w:name w:val="說明(無函件項目符號)"/>
    <w:basedOn w:val="a3"/>
    <w:next w:val="a3"/>
    <w:rsid w:val="008E2E42"/>
    <w:pPr>
      <w:kinsoku w:val="0"/>
      <w:overflowPunct w:val="0"/>
      <w:spacing w:line="420" w:lineRule="exact"/>
      <w:ind w:leftChars="100" w:left="300" w:hangingChars="200" w:hanging="200"/>
      <w:textAlignment w:val="center"/>
    </w:pPr>
    <w:rPr>
      <w:rFonts w:eastAsia="華康細明體"/>
      <w:noProof/>
      <w:kern w:val="0"/>
      <w:sz w:val="21"/>
    </w:rPr>
  </w:style>
  <w:style w:type="paragraph" w:customStyle="1" w:styleId="-">
    <w:name w:val="黨團提案-議程"/>
    <w:basedOn w:val="affff7"/>
    <w:rsid w:val="008E2E42"/>
    <w:pPr>
      <w:spacing w:line="420" w:lineRule="exact"/>
      <w:ind w:leftChars="1100" w:left="1100" w:firstLineChars="0" w:firstLine="0"/>
    </w:pPr>
    <w:rPr>
      <w:rFonts w:eastAsia="華康細明體"/>
      <w:sz w:val="21"/>
    </w:rPr>
  </w:style>
  <w:style w:type="paragraph" w:customStyle="1" w:styleId="affffd">
    <w:name w:val="函件(主旨)"/>
    <w:basedOn w:val="a3"/>
    <w:next w:val="a3"/>
    <w:rsid w:val="008E2E42"/>
    <w:pPr>
      <w:kinsoku w:val="0"/>
      <w:overflowPunct w:val="0"/>
      <w:spacing w:line="420" w:lineRule="exact"/>
      <w:ind w:left="300" w:hangingChars="300" w:hanging="300"/>
      <w:textAlignment w:val="center"/>
    </w:pPr>
    <w:rPr>
      <w:rFonts w:eastAsia="華康細明體"/>
      <w:noProof/>
      <w:kern w:val="0"/>
      <w:sz w:val="21"/>
    </w:rPr>
  </w:style>
  <w:style w:type="paragraph" w:customStyle="1" w:styleId="affffe">
    <w:name w:val="函件(正附本)"/>
    <w:basedOn w:val="a3"/>
    <w:next w:val="a3"/>
    <w:rsid w:val="008E2E42"/>
    <w:pPr>
      <w:kinsoku w:val="0"/>
      <w:overflowPunct w:val="0"/>
      <w:spacing w:line="420" w:lineRule="exact"/>
      <w:ind w:left="300" w:hangingChars="300" w:hanging="300"/>
      <w:textAlignment w:val="center"/>
    </w:pPr>
    <w:rPr>
      <w:rFonts w:eastAsia="華康細明體"/>
      <w:noProof/>
      <w:kern w:val="0"/>
      <w:sz w:val="21"/>
    </w:rPr>
  </w:style>
  <w:style w:type="paragraph" w:customStyle="1" w:styleId="afffff">
    <w:name w:val="函件(受文者)"/>
    <w:basedOn w:val="a3"/>
    <w:next w:val="a3"/>
    <w:rsid w:val="008E2E42"/>
    <w:pPr>
      <w:kinsoku w:val="0"/>
      <w:overflowPunct w:val="0"/>
      <w:spacing w:line="420" w:lineRule="exact"/>
      <w:ind w:left="400" w:hangingChars="400" w:hanging="400"/>
      <w:textAlignment w:val="center"/>
    </w:pPr>
    <w:rPr>
      <w:rFonts w:eastAsia="華康細明體"/>
      <w:noProof/>
      <w:kern w:val="0"/>
      <w:sz w:val="21"/>
    </w:rPr>
  </w:style>
  <w:style w:type="paragraph" w:customStyle="1" w:styleId="afffff0">
    <w:name w:val="函件(附件)"/>
    <w:basedOn w:val="a3"/>
    <w:rsid w:val="008E2E42"/>
    <w:pPr>
      <w:kinsoku w:val="0"/>
      <w:overflowPunct w:val="0"/>
      <w:spacing w:line="420" w:lineRule="exact"/>
      <w:ind w:left="300" w:hangingChars="300" w:hanging="300"/>
      <w:textAlignment w:val="center"/>
    </w:pPr>
    <w:rPr>
      <w:rFonts w:eastAsia="華康細明體"/>
      <w:noProof/>
      <w:kern w:val="0"/>
      <w:sz w:val="21"/>
    </w:rPr>
  </w:style>
  <w:style w:type="paragraph" w:customStyle="1" w:styleId="afffff1">
    <w:name w:val="函件(密等及解密條件)"/>
    <w:basedOn w:val="a3"/>
    <w:next w:val="a3"/>
    <w:rsid w:val="008E2E42"/>
    <w:pPr>
      <w:kinsoku w:val="0"/>
      <w:overflowPunct w:val="0"/>
      <w:spacing w:line="420" w:lineRule="exact"/>
      <w:ind w:left="800" w:hangingChars="800" w:hanging="800"/>
      <w:textAlignment w:val="center"/>
    </w:pPr>
    <w:rPr>
      <w:rFonts w:eastAsia="華康細明體"/>
      <w:noProof/>
      <w:kern w:val="0"/>
      <w:sz w:val="21"/>
    </w:rPr>
  </w:style>
  <w:style w:type="paragraph" w:customStyle="1" w:styleId="afffff2">
    <w:name w:val="函件(速別)"/>
    <w:basedOn w:val="a3"/>
    <w:next w:val="a3"/>
    <w:rsid w:val="008E2E42"/>
    <w:pPr>
      <w:kinsoku w:val="0"/>
      <w:overflowPunct w:val="0"/>
      <w:spacing w:line="420" w:lineRule="exact"/>
      <w:ind w:left="300" w:hangingChars="300" w:hanging="300"/>
      <w:textAlignment w:val="center"/>
    </w:pPr>
    <w:rPr>
      <w:rFonts w:eastAsia="華康細明體"/>
      <w:noProof/>
      <w:kern w:val="0"/>
      <w:sz w:val="21"/>
    </w:rPr>
  </w:style>
  <w:style w:type="paragraph" w:customStyle="1" w:styleId="afffff3">
    <w:name w:val="函件(單位)"/>
    <w:basedOn w:val="a3"/>
    <w:next w:val="a3"/>
    <w:rsid w:val="008E2E42"/>
    <w:pPr>
      <w:kinsoku w:val="0"/>
      <w:overflowPunct w:val="0"/>
      <w:textAlignment w:val="center"/>
    </w:pPr>
    <w:rPr>
      <w:rFonts w:eastAsia="華康楷書體W5"/>
      <w:noProof/>
      <w:kern w:val="0"/>
      <w:sz w:val="28"/>
    </w:rPr>
  </w:style>
  <w:style w:type="paragraph" w:customStyle="1" w:styleId="afffff4">
    <w:name w:val="函件(發文日期與字號)"/>
    <w:basedOn w:val="a3"/>
    <w:next w:val="a3"/>
    <w:rsid w:val="008E2E42"/>
    <w:pPr>
      <w:kinsoku w:val="0"/>
      <w:overflowPunct w:val="0"/>
      <w:spacing w:line="420" w:lineRule="exact"/>
      <w:ind w:left="500" w:hangingChars="500" w:hanging="500"/>
      <w:textAlignment w:val="center"/>
    </w:pPr>
    <w:rPr>
      <w:rFonts w:eastAsia="華康細明體"/>
      <w:noProof/>
      <w:kern w:val="0"/>
      <w:sz w:val="21"/>
    </w:rPr>
  </w:style>
  <w:style w:type="paragraph" w:customStyle="1" w:styleId="afffff5">
    <w:name w:val="函件(說明)"/>
    <w:basedOn w:val="a3"/>
    <w:next w:val="a3"/>
    <w:rsid w:val="008E2E42"/>
    <w:pPr>
      <w:kinsoku w:val="0"/>
      <w:overflowPunct w:val="0"/>
      <w:spacing w:line="420" w:lineRule="exact"/>
      <w:ind w:left="300" w:hangingChars="300" w:hanging="300"/>
      <w:textAlignment w:val="center"/>
    </w:pPr>
    <w:rPr>
      <w:rFonts w:eastAsia="華康細明體"/>
      <w:noProof/>
      <w:kern w:val="0"/>
      <w:sz w:val="21"/>
    </w:rPr>
  </w:style>
  <w:style w:type="paragraph" w:customStyle="1" w:styleId="afffff6">
    <w:name w:val="函件(說明項目符號)"/>
    <w:basedOn w:val="a3"/>
    <w:next w:val="a3"/>
    <w:rsid w:val="008E2E42"/>
    <w:pPr>
      <w:kinsoku w:val="0"/>
      <w:overflowPunct w:val="0"/>
      <w:spacing w:line="420" w:lineRule="exact"/>
      <w:ind w:leftChars="100" w:left="300" w:hangingChars="200" w:hanging="200"/>
      <w:textAlignment w:val="center"/>
    </w:pPr>
    <w:rPr>
      <w:rFonts w:eastAsia="華康細明體"/>
      <w:noProof/>
      <w:kern w:val="0"/>
      <w:sz w:val="21"/>
    </w:rPr>
  </w:style>
  <w:style w:type="paragraph" w:customStyle="1" w:styleId="afffff7">
    <w:name w:val="審查報告(項目符號)"/>
    <w:basedOn w:val="a3"/>
    <w:next w:val="a3"/>
    <w:rsid w:val="008E2E42"/>
    <w:pPr>
      <w:kinsoku w:val="0"/>
      <w:overflowPunct w:val="0"/>
      <w:spacing w:line="420" w:lineRule="exact"/>
      <w:ind w:left="200" w:hangingChars="200" w:hanging="200"/>
      <w:textAlignment w:val="center"/>
    </w:pPr>
    <w:rPr>
      <w:rFonts w:eastAsia="華康細明體"/>
      <w:noProof/>
      <w:kern w:val="0"/>
      <w:sz w:val="21"/>
    </w:rPr>
  </w:style>
  <w:style w:type="paragraph" w:customStyle="1" w:styleId="afffff8">
    <w:name w:val="審查報告(內文)"/>
    <w:basedOn w:val="a3"/>
    <w:next w:val="a3"/>
    <w:rsid w:val="008E2E42"/>
    <w:pPr>
      <w:kinsoku w:val="0"/>
      <w:overflowPunct w:val="0"/>
      <w:spacing w:line="420" w:lineRule="exact"/>
      <w:ind w:firstLineChars="200" w:firstLine="200"/>
      <w:textAlignment w:val="center"/>
    </w:pPr>
    <w:rPr>
      <w:rFonts w:eastAsia="華康細明體"/>
      <w:noProof/>
      <w:sz w:val="21"/>
    </w:rPr>
  </w:style>
  <w:style w:type="paragraph" w:customStyle="1" w:styleId="afffff9">
    <w:name w:val="審查報告(標題)"/>
    <w:basedOn w:val="a3"/>
    <w:next w:val="a3"/>
    <w:rsid w:val="008E2E42"/>
    <w:pPr>
      <w:kinsoku w:val="0"/>
      <w:overflowPunct w:val="0"/>
      <w:spacing w:afterLines="50" w:after="50"/>
      <w:ind w:leftChars="500" w:left="600" w:hangingChars="100" w:hanging="100"/>
      <w:textAlignment w:val="center"/>
    </w:pPr>
    <w:rPr>
      <w:rFonts w:eastAsia="華康楷書體W5"/>
      <w:noProof/>
      <w:kern w:val="0"/>
      <w:sz w:val="28"/>
    </w:rPr>
  </w:style>
  <w:style w:type="character" w:customStyle="1" w:styleId="time">
    <w:name w:val="time"/>
    <w:basedOn w:val="a4"/>
    <w:rsid w:val="008E2E42"/>
  </w:style>
  <w:style w:type="character" w:customStyle="1" w:styleId="style170">
    <w:name w:val="style170"/>
    <w:basedOn w:val="a4"/>
    <w:rsid w:val="008E2E42"/>
  </w:style>
  <w:style w:type="paragraph" w:customStyle="1" w:styleId="style117">
    <w:name w:val="style117"/>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style48">
    <w:name w:val="style48"/>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tpccontent">
    <w:name w:val="tpc_content"/>
    <w:basedOn w:val="a4"/>
    <w:rsid w:val="008E2E42"/>
  </w:style>
  <w:style w:type="character" w:customStyle="1" w:styleId="kword">
    <w:name w:val="kword"/>
    <w:basedOn w:val="a4"/>
    <w:rsid w:val="008E2E42"/>
  </w:style>
  <w:style w:type="character" w:customStyle="1" w:styleId="label13px2">
    <w:name w:val="label_13px2"/>
    <w:rsid w:val="008E2E42"/>
    <w:rPr>
      <w:rFonts w:ascii="細明體" w:eastAsia="細明體" w:hAnsi="細明體" w:hint="eastAsia"/>
      <w:sz w:val="13"/>
      <w:szCs w:val="13"/>
    </w:rPr>
  </w:style>
  <w:style w:type="character" w:customStyle="1" w:styleId="blue15">
    <w:name w:val="blue15"/>
    <w:basedOn w:val="a4"/>
    <w:rsid w:val="008E2E42"/>
  </w:style>
  <w:style w:type="character" w:customStyle="1" w:styleId="bk15style16">
    <w:name w:val="bk15 style16"/>
    <w:basedOn w:val="a4"/>
    <w:rsid w:val="008E2E42"/>
  </w:style>
  <w:style w:type="paragraph" w:customStyle="1" w:styleId="122">
    <w:name w:val="字元 字元1 字元 字元 字元 字元 字元 字元2 字元 字元 字元 字元 字元 字元2 字元 字元 字元 字元"/>
    <w:basedOn w:val="a3"/>
    <w:rsid w:val="008E2E42"/>
    <w:pPr>
      <w:widowControl/>
      <w:spacing w:after="160" w:line="240" w:lineRule="exact"/>
    </w:pPr>
    <w:rPr>
      <w:rFonts w:ascii="Verdana" w:hAnsi="Verdana"/>
      <w:kern w:val="0"/>
      <w:szCs w:val="28"/>
      <w:lang w:eastAsia="en-US"/>
    </w:rPr>
  </w:style>
  <w:style w:type="character" w:customStyle="1" w:styleId="hidetext">
    <w:name w:val="hide_text"/>
    <w:basedOn w:val="a4"/>
    <w:rsid w:val="008E2E42"/>
  </w:style>
  <w:style w:type="character" w:customStyle="1" w:styleId="yiv6694939352msid915yiv6694939352msid953">
    <w:name w:val="yiv6694939352ms__id915 yiv6694939352ms__id953"/>
    <w:basedOn w:val="a4"/>
    <w:rsid w:val="008E2E42"/>
  </w:style>
  <w:style w:type="paragraph" w:customStyle="1" w:styleId="25">
    <w:name w:val="清單段落2"/>
    <w:basedOn w:val="a3"/>
    <w:qFormat/>
    <w:rsid w:val="008E2E42"/>
    <w:pPr>
      <w:ind w:leftChars="200" w:left="480"/>
    </w:pPr>
    <w:rPr>
      <w:rFonts w:ascii="Calibri" w:hAnsi="Calibri"/>
      <w:sz w:val="24"/>
      <w:szCs w:val="22"/>
    </w:rPr>
  </w:style>
  <w:style w:type="character" w:customStyle="1" w:styleId="bureau">
    <w:name w:val="bureau"/>
    <w:basedOn w:val="a4"/>
    <w:rsid w:val="008E2E42"/>
  </w:style>
  <w:style w:type="character" w:customStyle="1" w:styleId="reporttitle">
    <w:name w:val="report_title"/>
    <w:basedOn w:val="a4"/>
    <w:rsid w:val="008E2E42"/>
  </w:style>
  <w:style w:type="character" w:customStyle="1" w:styleId="documenttype-longreleases">
    <w:name w:val="document_type_-_long_releases"/>
    <w:basedOn w:val="a4"/>
    <w:rsid w:val="008E2E42"/>
  </w:style>
  <w:style w:type="character" w:customStyle="1" w:styleId="switchoff">
    <w:name w:val="switch off"/>
    <w:basedOn w:val="a4"/>
    <w:rsid w:val="008E2E42"/>
  </w:style>
  <w:style w:type="character" w:customStyle="1" w:styleId="fbrecommenddummytwoclick-network">
    <w:name w:val="fb_recommend_dummy twoclick-network"/>
    <w:basedOn w:val="a4"/>
    <w:rsid w:val="008E2E42"/>
  </w:style>
  <w:style w:type="character" w:customStyle="1" w:styleId="twitterdummytwoclick-network">
    <w:name w:val="twitter_dummy twoclick-network"/>
    <w:basedOn w:val="a4"/>
    <w:rsid w:val="008E2E42"/>
  </w:style>
  <w:style w:type="character" w:customStyle="1" w:styleId="gplusonedummytwoclick-network">
    <w:name w:val="gplus_one_dummy twoclick-network"/>
    <w:basedOn w:val="a4"/>
    <w:rsid w:val="008E2E42"/>
  </w:style>
  <w:style w:type="character" w:customStyle="1" w:styleId="linkedindummytwoclick-network">
    <w:name w:val="linkedin_dummy twoclick-network"/>
    <w:basedOn w:val="a4"/>
    <w:rsid w:val="008E2E42"/>
  </w:style>
  <w:style w:type="character" w:customStyle="1" w:styleId="sgtxtb">
    <w:name w:val="sg_txtb"/>
    <w:rsid w:val="008E2E42"/>
  </w:style>
  <w:style w:type="character" w:customStyle="1" w:styleId="watch-title">
    <w:name w:val="watch-title"/>
    <w:rsid w:val="008E2E42"/>
  </w:style>
  <w:style w:type="character" w:customStyle="1" w:styleId="label13px4">
    <w:name w:val="label_13px4"/>
    <w:rsid w:val="008E2E42"/>
    <w:rPr>
      <w:rFonts w:ascii="細明體" w:eastAsia="細明體" w:hAnsi="細明體" w:hint="eastAsia"/>
      <w:sz w:val="23"/>
      <w:szCs w:val="23"/>
    </w:rPr>
  </w:style>
  <w:style w:type="paragraph" w:customStyle="1" w:styleId="981">
    <w:name w:val="981"/>
    <w:basedOn w:val="a3"/>
    <w:rsid w:val="008E2E42"/>
    <w:pPr>
      <w:widowControl/>
      <w:spacing w:before="100" w:beforeAutospacing="1" w:after="100" w:afterAutospacing="1"/>
    </w:pPr>
    <w:rPr>
      <w:rFonts w:ascii="新細明體" w:hAnsi="新細明體" w:cs="新細明體"/>
      <w:kern w:val="0"/>
      <w:sz w:val="24"/>
    </w:rPr>
  </w:style>
  <w:style w:type="paragraph" w:customStyle="1" w:styleId="98">
    <w:name w:val="98年研討標題"/>
    <w:basedOn w:val="a3"/>
    <w:rsid w:val="008E2E42"/>
    <w:pPr>
      <w:jc w:val="center"/>
    </w:pPr>
    <w:rPr>
      <w:b/>
      <w:sz w:val="32"/>
    </w:rPr>
  </w:style>
  <w:style w:type="paragraph" w:customStyle="1" w:styleId="980">
    <w:name w:val="98研討一"/>
    <w:basedOn w:val="a3"/>
    <w:rsid w:val="008E2E42"/>
    <w:pPr>
      <w:snapToGrid w:val="0"/>
      <w:spacing w:beforeLines="50" w:before="50" w:afterLines="50" w:after="50"/>
      <w:ind w:left="200" w:hangingChars="200" w:hanging="200"/>
    </w:pPr>
    <w:rPr>
      <w:b/>
      <w:sz w:val="28"/>
    </w:rPr>
  </w:style>
  <w:style w:type="paragraph" w:customStyle="1" w:styleId="982">
    <w:name w:val="98研討內文"/>
    <w:basedOn w:val="a3"/>
    <w:autoRedefine/>
    <w:rsid w:val="008E2E42"/>
    <w:pPr>
      <w:ind w:firstLineChars="200" w:firstLine="480"/>
    </w:pPr>
    <w:rPr>
      <w:kern w:val="0"/>
      <w:sz w:val="24"/>
    </w:rPr>
  </w:style>
  <w:style w:type="paragraph" w:customStyle="1" w:styleId="983">
    <w:name w:val="98研討(一)"/>
    <w:basedOn w:val="a3"/>
    <w:rsid w:val="008E2E42"/>
    <w:pPr>
      <w:widowControl/>
      <w:spacing w:beforeLines="30" w:before="30" w:afterLines="30" w:after="30"/>
      <w:ind w:leftChars="200" w:left="400" w:hangingChars="200" w:hanging="200"/>
    </w:pPr>
    <w:rPr>
      <w:kern w:val="0"/>
      <w:sz w:val="24"/>
    </w:rPr>
  </w:style>
  <w:style w:type="paragraph" w:customStyle="1" w:styleId="984">
    <w:name w:val="98研討(一)內"/>
    <w:basedOn w:val="983"/>
    <w:rsid w:val="008E2E42"/>
    <w:pPr>
      <w:ind w:leftChars="300" w:left="300" w:firstLineChars="200" w:firstLine="200"/>
    </w:pPr>
  </w:style>
  <w:style w:type="paragraph" w:customStyle="1" w:styleId="985">
    <w:name w:val="98研討壹一"/>
    <w:basedOn w:val="a3"/>
    <w:rsid w:val="008E2E42"/>
    <w:pPr>
      <w:spacing w:beforeLines="50" w:before="50" w:afterLines="50" w:after="50"/>
      <w:ind w:leftChars="100" w:left="300" w:hangingChars="200" w:hanging="200"/>
    </w:pPr>
    <w:rPr>
      <w:rFonts w:cs="Arial"/>
      <w:sz w:val="24"/>
    </w:rPr>
  </w:style>
  <w:style w:type="paragraph" w:customStyle="1" w:styleId="9810">
    <w:name w:val="98研討(一)1"/>
    <w:basedOn w:val="a3"/>
    <w:rsid w:val="008E2E42"/>
    <w:pPr>
      <w:ind w:leftChars="400" w:left="500" w:hangingChars="100" w:hanging="100"/>
    </w:pPr>
    <w:rPr>
      <w:kern w:val="0"/>
      <w:sz w:val="24"/>
    </w:rPr>
  </w:style>
  <w:style w:type="paragraph" w:customStyle="1" w:styleId="1f2">
    <w:name w:val="研討(一)1內"/>
    <w:basedOn w:val="9810"/>
    <w:rsid w:val="008E2E42"/>
    <w:pPr>
      <w:ind w:leftChars="500" w:firstLineChars="0" w:firstLine="0"/>
    </w:pPr>
  </w:style>
  <w:style w:type="character" w:customStyle="1" w:styleId="green1">
    <w:name w:val="green1"/>
    <w:rsid w:val="008E2E42"/>
    <w:rPr>
      <w:strike w:val="0"/>
      <w:dstrike w:val="0"/>
      <w:color w:val="006600"/>
      <w:sz w:val="24"/>
      <w:szCs w:val="24"/>
      <w:u w:val="none"/>
      <w:effect w:val="none"/>
    </w:rPr>
  </w:style>
  <w:style w:type="character" w:customStyle="1" w:styleId="hl">
    <w:name w:val="hl"/>
    <w:rsid w:val="008E2E42"/>
  </w:style>
  <w:style w:type="character" w:customStyle="1" w:styleId="f3">
    <w:name w:val="f3"/>
    <w:rsid w:val="008E2E42"/>
  </w:style>
  <w:style w:type="character" w:customStyle="1" w:styleId="push-ipdatetime">
    <w:name w:val="push-ipdatetime"/>
    <w:rsid w:val="008E2E42"/>
  </w:style>
  <w:style w:type="character" w:customStyle="1" w:styleId="f1">
    <w:name w:val="f1"/>
    <w:rsid w:val="008E2E42"/>
  </w:style>
  <w:style w:type="character" w:customStyle="1" w:styleId="hascaption">
    <w:name w:val="hascaption"/>
    <w:rsid w:val="008E2E42"/>
  </w:style>
  <w:style w:type="character" w:customStyle="1" w:styleId="textexposedhide">
    <w:name w:val="text_exposed_hide"/>
    <w:rsid w:val="008E2E42"/>
  </w:style>
  <w:style w:type="character" w:customStyle="1" w:styleId="textexposedshow">
    <w:name w:val="text_exposed_show"/>
    <w:rsid w:val="008E2E42"/>
  </w:style>
  <w:style w:type="character" w:customStyle="1" w:styleId="textexposedlink">
    <w:name w:val="text_exposed_link"/>
    <w:rsid w:val="008E2E42"/>
  </w:style>
  <w:style w:type="character" w:customStyle="1" w:styleId="uficommentactorname">
    <w:name w:val="uficommentactorname"/>
    <w:rsid w:val="008E2E42"/>
  </w:style>
  <w:style w:type="character" w:customStyle="1" w:styleId="uficommentbody">
    <w:name w:val="uficommentbody"/>
    <w:rsid w:val="008E2E42"/>
  </w:style>
  <w:style w:type="character" w:customStyle="1" w:styleId="ufireplysocialsentencelinktext">
    <w:name w:val="ufireplysocialsentencelinktext"/>
    <w:rsid w:val="008E2E42"/>
  </w:style>
  <w:style w:type="character" w:customStyle="1" w:styleId="5uzb">
    <w:name w:val="_5uzb"/>
    <w:rsid w:val="008E2E42"/>
  </w:style>
  <w:style w:type="character" w:customStyle="1" w:styleId="nowrap">
    <w:name w:val="nowrap"/>
    <w:rsid w:val="008E2E42"/>
  </w:style>
  <w:style w:type="paragraph" w:customStyle="1" w:styleId="1f3">
    <w:name w:val="內文1"/>
    <w:basedOn w:val="a3"/>
    <w:rsid w:val="008E2E42"/>
    <w:pPr>
      <w:spacing w:line="144" w:lineRule="exact"/>
    </w:pPr>
    <w:rPr>
      <w:w w:val="115"/>
      <w:sz w:val="14"/>
    </w:rPr>
  </w:style>
  <w:style w:type="paragraph" w:customStyle="1" w:styleId="afffffa">
    <w:name w:val="姓名"/>
    <w:basedOn w:val="a3"/>
    <w:rsid w:val="008E2E42"/>
    <w:pPr>
      <w:spacing w:line="180" w:lineRule="exact"/>
      <w:jc w:val="center"/>
    </w:pPr>
    <w:rPr>
      <w:rFonts w:eastAsia="華康隸書體W5"/>
    </w:rPr>
  </w:style>
  <w:style w:type="paragraph" w:customStyle="1" w:styleId="wenzi4">
    <w:name w:val="wenzi4"/>
    <w:basedOn w:val="a3"/>
    <w:rsid w:val="008E2E42"/>
    <w:pPr>
      <w:widowControl/>
      <w:spacing w:before="100" w:beforeAutospacing="1" w:after="100" w:afterAutospacing="1" w:line="270" w:lineRule="atLeast"/>
      <w:ind w:left="195"/>
    </w:pPr>
    <w:rPr>
      <w:rFonts w:ascii="新細明體" w:hAnsi="新細明體" w:cs="新細明體"/>
      <w:color w:val="555555"/>
      <w:kern w:val="0"/>
      <w:sz w:val="18"/>
      <w:szCs w:val="18"/>
    </w:rPr>
  </w:style>
  <w:style w:type="character" w:customStyle="1" w:styleId="fzyfbdpian1">
    <w:name w:val="fzyfbd_pian1"/>
    <w:rsid w:val="008E2E42"/>
    <w:rPr>
      <w:vanish w:val="0"/>
      <w:webHidden w:val="0"/>
      <w:color w:val="FFFFFF"/>
      <w:sz w:val="18"/>
      <w:szCs w:val="18"/>
      <w:shd w:val="clear" w:color="auto" w:fill="7CA900"/>
      <w:specVanish w:val="0"/>
    </w:rPr>
  </w:style>
  <w:style w:type="character" w:customStyle="1" w:styleId="fzyfbdzsbt11">
    <w:name w:val="fzyfbd_zsbt11"/>
    <w:rsid w:val="008E2E42"/>
    <w:rPr>
      <w:b/>
      <w:bCs/>
      <w:vanish w:val="0"/>
      <w:webHidden w:val="0"/>
      <w:color w:val="000000"/>
      <w:sz w:val="18"/>
      <w:szCs w:val="18"/>
      <w:specVanish w:val="0"/>
    </w:rPr>
  </w:style>
  <w:style w:type="character" w:customStyle="1" w:styleId="fzyfbdxiazait11">
    <w:name w:val="fzyfbd_xiazait11"/>
    <w:rsid w:val="008E2E42"/>
    <w:rPr>
      <w:vanish w:val="0"/>
      <w:webHidden w:val="0"/>
      <w:specVanish w:val="0"/>
    </w:rPr>
  </w:style>
  <w:style w:type="character" w:customStyle="1" w:styleId="fzyfbdzk11">
    <w:name w:val="fzyfbd_zk11"/>
    <w:rsid w:val="008E2E42"/>
    <w:rPr>
      <w:b w:val="0"/>
      <w:bCs w:val="0"/>
      <w:vanish w:val="0"/>
      <w:webHidden w:val="0"/>
      <w:color w:val="555555"/>
      <w:sz w:val="18"/>
      <w:szCs w:val="18"/>
      <w:specVanish w:val="0"/>
    </w:rPr>
  </w:style>
  <w:style w:type="character" w:customStyle="1" w:styleId="A20">
    <w:name w:val="A2"/>
    <w:rsid w:val="008E2E42"/>
    <w:rPr>
      <w:rFonts w:cs="DFMingUBold-B5"/>
      <w:color w:val="000000"/>
      <w:sz w:val="28"/>
      <w:szCs w:val="28"/>
    </w:rPr>
  </w:style>
  <w:style w:type="character" w:customStyle="1" w:styleId="scayt-misspell">
    <w:name w:val="scayt-misspell"/>
    <w:rsid w:val="008E2E42"/>
  </w:style>
  <w:style w:type="paragraph" w:customStyle="1" w:styleId="kou1">
    <w:name w:val="kou1"/>
    <w:basedOn w:val="a3"/>
    <w:rsid w:val="008E2E42"/>
    <w:pPr>
      <w:widowControl/>
      <w:spacing w:before="24" w:after="120"/>
      <w:ind w:hanging="240"/>
    </w:pPr>
    <w:rPr>
      <w:rFonts w:ascii="Meiryo" w:eastAsia="Meiryo" w:hAnsi="Meiryo" w:cs="Meiryo"/>
      <w:kern w:val="0"/>
      <w:sz w:val="21"/>
      <w:szCs w:val="21"/>
    </w:rPr>
  </w:style>
  <w:style w:type="paragraph" w:customStyle="1" w:styleId="story">
    <w:name w:val="story"/>
    <w:basedOn w:val="a3"/>
    <w:rsid w:val="008E2E42"/>
    <w:pPr>
      <w:widowControl/>
      <w:spacing w:before="100" w:beforeAutospacing="1" w:after="100" w:afterAutospacing="1"/>
    </w:pPr>
    <w:rPr>
      <w:rFonts w:ascii="新細明體" w:hAnsi="新細明體" w:cs="新細明體"/>
      <w:kern w:val="0"/>
      <w:sz w:val="24"/>
    </w:rPr>
  </w:style>
  <w:style w:type="character" w:customStyle="1" w:styleId="story1">
    <w:name w:val="story1"/>
    <w:rsid w:val="008E2E42"/>
  </w:style>
  <w:style w:type="character" w:customStyle="1" w:styleId="tpctitle">
    <w:name w:val="tpc_title"/>
    <w:rsid w:val="008E2E42"/>
  </w:style>
  <w:style w:type="character" w:customStyle="1" w:styleId="grame">
    <w:name w:val="grame"/>
    <w:rsid w:val="008E2E42"/>
  </w:style>
  <w:style w:type="paragraph" w:customStyle="1" w:styleId="216">
    <w:name w:val="樣式 標題 2 + 標楷體 16 點 粗體 置中"/>
    <w:basedOn w:val="2"/>
    <w:rsid w:val="008E2E42"/>
    <w:pPr>
      <w:adjustRightInd/>
      <w:snapToGrid/>
      <w:spacing w:beforeLines="0" w:before="0" w:afterLines="0" w:after="0"/>
      <w:jc w:val="center"/>
    </w:pPr>
    <w:rPr>
      <w:rFonts w:cs="新細明體"/>
      <w:color w:val="auto"/>
      <w:kern w:val="2"/>
      <w:sz w:val="32"/>
      <w:szCs w:val="20"/>
    </w:rPr>
  </w:style>
  <w:style w:type="paragraph" w:customStyle="1" w:styleId="1201">
    <w:name w:val="樣式 標題 1 + 標楷體 20 點 置中1"/>
    <w:basedOn w:val="11"/>
    <w:rsid w:val="008E2E42"/>
    <w:pPr>
      <w:adjustRightInd/>
      <w:snapToGrid/>
      <w:spacing w:beforeLines="0" w:before="0" w:afterLines="0" w:after="0"/>
      <w:jc w:val="center"/>
    </w:pPr>
    <w:rPr>
      <w:rFonts w:cs="新細明體"/>
      <w:color w:val="auto"/>
      <w:sz w:val="40"/>
      <w:szCs w:val="20"/>
    </w:rPr>
  </w:style>
  <w:style w:type="paragraph" w:customStyle="1" w:styleId="xg1">
    <w:name w:val="xg1"/>
    <w:basedOn w:val="a3"/>
    <w:rsid w:val="008E2E42"/>
    <w:pPr>
      <w:widowControl/>
      <w:spacing w:before="100" w:beforeAutospacing="1" w:after="100" w:afterAutospacing="1"/>
    </w:pPr>
    <w:rPr>
      <w:rFonts w:ascii="新細明體" w:hAnsi="新細明體" w:cs="新細明體"/>
      <w:color w:val="999999"/>
      <w:kern w:val="0"/>
      <w:sz w:val="24"/>
    </w:rPr>
  </w:style>
  <w:style w:type="character" w:customStyle="1" w:styleId="ub9">
    <w:name w:val="ub9"/>
    <w:rsid w:val="008E2E42"/>
    <w:rPr>
      <w:strike w:val="0"/>
      <w:dstrike w:val="0"/>
      <w:color w:val="2793E6"/>
      <w:sz w:val="20"/>
      <w:szCs w:val="20"/>
      <w:u w:val="none"/>
      <w:effect w:val="none"/>
    </w:rPr>
  </w:style>
  <w:style w:type="character" w:customStyle="1" w:styleId="ve1">
    <w:name w:val="ve1"/>
    <w:rsid w:val="008E2E42"/>
    <w:rPr>
      <w:vanish w:val="0"/>
      <w:webHidden w:val="0"/>
      <w:color w:val="6A6A6A"/>
      <w:shd w:val="clear" w:color="auto" w:fill="auto"/>
      <w:specVanish w:val="0"/>
    </w:rPr>
  </w:style>
  <w:style w:type="character" w:customStyle="1" w:styleId="pl">
    <w:name w:val="pl"/>
    <w:rsid w:val="008E2E42"/>
  </w:style>
  <w:style w:type="character" w:customStyle="1" w:styleId="d-s11">
    <w:name w:val="d-s11"/>
    <w:rsid w:val="008E2E42"/>
    <w:rPr>
      <w:color w:val="2793E6"/>
    </w:rPr>
  </w:style>
  <w:style w:type="character" w:customStyle="1" w:styleId="upc">
    <w:name w:val="upc"/>
    <w:rsid w:val="008E2E42"/>
  </w:style>
  <w:style w:type="character" w:customStyle="1" w:styleId="hps">
    <w:name w:val="hps"/>
    <w:rsid w:val="008E2E42"/>
  </w:style>
  <w:style w:type="character" w:customStyle="1" w:styleId="etdd1">
    <w:name w:val="etd_d1"/>
    <w:rsid w:val="008E2E42"/>
    <w:rPr>
      <w:b/>
      <w:bCs/>
      <w:color w:val="333333"/>
    </w:rPr>
  </w:style>
  <w:style w:type="character" w:customStyle="1" w:styleId="moduledescription">
    <w:name w:val="moduledescription"/>
    <w:rsid w:val="008E2E42"/>
  </w:style>
  <w:style w:type="paragraph" w:customStyle="1" w:styleId="300">
    <w:name w:val="30"/>
    <w:basedOn w:val="a3"/>
    <w:rsid w:val="008E2E42"/>
    <w:pPr>
      <w:autoSpaceDE w:val="0"/>
      <w:autoSpaceDN w:val="0"/>
      <w:adjustRightInd w:val="0"/>
      <w:snapToGrid w:val="0"/>
      <w:ind w:leftChars="100" w:left="100" w:firstLineChars="200" w:firstLine="200"/>
    </w:pPr>
    <w:rPr>
      <w:sz w:val="24"/>
      <w:szCs w:val="20"/>
      <w:u w:val="single"/>
    </w:rPr>
  </w:style>
  <w:style w:type="paragraph" w:customStyle="1" w:styleId="newslink">
    <w:name w:val="newslink"/>
    <w:basedOn w:val="a3"/>
    <w:rsid w:val="008E2E42"/>
    <w:pPr>
      <w:widowControl/>
      <w:spacing w:before="100" w:beforeAutospacing="1" w:after="100" w:afterAutospacing="1"/>
    </w:pPr>
    <w:rPr>
      <w:rFonts w:ascii="新細明體" w:hAnsi="新細明體" w:cs="新細明體"/>
      <w:kern w:val="0"/>
      <w:sz w:val="24"/>
    </w:rPr>
  </w:style>
  <w:style w:type="paragraph" w:customStyle="1" w:styleId="bttitreb">
    <w:name w:val="bttitreb"/>
    <w:basedOn w:val="a3"/>
    <w:rsid w:val="008E2E42"/>
    <w:pPr>
      <w:widowControl/>
      <w:spacing w:before="100" w:beforeAutospacing="1" w:after="100" w:afterAutospacing="1"/>
    </w:pPr>
    <w:rPr>
      <w:rFonts w:ascii="新細明體" w:hAnsi="新細明體" w:cs="新細明體"/>
      <w:b/>
      <w:bCs/>
      <w:kern w:val="0"/>
      <w:sz w:val="24"/>
    </w:rPr>
  </w:style>
  <w:style w:type="character" w:customStyle="1" w:styleId="lemmatitleh1">
    <w:name w:val="lemmatitleh1"/>
    <w:rsid w:val="008E2E42"/>
  </w:style>
  <w:style w:type="character" w:customStyle="1" w:styleId="fontxt">
    <w:name w:val="fontxt"/>
    <w:rsid w:val="008E2E42"/>
  </w:style>
  <w:style w:type="paragraph" w:customStyle="1" w:styleId="afffffb">
    <w:name w:val="題目"/>
    <w:basedOn w:val="a3"/>
    <w:link w:val="1f4"/>
    <w:rsid w:val="008E2E42"/>
    <w:pPr>
      <w:keepNext/>
      <w:autoSpaceDE w:val="0"/>
      <w:autoSpaceDN w:val="0"/>
      <w:spacing w:beforeLines="150" w:before="150" w:afterLines="200" w:after="200"/>
      <w:jc w:val="center"/>
      <w:outlineLvl w:val="0"/>
    </w:pPr>
    <w:rPr>
      <w:rFonts w:ascii="Times New Rom B" w:eastAsia="華康特粗明體" w:hAnsi="Times New Rom B"/>
      <w:spacing w:val="6"/>
      <w:kern w:val="52"/>
      <w:sz w:val="48"/>
      <w:szCs w:val="44"/>
    </w:rPr>
  </w:style>
  <w:style w:type="character" w:customStyle="1" w:styleId="mailheadertext1">
    <w:name w:val="mailheadertext1"/>
    <w:rsid w:val="008E2E42"/>
    <w:rPr>
      <w:i w:val="0"/>
      <w:iCs w:val="0"/>
      <w:color w:val="353531"/>
      <w:sz w:val="18"/>
      <w:szCs w:val="18"/>
    </w:rPr>
  </w:style>
  <w:style w:type="paragraph" w:customStyle="1" w:styleId="afffffc">
    <w:name w:val="壹、"/>
    <w:basedOn w:val="a3"/>
    <w:link w:val="afffffd"/>
    <w:rsid w:val="008E2E42"/>
    <w:pPr>
      <w:autoSpaceDN w:val="0"/>
      <w:spacing w:beforeLines="100" w:before="100" w:afterLines="100" w:after="100" w:line="340" w:lineRule="exact"/>
      <w:jc w:val="center"/>
    </w:pPr>
    <w:rPr>
      <w:rFonts w:eastAsia="華康中圓體"/>
      <w:sz w:val="30"/>
    </w:rPr>
  </w:style>
  <w:style w:type="paragraph" w:customStyle="1" w:styleId="afffffe">
    <w:name w:val="要目"/>
    <w:basedOn w:val="a3"/>
    <w:rsid w:val="008E2E42"/>
    <w:pPr>
      <w:autoSpaceDE w:val="0"/>
      <w:autoSpaceDN w:val="0"/>
      <w:spacing w:line="340" w:lineRule="exact"/>
      <w:ind w:left="200" w:hangingChars="200" w:hanging="200"/>
    </w:pPr>
    <w:rPr>
      <w:rFonts w:eastAsia="華康仿宋體"/>
    </w:rPr>
  </w:style>
  <w:style w:type="paragraph" w:customStyle="1" w:styleId="affffff">
    <w:name w:val="要目一"/>
    <w:basedOn w:val="afffffe"/>
    <w:rsid w:val="008E2E42"/>
    <w:pPr>
      <w:ind w:leftChars="100" w:left="667" w:hanging="425"/>
    </w:pPr>
    <w:rPr>
      <w:kern w:val="0"/>
      <w:lang w:val="zh-TW"/>
    </w:rPr>
  </w:style>
  <w:style w:type="character" w:customStyle="1" w:styleId="paper">
    <w:name w:val="paper"/>
    <w:rsid w:val="008E2E42"/>
  </w:style>
  <w:style w:type="paragraph" w:customStyle="1" w:styleId="middle">
    <w:name w:val="middle"/>
    <w:basedOn w:val="a3"/>
    <w:rsid w:val="008E2E42"/>
    <w:pPr>
      <w:widowControl/>
      <w:spacing w:before="100" w:beforeAutospacing="1" w:after="100" w:afterAutospacing="1"/>
    </w:pPr>
    <w:rPr>
      <w:rFonts w:ascii="新細明體" w:hAnsi="新細明體" w:cs="新細明體"/>
      <w:kern w:val="0"/>
      <w:sz w:val="24"/>
    </w:rPr>
  </w:style>
  <w:style w:type="character" w:customStyle="1" w:styleId="instancename">
    <w:name w:val="instancename"/>
    <w:rsid w:val="008E2E42"/>
  </w:style>
  <w:style w:type="character" w:customStyle="1" w:styleId="accesshide">
    <w:name w:val="accesshide"/>
    <w:rsid w:val="008E2E42"/>
  </w:style>
  <w:style w:type="paragraph" w:customStyle="1" w:styleId="reliability-note">
    <w:name w:val="reliability-note"/>
    <w:basedOn w:val="a3"/>
    <w:rsid w:val="008E2E42"/>
    <w:pPr>
      <w:widowControl/>
      <w:spacing w:before="100" w:beforeAutospacing="1" w:after="100" w:afterAutospacing="1" w:line="384" w:lineRule="atLeast"/>
    </w:pPr>
    <w:rPr>
      <w:rFonts w:ascii="新細明體" w:hAnsi="新細明體" w:cs="新細明體"/>
      <w:kern w:val="0"/>
      <w:sz w:val="24"/>
    </w:rPr>
  </w:style>
  <w:style w:type="character" w:customStyle="1" w:styleId="from2">
    <w:name w:val="from2"/>
    <w:rsid w:val="008E2E42"/>
  </w:style>
  <w:style w:type="character" w:customStyle="1" w:styleId="color-green1">
    <w:name w:val="color-green1"/>
    <w:rsid w:val="008E2E42"/>
    <w:rPr>
      <w:color w:val="007722"/>
    </w:rPr>
  </w:style>
  <w:style w:type="paragraph" w:customStyle="1" w:styleId="-0">
    <w:name w:val="目次-壹"/>
    <w:basedOn w:val="a3"/>
    <w:rsid w:val="008E2E42"/>
    <w:pPr>
      <w:autoSpaceDE w:val="0"/>
      <w:autoSpaceDN w:val="0"/>
      <w:spacing w:line="380" w:lineRule="exact"/>
      <w:ind w:leftChars="50" w:left="650" w:rightChars="50" w:right="146" w:hangingChars="200" w:hanging="504"/>
    </w:pPr>
    <w:rPr>
      <w:spacing w:val="2"/>
      <w:sz w:val="24"/>
    </w:rPr>
  </w:style>
  <w:style w:type="paragraph" w:styleId="affffff0">
    <w:name w:val="Closing"/>
    <w:basedOn w:val="a3"/>
    <w:link w:val="affffff1"/>
    <w:rsid w:val="008E2E42"/>
    <w:pPr>
      <w:ind w:leftChars="1800" w:left="100"/>
    </w:pPr>
    <w:rPr>
      <w:sz w:val="24"/>
    </w:rPr>
  </w:style>
  <w:style w:type="character" w:customStyle="1" w:styleId="affffff1">
    <w:name w:val="結語 字元"/>
    <w:basedOn w:val="a4"/>
    <w:link w:val="affffff0"/>
    <w:rsid w:val="008E2E42"/>
    <w:rPr>
      <w:kern w:val="2"/>
      <w:sz w:val="24"/>
      <w:szCs w:val="24"/>
    </w:rPr>
  </w:style>
  <w:style w:type="character" w:customStyle="1" w:styleId="a-size-large">
    <w:name w:val="a-size-large"/>
    <w:rsid w:val="008E2E42"/>
  </w:style>
  <w:style w:type="character" w:customStyle="1" w:styleId="ya-q-text">
    <w:name w:val="ya-q-text"/>
    <w:rsid w:val="008E2E42"/>
  </w:style>
  <w:style w:type="character" w:customStyle="1" w:styleId="ya-ba-title">
    <w:name w:val="ya-ba-title"/>
    <w:rsid w:val="008E2E42"/>
  </w:style>
  <w:style w:type="character" w:customStyle="1" w:styleId="ya-q-full-text">
    <w:name w:val="ya-q-full-text"/>
    <w:rsid w:val="008E2E42"/>
  </w:style>
  <w:style w:type="character" w:customStyle="1" w:styleId="text-02-101">
    <w:name w:val="text-02-101"/>
    <w:rsid w:val="008E2E42"/>
    <w:rPr>
      <w:rFonts w:ascii="sөũ" w:hAnsi="sөũ" w:hint="default"/>
      <w:strike w:val="0"/>
      <w:dstrike w:val="0"/>
      <w:color w:val="FFFFFF"/>
      <w:spacing w:val="40"/>
      <w:sz w:val="20"/>
      <w:szCs w:val="20"/>
      <w:u w:val="none"/>
      <w:effect w:val="none"/>
    </w:rPr>
  </w:style>
  <w:style w:type="character" w:customStyle="1" w:styleId="text-03-10b1">
    <w:name w:val="text-03-10b1"/>
    <w:rsid w:val="008E2E42"/>
    <w:rPr>
      <w:rFonts w:ascii="sөũ" w:hAnsi="sөũ" w:hint="default"/>
      <w:b/>
      <w:bCs/>
      <w:strike w:val="0"/>
      <w:dstrike w:val="0"/>
      <w:color w:val="CC3300"/>
      <w:spacing w:val="30"/>
      <w:sz w:val="20"/>
      <w:szCs w:val="20"/>
      <w:u w:val="none"/>
      <w:effect w:val="none"/>
    </w:rPr>
  </w:style>
  <w:style w:type="character" w:customStyle="1" w:styleId="ptname">
    <w:name w:val="ptname"/>
    <w:rsid w:val="008E2E42"/>
  </w:style>
  <w:style w:type="character" w:customStyle="1" w:styleId="url">
    <w:name w:val="url"/>
    <w:rsid w:val="008E2E42"/>
  </w:style>
  <w:style w:type="character" w:customStyle="1" w:styleId="afffd">
    <w:name w:val="圖表目錄 字元"/>
    <w:aliases w:val=" 字元 字元 字元"/>
    <w:link w:val="afffc"/>
    <w:uiPriority w:val="99"/>
    <w:rsid w:val="008E2E42"/>
    <w:rPr>
      <w:kern w:val="2"/>
      <w:sz w:val="24"/>
      <w:szCs w:val="24"/>
    </w:rPr>
  </w:style>
  <w:style w:type="paragraph" w:customStyle="1" w:styleId="1f5">
    <w:name w:val="圖表目錄1 字元"/>
    <w:basedOn w:val="afffc"/>
    <w:next w:val="afffc"/>
    <w:link w:val="1f6"/>
    <w:rsid w:val="008E2E42"/>
    <w:pPr>
      <w:ind w:leftChars="0" w:left="480" w:firstLineChars="0" w:firstLine="0"/>
    </w:pPr>
    <w:rPr>
      <w:bCs/>
      <w:smallCaps/>
      <w:sz w:val="32"/>
      <w:szCs w:val="20"/>
    </w:rPr>
  </w:style>
  <w:style w:type="character" w:customStyle="1" w:styleId="1f6">
    <w:name w:val="圖表目錄1 字元 字元"/>
    <w:link w:val="1f5"/>
    <w:rsid w:val="008E2E42"/>
    <w:rPr>
      <w:rFonts w:ascii="標楷體" w:eastAsia="標楷體" w:hAnsi="標楷體"/>
      <w:bCs/>
      <w:smallCaps/>
      <w:kern w:val="2"/>
      <w:sz w:val="32"/>
    </w:rPr>
  </w:style>
  <w:style w:type="character" w:customStyle="1" w:styleId="affffff2">
    <w:name w:val="字元"/>
    <w:rsid w:val="008E2E42"/>
    <w:rPr>
      <w:rFonts w:eastAsia="新細明體"/>
      <w:smallCaps/>
      <w:kern w:val="2"/>
      <w:lang w:val="en-US" w:eastAsia="zh-TW" w:bidi="ar-SA"/>
    </w:rPr>
  </w:style>
  <w:style w:type="character" w:customStyle="1" w:styleId="15pxtext08">
    <w:name w:val="15px_text_08"/>
    <w:rsid w:val="008E2E42"/>
  </w:style>
  <w:style w:type="character" w:customStyle="1" w:styleId="linkt120033cc1">
    <w:name w:val="linkt120033cc1"/>
    <w:rsid w:val="008E2E42"/>
    <w:rPr>
      <w:b/>
      <w:bCs/>
      <w:color w:val="0033CC"/>
      <w:sz w:val="24"/>
      <w:szCs w:val="24"/>
    </w:rPr>
  </w:style>
  <w:style w:type="character" w:customStyle="1" w:styleId="t12000000181">
    <w:name w:val="t12000000181"/>
    <w:rsid w:val="008E2E42"/>
    <w:rPr>
      <w:sz w:val="24"/>
      <w:szCs w:val="24"/>
    </w:rPr>
  </w:style>
  <w:style w:type="paragraph" w:customStyle="1" w:styleId="affffff3">
    <w:name w:val="一、內文"/>
    <w:basedOn w:val="a3"/>
    <w:rsid w:val="008E2E42"/>
    <w:pPr>
      <w:overflowPunct w:val="0"/>
      <w:autoSpaceDE w:val="0"/>
      <w:autoSpaceDN w:val="0"/>
      <w:spacing w:before="40" w:after="40" w:line="520" w:lineRule="exact"/>
      <w:ind w:leftChars="100" w:left="100" w:firstLineChars="200" w:firstLine="200"/>
    </w:pPr>
    <w:rPr>
      <w:spacing w:val="4"/>
      <w:lang w:eastAsia="ja-JP"/>
    </w:rPr>
  </w:style>
  <w:style w:type="paragraph" w:customStyle="1" w:styleId="1f7">
    <w:name w:val="圖表目錄1 字元 字元 字元 字元 字元"/>
    <w:basedOn w:val="afffc"/>
    <w:next w:val="afffc"/>
    <w:link w:val="1f8"/>
    <w:rsid w:val="008E2E42"/>
    <w:pPr>
      <w:ind w:leftChars="0" w:left="480" w:firstLineChars="0" w:firstLine="0"/>
    </w:pPr>
    <w:rPr>
      <w:bCs/>
      <w:sz w:val="32"/>
      <w:szCs w:val="20"/>
    </w:rPr>
  </w:style>
  <w:style w:type="character" w:customStyle="1" w:styleId="1f8">
    <w:name w:val="圖表目錄1 字元 字元 字元 字元 字元 字元"/>
    <w:link w:val="1f7"/>
    <w:rsid w:val="008E2E42"/>
    <w:rPr>
      <w:rFonts w:ascii="標楷體" w:eastAsia="標楷體" w:hAnsi="標楷體"/>
      <w:bCs/>
      <w:kern w:val="2"/>
      <w:sz w:val="32"/>
    </w:rPr>
  </w:style>
  <w:style w:type="character" w:styleId="affffff4">
    <w:name w:val="annotation reference"/>
    <w:rsid w:val="008E2E42"/>
    <w:rPr>
      <w:sz w:val="18"/>
      <w:szCs w:val="18"/>
    </w:rPr>
  </w:style>
  <w:style w:type="paragraph" w:styleId="affffff5">
    <w:name w:val="annotation text"/>
    <w:basedOn w:val="a3"/>
    <w:link w:val="affffff6"/>
    <w:rsid w:val="008E2E42"/>
    <w:rPr>
      <w:sz w:val="24"/>
    </w:rPr>
  </w:style>
  <w:style w:type="character" w:customStyle="1" w:styleId="affffff6">
    <w:name w:val="註解文字 字元"/>
    <w:basedOn w:val="a4"/>
    <w:link w:val="affffff5"/>
    <w:rsid w:val="008E2E42"/>
    <w:rPr>
      <w:kern w:val="2"/>
      <w:sz w:val="24"/>
      <w:szCs w:val="24"/>
    </w:rPr>
  </w:style>
  <w:style w:type="paragraph" w:styleId="affffff7">
    <w:name w:val="annotation subject"/>
    <w:basedOn w:val="affffff5"/>
    <w:next w:val="affffff5"/>
    <w:link w:val="affffff8"/>
    <w:rsid w:val="008E2E42"/>
    <w:rPr>
      <w:b/>
      <w:bCs/>
    </w:rPr>
  </w:style>
  <w:style w:type="character" w:customStyle="1" w:styleId="affffff8">
    <w:name w:val="註解主旨 字元"/>
    <w:basedOn w:val="affffff6"/>
    <w:link w:val="affffff7"/>
    <w:uiPriority w:val="99"/>
    <w:rsid w:val="008E2E42"/>
    <w:rPr>
      <w:b/>
      <w:bCs/>
      <w:kern w:val="2"/>
      <w:sz w:val="24"/>
      <w:szCs w:val="24"/>
    </w:rPr>
  </w:style>
  <w:style w:type="character" w:customStyle="1" w:styleId="t1200000018">
    <w:name w:val="t1200000018"/>
    <w:rsid w:val="008E2E42"/>
  </w:style>
  <w:style w:type="character" w:customStyle="1" w:styleId="maintextbldleft1">
    <w:name w:val="maintextbldleft1"/>
    <w:rsid w:val="008E2E42"/>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rsid w:val="008E2E42"/>
    <w:rPr>
      <w:rFonts w:ascii="Arial" w:hAnsi="Arial" w:cs="Arial" w:hint="default"/>
      <w:b w:val="0"/>
      <w:bCs w:val="0"/>
      <w:i w:val="0"/>
      <w:iCs w:val="0"/>
      <w:smallCaps w:val="0"/>
      <w:strike w:val="0"/>
      <w:dstrike w:val="0"/>
      <w:color w:val="000000"/>
      <w:sz w:val="18"/>
      <w:szCs w:val="18"/>
      <w:u w:val="none"/>
      <w:effect w:val="none"/>
    </w:rPr>
  </w:style>
  <w:style w:type="paragraph" w:styleId="affffff9">
    <w:name w:val="Note Heading"/>
    <w:basedOn w:val="a3"/>
    <w:next w:val="a3"/>
    <w:link w:val="affffffa"/>
    <w:rsid w:val="008E2E42"/>
    <w:pPr>
      <w:jc w:val="center"/>
    </w:pPr>
    <w:rPr>
      <w:sz w:val="24"/>
    </w:rPr>
  </w:style>
  <w:style w:type="character" w:customStyle="1" w:styleId="affffffa">
    <w:name w:val="註釋標題 字元"/>
    <w:basedOn w:val="a4"/>
    <w:link w:val="affffff9"/>
    <w:rsid w:val="008E2E42"/>
    <w:rPr>
      <w:kern w:val="2"/>
      <w:sz w:val="24"/>
      <w:szCs w:val="24"/>
    </w:rPr>
  </w:style>
  <w:style w:type="character" w:customStyle="1" w:styleId="tpccontent0">
    <w:name w:val="tpccontent"/>
    <w:rsid w:val="008E2E42"/>
  </w:style>
  <w:style w:type="character" w:customStyle="1" w:styleId="bodycss1">
    <w:name w:val="bodycss1"/>
    <w:rsid w:val="008E2E42"/>
    <w:rPr>
      <w:rFonts w:ascii="新細明體" w:eastAsia="新細明體" w:hAnsi="新細明體" w:hint="eastAsia"/>
      <w:color w:val="444444"/>
      <w:sz w:val="20"/>
      <w:szCs w:val="20"/>
    </w:rPr>
  </w:style>
  <w:style w:type="character" w:customStyle="1" w:styleId="bodycss">
    <w:name w:val="bodycss"/>
    <w:rsid w:val="008E2E42"/>
  </w:style>
  <w:style w:type="character" w:customStyle="1" w:styleId="heading">
    <w:name w:val="heading"/>
    <w:rsid w:val="008E2E42"/>
  </w:style>
  <w:style w:type="paragraph" w:customStyle="1" w:styleId="1f9">
    <w:name w:val="圖表目錄1 字元 字元 字元 字元"/>
    <w:basedOn w:val="afffc"/>
    <w:next w:val="afffc"/>
    <w:link w:val="111"/>
    <w:rsid w:val="008E2E42"/>
    <w:pPr>
      <w:ind w:leftChars="0" w:left="480" w:firstLineChars="0" w:firstLine="0"/>
    </w:pPr>
    <w:rPr>
      <w:bCs/>
      <w:sz w:val="32"/>
      <w:szCs w:val="20"/>
    </w:rPr>
  </w:style>
  <w:style w:type="character" w:customStyle="1" w:styleId="111">
    <w:name w:val="圖表目錄1 字元 字元 字元 字元 字元1"/>
    <w:link w:val="1f9"/>
    <w:rsid w:val="008E2E42"/>
    <w:rPr>
      <w:rFonts w:ascii="標楷體" w:eastAsia="標楷體" w:hAnsi="標楷體"/>
      <w:bCs/>
      <w:kern w:val="2"/>
      <w:sz w:val="32"/>
    </w:rPr>
  </w:style>
  <w:style w:type="character" w:customStyle="1" w:styleId="lgtext1">
    <w:name w:val="lgtext1"/>
    <w:rsid w:val="008E2E42"/>
    <w:rPr>
      <w:rFonts w:ascii="Arial" w:hAnsi="Arial" w:cs="Arial" w:hint="default"/>
      <w:b/>
      <w:bCs/>
      <w:color w:val="000000"/>
      <w:sz w:val="15"/>
      <w:szCs w:val="15"/>
    </w:rPr>
  </w:style>
  <w:style w:type="paragraph" w:customStyle="1" w:styleId="chinese-text01">
    <w:name w:val="chinese-text01"/>
    <w:basedOn w:val="a3"/>
    <w:rsid w:val="008E2E42"/>
    <w:pPr>
      <w:widowControl/>
      <w:spacing w:before="100" w:beforeAutospacing="1" w:after="100" w:afterAutospacing="1"/>
    </w:pPr>
    <w:rPr>
      <w:rFonts w:ascii="新細明體" w:hAnsi="新細明體" w:cs="新細明體"/>
      <w:color w:val="000000"/>
      <w:kern w:val="0"/>
      <w:sz w:val="24"/>
    </w:rPr>
  </w:style>
  <w:style w:type="character" w:customStyle="1" w:styleId="font02">
    <w:name w:val="font02"/>
    <w:rsid w:val="008E2E42"/>
  </w:style>
  <w:style w:type="paragraph" w:customStyle="1" w:styleId="112">
    <w:name w:val="圖表目錄1 字元 字元1"/>
    <w:basedOn w:val="afffc"/>
    <w:next w:val="afffc"/>
    <w:link w:val="113"/>
    <w:rsid w:val="008E2E42"/>
    <w:pPr>
      <w:ind w:leftChars="0" w:left="480" w:firstLineChars="0" w:firstLine="0"/>
    </w:pPr>
    <w:rPr>
      <w:bCs/>
      <w:sz w:val="32"/>
      <w:szCs w:val="20"/>
    </w:rPr>
  </w:style>
  <w:style w:type="paragraph" w:customStyle="1" w:styleId="1fa">
    <w:name w:val="圖表目錄1 字元 字元 字元"/>
    <w:basedOn w:val="afffc"/>
    <w:next w:val="afffc"/>
    <w:rsid w:val="008E2E42"/>
    <w:pPr>
      <w:ind w:leftChars="0" w:left="480" w:firstLineChars="0" w:firstLine="0"/>
    </w:pPr>
    <w:rPr>
      <w:bCs/>
      <w:sz w:val="32"/>
      <w:szCs w:val="20"/>
    </w:rPr>
  </w:style>
  <w:style w:type="character" w:customStyle="1" w:styleId="113">
    <w:name w:val="圖表目錄1 字元 字元 字元1"/>
    <w:link w:val="112"/>
    <w:rsid w:val="008E2E42"/>
    <w:rPr>
      <w:rFonts w:ascii="標楷體" w:eastAsia="標楷體" w:hAnsi="標楷體"/>
      <w:bCs/>
      <w:kern w:val="2"/>
      <w:sz w:val="32"/>
    </w:rPr>
  </w:style>
  <w:style w:type="paragraph" w:customStyle="1" w:styleId="para">
    <w:name w:val="para"/>
    <w:basedOn w:val="a3"/>
    <w:rsid w:val="008E2E42"/>
    <w:pPr>
      <w:widowControl/>
      <w:spacing w:before="100" w:beforeAutospacing="1" w:after="100" w:afterAutospacing="1"/>
    </w:pPr>
    <w:rPr>
      <w:rFonts w:ascii="新細明體" w:hAnsi="新細明體" w:cs="新細明體"/>
      <w:kern w:val="0"/>
      <w:sz w:val="24"/>
    </w:rPr>
  </w:style>
  <w:style w:type="paragraph" w:customStyle="1" w:styleId="easysite-news-describe">
    <w:name w:val="easysite-news-describe"/>
    <w:basedOn w:val="a3"/>
    <w:rsid w:val="008E2E42"/>
    <w:pPr>
      <w:widowControl/>
      <w:spacing w:before="100" w:beforeAutospacing="1" w:after="100" w:afterAutospacing="1"/>
    </w:pPr>
    <w:rPr>
      <w:rFonts w:ascii="新細明體" w:hAnsi="新細明體" w:cs="新細明體"/>
      <w:kern w:val="0"/>
      <w:sz w:val="24"/>
    </w:rPr>
  </w:style>
  <w:style w:type="character" w:customStyle="1" w:styleId="easysite-news-fontsize">
    <w:name w:val="easysite-news-fontsize"/>
    <w:rsid w:val="008E2E42"/>
  </w:style>
  <w:style w:type="paragraph" w:customStyle="1" w:styleId="p0">
    <w:name w:val="p0"/>
    <w:basedOn w:val="a3"/>
    <w:rsid w:val="008E2E42"/>
    <w:pPr>
      <w:widowControl/>
      <w:spacing w:before="100" w:beforeAutospacing="1" w:after="100" w:afterAutospacing="1"/>
    </w:pPr>
    <w:rPr>
      <w:rFonts w:ascii="新細明體" w:hAnsi="新細明體" w:cs="新細明體"/>
      <w:kern w:val="0"/>
      <w:sz w:val="24"/>
    </w:rPr>
  </w:style>
  <w:style w:type="paragraph" w:customStyle="1" w:styleId="p15">
    <w:name w:val="p15"/>
    <w:basedOn w:val="a3"/>
    <w:rsid w:val="008E2E42"/>
    <w:pPr>
      <w:widowControl/>
      <w:spacing w:before="100" w:beforeAutospacing="1" w:after="100" w:afterAutospacing="1"/>
    </w:pPr>
    <w:rPr>
      <w:rFonts w:ascii="新細明體" w:hAnsi="新細明體" w:cs="新細明體"/>
      <w:kern w:val="0"/>
      <w:sz w:val="24"/>
    </w:rPr>
  </w:style>
  <w:style w:type="character" w:customStyle="1" w:styleId="apple-tab-span">
    <w:name w:val="apple-tab-span"/>
    <w:rsid w:val="008E2E42"/>
  </w:style>
  <w:style w:type="paragraph" w:customStyle="1" w:styleId="1fb">
    <w:name w:val="1."/>
    <w:basedOn w:val="a3"/>
    <w:rsid w:val="008E2E42"/>
    <w:pPr>
      <w:autoSpaceDN w:val="0"/>
      <w:spacing w:beforeLines="25" w:before="25" w:afterLines="25" w:after="25"/>
      <w:ind w:leftChars="100" w:left="180" w:hangingChars="80" w:hanging="80"/>
    </w:pPr>
    <w:rPr>
      <w:rFonts w:eastAsia="華康仿宋體"/>
      <w:b/>
      <w:sz w:val="23"/>
      <w:szCs w:val="23"/>
    </w:rPr>
  </w:style>
  <w:style w:type="character" w:customStyle="1" w:styleId="34">
    <w:name w:val="註腳文字 字元3"/>
    <w:aliases w:val="註腳文字 字元1 字元2,註腳文字 字元 字元 字元1,註腳文字(論文) 字元1 字元 字元3,註腳文字(論文) 字元 字元 字元 字元2,註腳文字 字元2 字元1,註腳文字 字元 字元1 字元1,註腳文字 字元2 字元 字元 字元1,註腳文字 字元 字元1 字元 字元 字元1,註腳文字 字元2 字元 字元 字元 字元 字元1,註腳文字 字元 字元1 字元 字元 字元 字元 字元1,註腳文字 字元2 字元 字元 字元 字元 字元1 字元 字元1,字元 字元 字元1 字元,f 字元"/>
    <w:rsid w:val="008E2E42"/>
    <w:rPr>
      <w:rFonts w:eastAsia="標楷體"/>
      <w:spacing w:val="4"/>
      <w:kern w:val="2"/>
      <w:lang w:val="en-US" w:eastAsia="zh-TW" w:bidi="ar-SA"/>
    </w:rPr>
  </w:style>
  <w:style w:type="paragraph" w:customStyle="1" w:styleId="more-contextual-links">
    <w:name w:val="more-contextual-links"/>
    <w:basedOn w:val="a3"/>
    <w:rsid w:val="008E2E42"/>
    <w:pPr>
      <w:widowControl/>
      <w:adjustRightInd w:val="0"/>
      <w:spacing w:before="100" w:beforeAutospacing="1" w:after="100" w:afterAutospacing="1"/>
    </w:pPr>
    <w:rPr>
      <w:rFonts w:ascii="新細明體" w:hAnsi="新細明體" w:cs="新細明體"/>
      <w:kern w:val="0"/>
      <w:sz w:val="24"/>
    </w:rPr>
  </w:style>
  <w:style w:type="character" w:customStyle="1" w:styleId="1f4">
    <w:name w:val="題目 字元1"/>
    <w:link w:val="afffffb"/>
    <w:rsid w:val="008E2E42"/>
    <w:rPr>
      <w:rFonts w:ascii="Times New Rom B" w:eastAsia="華康特粗明體" w:hAnsi="Times New Rom B"/>
      <w:spacing w:val="6"/>
      <w:kern w:val="52"/>
      <w:sz w:val="48"/>
      <w:szCs w:val="44"/>
    </w:rPr>
  </w:style>
  <w:style w:type="paragraph" w:customStyle="1" w:styleId="affffffb">
    <w:name w:val="副標"/>
    <w:basedOn w:val="a3"/>
    <w:link w:val="1fc"/>
    <w:rsid w:val="008E2E42"/>
    <w:pPr>
      <w:autoSpaceDN w:val="0"/>
      <w:adjustRightInd w:val="0"/>
      <w:spacing w:afterLines="50" w:after="50"/>
      <w:jc w:val="center"/>
    </w:pPr>
    <w:rPr>
      <w:rFonts w:eastAsia="華康粗明體"/>
      <w:color w:val="000000"/>
      <w:w w:val="90"/>
      <w:sz w:val="40"/>
    </w:rPr>
  </w:style>
  <w:style w:type="character" w:customStyle="1" w:styleId="1fc">
    <w:name w:val="副標 字元1"/>
    <w:link w:val="affffffb"/>
    <w:rsid w:val="008E2E42"/>
    <w:rPr>
      <w:rFonts w:eastAsia="華康粗明體"/>
      <w:color w:val="000000"/>
      <w:w w:val="90"/>
      <w:kern w:val="2"/>
      <w:sz w:val="40"/>
      <w:szCs w:val="24"/>
    </w:rPr>
  </w:style>
  <w:style w:type="paragraph" w:customStyle="1" w:styleId="affffffc">
    <w:name w:val="關鍵詞"/>
    <w:basedOn w:val="a3"/>
    <w:link w:val="1fd"/>
    <w:rsid w:val="008E2E42"/>
    <w:pPr>
      <w:autoSpaceDN w:val="0"/>
      <w:adjustRightInd w:val="0"/>
      <w:spacing w:beforeLines="100" w:before="357"/>
      <w:ind w:left="960" w:hangingChars="400" w:hanging="960"/>
    </w:pPr>
    <w:rPr>
      <w:rFonts w:ascii="Arial" w:eastAsia="華康中黑體" w:hAnsi="Arial"/>
      <w:color w:val="000000"/>
      <w:sz w:val="22"/>
    </w:rPr>
  </w:style>
  <w:style w:type="character" w:customStyle="1" w:styleId="1fd">
    <w:name w:val="關鍵詞 字元1"/>
    <w:link w:val="affffffc"/>
    <w:rsid w:val="008E2E42"/>
    <w:rPr>
      <w:rFonts w:ascii="Arial" w:eastAsia="華康中黑體" w:hAnsi="Arial"/>
      <w:color w:val="000000"/>
      <w:kern w:val="2"/>
      <w:sz w:val="22"/>
      <w:szCs w:val="24"/>
    </w:rPr>
  </w:style>
  <w:style w:type="paragraph" w:customStyle="1" w:styleId="affffffd">
    <w:name w:val="摘要"/>
    <w:basedOn w:val="a3"/>
    <w:rsid w:val="008E2E42"/>
    <w:pPr>
      <w:autoSpaceDN w:val="0"/>
      <w:adjustRightInd w:val="0"/>
      <w:spacing w:afterLines="100" w:after="357" w:line="340" w:lineRule="exact"/>
      <w:jc w:val="center"/>
    </w:pPr>
    <w:rPr>
      <w:rFonts w:ascii="華康新特明體" w:eastAsia="華康新特明體" w:hAnsi="細明體"/>
      <w:color w:val="000000"/>
      <w:kern w:val="0"/>
      <w:sz w:val="32"/>
    </w:rPr>
  </w:style>
  <w:style w:type="paragraph" w:customStyle="1" w:styleId="affffffe">
    <w:name w:val="作者"/>
    <w:basedOn w:val="a3"/>
    <w:rsid w:val="008E2E42"/>
    <w:pPr>
      <w:widowControl/>
      <w:tabs>
        <w:tab w:val="num" w:pos="1534"/>
      </w:tabs>
      <w:autoSpaceDN w:val="0"/>
      <w:adjustRightInd w:val="0"/>
      <w:spacing w:afterLines="50" w:after="178"/>
      <w:jc w:val="center"/>
    </w:pPr>
    <w:rPr>
      <w:color w:val="000000"/>
      <w:kern w:val="0"/>
      <w:sz w:val="28"/>
    </w:rPr>
  </w:style>
  <w:style w:type="character" w:customStyle="1" w:styleId="afffffd">
    <w:name w:val="壹、 字元"/>
    <w:link w:val="afffffc"/>
    <w:rsid w:val="008E2E42"/>
    <w:rPr>
      <w:rFonts w:eastAsia="華康中圓體"/>
      <w:kern w:val="2"/>
      <w:sz w:val="30"/>
      <w:szCs w:val="24"/>
    </w:rPr>
  </w:style>
  <w:style w:type="paragraph" w:customStyle="1" w:styleId="afffffff">
    <w:name w:val="一、"/>
    <w:basedOn w:val="a3"/>
    <w:link w:val="afffffff0"/>
    <w:rsid w:val="008E2E42"/>
    <w:pPr>
      <w:autoSpaceDN w:val="0"/>
      <w:adjustRightInd w:val="0"/>
      <w:spacing w:beforeLines="50" w:before="50" w:afterLines="50" w:after="50"/>
      <w:ind w:left="200" w:hangingChars="200" w:hanging="200"/>
    </w:pPr>
    <w:rPr>
      <w:rFonts w:ascii="Arial" w:eastAsia="華康粗明體" w:hAnsi="Arial"/>
      <w:color w:val="000000"/>
    </w:rPr>
  </w:style>
  <w:style w:type="paragraph" w:customStyle="1" w:styleId="afffffff1">
    <w:name w:val="(一)"/>
    <w:basedOn w:val="a3"/>
    <w:link w:val="afffffff2"/>
    <w:rsid w:val="008E2E42"/>
    <w:pPr>
      <w:autoSpaceDN w:val="0"/>
      <w:adjustRightInd w:val="0"/>
      <w:spacing w:beforeLines="50" w:before="50" w:afterLines="50" w:after="50"/>
      <w:ind w:left="300" w:hangingChars="300" w:hanging="300"/>
    </w:pPr>
    <w:rPr>
      <w:rFonts w:ascii="Arial" w:eastAsia="華康中黑體" w:hAnsi="Arial"/>
      <w:color w:val="000000"/>
      <w:sz w:val="23"/>
    </w:rPr>
  </w:style>
  <w:style w:type="paragraph" w:customStyle="1" w:styleId="afffffff3">
    <w:name w:val="資料來源"/>
    <w:basedOn w:val="a3"/>
    <w:rsid w:val="008E2E42"/>
    <w:pPr>
      <w:autoSpaceDN w:val="0"/>
      <w:adjustRightInd w:val="0"/>
      <w:spacing w:afterLines="100" w:after="100" w:line="240" w:lineRule="exact"/>
      <w:ind w:left="500" w:hangingChars="500" w:hanging="500"/>
    </w:pPr>
    <w:rPr>
      <w:rFonts w:eastAsia="華康仿宋體"/>
    </w:rPr>
  </w:style>
  <w:style w:type="paragraph" w:customStyle="1" w:styleId="afffffff4">
    <w:name w:val="英文題目"/>
    <w:basedOn w:val="afffffb"/>
    <w:link w:val="afffffff5"/>
    <w:rsid w:val="008E2E42"/>
    <w:pPr>
      <w:keepNext w:val="0"/>
      <w:autoSpaceDE/>
      <w:adjustRightInd w:val="0"/>
      <w:spacing w:beforeLines="50" w:before="50" w:afterLines="100" w:after="100" w:line="460" w:lineRule="exact"/>
      <w:outlineLvl w:val="9"/>
    </w:pPr>
    <w:rPr>
      <w:rFonts w:ascii="Times New Roman" w:eastAsia="華康新特明體" w:hAnsi="Times New Roman"/>
      <w:b/>
      <w:bCs/>
      <w:color w:val="000000"/>
      <w:spacing w:val="0"/>
      <w:w w:val="90"/>
      <w:kern w:val="2"/>
      <w:szCs w:val="24"/>
    </w:rPr>
  </w:style>
  <w:style w:type="character" w:customStyle="1" w:styleId="afffffff5">
    <w:name w:val="英文題目 字元"/>
    <w:link w:val="afffffff4"/>
    <w:rsid w:val="008E2E42"/>
    <w:rPr>
      <w:rFonts w:eastAsia="華康新特明體"/>
      <w:b/>
      <w:bCs/>
      <w:color w:val="000000"/>
      <w:w w:val="90"/>
      <w:kern w:val="2"/>
      <w:sz w:val="48"/>
      <w:szCs w:val="24"/>
    </w:rPr>
  </w:style>
  <w:style w:type="paragraph" w:customStyle="1" w:styleId="afffffff6">
    <w:name w:val="英文副標"/>
    <w:basedOn w:val="affffffb"/>
    <w:link w:val="afffffff7"/>
    <w:rsid w:val="008E2E42"/>
    <w:pPr>
      <w:spacing w:beforeLines="30" w:before="30" w:afterLines="100" w:after="100" w:line="400" w:lineRule="exact"/>
    </w:pPr>
    <w:rPr>
      <w:b/>
      <w:bCs/>
    </w:rPr>
  </w:style>
  <w:style w:type="character" w:customStyle="1" w:styleId="afffffff7">
    <w:name w:val="英文副標 字元"/>
    <w:link w:val="afffffff6"/>
    <w:rsid w:val="008E2E42"/>
    <w:rPr>
      <w:rFonts w:eastAsia="華康粗明體"/>
      <w:b/>
      <w:bCs/>
      <w:color w:val="000000"/>
      <w:w w:val="90"/>
      <w:kern w:val="2"/>
      <w:sz w:val="40"/>
      <w:szCs w:val="24"/>
    </w:rPr>
  </w:style>
  <w:style w:type="paragraph" w:customStyle="1" w:styleId="afffffff8">
    <w:name w:val="英文作者"/>
    <w:basedOn w:val="affffffe"/>
    <w:rsid w:val="008E2E42"/>
    <w:pPr>
      <w:spacing w:afterLines="80" w:after="80"/>
    </w:pPr>
  </w:style>
  <w:style w:type="paragraph" w:customStyle="1" w:styleId="Abstract">
    <w:name w:val="Abstract"/>
    <w:basedOn w:val="a3"/>
    <w:rsid w:val="008E2E42"/>
    <w:pPr>
      <w:autoSpaceDN w:val="0"/>
      <w:adjustRightInd w:val="0"/>
      <w:spacing w:afterLines="50" w:after="178" w:line="340" w:lineRule="exact"/>
      <w:jc w:val="center"/>
    </w:pPr>
    <w:rPr>
      <w:rFonts w:ascii="細明體" w:eastAsia="細明體" w:hAnsi="細明體"/>
      <w:b/>
      <w:bCs/>
      <w:color w:val="000000"/>
      <w:kern w:val="0"/>
      <w:sz w:val="28"/>
    </w:rPr>
  </w:style>
  <w:style w:type="paragraph" w:customStyle="1" w:styleId="abstract0">
    <w:name w:val="abstract內文"/>
    <w:basedOn w:val="a3"/>
    <w:rsid w:val="008E2E42"/>
    <w:pPr>
      <w:autoSpaceDN w:val="0"/>
      <w:adjustRightInd w:val="0"/>
      <w:ind w:firstLineChars="200" w:firstLine="485"/>
    </w:pPr>
    <w:rPr>
      <w:rFonts w:eastAsia="華康仿宋體"/>
      <w:kern w:val="0"/>
      <w:sz w:val="23"/>
    </w:rPr>
  </w:style>
  <w:style w:type="paragraph" w:customStyle="1" w:styleId="key">
    <w:name w:val="英文key"/>
    <w:basedOn w:val="affffffc"/>
    <w:link w:val="key1"/>
    <w:rsid w:val="008E2E42"/>
    <w:pPr>
      <w:spacing w:before="100" w:line="300" w:lineRule="exact"/>
      <w:ind w:left="525" w:hangingChars="525" w:hanging="525"/>
    </w:pPr>
  </w:style>
  <w:style w:type="character" w:customStyle="1" w:styleId="key1">
    <w:name w:val="英文key 字元1"/>
    <w:link w:val="key"/>
    <w:rsid w:val="008E2E42"/>
    <w:rPr>
      <w:rFonts w:ascii="Arial" w:eastAsia="華康中黑體" w:hAnsi="Arial"/>
      <w:color w:val="000000"/>
      <w:kern w:val="2"/>
      <w:sz w:val="22"/>
      <w:szCs w:val="24"/>
    </w:rPr>
  </w:style>
  <w:style w:type="paragraph" w:customStyle="1" w:styleId="afffffff9">
    <w:name w:val="表說明"/>
    <w:basedOn w:val="a3"/>
    <w:rsid w:val="008E2E42"/>
    <w:pPr>
      <w:autoSpaceDN w:val="0"/>
      <w:adjustRightInd w:val="0"/>
      <w:spacing w:beforeLines="50" w:before="50"/>
      <w:jc w:val="center"/>
    </w:pPr>
    <w:rPr>
      <w:rFonts w:eastAsia="華康中黑體"/>
      <w:sz w:val="22"/>
    </w:rPr>
  </w:style>
  <w:style w:type="paragraph" w:customStyle="1" w:styleId="afffffffa">
    <w:name w:val="表文"/>
    <w:basedOn w:val="a3"/>
    <w:link w:val="1fe"/>
    <w:rsid w:val="008E2E42"/>
    <w:pPr>
      <w:autoSpaceDN w:val="0"/>
      <w:adjustRightInd w:val="0"/>
      <w:spacing w:line="280" w:lineRule="exact"/>
      <w:ind w:leftChars="-15" w:left="-15" w:rightChars="-15" w:right="-15"/>
    </w:pPr>
    <w:rPr>
      <w:sz w:val="21"/>
      <w:szCs w:val="20"/>
      <w:lang w:eastAsia="ja-JP"/>
    </w:rPr>
  </w:style>
  <w:style w:type="character" w:customStyle="1" w:styleId="1fe">
    <w:name w:val="表文 字元1"/>
    <w:link w:val="afffffffa"/>
    <w:rsid w:val="008E2E42"/>
    <w:rPr>
      <w:rFonts w:eastAsia="標楷體"/>
      <w:kern w:val="2"/>
      <w:sz w:val="21"/>
      <w:lang w:eastAsia="ja-JP"/>
    </w:rPr>
  </w:style>
  <w:style w:type="paragraph" w:customStyle="1" w:styleId="ingress">
    <w:name w:val="ingress"/>
    <w:basedOn w:val="a3"/>
    <w:rsid w:val="008E2E42"/>
    <w:pPr>
      <w:widowControl/>
      <w:adjustRightInd w:val="0"/>
      <w:spacing w:before="100" w:beforeAutospacing="1" w:after="100" w:afterAutospacing="1"/>
    </w:pPr>
    <w:rPr>
      <w:rFonts w:ascii="新細明體" w:hAnsi="新細明體" w:cs="新細明體"/>
      <w:kern w:val="0"/>
      <w:sz w:val="24"/>
    </w:rPr>
  </w:style>
  <w:style w:type="paragraph" w:customStyle="1" w:styleId="Afffffffb">
    <w:name w:val="A."/>
    <w:basedOn w:val="a3"/>
    <w:rsid w:val="008E2E42"/>
    <w:pPr>
      <w:autoSpaceDN w:val="0"/>
      <w:adjustRightInd w:val="0"/>
      <w:ind w:leftChars="200" w:left="300" w:hangingChars="100" w:hanging="100"/>
    </w:pPr>
    <w:rPr>
      <w:rFonts w:eastAsia="華康仿宋體"/>
      <w:sz w:val="23"/>
    </w:rPr>
  </w:style>
  <w:style w:type="paragraph" w:customStyle="1" w:styleId="afffffffc">
    <w:name w:val="◎"/>
    <w:basedOn w:val="afffffff1"/>
    <w:rsid w:val="008E2E42"/>
    <w:pPr>
      <w:spacing w:before="180" w:after="180"/>
      <w:ind w:left="391" w:hanging="391"/>
    </w:pPr>
    <w:rPr>
      <w:rFonts w:ascii="標楷體" w:eastAsia="標楷體" w:hAnsi="標楷體"/>
    </w:rPr>
  </w:style>
  <w:style w:type="character" w:customStyle="1" w:styleId="afffffffd">
    <w:name w:val="關鍵詞 字元"/>
    <w:rsid w:val="008E2E42"/>
    <w:rPr>
      <w:rFonts w:ascii="Arial" w:eastAsia="華康中黑體" w:hAnsi="Arial"/>
      <w:color w:val="000000"/>
      <w:kern w:val="2"/>
      <w:sz w:val="22"/>
      <w:szCs w:val="24"/>
      <w:lang w:val="en-US" w:eastAsia="zh-TW" w:bidi="ar-SA"/>
    </w:rPr>
  </w:style>
  <w:style w:type="character" w:styleId="afffffffe">
    <w:name w:val="Unresolved Mention"/>
    <w:basedOn w:val="a4"/>
    <w:uiPriority w:val="99"/>
    <w:semiHidden/>
    <w:unhideWhenUsed/>
    <w:rsid w:val="00FF6603"/>
    <w:rPr>
      <w:color w:val="605E5C"/>
      <w:shd w:val="clear" w:color="auto" w:fill="E1DFDD"/>
    </w:rPr>
  </w:style>
  <w:style w:type="paragraph" w:customStyle="1" w:styleId="affffffff">
    <w:name w:val="圖文"/>
    <w:basedOn w:val="afffffffa"/>
    <w:link w:val="affffffff0"/>
    <w:rsid w:val="008E2E42"/>
    <w:pPr>
      <w:spacing w:line="220" w:lineRule="exact"/>
      <w:jc w:val="left"/>
    </w:pPr>
  </w:style>
  <w:style w:type="character" w:customStyle="1" w:styleId="affffffff0">
    <w:name w:val="圖文 字元"/>
    <w:link w:val="affffffff"/>
    <w:rsid w:val="008E2E42"/>
    <w:rPr>
      <w:rFonts w:eastAsia="標楷體"/>
      <w:kern w:val="2"/>
      <w:sz w:val="21"/>
      <w:lang w:eastAsia="ja-JP"/>
    </w:rPr>
  </w:style>
  <w:style w:type="character" w:customStyle="1" w:styleId="affffffff1">
    <w:name w:val="副標 字元"/>
    <w:rsid w:val="008E2E42"/>
    <w:rPr>
      <w:rFonts w:eastAsia="華康粗明體"/>
      <w:color w:val="000000"/>
      <w:w w:val="90"/>
      <w:kern w:val="2"/>
      <w:sz w:val="40"/>
      <w:szCs w:val="24"/>
      <w:lang w:val="en-US" w:eastAsia="zh-TW" w:bidi="ar-SA"/>
    </w:rPr>
  </w:style>
  <w:style w:type="paragraph" w:customStyle="1" w:styleId="affffffff2">
    <w:name w:val="要目（一）"/>
    <w:basedOn w:val="afffffe"/>
    <w:rsid w:val="008E2E42"/>
    <w:pPr>
      <w:adjustRightInd w:val="0"/>
      <w:ind w:leftChars="200" w:left="697" w:hangingChars="100" w:hanging="212"/>
    </w:pPr>
    <w:rPr>
      <w:kern w:val="0"/>
      <w:lang w:val="zh-TW"/>
    </w:rPr>
  </w:style>
  <w:style w:type="character" w:customStyle="1" w:styleId="key0">
    <w:name w:val="英文key 字元"/>
    <w:rsid w:val="008E2E42"/>
  </w:style>
  <w:style w:type="character" w:customStyle="1" w:styleId="label">
    <w:name w:val="label"/>
    <w:rsid w:val="008E2E42"/>
  </w:style>
  <w:style w:type="paragraph" w:customStyle="1" w:styleId="92">
    <w:name w:val="樣式9"/>
    <w:basedOn w:val="2"/>
    <w:autoRedefine/>
    <w:semiHidden/>
    <w:rsid w:val="008E2E42"/>
    <w:pPr>
      <w:autoSpaceDN w:val="0"/>
      <w:snapToGrid/>
      <w:spacing w:beforeLines="0" w:before="0" w:afterLines="0" w:after="0" w:line="360" w:lineRule="auto"/>
    </w:pPr>
    <w:rPr>
      <w:rFonts w:hAnsi="細明體" w:cs="Times New Roman"/>
      <w:color w:val="auto"/>
      <w:kern w:val="2"/>
      <w:sz w:val="44"/>
      <w:szCs w:val="44"/>
    </w:rPr>
  </w:style>
  <w:style w:type="paragraph" w:customStyle="1" w:styleId="114">
    <w:name w:val="樣式11"/>
    <w:basedOn w:val="3"/>
    <w:autoRedefine/>
    <w:semiHidden/>
    <w:rsid w:val="008E2E42"/>
    <w:pPr>
      <w:autoSpaceDN w:val="0"/>
      <w:snapToGrid/>
      <w:spacing w:before="174" w:after="174" w:line="360" w:lineRule="auto"/>
    </w:pPr>
    <w:rPr>
      <w:rFonts w:hAnsi="Arial" w:cs="Times New Roman"/>
      <w:bCs w:val="0"/>
      <w:color w:val="auto"/>
      <w:sz w:val="32"/>
    </w:rPr>
  </w:style>
  <w:style w:type="paragraph" w:customStyle="1" w:styleId="affffffff3">
    <w:name w:val="表圖標題"/>
    <w:basedOn w:val="affb"/>
    <w:autoRedefine/>
    <w:rsid w:val="008E2E42"/>
    <w:pPr>
      <w:autoSpaceDN w:val="0"/>
      <w:adjustRightInd w:val="0"/>
      <w:spacing w:line="240" w:lineRule="auto"/>
      <w:jc w:val="center"/>
    </w:pPr>
    <w:rPr>
      <w:sz w:val="24"/>
      <w:szCs w:val="24"/>
    </w:rPr>
  </w:style>
  <w:style w:type="paragraph" w:customStyle="1" w:styleId="affffffff4">
    <w:name w:val="表圖資料來源"/>
    <w:basedOn w:val="a3"/>
    <w:autoRedefine/>
    <w:rsid w:val="008E2E42"/>
    <w:pPr>
      <w:autoSpaceDN w:val="0"/>
      <w:adjustRightInd w:val="0"/>
      <w:ind w:firstLineChars="200" w:firstLine="400"/>
    </w:pPr>
    <w:rPr>
      <w:rFonts w:eastAsia="細明體"/>
      <w:sz w:val="24"/>
    </w:rPr>
  </w:style>
  <w:style w:type="character" w:customStyle="1" w:styleId="link-title">
    <w:name w:val="link-title"/>
    <w:rsid w:val="008E2E42"/>
  </w:style>
  <w:style w:type="paragraph" w:customStyle="1" w:styleId="affffffff5">
    <w:name w:val="碩格標３"/>
    <w:basedOn w:val="3"/>
    <w:autoRedefine/>
    <w:semiHidden/>
    <w:rsid w:val="008E2E42"/>
    <w:pPr>
      <w:autoSpaceDN w:val="0"/>
      <w:snapToGrid/>
      <w:spacing w:before="174" w:after="174" w:line="360" w:lineRule="auto"/>
    </w:pPr>
    <w:rPr>
      <w:rFonts w:cs="Times New Roman"/>
      <w:bCs w:val="0"/>
      <w:color w:val="auto"/>
      <w:sz w:val="32"/>
      <w:szCs w:val="32"/>
    </w:rPr>
  </w:style>
  <w:style w:type="paragraph" w:customStyle="1" w:styleId="affffffff6">
    <w:name w:val="碩格第一章"/>
    <w:basedOn w:val="11"/>
    <w:autoRedefine/>
    <w:semiHidden/>
    <w:rsid w:val="008E2E42"/>
    <w:pPr>
      <w:autoSpaceDN w:val="0"/>
      <w:snapToGrid/>
      <w:spacing w:beforeLines="100" w:before="100" w:afterLines="150" w:after="150" w:line="360" w:lineRule="auto"/>
      <w:jc w:val="center"/>
    </w:pPr>
    <w:rPr>
      <w:rFonts w:hAnsi="Arial"/>
      <w:b w:val="0"/>
      <w:bCs w:val="0"/>
      <w:color w:val="auto"/>
      <w:sz w:val="48"/>
      <w:szCs w:val="48"/>
    </w:rPr>
  </w:style>
  <w:style w:type="paragraph" w:customStyle="1" w:styleId="affffffff7">
    <w:name w:val="碩格一"/>
    <w:basedOn w:val="4"/>
    <w:autoRedefine/>
    <w:semiHidden/>
    <w:rsid w:val="008E2E42"/>
    <w:pPr>
      <w:autoSpaceDN w:val="0"/>
      <w:spacing w:before="174" w:after="174"/>
    </w:pPr>
    <w:rPr>
      <w:rFonts w:cs="Times New Roman"/>
      <w:b w:val="0"/>
      <w:bCs w:val="0"/>
      <w:i/>
      <w:iCs w:val="0"/>
      <w:sz w:val="28"/>
      <w:szCs w:val="28"/>
      <w:lang w:eastAsia="zh-TW" w:bidi="ar-SA"/>
    </w:rPr>
  </w:style>
  <w:style w:type="paragraph" w:customStyle="1" w:styleId="a0">
    <w:name w:val="參考文獻之各書籍等分類"/>
    <w:basedOn w:val="4"/>
    <w:autoRedefine/>
    <w:semiHidden/>
    <w:rsid w:val="008E2E42"/>
    <w:pPr>
      <w:numPr>
        <w:numId w:val="2"/>
      </w:numPr>
      <w:autoSpaceDN w:val="0"/>
      <w:spacing w:before="0" w:line="240" w:lineRule="atLeast"/>
    </w:pPr>
    <w:rPr>
      <w:rFonts w:hAnsi="Arial" w:cs="Times New Roman"/>
      <w:b w:val="0"/>
      <w:bCs w:val="0"/>
      <w:i/>
      <w:iCs w:val="0"/>
      <w:sz w:val="32"/>
      <w:szCs w:val="36"/>
      <w:lang w:eastAsia="zh-TW" w:bidi="ar-SA"/>
    </w:rPr>
  </w:style>
  <w:style w:type="paragraph" w:customStyle="1" w:styleId="affffffff8">
    <w:name w:val="參考文獻之中西文部份"/>
    <w:basedOn w:val="3"/>
    <w:autoRedefine/>
    <w:semiHidden/>
    <w:rsid w:val="008E2E42"/>
    <w:pPr>
      <w:autoSpaceDN w:val="0"/>
      <w:snapToGrid/>
      <w:spacing w:before="50" w:afterLines="50" w:after="50" w:line="360" w:lineRule="auto"/>
      <w:ind w:left="4877" w:hanging="3175"/>
    </w:pPr>
    <w:rPr>
      <w:rFonts w:hAnsi="Arial" w:cs="Times New Roman"/>
      <w:bCs w:val="0"/>
      <w:color w:val="auto"/>
      <w:sz w:val="36"/>
    </w:rPr>
  </w:style>
  <w:style w:type="paragraph" w:customStyle="1" w:styleId="a1">
    <w:name w:val="參考文獻之書籍等分類"/>
    <w:basedOn w:val="a3"/>
    <w:autoRedefine/>
    <w:rsid w:val="008E2E42"/>
    <w:pPr>
      <w:numPr>
        <w:numId w:val="3"/>
      </w:numPr>
      <w:autoSpaceDN w:val="0"/>
      <w:adjustRightInd w:val="0"/>
    </w:pPr>
    <w:rPr>
      <w:sz w:val="32"/>
    </w:rPr>
  </w:style>
  <w:style w:type="paragraph" w:customStyle="1" w:styleId="affffffff9">
    <w:name w:val="碩標壹"/>
    <w:basedOn w:val="affffffff8"/>
    <w:autoRedefine/>
    <w:semiHidden/>
    <w:rsid w:val="008E2E42"/>
    <w:pPr>
      <w:spacing w:before="174" w:after="174"/>
      <w:ind w:left="0" w:firstLine="0"/>
    </w:pPr>
    <w:rPr>
      <w:sz w:val="32"/>
      <w:szCs w:val="32"/>
    </w:rPr>
  </w:style>
  <w:style w:type="paragraph" w:customStyle="1" w:styleId="affffffffa">
    <w:name w:val="碩標一"/>
    <w:basedOn w:val="4"/>
    <w:autoRedefine/>
    <w:semiHidden/>
    <w:rsid w:val="008E2E42"/>
    <w:pPr>
      <w:tabs>
        <w:tab w:val="num" w:pos="2607"/>
      </w:tabs>
      <w:wordWrap w:val="0"/>
      <w:autoSpaceDN w:val="0"/>
      <w:spacing w:before="174" w:after="174"/>
      <w:ind w:left="2607" w:hanging="480"/>
    </w:pPr>
    <w:rPr>
      <w:rFonts w:cs="Times New Roman"/>
      <w:b w:val="0"/>
      <w:bCs w:val="0"/>
      <w:i/>
      <w:iCs w:val="0"/>
      <w:sz w:val="28"/>
      <w:szCs w:val="28"/>
      <w:lang w:eastAsia="zh-TW" w:bidi="ar-SA"/>
    </w:rPr>
  </w:style>
  <w:style w:type="paragraph" w:customStyle="1" w:styleId="affffffffb">
    <w:name w:val="碩格壹"/>
    <w:basedOn w:val="3"/>
    <w:autoRedefine/>
    <w:semiHidden/>
    <w:rsid w:val="008E2E42"/>
    <w:pPr>
      <w:autoSpaceDN w:val="0"/>
      <w:snapToGrid/>
      <w:spacing w:before="174" w:after="174" w:line="360" w:lineRule="auto"/>
    </w:pPr>
    <w:rPr>
      <w:rFonts w:hAnsi="Arial" w:cs="Times New Roman"/>
      <w:bCs w:val="0"/>
      <w:color w:val="auto"/>
      <w:sz w:val="32"/>
      <w:szCs w:val="32"/>
    </w:rPr>
  </w:style>
  <w:style w:type="paragraph" w:customStyle="1" w:styleId="affffffffc">
    <w:name w:val="參考文獻之書目內容"/>
    <w:basedOn w:val="a3"/>
    <w:autoRedefine/>
    <w:semiHidden/>
    <w:rsid w:val="008E2E42"/>
    <w:pPr>
      <w:autoSpaceDN w:val="0"/>
      <w:adjustRightInd w:val="0"/>
      <w:ind w:left="200" w:hangingChars="200" w:hanging="200"/>
    </w:pPr>
    <w:rPr>
      <w:rFonts w:ascii="細明體" w:hAnsi="細明體"/>
      <w:sz w:val="24"/>
      <w:szCs w:val="32"/>
    </w:rPr>
  </w:style>
  <w:style w:type="paragraph" w:customStyle="1" w:styleId="87pt87pt15">
    <w:name w:val="樣式 內文１ + (符號) 標楷體 套用前:  8.7 pt 套用後:  8.7 pt 行距:  1.5 倍行高"/>
    <w:basedOn w:val="a3"/>
    <w:autoRedefine/>
    <w:semiHidden/>
    <w:rsid w:val="008E2E42"/>
    <w:pPr>
      <w:autoSpaceDN w:val="0"/>
      <w:adjustRightInd w:val="0"/>
      <w:spacing w:before="174" w:after="174" w:line="360" w:lineRule="auto"/>
      <w:ind w:firstLineChars="200" w:firstLine="200"/>
    </w:pPr>
    <w:rPr>
      <w:rFonts w:cs="新細明體"/>
      <w:sz w:val="24"/>
    </w:rPr>
  </w:style>
  <w:style w:type="paragraph" w:customStyle="1" w:styleId="proposal">
    <w:name w:val="proposal內文"/>
    <w:basedOn w:val="a3"/>
    <w:autoRedefine/>
    <w:rsid w:val="008E2E42"/>
    <w:pPr>
      <w:autoSpaceDN w:val="0"/>
      <w:adjustRightInd w:val="0"/>
      <w:ind w:firstLineChars="200" w:firstLine="200"/>
    </w:pPr>
    <w:rPr>
      <w:sz w:val="24"/>
    </w:rPr>
  </w:style>
  <w:style w:type="character" w:customStyle="1" w:styleId="87pt87pt150">
    <w:name w:val="樣式 內文１ + (符號) 標楷體 套用前:  8.7 pt 套用後:  8.7 pt 行距:  1.5 倍行高 字元"/>
    <w:rsid w:val="008E2E42"/>
    <w:rPr>
      <w:rFonts w:ascii="標楷體" w:eastAsia="新細明體" w:hAnsi="標楷體" w:cs="新細明體"/>
      <w:kern w:val="2"/>
      <w:sz w:val="24"/>
      <w:szCs w:val="24"/>
      <w:lang w:val="en-US" w:eastAsia="zh-TW" w:bidi="ar-SA"/>
    </w:rPr>
  </w:style>
  <w:style w:type="paragraph" w:customStyle="1" w:styleId="1160pt0pt15">
    <w:name w:val="樣式 標題 1 + 細明體 16 點 套用前:  0 pt 套用後:  0 pt 行距:  1.5 倍行高"/>
    <w:basedOn w:val="11"/>
    <w:autoRedefine/>
    <w:semiHidden/>
    <w:rsid w:val="008E2E42"/>
    <w:pPr>
      <w:tabs>
        <w:tab w:val="num" w:pos="960"/>
      </w:tabs>
      <w:autoSpaceDN w:val="0"/>
      <w:snapToGrid/>
      <w:spacing w:beforeLines="0" w:before="0" w:afterLines="0" w:after="0" w:line="360" w:lineRule="auto"/>
      <w:ind w:left="3403" w:hanging="360"/>
    </w:pPr>
    <w:rPr>
      <w:rFonts w:ascii="細明體" w:eastAsia="細明體" w:hAnsi="細明體" w:cs="新細明體"/>
      <w:color w:val="auto"/>
      <w:sz w:val="32"/>
      <w:szCs w:val="20"/>
    </w:rPr>
  </w:style>
  <w:style w:type="character" w:customStyle="1" w:styleId="affffffffd">
    <w:name w:val="表圖資料來源 字元"/>
    <w:rsid w:val="008E2E42"/>
    <w:rPr>
      <w:rFonts w:eastAsia="細明體"/>
      <w:kern w:val="2"/>
      <w:sz w:val="24"/>
      <w:szCs w:val="24"/>
      <w:lang w:val="en-US" w:eastAsia="zh-TW" w:bidi="ar-SA"/>
    </w:rPr>
  </w:style>
  <w:style w:type="paragraph" w:customStyle="1" w:styleId="affffffffe">
    <w:name w:val="內文１"/>
    <w:basedOn w:val="a3"/>
    <w:rsid w:val="008E2E42"/>
    <w:pPr>
      <w:autoSpaceDN w:val="0"/>
      <w:adjustRightInd w:val="0"/>
      <w:ind w:firstLineChars="200" w:firstLine="480"/>
    </w:pPr>
    <w:rPr>
      <w:sz w:val="24"/>
    </w:rPr>
  </w:style>
  <w:style w:type="character" w:customStyle="1" w:styleId="shorttext">
    <w:name w:val="short_text"/>
    <w:rsid w:val="008E2E42"/>
  </w:style>
  <w:style w:type="character" w:customStyle="1" w:styleId="afffffffff">
    <w:name w:val="題目 字元"/>
    <w:rsid w:val="008E2E42"/>
    <w:rPr>
      <w:rFonts w:ascii="華康新特明體" w:eastAsia="華康新特明體" w:hAnsi="細明體"/>
      <w:color w:val="000000"/>
      <w:w w:val="90"/>
      <w:kern w:val="2"/>
      <w:sz w:val="48"/>
      <w:szCs w:val="24"/>
      <w:lang w:val="en-US" w:eastAsia="zh-TW" w:bidi="ar-SA"/>
    </w:rPr>
  </w:style>
  <w:style w:type="character" w:customStyle="1" w:styleId="1ff">
    <w:name w:val="註腳文字1 字元"/>
    <w:rsid w:val="008E2E42"/>
    <w:rPr>
      <w:rFonts w:eastAsia="新細明體"/>
      <w:kern w:val="2"/>
      <w:sz w:val="19"/>
      <w:szCs w:val="24"/>
      <w:lang w:val="en-US" w:eastAsia="zh-TW" w:bidi="ar-SA"/>
    </w:rPr>
  </w:style>
  <w:style w:type="paragraph" w:customStyle="1" w:styleId="afffffffff0">
    <w:name w:val="表次"/>
    <w:basedOn w:val="a3"/>
    <w:rsid w:val="008E2E42"/>
    <w:pPr>
      <w:autoSpaceDE w:val="0"/>
      <w:autoSpaceDN w:val="0"/>
      <w:adjustRightInd w:val="0"/>
      <w:spacing w:line="300" w:lineRule="exact"/>
      <w:ind w:left="300" w:hangingChars="300" w:hanging="300"/>
      <w:jc w:val="center"/>
    </w:pPr>
    <w:rPr>
      <w:kern w:val="0"/>
      <w:sz w:val="24"/>
    </w:rPr>
  </w:style>
  <w:style w:type="paragraph" w:customStyle="1" w:styleId="afffffffff1">
    <w:name w:val="章"/>
    <w:basedOn w:val="a3"/>
    <w:autoRedefine/>
    <w:rsid w:val="008E2E42"/>
    <w:pPr>
      <w:autoSpaceDE w:val="0"/>
      <w:autoSpaceDN w:val="0"/>
      <w:adjustRightInd w:val="0"/>
    </w:pPr>
    <w:rPr>
      <w:kern w:val="0"/>
      <w:sz w:val="24"/>
    </w:rPr>
  </w:style>
  <w:style w:type="paragraph" w:customStyle="1" w:styleId="afffffffff2">
    <w:name w:val="節"/>
    <w:basedOn w:val="a3"/>
    <w:autoRedefine/>
    <w:rsid w:val="008E2E42"/>
    <w:pPr>
      <w:autoSpaceDE w:val="0"/>
      <w:autoSpaceDN w:val="0"/>
      <w:adjustRightInd w:val="0"/>
      <w:ind w:firstLineChars="75" w:firstLine="180"/>
    </w:pPr>
    <w:rPr>
      <w:kern w:val="0"/>
      <w:sz w:val="24"/>
    </w:rPr>
  </w:style>
  <w:style w:type="paragraph" w:customStyle="1" w:styleId="afffffffff3">
    <w:name w:val="壹"/>
    <w:basedOn w:val="a3"/>
    <w:autoRedefine/>
    <w:rsid w:val="008E2E42"/>
    <w:pPr>
      <w:autoSpaceDN w:val="0"/>
      <w:adjustRightInd w:val="0"/>
      <w:ind w:firstLineChars="75" w:firstLine="180"/>
    </w:pPr>
    <w:rPr>
      <w:bCs/>
      <w:color w:val="000000"/>
      <w:sz w:val="24"/>
    </w:rPr>
  </w:style>
  <w:style w:type="character" w:customStyle="1" w:styleId="afffffffff4">
    <w:name w:val="壹 字元"/>
    <w:rsid w:val="008E2E42"/>
    <w:rPr>
      <w:rFonts w:ascii="標楷體" w:eastAsia="標楷體" w:hAnsi="標楷體"/>
      <w:bCs/>
      <w:color w:val="000000"/>
      <w:kern w:val="2"/>
      <w:sz w:val="24"/>
      <w:szCs w:val="24"/>
      <w:lang w:val="en-US" w:eastAsia="zh-TW" w:bidi="ar-SA"/>
    </w:rPr>
  </w:style>
  <w:style w:type="character" w:customStyle="1" w:styleId="afffffffff5">
    <w:name w:val="字元 字元"/>
    <w:rsid w:val="008E2E42"/>
    <w:rPr>
      <w:rFonts w:ascii="細明體" w:eastAsia="細明體" w:hAnsi="Courier New" w:cs="Courier New"/>
      <w:kern w:val="2"/>
      <w:sz w:val="24"/>
      <w:szCs w:val="24"/>
      <w:lang w:val="en-US" w:eastAsia="zh-TW" w:bidi="ar-SA"/>
    </w:rPr>
  </w:style>
  <w:style w:type="paragraph" w:customStyle="1" w:styleId="afffffffff6">
    <w:name w:val="表標題"/>
    <w:basedOn w:val="a3"/>
    <w:rsid w:val="008E2E42"/>
    <w:pPr>
      <w:autoSpaceDN w:val="0"/>
      <w:adjustRightInd w:val="0"/>
      <w:spacing w:before="180" w:after="180" w:line="360" w:lineRule="auto"/>
      <w:ind w:firstLineChars="200" w:firstLine="480"/>
      <w:jc w:val="center"/>
    </w:pPr>
    <w:rPr>
      <w:sz w:val="24"/>
    </w:rPr>
  </w:style>
  <w:style w:type="character" w:customStyle="1" w:styleId="afffffffff7">
    <w:name w:val="表文 字元"/>
    <w:rsid w:val="008E2E42"/>
    <w:rPr>
      <w:rFonts w:eastAsia="標楷體"/>
      <w:kern w:val="2"/>
      <w:lang w:val="en-US" w:eastAsia="ja-JP" w:bidi="ar-SA"/>
    </w:rPr>
  </w:style>
  <w:style w:type="paragraph" w:customStyle="1" w:styleId="1ff0">
    <w:name w:val="(1)內文"/>
    <w:basedOn w:val="a3"/>
    <w:rsid w:val="00B40DC1"/>
    <w:pPr>
      <w:autoSpaceDN w:val="0"/>
      <w:adjustRightInd w:val="0"/>
      <w:ind w:leftChars="320" w:left="320" w:firstLineChars="200" w:firstLine="200"/>
    </w:pPr>
    <w:rPr>
      <w:rFonts w:eastAsia="華康仿宋體"/>
      <w:sz w:val="23"/>
    </w:rPr>
  </w:style>
  <w:style w:type="character" w:customStyle="1" w:styleId="afffffffff8">
    <w:name w:val="要目 字元"/>
    <w:rsid w:val="008E2E42"/>
    <w:rPr>
      <w:rFonts w:eastAsia="華康仿宋體"/>
      <w:kern w:val="2"/>
      <w:szCs w:val="24"/>
      <w:lang w:val="en-US" w:eastAsia="zh-TW" w:bidi="ar-SA"/>
    </w:rPr>
  </w:style>
  <w:style w:type="character" w:customStyle="1" w:styleId="afffffffff9">
    <w:name w:val="要目一 字元"/>
    <w:rsid w:val="008E2E42"/>
    <w:rPr>
      <w:rFonts w:eastAsia="華康仿宋體"/>
      <w:kern w:val="2"/>
      <w:szCs w:val="24"/>
      <w:lang w:val="zh-TW" w:eastAsia="zh-TW" w:bidi="ar-SA"/>
    </w:rPr>
  </w:style>
  <w:style w:type="paragraph" w:customStyle="1" w:styleId="afffffffffa">
    <w:name w:val="a."/>
    <w:basedOn w:val="Afffffffb"/>
    <w:rsid w:val="008E2E42"/>
    <w:pPr>
      <w:ind w:leftChars="400" w:left="1140" w:hangingChars="70" w:hanging="170"/>
    </w:pPr>
  </w:style>
  <w:style w:type="paragraph" w:customStyle="1" w:styleId="afffffffffb">
    <w:name w:val="（Ａ）"/>
    <w:basedOn w:val="Afffffffb"/>
    <w:rsid w:val="008E2E42"/>
    <w:pPr>
      <w:ind w:leftChars="300" w:left="580" w:hangingChars="280" w:hanging="280"/>
    </w:pPr>
  </w:style>
  <w:style w:type="paragraph" w:styleId="afffffffffc">
    <w:name w:val="Normal Indent"/>
    <w:basedOn w:val="a3"/>
    <w:rsid w:val="008E2E42"/>
    <w:pPr>
      <w:autoSpaceDN w:val="0"/>
      <w:adjustRightInd w:val="0"/>
      <w:spacing w:line="240" w:lineRule="atLeast"/>
      <w:ind w:left="480"/>
    </w:pPr>
    <w:rPr>
      <w:sz w:val="24"/>
      <w:szCs w:val="20"/>
    </w:rPr>
  </w:style>
  <w:style w:type="paragraph" w:customStyle="1" w:styleId="1ff1">
    <w:name w:val="段落樣式1"/>
    <w:basedOn w:val="a3"/>
    <w:rsid w:val="008E2E42"/>
    <w:pPr>
      <w:tabs>
        <w:tab w:val="left" w:pos="567"/>
      </w:tabs>
      <w:kinsoku w:val="0"/>
      <w:autoSpaceDN w:val="0"/>
      <w:adjustRightInd w:val="0"/>
      <w:ind w:leftChars="200" w:left="200" w:firstLineChars="200" w:firstLine="200"/>
    </w:pPr>
    <w:rPr>
      <w:kern w:val="0"/>
      <w:sz w:val="32"/>
      <w:szCs w:val="20"/>
    </w:rPr>
  </w:style>
  <w:style w:type="paragraph" w:customStyle="1" w:styleId="afffffffffd">
    <w:name w:val="表文內縮"/>
    <w:basedOn w:val="afffffffa"/>
    <w:rsid w:val="008E2E42"/>
    <w:pPr>
      <w:ind w:left="212" w:hangingChars="100" w:hanging="212"/>
    </w:pPr>
    <w:rPr>
      <w:lang w:eastAsia="zh-TW"/>
    </w:rPr>
  </w:style>
  <w:style w:type="paragraph" w:customStyle="1" w:styleId="afffffffffe">
    <w:name w:val="表條文一、"/>
    <w:basedOn w:val="afffffffffd"/>
    <w:rsid w:val="008E2E42"/>
    <w:pPr>
      <w:ind w:leftChars="100" w:left="454"/>
    </w:pPr>
  </w:style>
  <w:style w:type="paragraph" w:customStyle="1" w:styleId="affffffffff">
    <w:name w:val="表(a)"/>
    <w:basedOn w:val="a3"/>
    <w:rsid w:val="008E2E42"/>
    <w:pPr>
      <w:autoSpaceDN w:val="0"/>
      <w:adjustRightInd w:val="0"/>
      <w:snapToGrid w:val="0"/>
      <w:ind w:left="266" w:hangingChars="125" w:hanging="266"/>
    </w:pPr>
    <w:rPr>
      <w:rFonts w:eastAsia="華康仿宋體"/>
      <w:color w:val="000000"/>
      <w:szCs w:val="20"/>
    </w:rPr>
  </w:style>
  <w:style w:type="character" w:customStyle="1" w:styleId="affffffffff0">
    <w:name w:val="表(a) 字元"/>
    <w:rsid w:val="008E2E42"/>
    <w:rPr>
      <w:rFonts w:eastAsia="華康仿宋體"/>
      <w:color w:val="000000"/>
      <w:kern w:val="2"/>
      <w:lang w:val="en-US" w:eastAsia="zh-TW" w:bidi="ar-SA"/>
    </w:rPr>
  </w:style>
  <w:style w:type="paragraph" w:customStyle="1" w:styleId="affffffffff1">
    <w:name w:val="內文一"/>
    <w:basedOn w:val="a3"/>
    <w:rsid w:val="008E2E42"/>
    <w:pPr>
      <w:autoSpaceDN w:val="0"/>
      <w:adjustRightInd w:val="0"/>
      <w:ind w:left="485" w:hangingChars="200" w:hanging="485"/>
    </w:pPr>
    <w:rPr>
      <w:rFonts w:eastAsia="華康仿宋體"/>
      <w:kern w:val="0"/>
      <w:sz w:val="23"/>
    </w:rPr>
  </w:style>
  <w:style w:type="paragraph" w:customStyle="1" w:styleId="affffffffff2">
    <w:name w:val="內文（一）"/>
    <w:basedOn w:val="a3"/>
    <w:rsid w:val="008E2E42"/>
    <w:pPr>
      <w:autoSpaceDN w:val="0"/>
      <w:adjustRightInd w:val="0"/>
      <w:ind w:leftChars="100" w:left="400" w:hangingChars="300" w:hanging="300"/>
    </w:pPr>
    <w:rPr>
      <w:rFonts w:eastAsia="華康仿宋體"/>
      <w:kern w:val="0"/>
      <w:sz w:val="23"/>
    </w:rPr>
  </w:style>
  <w:style w:type="paragraph" w:customStyle="1" w:styleId="1ff2">
    <w:name w:val="表1."/>
    <w:basedOn w:val="afffffffa"/>
    <w:rsid w:val="008E2E42"/>
    <w:pPr>
      <w:ind w:left="135" w:hangingChars="150" w:hanging="150"/>
    </w:pPr>
    <w:rPr>
      <w:lang w:eastAsia="zh-TW"/>
    </w:rPr>
  </w:style>
  <w:style w:type="paragraph" w:customStyle="1" w:styleId="affffffffff3">
    <w:name w:val="條內文"/>
    <w:basedOn w:val="a3"/>
    <w:rsid w:val="008E2E42"/>
    <w:pPr>
      <w:autoSpaceDN w:val="0"/>
      <w:adjustRightInd w:val="0"/>
      <w:ind w:firstLineChars="200" w:firstLine="485"/>
    </w:pPr>
    <w:rPr>
      <w:sz w:val="23"/>
    </w:rPr>
  </w:style>
  <w:style w:type="paragraph" w:customStyle="1" w:styleId="affffffffff4">
    <w:name w:val="條一、"/>
    <w:basedOn w:val="a3"/>
    <w:link w:val="affffffffff5"/>
    <w:rsid w:val="008E2E42"/>
    <w:pPr>
      <w:autoSpaceDN w:val="0"/>
      <w:adjustRightInd w:val="0"/>
      <w:ind w:leftChars="200" w:left="970" w:hangingChars="200" w:hanging="485"/>
    </w:pPr>
    <w:rPr>
      <w:sz w:val="23"/>
    </w:rPr>
  </w:style>
  <w:style w:type="character" w:customStyle="1" w:styleId="affffffffff5">
    <w:name w:val="條一、 字元"/>
    <w:link w:val="affffffffff4"/>
    <w:rsid w:val="008E2E42"/>
    <w:rPr>
      <w:rFonts w:ascii="標楷體" w:eastAsia="標楷體" w:hAnsi="標楷體"/>
      <w:kern w:val="2"/>
      <w:sz w:val="23"/>
      <w:szCs w:val="24"/>
    </w:rPr>
  </w:style>
  <w:style w:type="paragraph" w:customStyle="1" w:styleId="affffffffff6">
    <w:name w:val="註腳文字１"/>
    <w:basedOn w:val="af5"/>
    <w:link w:val="affffffffff7"/>
    <w:rsid w:val="008E2E42"/>
    <w:pPr>
      <w:autoSpaceDN w:val="0"/>
      <w:adjustRightInd w:val="0"/>
      <w:snapToGrid/>
      <w:spacing w:line="260" w:lineRule="exact"/>
      <w:ind w:left="130" w:hangingChars="130" w:hanging="130"/>
      <w:textAlignment w:val="baseline"/>
    </w:pPr>
    <w:rPr>
      <w:sz w:val="17"/>
      <w:lang w:val="en-US" w:eastAsia="zh-TW"/>
    </w:rPr>
  </w:style>
  <w:style w:type="character" w:customStyle="1" w:styleId="affffffffff7">
    <w:name w:val="註腳文字１ 字元"/>
    <w:link w:val="affffffffff6"/>
    <w:rsid w:val="008E2E42"/>
    <w:rPr>
      <w:rFonts w:eastAsia="標楷體"/>
      <w:sz w:val="17"/>
    </w:rPr>
  </w:style>
  <w:style w:type="character" w:customStyle="1" w:styleId="affffffffff8">
    <w:name w:val="樣式 (中文) 新細明體"/>
    <w:rsid w:val="008E2E42"/>
    <w:rPr>
      <w:rFonts w:ascii="Times New Roman" w:eastAsia="細明體" w:hAnsi="Times New Roman"/>
      <w:b/>
      <w:sz w:val="28"/>
      <w:szCs w:val="28"/>
    </w:rPr>
  </w:style>
  <w:style w:type="paragraph" w:customStyle="1" w:styleId="520">
    <w:name w:val="樣式 標題 5 + 左:  2 字元"/>
    <w:basedOn w:val="5"/>
    <w:rsid w:val="008E2E42"/>
    <w:pPr>
      <w:keepNext/>
      <w:widowControl w:val="0"/>
      <w:autoSpaceDN w:val="0"/>
      <w:adjustRightInd w:val="0"/>
      <w:spacing w:line="720" w:lineRule="auto"/>
      <w:ind w:leftChars="200" w:left="480"/>
    </w:pPr>
    <w:rPr>
      <w:rFonts w:ascii="Arial" w:eastAsia="新細明體" w:hAnsi="Arial" w:cs="新細明體"/>
      <w:color w:val="auto"/>
      <w:kern w:val="2"/>
      <w:sz w:val="28"/>
      <w:lang w:eastAsia="zh-TW" w:bidi="ar-SA"/>
    </w:rPr>
  </w:style>
  <w:style w:type="paragraph" w:customStyle="1" w:styleId="4085cm">
    <w:name w:val="樣式 標題 4 + 標楷體 左:  0.85 cm"/>
    <w:basedOn w:val="4"/>
    <w:rsid w:val="008E2E42"/>
    <w:pPr>
      <w:autoSpaceDN w:val="0"/>
      <w:spacing w:before="0" w:line="720" w:lineRule="auto"/>
      <w:ind w:left="480"/>
    </w:pPr>
    <w:rPr>
      <w:rFonts w:cs="新細明體"/>
      <w:b w:val="0"/>
      <w:bCs w:val="0"/>
      <w:i/>
      <w:iCs w:val="0"/>
      <w:sz w:val="36"/>
      <w:szCs w:val="20"/>
      <w:lang w:eastAsia="zh-TW" w:bidi="ar-SA"/>
    </w:rPr>
  </w:style>
  <w:style w:type="paragraph" w:customStyle="1" w:styleId="affffffffff9">
    <w:name w:val="正文"/>
    <w:basedOn w:val="afffe"/>
    <w:link w:val="affffffffffa"/>
    <w:autoRedefine/>
    <w:rsid w:val="000D26BB"/>
  </w:style>
  <w:style w:type="paragraph" w:customStyle="1" w:styleId="115">
    <w:name w:val="1.(1)"/>
    <w:basedOn w:val="a3"/>
    <w:rsid w:val="00B40DC1"/>
    <w:pPr>
      <w:autoSpaceDN w:val="0"/>
      <w:adjustRightInd w:val="0"/>
      <w:ind w:leftChars="200" w:left="776" w:hangingChars="120" w:hanging="291"/>
    </w:pPr>
    <w:rPr>
      <w:rFonts w:eastAsia="華康仿宋體"/>
      <w:sz w:val="23"/>
    </w:rPr>
  </w:style>
  <w:style w:type="paragraph" w:customStyle="1" w:styleId="a2">
    <w:name w:val="內文楷"/>
    <w:basedOn w:val="a3"/>
    <w:link w:val="affffffffffb"/>
    <w:rsid w:val="008E2E42"/>
    <w:pPr>
      <w:numPr>
        <w:numId w:val="4"/>
      </w:numPr>
      <w:autoSpaceDN w:val="0"/>
      <w:adjustRightInd w:val="0"/>
      <w:spacing w:beforeLines="50" w:before="178" w:afterLines="50" w:after="178"/>
      <w:ind w:leftChars="200" w:left="200" w:rightChars="200" w:right="485"/>
    </w:pPr>
    <w:rPr>
      <w:sz w:val="23"/>
    </w:rPr>
  </w:style>
  <w:style w:type="character" w:customStyle="1" w:styleId="affffffffffb">
    <w:name w:val="內文楷 字元"/>
    <w:link w:val="a2"/>
    <w:rsid w:val="008E2E42"/>
    <w:rPr>
      <w:rFonts w:ascii="標楷體" w:eastAsia="標楷體" w:hAnsi="標楷體"/>
      <w:kern w:val="2"/>
      <w:sz w:val="23"/>
      <w:szCs w:val="26"/>
    </w:rPr>
  </w:style>
  <w:style w:type="paragraph" w:styleId="affffffffffc">
    <w:name w:val="List"/>
    <w:basedOn w:val="afffe"/>
    <w:rsid w:val="008E2E42"/>
    <w:pPr>
      <w:suppressAutoHyphens/>
      <w:autoSpaceDN w:val="0"/>
      <w:adjustRightInd w:val="0"/>
      <w:spacing w:after="120"/>
    </w:pPr>
    <w:rPr>
      <w:rFonts w:ascii="Times New Roman" w:hAnsi="Times New Roman" w:cs="Tahoma"/>
      <w:kern w:val="1"/>
      <w:lang w:eastAsia="ar-SA"/>
    </w:rPr>
  </w:style>
  <w:style w:type="paragraph" w:customStyle="1" w:styleId="affffffffffd">
    <w:name w:val="一內"/>
    <w:basedOn w:val="a3"/>
    <w:rsid w:val="008E2E42"/>
    <w:pPr>
      <w:suppressAutoHyphens/>
      <w:autoSpaceDN w:val="0"/>
      <w:adjustRightInd w:val="0"/>
      <w:spacing w:line="520" w:lineRule="exact"/>
      <w:ind w:left="566"/>
    </w:pPr>
    <w:rPr>
      <w:sz w:val="32"/>
      <w:szCs w:val="32"/>
      <w:lang w:eastAsia="ar-SA"/>
    </w:rPr>
  </w:style>
  <w:style w:type="paragraph" w:customStyle="1" w:styleId="affffffffffe">
    <w:name w:val="文獻"/>
    <w:basedOn w:val="a3"/>
    <w:link w:val="afffffffffff"/>
    <w:rsid w:val="008E2E42"/>
    <w:pPr>
      <w:tabs>
        <w:tab w:val="num" w:pos="360"/>
      </w:tabs>
      <w:autoSpaceDN w:val="0"/>
      <w:adjustRightInd w:val="0"/>
      <w:ind w:left="360" w:hanging="360"/>
    </w:pPr>
    <w:rPr>
      <w:rFonts w:eastAsia="華康仿宋體"/>
      <w:sz w:val="23"/>
    </w:rPr>
  </w:style>
  <w:style w:type="character" w:customStyle="1" w:styleId="26">
    <w:name w:val="字元 字元2"/>
    <w:semiHidden/>
    <w:rsid w:val="008E2E42"/>
    <w:rPr>
      <w:rFonts w:eastAsia="新細明體"/>
      <w:kern w:val="2"/>
      <w:lang w:val="en-US" w:eastAsia="zh-TW" w:bidi="ar-SA"/>
    </w:rPr>
  </w:style>
  <w:style w:type="paragraph" w:customStyle="1" w:styleId="1ff3">
    <w:name w:val="表(1)"/>
    <w:basedOn w:val="1ff2"/>
    <w:rsid w:val="008E2E42"/>
    <w:pPr>
      <w:ind w:leftChars="50" w:left="652" w:right="-36" w:hangingChars="250" w:hanging="531"/>
    </w:pPr>
  </w:style>
  <w:style w:type="paragraph" w:customStyle="1" w:styleId="afffffffffff0">
    <w:name w:val="日期字號"/>
    <w:basedOn w:val="a3"/>
    <w:next w:val="a3"/>
    <w:rsid w:val="008E2E42"/>
    <w:pPr>
      <w:autoSpaceDE w:val="0"/>
      <w:autoSpaceDN w:val="0"/>
      <w:adjustRightInd w:val="0"/>
    </w:pPr>
    <w:rPr>
      <w:kern w:val="0"/>
    </w:rPr>
  </w:style>
  <w:style w:type="paragraph" w:customStyle="1" w:styleId="afffffffffff1">
    <w:name w:val="文"/>
    <w:basedOn w:val="a3"/>
    <w:rsid w:val="008E2E42"/>
    <w:pPr>
      <w:adjustRightInd w:val="0"/>
      <w:ind w:firstLineChars="200" w:firstLine="200"/>
      <w:textAlignment w:val="center"/>
    </w:pPr>
    <w:rPr>
      <w:rFonts w:eastAsia="細明體"/>
      <w:spacing w:val="4"/>
      <w:sz w:val="21"/>
    </w:rPr>
  </w:style>
  <w:style w:type="character" w:customStyle="1" w:styleId="yiv1377915237yui320581349110719872387">
    <w:name w:val="yiv1377915237yui_3_2_0_58_1349110719872387"/>
    <w:rsid w:val="008E2E42"/>
  </w:style>
  <w:style w:type="paragraph" w:customStyle="1" w:styleId="afffffffffff2">
    <w:name w:val="申論"/>
    <w:basedOn w:val="Default"/>
    <w:next w:val="Default"/>
    <w:rsid w:val="008E2E42"/>
    <w:rPr>
      <w:rFonts w:ascii="Times New Roman" w:eastAsia="新細明體" w:cs="Times New Roman"/>
      <w:color w:val="auto"/>
      <w:lang w:bidi="ar-SA"/>
    </w:rPr>
  </w:style>
  <w:style w:type="character" w:customStyle="1" w:styleId="headline-content">
    <w:name w:val="headline-content"/>
    <w:rsid w:val="008E2E42"/>
  </w:style>
  <w:style w:type="character" w:customStyle="1" w:styleId="report">
    <w:name w:val="report"/>
    <w:rsid w:val="008E2E42"/>
  </w:style>
  <w:style w:type="character" w:customStyle="1" w:styleId="editsection">
    <w:name w:val="editsection"/>
    <w:rsid w:val="008E2E42"/>
  </w:style>
  <w:style w:type="character" w:customStyle="1" w:styleId="ratelabel">
    <w:name w:val="ratelabel"/>
    <w:rsid w:val="008E2E42"/>
  </w:style>
  <w:style w:type="character" w:customStyle="1" w:styleId="ratedata">
    <w:name w:val="ratedata"/>
    <w:rsid w:val="008E2E42"/>
  </w:style>
  <w:style w:type="character" w:customStyle="1" w:styleId="descrition">
    <w:name w:val="descrition"/>
    <w:rsid w:val="008E2E42"/>
  </w:style>
  <w:style w:type="character" w:customStyle="1" w:styleId="sans-bold-15">
    <w:name w:val="sans-bold-15"/>
    <w:rsid w:val="008E2E42"/>
  </w:style>
  <w:style w:type="character" w:customStyle="1" w:styleId="word">
    <w:name w:val="word"/>
    <w:rsid w:val="008E2E42"/>
  </w:style>
  <w:style w:type="character" w:customStyle="1" w:styleId="sans-bold-12">
    <w:name w:val="sans-bold-12"/>
    <w:rsid w:val="008E2E42"/>
  </w:style>
  <w:style w:type="character" w:customStyle="1" w:styleId="sans-12">
    <w:name w:val="sans-12"/>
    <w:rsid w:val="008E2E42"/>
  </w:style>
  <w:style w:type="character" w:customStyle="1" w:styleId="number">
    <w:name w:val="number"/>
    <w:rsid w:val="008E2E42"/>
  </w:style>
  <w:style w:type="character" w:customStyle="1" w:styleId="font10font08">
    <w:name w:val="font10 font08"/>
    <w:rsid w:val="008E2E42"/>
  </w:style>
  <w:style w:type="paragraph" w:customStyle="1" w:styleId="blubox">
    <w:name w:val="blubox"/>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msolistparagraph0">
    <w:name w:val="msolistparagraph"/>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yui-thumb">
    <w:name w:val="yui-thumb"/>
    <w:rsid w:val="008E2E42"/>
  </w:style>
  <w:style w:type="character" w:customStyle="1" w:styleId="copy1">
    <w:name w:val="copy1"/>
    <w:rsid w:val="008E2E42"/>
  </w:style>
  <w:style w:type="character" w:customStyle="1" w:styleId="style5">
    <w:name w:val="style5"/>
    <w:rsid w:val="008E2E42"/>
  </w:style>
  <w:style w:type="character" w:customStyle="1" w:styleId="style3">
    <w:name w:val="style3"/>
    <w:rsid w:val="008E2E42"/>
  </w:style>
  <w:style w:type="paragraph" w:customStyle="1" w:styleId="inner15">
    <w:name w:val="inner15"/>
    <w:basedOn w:val="a3"/>
    <w:rsid w:val="008E2E42"/>
    <w:pPr>
      <w:widowControl/>
      <w:spacing w:before="100" w:beforeAutospacing="1" w:after="100" w:afterAutospacing="1"/>
    </w:pPr>
    <w:rPr>
      <w:rFonts w:ascii="新細明體" w:hAnsi="新細明體" w:cs="新細明體"/>
      <w:kern w:val="0"/>
      <w:sz w:val="24"/>
      <w:lang w:bidi="bn-IN"/>
    </w:rPr>
  </w:style>
  <w:style w:type="paragraph" w:customStyle="1" w:styleId="bbsp">
    <w:name w:val="bbsp"/>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flagicon">
    <w:name w:val="flagicon"/>
    <w:rsid w:val="008E2E42"/>
  </w:style>
  <w:style w:type="character" w:customStyle="1" w:styleId="yshortcuts">
    <w:name w:val="yshortcuts"/>
    <w:rsid w:val="008E2E42"/>
  </w:style>
  <w:style w:type="character" w:customStyle="1" w:styleId="providerorg">
    <w:name w:val="provider org"/>
    <w:rsid w:val="008E2E42"/>
  </w:style>
  <w:style w:type="character" w:customStyle="1" w:styleId="maintext1">
    <w:name w:val="maintext1"/>
    <w:rsid w:val="008E2E42"/>
  </w:style>
  <w:style w:type="paragraph" w:customStyle="1" w:styleId="first">
    <w:name w:val="first"/>
    <w:basedOn w:val="a3"/>
    <w:rsid w:val="008E2E42"/>
    <w:pPr>
      <w:widowControl/>
      <w:spacing w:before="100" w:beforeAutospacing="1" w:after="100" w:afterAutospacing="1"/>
    </w:pPr>
    <w:rPr>
      <w:rFonts w:ascii="新細明體" w:hAnsi="新細明體" w:cs="新細明體"/>
      <w:kern w:val="0"/>
      <w:sz w:val="24"/>
      <w:lang w:bidi="bn-IN"/>
    </w:rPr>
  </w:style>
  <w:style w:type="character" w:customStyle="1" w:styleId="txt14">
    <w:name w:val="txt14"/>
    <w:rsid w:val="008E2E42"/>
  </w:style>
  <w:style w:type="paragraph" w:customStyle="1" w:styleId="1ff4">
    <w:name w:val="字元1 字元 字元 字元"/>
    <w:basedOn w:val="a3"/>
    <w:rsid w:val="008E2E42"/>
    <w:pPr>
      <w:widowControl/>
      <w:spacing w:after="160" w:line="240" w:lineRule="exact"/>
    </w:pPr>
    <w:rPr>
      <w:rFonts w:ascii="Verdana" w:hAnsi="Verdana" w:cs="Verdana"/>
      <w:kern w:val="0"/>
      <w:szCs w:val="20"/>
      <w:lang w:eastAsia="en-US"/>
    </w:rPr>
  </w:style>
  <w:style w:type="paragraph" w:customStyle="1" w:styleId="afffffffffff3">
    <w:name w:val="註文(一)"/>
    <w:basedOn w:val="af5"/>
    <w:rsid w:val="008E2E42"/>
    <w:pPr>
      <w:autoSpaceDN w:val="0"/>
      <w:adjustRightInd w:val="0"/>
      <w:spacing w:line="280" w:lineRule="exact"/>
      <w:ind w:leftChars="150" w:left="971" w:hangingChars="300" w:hanging="607"/>
    </w:pPr>
    <w:rPr>
      <w:kern w:val="2"/>
      <w:sz w:val="19"/>
      <w:szCs w:val="24"/>
      <w:lang w:val="en-US" w:eastAsia="ja-JP"/>
    </w:rPr>
  </w:style>
  <w:style w:type="paragraph" w:customStyle="1" w:styleId="1ff5">
    <w:name w:val="註文1."/>
    <w:basedOn w:val="af5"/>
    <w:rsid w:val="008E2E42"/>
    <w:pPr>
      <w:autoSpaceDN w:val="0"/>
      <w:adjustRightInd w:val="0"/>
      <w:spacing w:line="280" w:lineRule="exact"/>
      <w:ind w:leftChars="400" w:left="1132" w:hangingChars="80" w:hanging="162"/>
    </w:pPr>
    <w:rPr>
      <w:kern w:val="2"/>
      <w:sz w:val="19"/>
      <w:szCs w:val="24"/>
      <w:lang w:val="en-US" w:eastAsia="ja-JP"/>
    </w:rPr>
  </w:style>
  <w:style w:type="character" w:customStyle="1" w:styleId="afffffff2">
    <w:name w:val="(一) 字元"/>
    <w:link w:val="afffffff1"/>
    <w:rsid w:val="008E2E42"/>
    <w:rPr>
      <w:rFonts w:ascii="Arial" w:eastAsia="華康中黑體" w:hAnsi="Arial"/>
      <w:color w:val="000000"/>
      <w:kern w:val="2"/>
      <w:sz w:val="23"/>
      <w:szCs w:val="24"/>
    </w:rPr>
  </w:style>
  <w:style w:type="paragraph" w:customStyle="1" w:styleId="091">
    <w:name w:val="091註釋"/>
    <w:basedOn w:val="a3"/>
    <w:rsid w:val="008E2E42"/>
    <w:pPr>
      <w:spacing w:line="240" w:lineRule="exact"/>
      <w:ind w:left="234" w:hangingChars="130" w:hanging="234"/>
    </w:pPr>
    <w:rPr>
      <w:rFonts w:eastAsia="華康楷書體W5"/>
      <w:sz w:val="18"/>
      <w:szCs w:val="18"/>
      <w:shd w:val="clear" w:color="auto" w:fill="FFFFFF"/>
    </w:rPr>
  </w:style>
  <w:style w:type="character" w:customStyle="1" w:styleId="book-title">
    <w:name w:val="book-title"/>
    <w:rsid w:val="008E2E42"/>
  </w:style>
  <w:style w:type="paragraph" w:customStyle="1" w:styleId="081-">
    <w:name w:val="081參考文獻-內文"/>
    <w:basedOn w:val="a3"/>
    <w:rsid w:val="008E2E42"/>
    <w:pPr>
      <w:spacing w:line="280" w:lineRule="exact"/>
      <w:ind w:left="382" w:hangingChars="201" w:hanging="382"/>
    </w:pPr>
    <w:rPr>
      <w:rFonts w:eastAsia="華康中明體"/>
      <w:sz w:val="19"/>
    </w:rPr>
  </w:style>
  <w:style w:type="paragraph" w:styleId="27">
    <w:name w:val="Body Text Indent 2"/>
    <w:basedOn w:val="a3"/>
    <w:link w:val="28"/>
    <w:rsid w:val="008E2E42"/>
    <w:pPr>
      <w:autoSpaceDN w:val="0"/>
      <w:ind w:firstLineChars="200" w:firstLine="460"/>
    </w:pPr>
    <w:rPr>
      <w:rFonts w:eastAsia="華康仿宋體"/>
      <w:kern w:val="0"/>
      <w:sz w:val="23"/>
      <w:lang w:val="zh-CN"/>
    </w:rPr>
  </w:style>
  <w:style w:type="character" w:customStyle="1" w:styleId="28">
    <w:name w:val="本文縮排 2 字元"/>
    <w:basedOn w:val="a4"/>
    <w:link w:val="27"/>
    <w:rsid w:val="008E2E42"/>
    <w:rPr>
      <w:rFonts w:eastAsia="華康仿宋體"/>
      <w:sz w:val="23"/>
      <w:szCs w:val="24"/>
      <w:lang w:val="zh-CN"/>
    </w:rPr>
  </w:style>
  <w:style w:type="character" w:customStyle="1" w:styleId="72">
    <w:name w:val="樣式7 字元"/>
    <w:link w:val="71"/>
    <w:rsid w:val="008E2E42"/>
    <w:rPr>
      <w:rFonts w:ascii="inherit" w:eastAsia="標楷體" w:hAnsi="inherit" w:cs="Arial"/>
      <w:color w:val="333333"/>
      <w:spacing w:val="12"/>
      <w:sz w:val="24"/>
      <w:szCs w:val="18"/>
    </w:rPr>
  </w:style>
  <w:style w:type="paragraph" w:customStyle="1" w:styleId="afffffffffff4">
    <w:name w:val="階層３的標題"/>
    <w:basedOn w:val="3"/>
    <w:autoRedefine/>
    <w:rsid w:val="008E2E42"/>
    <w:pPr>
      <w:autoSpaceDN w:val="0"/>
      <w:adjustRightInd/>
      <w:snapToGrid/>
      <w:spacing w:before="174" w:after="174" w:line="360" w:lineRule="auto"/>
    </w:pPr>
    <w:rPr>
      <w:rFonts w:cs="Times New Roman"/>
      <w:bCs w:val="0"/>
      <w:color w:val="auto"/>
      <w:sz w:val="32"/>
      <w:szCs w:val="32"/>
    </w:rPr>
  </w:style>
  <w:style w:type="character" w:customStyle="1" w:styleId="15">
    <w:name w:val="目錄 1 字元"/>
    <w:link w:val="14"/>
    <w:rsid w:val="008E2E42"/>
    <w:rPr>
      <w:rFonts w:asciiTheme="minorHAnsi" w:eastAsia="標楷體" w:hAnsiTheme="minorHAnsi" w:cstheme="minorBidi"/>
      <w:b/>
      <w:bCs/>
      <w:caps/>
      <w:color w:val="1F497D" w:themeColor="text2"/>
      <w:sz w:val="28"/>
      <w:lang w:eastAsia="en-US" w:bidi="en-US"/>
    </w:rPr>
  </w:style>
  <w:style w:type="character" w:customStyle="1" w:styleId="1ff6">
    <w:name w:val="1. 字元"/>
    <w:rsid w:val="008E2E42"/>
    <w:rPr>
      <w:rFonts w:eastAsia="華康仿宋體"/>
      <w:b/>
      <w:kern w:val="2"/>
      <w:sz w:val="23"/>
      <w:szCs w:val="23"/>
      <w:lang w:val="en-US" w:eastAsia="zh-TW" w:bidi="ar-SA"/>
    </w:rPr>
  </w:style>
  <w:style w:type="paragraph" w:customStyle="1" w:styleId="01">
    <w:name w:val="註腳文字01"/>
    <w:basedOn w:val="a3"/>
    <w:link w:val="010"/>
    <w:autoRedefine/>
    <w:rsid w:val="008E2E42"/>
    <w:pPr>
      <w:autoSpaceDE w:val="0"/>
      <w:autoSpaceDN w:val="0"/>
      <w:adjustRightInd w:val="0"/>
      <w:snapToGrid w:val="0"/>
      <w:ind w:left="648" w:hangingChars="270" w:hanging="648"/>
    </w:pPr>
    <w:rPr>
      <w:rFonts w:ascii="新細明體" w:hAnsi="新細明體" w:cs="Angsana New"/>
      <w:sz w:val="24"/>
      <w:lang w:val="zh-TW"/>
    </w:rPr>
  </w:style>
  <w:style w:type="character" w:customStyle="1" w:styleId="010">
    <w:name w:val="註腳文字01 字元"/>
    <w:link w:val="01"/>
    <w:rsid w:val="008E2E42"/>
    <w:rPr>
      <w:rFonts w:ascii="新細明體" w:hAnsi="新細明體" w:cs="Angsana New"/>
      <w:kern w:val="2"/>
      <w:sz w:val="24"/>
      <w:szCs w:val="24"/>
      <w:lang w:val="zh-TW"/>
    </w:rPr>
  </w:style>
  <w:style w:type="paragraph" w:customStyle="1" w:styleId="83">
    <w:name w:val="表#8"/>
    <w:basedOn w:val="afffffffa"/>
    <w:rsid w:val="008E2E42"/>
    <w:pPr>
      <w:adjustRightInd/>
      <w:spacing w:line="200" w:lineRule="exact"/>
      <w:jc w:val="center"/>
    </w:pPr>
    <w:rPr>
      <w:sz w:val="14"/>
      <w:szCs w:val="14"/>
      <w:lang w:eastAsia="zh-TW"/>
    </w:rPr>
  </w:style>
  <w:style w:type="character" w:customStyle="1" w:styleId="Web0">
    <w:name w:val="內文 (Web) 字元"/>
    <w:rsid w:val="008E2E42"/>
    <w:rPr>
      <w:rFonts w:ascii="新細明體" w:eastAsia="新細明體" w:hAnsi="新細明體" w:cs="新細明體"/>
      <w:sz w:val="24"/>
      <w:szCs w:val="24"/>
      <w:lang w:val="en-US" w:eastAsia="zh-TW" w:bidi="ar-SA"/>
    </w:rPr>
  </w:style>
  <w:style w:type="paragraph" w:customStyle="1" w:styleId="1ff7">
    <w:name w:val="清單段落1"/>
    <w:basedOn w:val="a3"/>
    <w:qFormat/>
    <w:rsid w:val="008E2E42"/>
    <w:pPr>
      <w:ind w:leftChars="200" w:left="480"/>
    </w:pPr>
    <w:rPr>
      <w:sz w:val="24"/>
    </w:rPr>
  </w:style>
  <w:style w:type="paragraph" w:customStyle="1" w:styleId="afffffffffff5">
    <w:name w:val="標題一"/>
    <w:basedOn w:val="14"/>
    <w:link w:val="afffffffffff6"/>
    <w:autoRedefine/>
    <w:qFormat/>
    <w:rsid w:val="008E2E42"/>
    <w:pPr>
      <w:widowControl w:val="0"/>
      <w:tabs>
        <w:tab w:val="right" w:leader="dot" w:pos="8268"/>
      </w:tabs>
      <w:spacing w:beforeLines="50" w:before="0" w:afterLines="50" w:after="0" w:line="0" w:lineRule="atLeast"/>
      <w:ind w:left="993" w:hanging="993"/>
      <w:jc w:val="center"/>
    </w:pPr>
    <w:rPr>
      <w:rFonts w:ascii="新細明體" w:eastAsia="新細明體" w:hAnsi="新細明體" w:cs="新細明體"/>
      <w:caps w:val="0"/>
      <w:color w:val="000000"/>
      <w:kern w:val="2"/>
      <w:sz w:val="32"/>
      <w:szCs w:val="32"/>
      <w:lang w:eastAsia="zh-TW" w:bidi="ar-SA"/>
    </w:rPr>
  </w:style>
  <w:style w:type="character" w:customStyle="1" w:styleId="afffffffffff6">
    <w:name w:val="標題一 字元"/>
    <w:link w:val="afffffffffff5"/>
    <w:rsid w:val="008E2E42"/>
    <w:rPr>
      <w:rFonts w:ascii="新細明體" w:hAnsi="新細明體" w:cs="新細明體"/>
      <w:b/>
      <w:bCs/>
      <w:color w:val="000000"/>
      <w:kern w:val="2"/>
      <w:sz w:val="32"/>
      <w:szCs w:val="32"/>
    </w:rPr>
  </w:style>
  <w:style w:type="paragraph" w:customStyle="1" w:styleId="afffffffffff7">
    <w:name w:val="首行縮排"/>
    <w:basedOn w:val="a3"/>
    <w:autoRedefine/>
    <w:rsid w:val="008E2E42"/>
    <w:pPr>
      <w:spacing w:beforeLines="50"/>
      <w:ind w:leftChars="300" w:left="1327" w:rightChars="100" w:right="240" w:hangingChars="253" w:hanging="607"/>
    </w:pPr>
    <w:rPr>
      <w:rFonts w:ascii="新細明體" w:hAnsi="新細明體" w:cs="Arial"/>
      <w:color w:val="000000"/>
      <w:sz w:val="24"/>
    </w:rPr>
  </w:style>
  <w:style w:type="paragraph" w:styleId="a">
    <w:name w:val="List Bullet"/>
    <w:basedOn w:val="a3"/>
    <w:unhideWhenUsed/>
    <w:rsid w:val="008E2E42"/>
    <w:pPr>
      <w:numPr>
        <w:numId w:val="5"/>
      </w:numPr>
      <w:contextualSpacing/>
    </w:pPr>
    <w:rPr>
      <w:rFonts w:ascii="Calibri" w:hAnsi="Calibri"/>
      <w:sz w:val="24"/>
      <w:szCs w:val="22"/>
    </w:rPr>
  </w:style>
  <w:style w:type="paragraph" w:customStyle="1" w:styleId="afffffffffff8">
    <w:name w:val="標題１６"/>
    <w:basedOn w:val="afffffffffff5"/>
    <w:next w:val="14"/>
    <w:link w:val="afffffffffff9"/>
    <w:autoRedefine/>
    <w:qFormat/>
    <w:rsid w:val="008E2E42"/>
  </w:style>
  <w:style w:type="character" w:customStyle="1" w:styleId="afffffffffff9">
    <w:name w:val="標題１６ 字元"/>
    <w:link w:val="afffffffffff8"/>
    <w:rsid w:val="008E2E42"/>
    <w:rPr>
      <w:rFonts w:ascii="新細明體" w:hAnsi="新細明體" w:cs="新細明體"/>
      <w:b/>
      <w:bCs/>
      <w:color w:val="000000"/>
      <w:kern w:val="2"/>
      <w:sz w:val="32"/>
      <w:szCs w:val="32"/>
    </w:rPr>
  </w:style>
  <w:style w:type="paragraph" w:customStyle="1" w:styleId="afffffffffffa">
    <w:name w:val="標題１４"/>
    <w:basedOn w:val="a3"/>
    <w:next w:val="22"/>
    <w:link w:val="afffffffffffb"/>
    <w:autoRedefine/>
    <w:qFormat/>
    <w:rsid w:val="008E2E42"/>
    <w:pPr>
      <w:widowControl/>
    </w:pPr>
    <w:rPr>
      <w:rFonts w:ascii="新細明體" w:hAnsi="新細明體"/>
      <w:b/>
      <w:sz w:val="28"/>
      <w:szCs w:val="28"/>
    </w:rPr>
  </w:style>
  <w:style w:type="character" w:customStyle="1" w:styleId="afffffffffffb">
    <w:name w:val="標題１４ 字元"/>
    <w:link w:val="afffffffffffa"/>
    <w:rsid w:val="008E2E42"/>
    <w:rPr>
      <w:rFonts w:ascii="新細明體" w:hAnsi="新細明體"/>
      <w:b/>
      <w:kern w:val="2"/>
      <w:sz w:val="28"/>
      <w:szCs w:val="28"/>
    </w:rPr>
  </w:style>
  <w:style w:type="paragraph" w:customStyle="1" w:styleId="afffffffffffc">
    <w:name w:val="標題１２"/>
    <w:basedOn w:val="a3"/>
    <w:next w:val="31"/>
    <w:link w:val="afffffffffffd"/>
    <w:autoRedefine/>
    <w:rsid w:val="008E2E42"/>
    <w:pPr>
      <w:widowControl/>
      <w:ind w:leftChars="-1" w:left="-2"/>
    </w:pPr>
    <w:rPr>
      <w:rFonts w:hAnsi="新細明體"/>
      <w:b/>
      <w:sz w:val="24"/>
    </w:rPr>
  </w:style>
  <w:style w:type="character" w:customStyle="1" w:styleId="afffffffffffd">
    <w:name w:val="標題１２ 字元"/>
    <w:link w:val="afffffffffffc"/>
    <w:rsid w:val="008E2E42"/>
    <w:rPr>
      <w:rFonts w:hAnsi="新細明體"/>
      <w:b/>
      <w:kern w:val="2"/>
      <w:sz w:val="24"/>
      <w:szCs w:val="24"/>
    </w:rPr>
  </w:style>
  <w:style w:type="paragraph" w:customStyle="1" w:styleId="afffffffffffe">
    <w:name w:val="標題１"/>
    <w:basedOn w:val="afffffffffff5"/>
    <w:rsid w:val="008E2E42"/>
    <w:pPr>
      <w:spacing w:beforeLines="0" w:afterLines="0" w:line="500" w:lineRule="exact"/>
      <w:jc w:val="left"/>
    </w:pPr>
  </w:style>
  <w:style w:type="table" w:customStyle="1" w:styleId="1ff8">
    <w:name w:val="淺色網底1"/>
    <w:basedOn w:val="a5"/>
    <w:rsid w:val="008E2E42"/>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
    <w:name w:val="無間距 字元"/>
    <w:link w:val="afe"/>
    <w:rsid w:val="008E2E42"/>
    <w:rPr>
      <w:rFonts w:asciiTheme="minorHAnsi" w:eastAsia="標楷體" w:hAnsiTheme="minorHAnsi" w:cstheme="minorBidi"/>
      <w:color w:val="1F497D" w:themeColor="text2"/>
      <w:sz w:val="24"/>
      <w:szCs w:val="22"/>
      <w:lang w:eastAsia="en-US" w:bidi="en-US"/>
    </w:rPr>
  </w:style>
  <w:style w:type="paragraph" w:styleId="35">
    <w:name w:val="Body Text Indent 3"/>
    <w:aliases w:val="參考書目縮排4"/>
    <w:basedOn w:val="a3"/>
    <w:link w:val="36"/>
    <w:uiPriority w:val="99"/>
    <w:rsid w:val="008E2E42"/>
    <w:pPr>
      <w:ind w:firstLine="482"/>
    </w:pPr>
    <w:rPr>
      <w:rFonts w:ascii="新細明體" w:eastAsia="細明體"/>
      <w:szCs w:val="20"/>
    </w:rPr>
  </w:style>
  <w:style w:type="character" w:customStyle="1" w:styleId="36">
    <w:name w:val="本文縮排 3 字元"/>
    <w:aliases w:val="參考書目縮排4 字元"/>
    <w:basedOn w:val="a4"/>
    <w:link w:val="35"/>
    <w:uiPriority w:val="99"/>
    <w:rsid w:val="008E2E42"/>
    <w:rPr>
      <w:rFonts w:ascii="新細明體" w:eastAsia="細明體"/>
      <w:kern w:val="2"/>
    </w:rPr>
  </w:style>
  <w:style w:type="paragraph" w:customStyle="1" w:styleId="1ff9">
    <w:name w:val="內文縮排+1"/>
    <w:basedOn w:val="a3"/>
    <w:next w:val="a3"/>
    <w:rsid w:val="008E2E42"/>
    <w:pPr>
      <w:autoSpaceDE w:val="0"/>
      <w:autoSpaceDN w:val="0"/>
      <w:adjustRightInd w:val="0"/>
    </w:pPr>
    <w:rPr>
      <w:rFonts w:ascii="新細明體"/>
      <w:kern w:val="0"/>
      <w:sz w:val="24"/>
    </w:rPr>
  </w:style>
  <w:style w:type="paragraph" w:customStyle="1" w:styleId="2521">
    <w:name w:val="字元2 字元 字元5 字元 字元 字元2 字元 字元 字元1 字元 字元 字元 字元 字元 字元 字元 字元 字元 字元 字元 字元 字元 字元 字元 字元 字元 字元 字元 字元 字元 字元 字元 字元 字元"/>
    <w:basedOn w:val="a3"/>
    <w:semiHidden/>
    <w:rsid w:val="008E2E42"/>
    <w:pPr>
      <w:widowControl/>
      <w:spacing w:after="160" w:line="240" w:lineRule="exact"/>
    </w:pPr>
    <w:rPr>
      <w:rFonts w:ascii="Tahoma" w:hAnsi="Tahoma" w:cs="Tahoma"/>
      <w:kern w:val="0"/>
      <w:szCs w:val="20"/>
      <w:lang w:eastAsia="en-US"/>
    </w:rPr>
  </w:style>
  <w:style w:type="paragraph" w:customStyle="1" w:styleId="1ffa">
    <w:name w:val="內文+1"/>
    <w:basedOn w:val="a3"/>
    <w:next w:val="a3"/>
    <w:rsid w:val="008E2E42"/>
    <w:pPr>
      <w:autoSpaceDE w:val="0"/>
      <w:autoSpaceDN w:val="0"/>
      <w:adjustRightInd w:val="0"/>
    </w:pPr>
    <w:rPr>
      <w:kern w:val="0"/>
      <w:sz w:val="24"/>
    </w:rPr>
  </w:style>
  <w:style w:type="paragraph" w:customStyle="1" w:styleId="article-image1">
    <w:name w:val="article-image1"/>
    <w:basedOn w:val="a3"/>
    <w:rsid w:val="008E2E42"/>
    <w:pPr>
      <w:widowControl/>
      <w:spacing w:after="144"/>
      <w:ind w:left="240"/>
    </w:pPr>
    <w:rPr>
      <w:rFonts w:ascii="Arial" w:hAnsi="Arial" w:cs="Arial"/>
      <w:b/>
      <w:bCs/>
      <w:color w:val="666666"/>
      <w:kern w:val="0"/>
    </w:rPr>
  </w:style>
  <w:style w:type="paragraph" w:customStyle="1" w:styleId="rtecenter1">
    <w:name w:val="rtecenter1"/>
    <w:basedOn w:val="a3"/>
    <w:rsid w:val="008E2E42"/>
    <w:pPr>
      <w:widowControl/>
      <w:spacing w:before="100" w:beforeAutospacing="1" w:after="180"/>
      <w:jc w:val="center"/>
    </w:pPr>
    <w:rPr>
      <w:rFonts w:ascii="新細明體" w:hAnsi="新細明體" w:cs="新細明體"/>
      <w:kern w:val="0"/>
      <w:sz w:val="24"/>
    </w:rPr>
  </w:style>
  <w:style w:type="character" w:customStyle="1" w:styleId="hidden">
    <w:name w:val="hidden"/>
    <w:rsid w:val="008E2E42"/>
  </w:style>
  <w:style w:type="character" w:customStyle="1" w:styleId="maintopictitle">
    <w:name w:val="main_topic_title"/>
    <w:rsid w:val="008E2E42"/>
  </w:style>
  <w:style w:type="character" w:customStyle="1" w:styleId="bl24b">
    <w:name w:val="bl24b"/>
    <w:rsid w:val="008E2E42"/>
  </w:style>
  <w:style w:type="paragraph" w:customStyle="1" w:styleId="1ffb">
    <w:name w:val="字元1"/>
    <w:basedOn w:val="a3"/>
    <w:rsid w:val="008E2E42"/>
    <w:pPr>
      <w:widowControl/>
      <w:spacing w:after="160" w:line="240" w:lineRule="exact"/>
    </w:pPr>
    <w:rPr>
      <w:rFonts w:ascii="Verdana" w:hAnsi="Verdana"/>
      <w:kern w:val="0"/>
      <w:szCs w:val="20"/>
      <w:lang w:eastAsia="en-US"/>
    </w:rPr>
  </w:style>
  <w:style w:type="character" w:customStyle="1" w:styleId="insubject11">
    <w:name w:val="insubject11"/>
    <w:rsid w:val="008E2E42"/>
    <w:rPr>
      <w:b/>
      <w:bCs/>
      <w:color w:val="333333"/>
      <w:spacing w:val="24"/>
      <w:sz w:val="23"/>
      <w:szCs w:val="23"/>
      <w:shd w:val="clear" w:color="auto" w:fill="FFFFFF"/>
    </w:rPr>
  </w:style>
  <w:style w:type="character" w:customStyle="1" w:styleId="notranslate">
    <w:name w:val="notranslate"/>
    <w:rsid w:val="008E2E42"/>
  </w:style>
  <w:style w:type="character" w:customStyle="1" w:styleId="google-src-text1">
    <w:name w:val="google-src-text1"/>
    <w:rsid w:val="008E2E42"/>
    <w:rPr>
      <w:vanish/>
      <w:webHidden w:val="0"/>
      <w:specVanish w:val="0"/>
    </w:rPr>
  </w:style>
  <w:style w:type="paragraph" w:customStyle="1" w:styleId="Pa7">
    <w:name w:val="Pa7"/>
    <w:basedOn w:val="a3"/>
    <w:next w:val="a3"/>
    <w:rsid w:val="008E2E42"/>
    <w:pPr>
      <w:autoSpaceDE w:val="0"/>
      <w:autoSpaceDN w:val="0"/>
      <w:adjustRightInd w:val="0"/>
      <w:spacing w:line="281" w:lineRule="atLeast"/>
    </w:pPr>
    <w:rPr>
      <w:rFonts w:ascii="Adobe Caslon Pro" w:eastAsia="Adobe Caslon Pro"/>
      <w:kern w:val="0"/>
      <w:sz w:val="24"/>
    </w:rPr>
  </w:style>
  <w:style w:type="paragraph" w:customStyle="1" w:styleId="Pa10">
    <w:name w:val="Pa10"/>
    <w:basedOn w:val="Default"/>
    <w:next w:val="Default"/>
    <w:rsid w:val="008E2E42"/>
    <w:pPr>
      <w:spacing w:line="221" w:lineRule="atLeast"/>
    </w:pPr>
    <w:rPr>
      <w:rFonts w:ascii="Bell Centennial Std SubCaption" w:eastAsia="Bell Centennial Std SubCaption" w:cs="Times New Roman"/>
      <w:color w:val="auto"/>
      <w:lang w:bidi="ar-SA"/>
    </w:rPr>
  </w:style>
  <w:style w:type="paragraph" w:customStyle="1" w:styleId="Pa11">
    <w:name w:val="Pa11"/>
    <w:basedOn w:val="Default"/>
    <w:next w:val="Default"/>
    <w:rsid w:val="008E2E42"/>
    <w:pPr>
      <w:spacing w:line="281" w:lineRule="atLeast"/>
    </w:pPr>
    <w:rPr>
      <w:rFonts w:ascii="Myriad Pro" w:eastAsia="Myriad Pro" w:cs="Times New Roman"/>
      <w:color w:val="auto"/>
      <w:lang w:bidi="ar-SA"/>
    </w:rPr>
  </w:style>
  <w:style w:type="character" w:customStyle="1" w:styleId="A100">
    <w:name w:val="A10"/>
    <w:rsid w:val="008E2E42"/>
    <w:rPr>
      <w:rFonts w:cs="Myriad Pro"/>
      <w:color w:val="000000"/>
      <w:sz w:val="22"/>
      <w:szCs w:val="22"/>
      <w:u w:val="single"/>
    </w:rPr>
  </w:style>
  <w:style w:type="paragraph" w:customStyle="1" w:styleId="affffffffffff">
    <w:name w:val="檔號"/>
    <w:basedOn w:val="a3"/>
    <w:rsid w:val="008E2E42"/>
    <w:pPr>
      <w:framePr w:w="1507" w:h="800" w:hSpace="180" w:wrap="auto" w:vAnchor="page" w:hAnchor="text" w:x="-109" w:y="687"/>
    </w:pPr>
    <w:rPr>
      <w:sz w:val="24"/>
    </w:rPr>
  </w:style>
  <w:style w:type="character" w:customStyle="1" w:styleId="alt-edited">
    <w:name w:val="alt-edited"/>
    <w:rsid w:val="008E2E42"/>
  </w:style>
  <w:style w:type="character" w:customStyle="1" w:styleId="atn">
    <w:name w:val="atn"/>
    <w:rsid w:val="008E2E42"/>
  </w:style>
  <w:style w:type="character" w:customStyle="1" w:styleId="1ffc">
    <w:name w:val="字元 字元1"/>
    <w:semiHidden/>
    <w:rsid w:val="008E2E42"/>
    <w:rPr>
      <w:rFonts w:eastAsia="新細明體"/>
      <w:kern w:val="2"/>
    </w:rPr>
  </w:style>
  <w:style w:type="paragraph" w:customStyle="1" w:styleId="text13">
    <w:name w:val="text13"/>
    <w:basedOn w:val="a3"/>
    <w:rsid w:val="008E2E42"/>
    <w:pPr>
      <w:widowControl/>
      <w:spacing w:before="100" w:beforeAutospacing="1" w:after="100" w:afterAutospacing="1" w:line="375" w:lineRule="atLeast"/>
      <w:ind w:left="585" w:hanging="390"/>
    </w:pPr>
    <w:rPr>
      <w:rFonts w:ascii="sөũ" w:hAnsi="sөũ" w:cs="新細明體"/>
      <w:color w:val="666666"/>
      <w:kern w:val="0"/>
      <w:szCs w:val="20"/>
    </w:rPr>
  </w:style>
  <w:style w:type="paragraph" w:customStyle="1" w:styleId="text53">
    <w:name w:val="text53"/>
    <w:basedOn w:val="a3"/>
    <w:rsid w:val="008E2E42"/>
    <w:pPr>
      <w:widowControl/>
      <w:spacing w:before="100" w:beforeAutospacing="1" w:after="100" w:afterAutospacing="1" w:line="375" w:lineRule="atLeast"/>
      <w:ind w:left="585" w:firstLine="390"/>
    </w:pPr>
    <w:rPr>
      <w:rFonts w:ascii="sөũ" w:hAnsi="sөũ" w:cs="新細明體"/>
      <w:color w:val="666666"/>
      <w:kern w:val="0"/>
      <w:szCs w:val="20"/>
    </w:rPr>
  </w:style>
  <w:style w:type="paragraph" w:customStyle="1" w:styleId="text34">
    <w:name w:val="text34"/>
    <w:basedOn w:val="a3"/>
    <w:rsid w:val="008E2E42"/>
    <w:pPr>
      <w:widowControl/>
      <w:spacing w:before="100" w:beforeAutospacing="1" w:after="100" w:afterAutospacing="1" w:line="375" w:lineRule="atLeast"/>
      <w:ind w:left="780" w:hanging="195"/>
    </w:pPr>
    <w:rPr>
      <w:rFonts w:ascii="sөũ" w:hAnsi="sөũ" w:cs="新細明體"/>
      <w:color w:val="666666"/>
      <w:kern w:val="0"/>
      <w:szCs w:val="20"/>
    </w:rPr>
  </w:style>
  <w:style w:type="paragraph" w:customStyle="1" w:styleId="text24">
    <w:name w:val="text24"/>
    <w:basedOn w:val="a3"/>
    <w:rsid w:val="008E2E42"/>
    <w:pPr>
      <w:widowControl/>
      <w:spacing w:before="100" w:beforeAutospacing="1" w:after="100" w:afterAutospacing="1" w:line="375" w:lineRule="atLeast"/>
      <w:ind w:left="780" w:hanging="390"/>
    </w:pPr>
    <w:rPr>
      <w:rFonts w:ascii="sөũ" w:hAnsi="sөũ" w:cs="新細明體"/>
      <w:color w:val="666666"/>
      <w:kern w:val="0"/>
      <w:szCs w:val="20"/>
    </w:rPr>
  </w:style>
  <w:style w:type="paragraph" w:customStyle="1" w:styleId="text64">
    <w:name w:val="text64"/>
    <w:basedOn w:val="a3"/>
    <w:rsid w:val="008E2E42"/>
    <w:pPr>
      <w:widowControl/>
      <w:spacing w:before="100" w:beforeAutospacing="1" w:after="100" w:afterAutospacing="1" w:line="375" w:lineRule="atLeast"/>
      <w:ind w:left="780" w:firstLine="390"/>
    </w:pPr>
    <w:rPr>
      <w:rFonts w:ascii="sөũ" w:hAnsi="sөũ" w:cs="新細明體"/>
      <w:color w:val="666666"/>
      <w:kern w:val="0"/>
      <w:szCs w:val="20"/>
    </w:rPr>
  </w:style>
  <w:style w:type="character" w:customStyle="1" w:styleId="116">
    <w:name w:val="註腳文字(論文) 字元1 字元 字元 字元1"/>
    <w:aliases w:val="註腳文字(論文) 字元 字元 字元 字元 字元 字元1,註腳文字 字元1 字元1,註腳文字 字元 字元 字元2,註腳文字(論文) 字元1 字元 字元2,註腳文字(論文) 字元 字元 字元 字元1,ftx 字元2,fn 字元1,註腳文字 字元 字元 字元 字元 字元 字元1,註腳文字 字元 字元 字元 字元 字元2,ftx1 字元1,ftx2 字元1,ftx3 字元1,ftx4 字元1,ftx5 字元1,ftx6 字元1,ftx7 字元1,ftx8 字元1"/>
    <w:locked/>
    <w:rsid w:val="008E2E42"/>
    <w:rPr>
      <w:rFonts w:eastAsia="標楷體"/>
      <w:kern w:val="2"/>
    </w:rPr>
  </w:style>
  <w:style w:type="character" w:styleId="affffffffffff0">
    <w:name w:val="line number"/>
    <w:rsid w:val="008E2E42"/>
  </w:style>
  <w:style w:type="paragraph" w:customStyle="1" w:styleId="photo-caption">
    <w:name w:val="photo-caption"/>
    <w:basedOn w:val="a3"/>
    <w:rsid w:val="008E2E42"/>
    <w:pPr>
      <w:widowControl/>
      <w:spacing w:before="100" w:beforeAutospacing="1" w:after="100" w:afterAutospacing="1"/>
    </w:pPr>
    <w:rPr>
      <w:rFonts w:ascii="新細明體" w:hAnsi="新細明體" w:cs="新細明體"/>
      <w:kern w:val="0"/>
      <w:sz w:val="24"/>
    </w:rPr>
  </w:style>
  <w:style w:type="character" w:styleId="HTML5">
    <w:name w:val="HTML Acronym"/>
    <w:uiPriority w:val="99"/>
    <w:unhideWhenUsed/>
    <w:rsid w:val="008E2E42"/>
  </w:style>
  <w:style w:type="character" w:customStyle="1" w:styleId="kword1">
    <w:name w:val="kword1"/>
    <w:uiPriority w:val="99"/>
    <w:rsid w:val="008E2E42"/>
    <w:rPr>
      <w:color w:val="505050"/>
    </w:rPr>
  </w:style>
  <w:style w:type="paragraph" w:customStyle="1" w:styleId="phtocaption">
    <w:name w:val="phtocaption"/>
    <w:basedOn w:val="a3"/>
    <w:rsid w:val="008E2E42"/>
    <w:pPr>
      <w:widowControl/>
      <w:spacing w:after="150" w:line="336" w:lineRule="atLeast"/>
    </w:pPr>
    <w:rPr>
      <w:rFonts w:ascii="simsong" w:hAnsi="simsong" w:cs="新細明體"/>
      <w:color w:val="555555"/>
      <w:kern w:val="0"/>
      <w:sz w:val="18"/>
      <w:szCs w:val="18"/>
    </w:rPr>
  </w:style>
  <w:style w:type="character" w:customStyle="1" w:styleId="date1">
    <w:name w:val="date1"/>
    <w:rsid w:val="008E2E42"/>
    <w:rPr>
      <w:b/>
      <w:bCs/>
      <w:color w:val="990000"/>
    </w:rPr>
  </w:style>
  <w:style w:type="paragraph" w:customStyle="1" w:styleId="firstletter">
    <w:name w:val="first_letter"/>
    <w:basedOn w:val="a3"/>
    <w:rsid w:val="008E2E42"/>
    <w:pPr>
      <w:widowControl/>
      <w:spacing w:after="100" w:afterAutospacing="1"/>
    </w:pPr>
    <w:rPr>
      <w:rFonts w:ascii="新細明體" w:hAnsi="新細明體" w:cs="新細明體"/>
      <w:kern w:val="0"/>
      <w:sz w:val="24"/>
    </w:rPr>
  </w:style>
  <w:style w:type="character" w:customStyle="1" w:styleId="mbox-text-span">
    <w:name w:val="mbox-text-span"/>
    <w:rsid w:val="008E2E42"/>
  </w:style>
  <w:style w:type="character" w:customStyle="1" w:styleId="hide-when-compact">
    <w:name w:val="hide-when-compact"/>
    <w:rsid w:val="008E2E42"/>
  </w:style>
  <w:style w:type="character" w:customStyle="1" w:styleId="ilh-page">
    <w:name w:val="ilh-page"/>
    <w:uiPriority w:val="99"/>
    <w:rsid w:val="008E2E42"/>
  </w:style>
  <w:style w:type="character" w:customStyle="1" w:styleId="noprint">
    <w:name w:val="noprint"/>
    <w:rsid w:val="008E2E42"/>
  </w:style>
  <w:style w:type="character" w:customStyle="1" w:styleId="ilh-lang">
    <w:name w:val="ilh-lang"/>
    <w:rsid w:val="008E2E42"/>
  </w:style>
  <w:style w:type="character" w:customStyle="1" w:styleId="ilh-colon">
    <w:name w:val="ilh-colon"/>
    <w:rsid w:val="008E2E42"/>
  </w:style>
  <w:style w:type="character" w:customStyle="1" w:styleId="ilh-link">
    <w:name w:val="ilh-link"/>
    <w:rsid w:val="008E2E42"/>
  </w:style>
  <w:style w:type="character" w:customStyle="1" w:styleId="mw-editsection2">
    <w:name w:val="mw-editsection2"/>
    <w:rsid w:val="008E2E42"/>
  </w:style>
  <w:style w:type="paragraph" w:customStyle="1" w:styleId="m-7609972285776918995msoplaintext">
    <w:name w:val="m_-7609972285776918995msoplaintext"/>
    <w:basedOn w:val="a3"/>
    <w:rsid w:val="008E2E42"/>
    <w:pPr>
      <w:widowControl/>
      <w:spacing w:before="100" w:beforeAutospacing="1" w:after="100" w:afterAutospacing="1"/>
    </w:pPr>
    <w:rPr>
      <w:rFonts w:ascii="新細明體" w:hAnsi="新細明體" w:cs="新細明體"/>
      <w:kern w:val="0"/>
      <w:sz w:val="24"/>
    </w:rPr>
  </w:style>
  <w:style w:type="paragraph" w:customStyle="1" w:styleId="m-7609972285776918995msolistparagraph">
    <w:name w:val="m_-7609972285776918995msolistparagraph"/>
    <w:basedOn w:val="a3"/>
    <w:rsid w:val="008E2E42"/>
    <w:pPr>
      <w:widowControl/>
      <w:spacing w:before="100" w:beforeAutospacing="1" w:after="100" w:afterAutospacing="1"/>
    </w:pPr>
    <w:rPr>
      <w:rFonts w:ascii="新細明體" w:hAnsi="新細明體" w:cs="新細明體"/>
      <w:kern w:val="0"/>
      <w:sz w:val="24"/>
    </w:rPr>
  </w:style>
  <w:style w:type="character" w:customStyle="1" w:styleId="a11">
    <w:name w:val="a11"/>
    <w:rsid w:val="008E2E42"/>
    <w:rPr>
      <w:color w:val="FF0000"/>
    </w:rPr>
  </w:style>
  <w:style w:type="paragraph" w:customStyle="1" w:styleId="kein">
    <w:name w:val="kein"/>
    <w:basedOn w:val="a3"/>
    <w:rsid w:val="008E2E42"/>
    <w:pPr>
      <w:widowControl/>
      <w:spacing w:before="100" w:beforeAutospacing="1" w:after="100" w:afterAutospacing="1"/>
    </w:pPr>
    <w:rPr>
      <w:rFonts w:ascii="新細明體" w:hAnsi="新細明體" w:cs="新細明體"/>
      <w:kern w:val="0"/>
      <w:sz w:val="24"/>
    </w:rPr>
  </w:style>
  <w:style w:type="character" w:customStyle="1" w:styleId="link-external">
    <w:name w:val="link-external"/>
    <w:rsid w:val="008E2E42"/>
  </w:style>
  <w:style w:type="paragraph" w:customStyle="1" w:styleId="Pa17">
    <w:name w:val="Pa17"/>
    <w:basedOn w:val="Default"/>
    <w:next w:val="Default"/>
    <w:uiPriority w:val="99"/>
    <w:rsid w:val="008E2E42"/>
    <w:pPr>
      <w:spacing w:line="141" w:lineRule="atLeast"/>
    </w:pPr>
    <w:rPr>
      <w:rFonts w:ascii="Futura Book" w:eastAsia="Futura Book" w:cs="Times New Roman"/>
      <w:color w:val="auto"/>
      <w:lang w:bidi="ar-SA"/>
    </w:rPr>
  </w:style>
  <w:style w:type="character" w:customStyle="1" w:styleId="afffffffffff">
    <w:name w:val="文獻 字元"/>
    <w:link w:val="affffffffffe"/>
    <w:rsid w:val="008E2E42"/>
    <w:rPr>
      <w:rFonts w:eastAsia="華康仿宋體"/>
      <w:kern w:val="2"/>
      <w:sz w:val="23"/>
      <w:szCs w:val="24"/>
    </w:rPr>
  </w:style>
  <w:style w:type="character" w:customStyle="1" w:styleId="rrtitle1">
    <w:name w:val="rrtitle1"/>
    <w:rsid w:val="008E2E42"/>
    <w:rPr>
      <w:rFonts w:ascii="Arial" w:hAnsi="Arial" w:hint="default"/>
      <w:b/>
      <w:bCs/>
      <w:color w:val="000000"/>
      <w:sz w:val="60"/>
      <w:szCs w:val="60"/>
    </w:rPr>
  </w:style>
  <w:style w:type="character" w:customStyle="1" w:styleId="rrhead1">
    <w:name w:val="rrhead1"/>
    <w:rsid w:val="008E2E42"/>
    <w:rPr>
      <w:rFonts w:ascii="Arial" w:hAnsi="Arial" w:hint="default"/>
      <w:b/>
      <w:bCs/>
      <w:color w:val="59336B"/>
      <w:sz w:val="36"/>
      <w:szCs w:val="36"/>
    </w:rPr>
  </w:style>
  <w:style w:type="character" w:customStyle="1" w:styleId="toctext">
    <w:name w:val="toctext"/>
    <w:rsid w:val="008E2E42"/>
  </w:style>
  <w:style w:type="paragraph" w:customStyle="1" w:styleId="--">
    <w:name w:val="文獻--標"/>
    <w:basedOn w:val="a3"/>
    <w:rsid w:val="008E2E42"/>
    <w:pPr>
      <w:keepNext/>
      <w:overflowPunct w:val="0"/>
      <w:autoSpaceDE w:val="0"/>
      <w:autoSpaceDN w:val="0"/>
      <w:adjustRightInd w:val="0"/>
      <w:snapToGrid w:val="0"/>
      <w:spacing w:beforeLines="100" w:before="240" w:afterLines="50" w:after="120" w:line="380" w:lineRule="exact"/>
      <w:outlineLvl w:val="0"/>
    </w:pPr>
    <w:rPr>
      <w:rFonts w:eastAsia="華康中圓體"/>
      <w:noProof/>
      <w:spacing w:val="4"/>
      <w:kern w:val="52"/>
      <w:sz w:val="24"/>
      <w:szCs w:val="52"/>
    </w:rPr>
  </w:style>
  <w:style w:type="paragraph" w:customStyle="1" w:styleId="-2">
    <w:name w:val="警-內文"/>
    <w:basedOn w:val="a3"/>
    <w:link w:val="-3"/>
    <w:rsid w:val="008E2E42"/>
    <w:pPr>
      <w:spacing w:line="382" w:lineRule="exact"/>
      <w:ind w:firstLineChars="200" w:firstLine="200"/>
    </w:pPr>
    <w:rPr>
      <w:rFonts w:eastAsia="華康細明體(P)"/>
      <w:w w:val="99"/>
      <w:sz w:val="22"/>
    </w:rPr>
  </w:style>
  <w:style w:type="character" w:customStyle="1" w:styleId="-3">
    <w:name w:val="警-內文 字元"/>
    <w:link w:val="-2"/>
    <w:rsid w:val="008E2E42"/>
    <w:rPr>
      <w:rFonts w:eastAsia="華康細明體(P)"/>
      <w:w w:val="99"/>
      <w:kern w:val="2"/>
      <w:sz w:val="22"/>
      <w:szCs w:val="24"/>
    </w:rPr>
  </w:style>
  <w:style w:type="paragraph" w:customStyle="1" w:styleId="-4">
    <w:name w:val="警-參考書目"/>
    <w:basedOn w:val="-2"/>
    <w:link w:val="-5"/>
    <w:rsid w:val="008E2E42"/>
    <w:pPr>
      <w:ind w:left="300" w:hangingChars="300" w:hanging="300"/>
    </w:pPr>
    <w:rPr>
      <w:rFonts w:eastAsia="新細明體" w:cs="新細明體"/>
      <w:szCs w:val="22"/>
    </w:rPr>
  </w:style>
  <w:style w:type="character" w:customStyle="1" w:styleId="-5">
    <w:name w:val="警-參考書目 字元"/>
    <w:link w:val="-4"/>
    <w:rsid w:val="008E2E42"/>
    <w:rPr>
      <w:rFonts w:cs="新細明體"/>
      <w:w w:val="99"/>
      <w:kern w:val="2"/>
      <w:sz w:val="22"/>
      <w:szCs w:val="22"/>
    </w:rPr>
  </w:style>
  <w:style w:type="character" w:customStyle="1" w:styleId="dectext1">
    <w:name w:val="dectext1"/>
    <w:uiPriority w:val="99"/>
    <w:rsid w:val="008E2E42"/>
    <w:rPr>
      <w:rFonts w:ascii="細明體" w:eastAsia="細明體"/>
      <w:color w:val="333333"/>
      <w:sz w:val="21"/>
      <w:u w:val="none"/>
      <w:effect w:val="none"/>
    </w:rPr>
  </w:style>
  <w:style w:type="paragraph" w:customStyle="1" w:styleId="affffffffffff1">
    <w:name w:val="圖目錄"/>
    <w:basedOn w:val="af2"/>
    <w:link w:val="affffffffffff2"/>
    <w:autoRedefine/>
    <w:uiPriority w:val="99"/>
    <w:rsid w:val="008E2E42"/>
    <w:pPr>
      <w:spacing w:line="440" w:lineRule="exact"/>
      <w:ind w:leftChars="0" w:left="0"/>
      <w:jc w:val="center"/>
    </w:pPr>
    <w:rPr>
      <w:rFonts w:ascii="Times New Roman" w:eastAsia="新細明體" w:hAnsi="Times New Roman" w:cs="Times New Roman"/>
      <w:szCs w:val="20"/>
    </w:rPr>
  </w:style>
  <w:style w:type="character" w:customStyle="1" w:styleId="af3">
    <w:name w:val="清單段落 字元"/>
    <w:link w:val="af2"/>
    <w:uiPriority w:val="99"/>
    <w:locked/>
    <w:rsid w:val="008E2E42"/>
    <w:rPr>
      <w:rFonts w:asciiTheme="minorHAnsi" w:eastAsiaTheme="minorEastAsia" w:hAnsiTheme="minorHAnsi" w:cstheme="minorBidi"/>
      <w:kern w:val="2"/>
      <w:sz w:val="24"/>
      <w:szCs w:val="22"/>
    </w:rPr>
  </w:style>
  <w:style w:type="character" w:customStyle="1" w:styleId="affffffffffff2">
    <w:name w:val="圖目錄 字元"/>
    <w:link w:val="affffffffffff1"/>
    <w:uiPriority w:val="99"/>
    <w:locked/>
    <w:rsid w:val="008E2E42"/>
    <w:rPr>
      <w:kern w:val="2"/>
      <w:sz w:val="24"/>
    </w:rPr>
  </w:style>
  <w:style w:type="paragraph" w:customStyle="1" w:styleId="affffffffffff3">
    <w:name w:val="表目錄"/>
    <w:basedOn w:val="affffffffffff1"/>
    <w:link w:val="affffffffffff4"/>
    <w:autoRedefine/>
    <w:uiPriority w:val="99"/>
    <w:rsid w:val="008E2E42"/>
  </w:style>
  <w:style w:type="paragraph" w:styleId="affffffffffff5">
    <w:name w:val="Bibliography"/>
    <w:basedOn w:val="a3"/>
    <w:next w:val="a3"/>
    <w:uiPriority w:val="99"/>
    <w:rsid w:val="008E2E42"/>
    <w:pPr>
      <w:spacing w:line="440" w:lineRule="exact"/>
      <w:ind w:firstLineChars="200" w:firstLine="480"/>
    </w:pPr>
    <w:rPr>
      <w:sz w:val="24"/>
      <w:szCs w:val="22"/>
      <w:u w:color="993300"/>
    </w:rPr>
  </w:style>
  <w:style w:type="character" w:customStyle="1" w:styleId="affffffffffff4">
    <w:name w:val="表目錄 字元"/>
    <w:link w:val="affffffffffff3"/>
    <w:uiPriority w:val="99"/>
    <w:locked/>
    <w:rsid w:val="008E2E42"/>
    <w:rPr>
      <w:kern w:val="2"/>
      <w:sz w:val="24"/>
    </w:rPr>
  </w:style>
  <w:style w:type="paragraph" w:customStyle="1" w:styleId="1">
    <w:name w:val="內文1 編號"/>
    <w:basedOn w:val="af2"/>
    <w:link w:val="1ffd"/>
    <w:uiPriority w:val="99"/>
    <w:rsid w:val="008E2E42"/>
    <w:pPr>
      <w:widowControl/>
      <w:numPr>
        <w:numId w:val="6"/>
      </w:numPr>
      <w:autoSpaceDE w:val="0"/>
      <w:autoSpaceDN w:val="0"/>
      <w:adjustRightInd w:val="0"/>
      <w:spacing w:line="440" w:lineRule="exact"/>
      <w:ind w:left="960" w:hangingChars="200" w:hanging="480"/>
    </w:pPr>
    <w:rPr>
      <w:rFonts w:ascii="標楷體" w:eastAsia="新細明體" w:hAnsi="標楷體" w:cs="Times New Roman"/>
      <w:szCs w:val="20"/>
    </w:rPr>
  </w:style>
  <w:style w:type="character" w:customStyle="1" w:styleId="1ffd">
    <w:name w:val="內文1 編號 字元"/>
    <w:link w:val="1"/>
    <w:uiPriority w:val="99"/>
    <w:locked/>
    <w:rsid w:val="008E2E42"/>
    <w:rPr>
      <w:rFonts w:ascii="標楷體" w:hAnsi="標楷體"/>
      <w:kern w:val="2"/>
      <w:sz w:val="24"/>
    </w:rPr>
  </w:style>
  <w:style w:type="table" w:customStyle="1" w:styleId="117">
    <w:name w:val="純表格 11"/>
    <w:uiPriority w:val="99"/>
    <w:rsid w:val="008E2E42"/>
    <w:rPr>
      <w:rFonts w:ascii="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21">
    <w:name w:val="格線表格 5 深色 - 輔色 21"/>
    <w:uiPriority w:val="99"/>
    <w:rsid w:val="008E2E42"/>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2-21">
    <w:name w:val="格線表格 2 - 輔色 21"/>
    <w:uiPriority w:val="99"/>
    <w:rsid w:val="008E2E42"/>
    <w:rPr>
      <w:rFonts w:ascii="Calibri" w:hAnsi="Calibri"/>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style>
  <w:style w:type="table" w:customStyle="1" w:styleId="4-21">
    <w:name w:val="格線表格 4 - 輔色 21"/>
    <w:uiPriority w:val="99"/>
    <w:rsid w:val="008E2E42"/>
    <w:rPr>
      <w:rFonts w:ascii="Calibri" w:hAnsi="Calibr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character" w:customStyle="1" w:styleId="cnumber">
    <w:name w:val="c_number"/>
    <w:uiPriority w:val="99"/>
    <w:rsid w:val="008E2E42"/>
  </w:style>
  <w:style w:type="character" w:customStyle="1" w:styleId="after">
    <w:name w:val="after"/>
    <w:uiPriority w:val="99"/>
    <w:rsid w:val="008E2E42"/>
  </w:style>
  <w:style w:type="character" w:customStyle="1" w:styleId="byline-name">
    <w:name w:val="byline-name"/>
    <w:uiPriority w:val="99"/>
    <w:rsid w:val="008E2E42"/>
    <w:rPr>
      <w:rFonts w:cs="Times New Roman"/>
    </w:rPr>
  </w:style>
  <w:style w:type="character" w:customStyle="1" w:styleId="next1">
    <w:name w:val="next1"/>
    <w:uiPriority w:val="99"/>
    <w:rsid w:val="008E2E42"/>
    <w:rPr>
      <w:rFonts w:cs="Times New Roman"/>
    </w:rPr>
  </w:style>
  <w:style w:type="paragraph" w:customStyle="1" w:styleId="en">
    <w:name w:val="条（en）"/>
    <w:basedOn w:val="a3"/>
    <w:rsid w:val="008E2E42"/>
    <w:pPr>
      <w:autoSpaceDE w:val="0"/>
      <w:autoSpaceDN w:val="0"/>
      <w:adjustRightInd w:val="0"/>
      <w:ind w:left="219" w:hanging="219"/>
    </w:pPr>
    <w:rPr>
      <w:rFonts w:ascii="Century" w:eastAsia="Century" w:hAnsi="Century" w:cs="Century"/>
      <w:kern w:val="0"/>
      <w:sz w:val="22"/>
      <w:szCs w:val="20"/>
      <w:lang w:eastAsia="ja-JP"/>
    </w:rPr>
  </w:style>
  <w:style w:type="paragraph" w:customStyle="1" w:styleId="en0">
    <w:name w:val="項（en）"/>
    <w:basedOn w:val="a3"/>
    <w:rsid w:val="008E2E42"/>
    <w:pPr>
      <w:autoSpaceDE w:val="0"/>
      <w:autoSpaceDN w:val="0"/>
      <w:adjustRightInd w:val="0"/>
      <w:ind w:left="219" w:hanging="219"/>
    </w:pPr>
    <w:rPr>
      <w:rFonts w:ascii="Century" w:eastAsia="Century" w:hAnsi="Century" w:cs="Century"/>
      <w:kern w:val="0"/>
      <w:sz w:val="22"/>
      <w:szCs w:val="20"/>
      <w:lang w:eastAsia="ja-JP"/>
    </w:rPr>
  </w:style>
  <w:style w:type="paragraph" w:customStyle="1" w:styleId="en1">
    <w:name w:val="号（en）"/>
    <w:basedOn w:val="a3"/>
    <w:rsid w:val="008E2E42"/>
    <w:pPr>
      <w:autoSpaceDE w:val="0"/>
      <w:autoSpaceDN w:val="0"/>
      <w:adjustRightInd w:val="0"/>
      <w:ind w:left="439" w:hanging="219"/>
    </w:pPr>
    <w:rPr>
      <w:rFonts w:ascii="Century" w:eastAsia="Century" w:hAnsi="Century" w:cs="Century"/>
      <w:kern w:val="0"/>
      <w:sz w:val="22"/>
      <w:szCs w:val="20"/>
      <w:lang w:eastAsia="ja-JP"/>
    </w:rPr>
  </w:style>
  <w:style w:type="character" w:customStyle="1" w:styleId="ft13">
    <w:name w:val="ft13"/>
    <w:rsid w:val="008E2E42"/>
  </w:style>
  <w:style w:type="character" w:customStyle="1" w:styleId="rules-number1">
    <w:name w:val="rules-number1"/>
    <w:rsid w:val="008E2E42"/>
    <w:rPr>
      <w:b/>
      <w:bCs/>
      <w:color w:val="666633"/>
      <w:sz w:val="36"/>
      <w:szCs w:val="36"/>
    </w:rPr>
  </w:style>
  <w:style w:type="character" w:customStyle="1" w:styleId="afff3">
    <w:name w:val="標號 字元"/>
    <w:aliases w:val="註解 字元"/>
    <w:link w:val="affb"/>
    <w:uiPriority w:val="35"/>
    <w:rsid w:val="00FF6603"/>
    <w:rPr>
      <w:rFonts w:ascii="標楷體" w:eastAsia="標楷體" w:hAnsi="標楷體"/>
      <w:kern w:val="2"/>
    </w:rPr>
  </w:style>
  <w:style w:type="paragraph" w:styleId="37">
    <w:name w:val="Body Text 3"/>
    <w:basedOn w:val="29"/>
    <w:link w:val="38"/>
    <w:rsid w:val="000D26BB"/>
  </w:style>
  <w:style w:type="character" w:customStyle="1" w:styleId="38">
    <w:name w:val="本文 3 字元"/>
    <w:basedOn w:val="a4"/>
    <w:link w:val="37"/>
    <w:rsid w:val="000D26BB"/>
    <w:rPr>
      <w:rFonts w:ascii="標楷體" w:eastAsia="標楷體" w:hAnsi="標楷體"/>
      <w:kern w:val="2"/>
      <w:sz w:val="26"/>
      <w:szCs w:val="26"/>
    </w:rPr>
  </w:style>
  <w:style w:type="paragraph" w:customStyle="1" w:styleId="1ffe">
    <w:name w:val="純文字1"/>
    <w:basedOn w:val="a3"/>
    <w:rsid w:val="008E2E42"/>
    <w:pPr>
      <w:autoSpaceDN w:val="0"/>
      <w:adjustRightInd w:val="0"/>
      <w:ind w:firstLineChars="200" w:firstLine="200"/>
      <w:textAlignment w:val="baseline"/>
    </w:pPr>
    <w:rPr>
      <w:rFonts w:ascii="細明體" w:eastAsia="細明體"/>
      <w:kern w:val="0"/>
      <w:sz w:val="24"/>
      <w:szCs w:val="20"/>
    </w:rPr>
  </w:style>
  <w:style w:type="character" w:customStyle="1" w:styleId="260">
    <w:name w:val="強調斜體26"/>
    <w:rsid w:val="008E2E42"/>
    <w:rPr>
      <w:rFonts w:ascii="Verdana" w:hAnsi="Verdana" w:hint="default"/>
      <w:i w:val="0"/>
      <w:iCs w:val="0"/>
      <w:color w:val="666666"/>
    </w:rPr>
  </w:style>
  <w:style w:type="paragraph" w:styleId="29">
    <w:name w:val="Body Text 2"/>
    <w:basedOn w:val="affffffffff9"/>
    <w:link w:val="2a"/>
    <w:rsid w:val="000D26BB"/>
  </w:style>
  <w:style w:type="character" w:customStyle="1" w:styleId="2a">
    <w:name w:val="本文 2 字元"/>
    <w:basedOn w:val="a4"/>
    <w:link w:val="29"/>
    <w:rsid w:val="000D26BB"/>
    <w:rPr>
      <w:rFonts w:ascii="標楷體" w:eastAsia="標楷體" w:hAnsi="標楷體"/>
      <w:kern w:val="2"/>
      <w:sz w:val="26"/>
      <w:szCs w:val="26"/>
    </w:rPr>
  </w:style>
  <w:style w:type="character" w:customStyle="1" w:styleId="text1">
    <w:name w:val="text1"/>
    <w:rsid w:val="008E2E42"/>
    <w:rPr>
      <w:rFonts w:ascii="sөũ" w:hAnsi="sөũ" w:hint="default"/>
      <w:sz w:val="18"/>
      <w:szCs w:val="18"/>
    </w:rPr>
  </w:style>
  <w:style w:type="character" w:styleId="HTML6">
    <w:name w:val="HTML Typewriter"/>
    <w:rsid w:val="008E2E42"/>
    <w:rPr>
      <w:rFonts w:ascii="細明體" w:eastAsia="細明體" w:hAnsi="Courier New" w:cs="Courier New"/>
      <w:sz w:val="24"/>
      <w:szCs w:val="24"/>
    </w:rPr>
  </w:style>
  <w:style w:type="character" w:customStyle="1" w:styleId="footertext1">
    <w:name w:val="footer_text1"/>
    <w:rsid w:val="008E2E42"/>
    <w:rPr>
      <w:rFonts w:ascii="Verdana" w:hAnsi="Verdana" w:hint="default"/>
      <w:color w:val="000000"/>
      <w:sz w:val="10"/>
      <w:szCs w:val="10"/>
    </w:rPr>
  </w:style>
  <w:style w:type="paragraph" w:customStyle="1" w:styleId="newstitle">
    <w:name w:val="newstitle"/>
    <w:basedOn w:val="a3"/>
    <w:rsid w:val="008E2E42"/>
    <w:pPr>
      <w:widowControl/>
      <w:autoSpaceDN w:val="0"/>
      <w:spacing w:before="100" w:beforeAutospacing="1" w:after="100" w:afterAutospacing="1" w:line="312" w:lineRule="auto"/>
      <w:ind w:firstLineChars="200" w:firstLine="200"/>
    </w:pPr>
    <w:rPr>
      <w:rFonts w:cs="新細明體"/>
      <w:b/>
      <w:bCs/>
      <w:color w:val="0000FF"/>
      <w:spacing w:val="20"/>
      <w:kern w:val="0"/>
      <w:sz w:val="36"/>
      <w:szCs w:val="36"/>
    </w:rPr>
  </w:style>
  <w:style w:type="character" w:customStyle="1" w:styleId="content1">
    <w:name w:val="content1"/>
    <w:rsid w:val="008E2E42"/>
  </w:style>
  <w:style w:type="character" w:customStyle="1" w:styleId="ft11">
    <w:name w:val="ft11"/>
    <w:rsid w:val="008E2E42"/>
  </w:style>
  <w:style w:type="character" w:customStyle="1" w:styleId="ft24">
    <w:name w:val="ft24"/>
    <w:rsid w:val="008E2E42"/>
  </w:style>
  <w:style w:type="character" w:customStyle="1" w:styleId="ft21">
    <w:name w:val="ft21"/>
    <w:rsid w:val="008E2E42"/>
  </w:style>
  <w:style w:type="character" w:customStyle="1" w:styleId="articleheadline1">
    <w:name w:val="articleheadline1"/>
    <w:rsid w:val="008E2E42"/>
    <w:rPr>
      <w:b/>
      <w:bCs/>
      <w:strike w:val="0"/>
      <w:dstrike w:val="0"/>
      <w:sz w:val="15"/>
      <w:szCs w:val="15"/>
      <w:u w:val="none"/>
      <w:effect w:val="none"/>
    </w:rPr>
  </w:style>
  <w:style w:type="character" w:customStyle="1" w:styleId="txt11">
    <w:name w:val="txt11"/>
    <w:rsid w:val="008E2E42"/>
    <w:rPr>
      <w:rFonts w:ascii="Times New Roman" w:hAnsi="Times New Roman" w:cs="Times New Roman" w:hint="default"/>
      <w:sz w:val="20"/>
      <w:szCs w:val="20"/>
    </w:rPr>
  </w:style>
  <w:style w:type="character" w:customStyle="1" w:styleId="69">
    <w:name w:val="強調斜體69"/>
    <w:rsid w:val="008E2E42"/>
    <w:rPr>
      <w:rFonts w:ascii="Verdana" w:hAnsi="Verdana" w:hint="default"/>
      <w:i w:val="0"/>
      <w:iCs w:val="0"/>
      <w:color w:val="666666"/>
    </w:rPr>
  </w:style>
  <w:style w:type="character" w:customStyle="1" w:styleId="bl24b1">
    <w:name w:val="bl24b1"/>
    <w:rsid w:val="008E2E42"/>
    <w:rPr>
      <w:b/>
      <w:bCs/>
      <w:color w:val="0033DD"/>
      <w:sz w:val="36"/>
      <w:szCs w:val="36"/>
    </w:rPr>
  </w:style>
  <w:style w:type="character" w:customStyle="1" w:styleId="mceitemhidden">
    <w:name w:val="mceitemhidden"/>
    <w:rsid w:val="008E2E42"/>
  </w:style>
  <w:style w:type="character" w:customStyle="1" w:styleId="affffffffffa">
    <w:name w:val="正文 字元"/>
    <w:link w:val="affffffffff9"/>
    <w:rsid w:val="000D26BB"/>
    <w:rPr>
      <w:rFonts w:ascii="標楷體" w:eastAsia="標楷體" w:hAnsi="標楷體"/>
      <w:kern w:val="2"/>
      <w:sz w:val="26"/>
      <w:szCs w:val="26"/>
    </w:rPr>
  </w:style>
  <w:style w:type="character" w:customStyle="1" w:styleId="basictext1">
    <w:name w:val="basic_text1"/>
    <w:rsid w:val="008E2E42"/>
    <w:rPr>
      <w:rFonts w:ascii="Arial" w:hAnsi="Arial" w:hint="default"/>
      <w:color w:val="333333"/>
      <w:sz w:val="20"/>
      <w:szCs w:val="20"/>
    </w:rPr>
  </w:style>
  <w:style w:type="paragraph" w:customStyle="1" w:styleId="summary">
    <w:name w:val="summary"/>
    <w:basedOn w:val="a3"/>
    <w:rsid w:val="008E2E42"/>
    <w:pPr>
      <w:widowControl/>
      <w:autoSpaceDN w:val="0"/>
      <w:spacing w:before="100" w:beforeAutospacing="1" w:after="100" w:afterAutospacing="1"/>
      <w:ind w:firstLineChars="200" w:firstLine="200"/>
    </w:pPr>
    <w:rPr>
      <w:rFonts w:ascii="Arial" w:hAnsi="Arial" w:cs="Arial"/>
      <w:kern w:val="0"/>
      <w:szCs w:val="20"/>
    </w:rPr>
  </w:style>
  <w:style w:type="paragraph" w:customStyle="1" w:styleId="headline1">
    <w:name w:val="headline1"/>
    <w:basedOn w:val="a3"/>
    <w:rsid w:val="008E2E42"/>
    <w:pPr>
      <w:widowControl/>
      <w:spacing w:before="100" w:beforeAutospacing="1" w:after="100" w:afterAutospacing="1"/>
      <w:ind w:firstLineChars="200" w:firstLine="200"/>
    </w:pPr>
    <w:rPr>
      <w:rFonts w:ascii="Arial" w:hAnsi="Arial" w:cs="Arial"/>
      <w:b/>
      <w:bCs/>
      <w:color w:val="000000"/>
      <w:kern w:val="0"/>
      <w:sz w:val="13"/>
      <w:szCs w:val="13"/>
    </w:rPr>
  </w:style>
  <w:style w:type="character" w:customStyle="1" w:styleId="apple-style-span">
    <w:name w:val="apple-style-span"/>
    <w:rsid w:val="008E2E42"/>
  </w:style>
  <w:style w:type="character" w:customStyle="1" w:styleId="39">
    <w:name w:val="字元 字元3"/>
    <w:rsid w:val="008E2E42"/>
    <w:rPr>
      <w:sz w:val="20"/>
      <w:szCs w:val="20"/>
    </w:rPr>
  </w:style>
  <w:style w:type="character" w:customStyle="1" w:styleId="74">
    <w:name w:val="字元 字元7"/>
    <w:rsid w:val="008E2E42"/>
    <w:rPr>
      <w:sz w:val="20"/>
      <w:szCs w:val="20"/>
    </w:rPr>
  </w:style>
  <w:style w:type="character" w:customStyle="1" w:styleId="wbtrmn1">
    <w:name w:val="wbtr_mn1"/>
    <w:rsid w:val="008E2E42"/>
    <w:rPr>
      <w:rFonts w:ascii="Arial" w:hAnsi="Arial" w:cs="Arial" w:hint="default"/>
      <w:vanish w:val="0"/>
      <w:webHidden w:val="0"/>
      <w:sz w:val="24"/>
      <w:szCs w:val="24"/>
      <w:specVanish w:val="0"/>
    </w:rPr>
  </w:style>
  <w:style w:type="character" w:customStyle="1" w:styleId="bbody">
    <w:name w:val="bbody"/>
    <w:rsid w:val="008E2E42"/>
  </w:style>
  <w:style w:type="paragraph" w:customStyle="1" w:styleId="002">
    <w:name w:val="00內文縮2格"/>
    <w:basedOn w:val="a3"/>
    <w:link w:val="0020"/>
    <w:rsid w:val="008E2E42"/>
    <w:pPr>
      <w:overflowPunct w:val="0"/>
      <w:snapToGrid w:val="0"/>
      <w:spacing w:line="380" w:lineRule="exact"/>
      <w:ind w:firstLineChars="200" w:firstLine="200"/>
      <w:textAlignment w:val="center"/>
    </w:pPr>
    <w:rPr>
      <w:rFonts w:eastAsia="華康中明體"/>
      <w:sz w:val="24"/>
      <w:szCs w:val="28"/>
    </w:rPr>
  </w:style>
  <w:style w:type="character" w:customStyle="1" w:styleId="0020">
    <w:name w:val="00內文縮2格 字元"/>
    <w:link w:val="002"/>
    <w:rsid w:val="008E2E42"/>
    <w:rPr>
      <w:rFonts w:eastAsia="華康中明體"/>
      <w:kern w:val="2"/>
      <w:sz w:val="24"/>
      <w:szCs w:val="28"/>
    </w:rPr>
  </w:style>
  <w:style w:type="paragraph" w:customStyle="1" w:styleId="012">
    <w:name w:val="01一、凸2格"/>
    <w:basedOn w:val="a3"/>
    <w:link w:val="0120"/>
    <w:rsid w:val="008E2E42"/>
    <w:pPr>
      <w:overflowPunct w:val="0"/>
      <w:snapToGrid w:val="0"/>
      <w:spacing w:line="380" w:lineRule="exact"/>
      <w:ind w:left="200" w:hangingChars="200" w:hanging="200"/>
      <w:textAlignment w:val="center"/>
    </w:pPr>
    <w:rPr>
      <w:rFonts w:eastAsia="華康中明體"/>
      <w:sz w:val="24"/>
      <w:szCs w:val="28"/>
    </w:rPr>
  </w:style>
  <w:style w:type="character" w:customStyle="1" w:styleId="0120">
    <w:name w:val="01一、凸2格 字元"/>
    <w:link w:val="012"/>
    <w:rsid w:val="008E2E42"/>
    <w:rPr>
      <w:rFonts w:eastAsia="華康中明體"/>
      <w:kern w:val="2"/>
      <w:sz w:val="24"/>
      <w:szCs w:val="28"/>
    </w:rPr>
  </w:style>
  <w:style w:type="character" w:customStyle="1" w:styleId="FootnoteTextChar">
    <w:name w:val="Footnote Text Char"/>
    <w:locked/>
    <w:rsid w:val="008E2E42"/>
    <w:rPr>
      <w:rFonts w:cs="Calibri"/>
      <w:kern w:val="2"/>
    </w:rPr>
  </w:style>
  <w:style w:type="character" w:customStyle="1" w:styleId="info1">
    <w:name w:val="info1"/>
    <w:rsid w:val="008E2E42"/>
    <w:rPr>
      <w:rFonts w:ascii="Arial" w:hAnsi="Arial" w:cs="Arial" w:hint="default"/>
      <w:color w:val="336699"/>
      <w:sz w:val="16"/>
      <w:szCs w:val="16"/>
    </w:rPr>
  </w:style>
  <w:style w:type="paragraph" w:customStyle="1" w:styleId="affffffffffff6">
    <w:name w:val="公式"/>
    <w:basedOn w:val="a3"/>
    <w:rsid w:val="008E2E42"/>
    <w:pPr>
      <w:tabs>
        <w:tab w:val="left" w:leader="dot" w:pos="4356"/>
      </w:tabs>
      <w:autoSpaceDN w:val="0"/>
      <w:spacing w:beforeLines="50" w:before="178" w:afterLines="50" w:after="178"/>
      <w:ind w:leftChars="250" w:left="606" w:firstLineChars="400" w:firstLine="970"/>
    </w:pPr>
    <w:rPr>
      <w:position w:val="-24"/>
      <w:sz w:val="23"/>
      <w:lang w:eastAsia="ja-JP"/>
    </w:rPr>
  </w:style>
  <w:style w:type="character" w:customStyle="1" w:styleId="200">
    <w:name w:val="字元 字元20"/>
    <w:rsid w:val="008E2E42"/>
    <w:rPr>
      <w:rFonts w:ascii="新細明體" w:hAnsi="新細明體"/>
      <w:sz w:val="24"/>
      <w:szCs w:val="24"/>
    </w:rPr>
  </w:style>
  <w:style w:type="character" w:customStyle="1" w:styleId="130">
    <w:name w:val="字元 字元13"/>
    <w:rsid w:val="008E2E42"/>
    <w:rPr>
      <w:rFonts w:ascii="Arial" w:eastAsia="新細明體" w:hAnsi="Arial" w:cs="Arial"/>
      <w:b/>
      <w:bCs/>
      <w:sz w:val="32"/>
      <w:szCs w:val="32"/>
    </w:rPr>
  </w:style>
  <w:style w:type="character" w:customStyle="1" w:styleId="121">
    <w:name w:val="字元 字元12"/>
    <w:rsid w:val="008E2E42"/>
    <w:rPr>
      <w:rFonts w:ascii="Times New Roman" w:eastAsia="新細明體" w:hAnsi="Times New Roman" w:cs="Times New Roman"/>
      <w:sz w:val="20"/>
      <w:szCs w:val="20"/>
    </w:rPr>
  </w:style>
  <w:style w:type="character" w:customStyle="1" w:styleId="118">
    <w:name w:val="字元 字元11"/>
    <w:rsid w:val="008E2E42"/>
    <w:rPr>
      <w:rFonts w:ascii="細明體" w:eastAsia="細明體" w:hAnsi="細明體" w:cs="Times New Roman"/>
      <w:sz w:val="20"/>
      <w:szCs w:val="20"/>
    </w:rPr>
  </w:style>
  <w:style w:type="paragraph" w:customStyle="1" w:styleId="1fff">
    <w:name w:val="標題1"/>
    <w:basedOn w:val="a3"/>
    <w:rsid w:val="008E2E42"/>
    <w:pPr>
      <w:widowControl/>
      <w:spacing w:before="100" w:beforeAutospacing="1" w:after="100" w:afterAutospacing="1" w:line="300" w:lineRule="atLeast"/>
    </w:pPr>
    <w:rPr>
      <w:rFonts w:ascii="新細明體" w:hAnsi="新細明體" w:cs="新細明體"/>
      <w:b/>
      <w:bCs/>
      <w:color w:val="1D1E57"/>
      <w:kern w:val="0"/>
      <w:sz w:val="24"/>
    </w:rPr>
  </w:style>
  <w:style w:type="paragraph" w:customStyle="1" w:styleId="affffffffffff7">
    <w:name w:val="圈１"/>
    <w:basedOn w:val="a3"/>
    <w:rsid w:val="00B40DC1"/>
    <w:pPr>
      <w:autoSpaceDN w:val="0"/>
      <w:ind w:leftChars="325" w:left="1030" w:hangingChars="100" w:hanging="242"/>
    </w:pPr>
    <w:rPr>
      <w:rFonts w:eastAsia="華康仿宋體"/>
      <w:sz w:val="23"/>
    </w:rPr>
  </w:style>
  <w:style w:type="paragraph" w:customStyle="1" w:styleId="11111">
    <w:name w:val="11111"/>
    <w:basedOn w:val="a3"/>
    <w:rsid w:val="008E2E42"/>
    <w:pPr>
      <w:spacing w:line="340" w:lineRule="exact"/>
      <w:ind w:leftChars="122" w:left="773" w:hangingChars="200" w:hanging="480"/>
    </w:pPr>
    <w:rPr>
      <w:kern w:val="0"/>
      <w:sz w:val="28"/>
    </w:rPr>
  </w:style>
  <w:style w:type="paragraph" w:customStyle="1" w:styleId="affffffffffff8">
    <w:name w:val="一"/>
    <w:basedOn w:val="a3"/>
    <w:rsid w:val="008E2E42"/>
    <w:pPr>
      <w:spacing w:line="340" w:lineRule="exact"/>
      <w:ind w:left="446" w:hangingChars="186" w:hanging="446"/>
    </w:pPr>
    <w:rPr>
      <w:kern w:val="0"/>
      <w:sz w:val="24"/>
    </w:rPr>
  </w:style>
  <w:style w:type="paragraph" w:customStyle="1" w:styleId="1fff0">
    <w:name w:val="1"/>
    <w:basedOn w:val="a3"/>
    <w:rsid w:val="008E2E42"/>
    <w:pPr>
      <w:spacing w:line="340" w:lineRule="exact"/>
      <w:ind w:left="574" w:hanging="406"/>
    </w:pPr>
    <w:rPr>
      <w:kern w:val="0"/>
      <w:sz w:val="24"/>
    </w:rPr>
  </w:style>
  <w:style w:type="paragraph" w:customStyle="1" w:styleId="119">
    <w:name w:val="字元 字元 字元 字元 字元 字元 字元 字元 字元 字元 字元 字元 字元 字元 字元1 字元 字元 字元 字元 字元 字元 字元 字元 字元1 字元"/>
    <w:basedOn w:val="a3"/>
    <w:rsid w:val="008E2E42"/>
    <w:pPr>
      <w:widowControl/>
      <w:spacing w:after="160" w:line="240" w:lineRule="exact"/>
    </w:pPr>
    <w:rPr>
      <w:rFonts w:ascii="Tahoma" w:hAnsi="Tahoma" w:cs="新細明體"/>
      <w:kern w:val="0"/>
      <w:szCs w:val="20"/>
      <w:lang w:eastAsia="en-US"/>
    </w:rPr>
  </w:style>
  <w:style w:type="table" w:customStyle="1" w:styleId="1fff1">
    <w:name w:val="表格格線1"/>
    <w:basedOn w:val="a5"/>
    <w:next w:val="af4"/>
    <w:rsid w:val="008E2E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格格線2"/>
    <w:basedOn w:val="a5"/>
    <w:next w:val="af4"/>
    <w:rsid w:val="008E2E4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格格線3"/>
    <w:basedOn w:val="a5"/>
    <w:next w:val="af4"/>
    <w:uiPriority w:val="59"/>
    <w:rsid w:val="008E2E4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2">
    <w:name w:val="無清單1"/>
    <w:next w:val="a6"/>
    <w:uiPriority w:val="99"/>
    <w:semiHidden/>
    <w:unhideWhenUsed/>
    <w:rsid w:val="008E2E42"/>
  </w:style>
  <w:style w:type="numbering" w:customStyle="1" w:styleId="2c">
    <w:name w:val="無清單2"/>
    <w:next w:val="a6"/>
    <w:uiPriority w:val="99"/>
    <w:semiHidden/>
    <w:unhideWhenUsed/>
    <w:rsid w:val="008E2E42"/>
  </w:style>
  <w:style w:type="table" w:customStyle="1" w:styleId="43">
    <w:name w:val="表格格線4"/>
    <w:basedOn w:val="a5"/>
    <w:next w:val="af4"/>
    <w:uiPriority w:val="59"/>
    <w:rsid w:val="008E2E4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a">
    <w:name w:val="無清單11"/>
    <w:next w:val="a6"/>
    <w:uiPriority w:val="99"/>
    <w:semiHidden/>
    <w:unhideWhenUsed/>
    <w:rsid w:val="008E2E42"/>
  </w:style>
  <w:style w:type="table" w:customStyle="1" w:styleId="11b">
    <w:name w:val="表格格線11"/>
    <w:basedOn w:val="a5"/>
    <w:next w:val="af4"/>
    <w:uiPriority w:val="59"/>
    <w:rsid w:val="008E2E4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content">
    <w:name w:val="intro_content"/>
    <w:rsid w:val="008E2E42"/>
  </w:style>
  <w:style w:type="character" w:customStyle="1" w:styleId="posted-on1">
    <w:name w:val="posted-on1"/>
    <w:rsid w:val="008E2E42"/>
  </w:style>
  <w:style w:type="character" w:customStyle="1" w:styleId="comments-link1">
    <w:name w:val="comments-link1"/>
    <w:rsid w:val="008E2E42"/>
  </w:style>
  <w:style w:type="character" w:customStyle="1" w:styleId="afffffff0">
    <w:name w:val="一、 字元"/>
    <w:link w:val="afffffff"/>
    <w:rsid w:val="008E2E42"/>
    <w:rPr>
      <w:rFonts w:ascii="Arial" w:eastAsia="華康粗明體" w:hAnsi="Arial"/>
      <w:color w:val="000000"/>
      <w:kern w:val="2"/>
      <w:sz w:val="26"/>
      <w:szCs w:val="26"/>
    </w:rPr>
  </w:style>
  <w:style w:type="character" w:customStyle="1" w:styleId="ss-required-asterisk">
    <w:name w:val="ss-required-asterisk"/>
    <w:basedOn w:val="a4"/>
    <w:rsid w:val="008E2E42"/>
  </w:style>
  <w:style w:type="character" w:customStyle="1" w:styleId="ss-choice-item-control">
    <w:name w:val="ss-choice-item-control"/>
    <w:basedOn w:val="a4"/>
    <w:rsid w:val="008E2E42"/>
  </w:style>
  <w:style w:type="character" w:customStyle="1" w:styleId="ss-choice-label">
    <w:name w:val="ss-choice-label"/>
    <w:basedOn w:val="a4"/>
    <w:rsid w:val="008E2E42"/>
  </w:style>
  <w:style w:type="paragraph" w:customStyle="1" w:styleId="TableParagraph">
    <w:name w:val="Table Paragraph"/>
    <w:basedOn w:val="a3"/>
    <w:uiPriority w:val="1"/>
    <w:qFormat/>
    <w:rsid w:val="008E2E42"/>
    <w:pPr>
      <w:autoSpaceDE w:val="0"/>
      <w:autoSpaceDN w:val="0"/>
    </w:pPr>
    <w:rPr>
      <w:rFonts w:ascii="Noto Sans CJK JP Regular" w:eastAsia="Noto Sans CJK JP Regular" w:hAnsi="Noto Sans CJK JP Regular" w:cs="Noto Sans CJK JP Regular"/>
      <w:kern w:val="0"/>
      <w:sz w:val="22"/>
      <w:szCs w:val="22"/>
      <w:lang w:eastAsia="en-US"/>
    </w:rPr>
  </w:style>
  <w:style w:type="paragraph" w:customStyle="1" w:styleId="footnotedescription">
    <w:name w:val="footnote description"/>
    <w:next w:val="a3"/>
    <w:link w:val="footnotedescriptionChar"/>
    <w:rsid w:val="008E2E42"/>
    <w:pPr>
      <w:spacing w:line="259" w:lineRule="auto"/>
    </w:pPr>
    <w:rPr>
      <w:rFonts w:ascii="新細明體" w:hAnsi="新細明體" w:cs="新細明體"/>
      <w:color w:val="000000"/>
      <w:sz w:val="24"/>
      <w:szCs w:val="22"/>
      <w:lang w:eastAsia="en-US"/>
    </w:rPr>
  </w:style>
  <w:style w:type="character" w:customStyle="1" w:styleId="affffffffffff9">
    <w:name w:val="註腳符"/>
    <w:rsid w:val="008E2E42"/>
    <w:rPr>
      <w:rFonts w:ascii="Times New Roman" w:eastAsia="新細明體" w:hAnsi="Times New Roman" w:cs="Times New Roman"/>
      <w:color w:val="000000"/>
      <w:sz w:val="24"/>
      <w:vertAlign w:val="superscript"/>
    </w:rPr>
  </w:style>
  <w:style w:type="character" w:customStyle="1" w:styleId="footnotedescriptionChar">
    <w:name w:val="footnote description Char"/>
    <w:link w:val="footnotedescription"/>
    <w:rsid w:val="008E2E42"/>
    <w:rPr>
      <w:rFonts w:ascii="新細明體" w:hAnsi="新細明體" w:cs="新細明體"/>
      <w:color w:val="000000"/>
      <w:sz w:val="24"/>
      <w:szCs w:val="22"/>
      <w:lang w:eastAsia="en-US"/>
    </w:rPr>
  </w:style>
  <w:style w:type="character" w:customStyle="1" w:styleId="footnotemark">
    <w:name w:val="footnote mark"/>
    <w:rsid w:val="008E2E42"/>
    <w:rPr>
      <w:rFonts w:ascii="Times New Roman" w:eastAsia="Times New Roman" w:hAnsi="Times New Roman" w:cs="Times New Roman"/>
      <w:color w:val="000000"/>
      <w:sz w:val="24"/>
      <w:vertAlign w:val="superscript"/>
    </w:rPr>
  </w:style>
  <w:style w:type="table" w:customStyle="1" w:styleId="TableNormal">
    <w:name w:val="Table Normal"/>
    <w:uiPriority w:val="2"/>
    <w:unhideWhenUsed/>
    <w:qFormat/>
    <w:rsid w:val="008E2E4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00-1">
    <w:name w:val="00-1."/>
    <w:basedOn w:val="a3"/>
    <w:link w:val="00-10"/>
    <w:rsid w:val="008E2E42"/>
    <w:pPr>
      <w:spacing w:line="360" w:lineRule="auto"/>
    </w:pPr>
    <w:rPr>
      <w:rFonts w:eastAsiaTheme="minorEastAsia"/>
      <w:sz w:val="24"/>
    </w:rPr>
  </w:style>
  <w:style w:type="character" w:customStyle="1" w:styleId="00-10">
    <w:name w:val="00-1. 字元"/>
    <w:basedOn w:val="a4"/>
    <w:link w:val="00-1"/>
    <w:rsid w:val="008E2E42"/>
    <w:rPr>
      <w:rFonts w:eastAsiaTheme="minorEastAsia"/>
      <w:kern w:val="2"/>
      <w:sz w:val="24"/>
      <w:szCs w:val="24"/>
    </w:rPr>
  </w:style>
  <w:style w:type="character" w:customStyle="1" w:styleId="reportername">
    <w:name w:val="reporter_name"/>
    <w:basedOn w:val="a4"/>
    <w:rsid w:val="008E2E42"/>
  </w:style>
  <w:style w:type="character" w:customStyle="1" w:styleId="posttime2">
    <w:name w:val="post_time2"/>
    <w:basedOn w:val="a4"/>
    <w:rsid w:val="008E2E42"/>
  </w:style>
  <w:style w:type="paragraph" w:customStyle="1" w:styleId="2d">
    <w:name w:val="純文字2"/>
    <w:basedOn w:val="a3"/>
    <w:rsid w:val="008E2E42"/>
    <w:pPr>
      <w:autoSpaceDN w:val="0"/>
      <w:adjustRightInd w:val="0"/>
      <w:textAlignment w:val="baseline"/>
    </w:pPr>
    <w:rPr>
      <w:rFonts w:ascii="細明體" w:eastAsia="細明體"/>
      <w:kern w:val="0"/>
      <w:sz w:val="24"/>
      <w:szCs w:val="20"/>
    </w:rPr>
  </w:style>
  <w:style w:type="character" w:customStyle="1" w:styleId="190">
    <w:name w:val="字元 字元19"/>
    <w:rsid w:val="008E2E42"/>
    <w:rPr>
      <w:rFonts w:ascii="新細明體" w:eastAsia="新細明體" w:hAnsi="新細明體"/>
      <w:sz w:val="24"/>
      <w:szCs w:val="24"/>
      <w:lang w:val="en-US" w:eastAsia="zh-TW" w:bidi="ar-SA"/>
    </w:rPr>
  </w:style>
  <w:style w:type="character" w:customStyle="1" w:styleId="101">
    <w:name w:val="字元 字元10"/>
    <w:rsid w:val="008E2E42"/>
    <w:rPr>
      <w:rFonts w:ascii="細明體" w:eastAsia="細明體" w:hAnsi="細明體" w:cs="Times New Roman"/>
      <w:sz w:val="20"/>
      <w:szCs w:val="20"/>
    </w:rPr>
  </w:style>
  <w:style w:type="character" w:customStyle="1" w:styleId="ya-q-full-text1">
    <w:name w:val="ya-q-full-text1"/>
    <w:basedOn w:val="a4"/>
    <w:rsid w:val="008E2E42"/>
    <w:rPr>
      <w:color w:val="26282A"/>
      <w:sz w:val="23"/>
      <w:szCs w:val="23"/>
    </w:rPr>
  </w:style>
  <w:style w:type="character" w:customStyle="1" w:styleId="ya-q-text1">
    <w:name w:val="ya-q-text1"/>
    <w:basedOn w:val="a4"/>
    <w:rsid w:val="008E2E42"/>
    <w:rPr>
      <w:color w:val="26282A"/>
      <w:sz w:val="23"/>
      <w:szCs w:val="23"/>
    </w:rPr>
  </w:style>
  <w:style w:type="character" w:customStyle="1" w:styleId="fw-b2">
    <w:name w:val="fw-b2"/>
    <w:basedOn w:val="a4"/>
    <w:rsid w:val="008E2E42"/>
  </w:style>
  <w:style w:type="character" w:customStyle="1" w:styleId="ui-ncbitoggler-master-text">
    <w:name w:val="ui-ncbitoggler-master-text"/>
    <w:basedOn w:val="a4"/>
    <w:rsid w:val="008E2E42"/>
  </w:style>
  <w:style w:type="paragraph" w:customStyle="1" w:styleId="content01">
    <w:name w:val="content01"/>
    <w:basedOn w:val="a3"/>
    <w:uiPriority w:val="99"/>
    <w:rsid w:val="008E2E42"/>
    <w:pPr>
      <w:widowControl/>
      <w:spacing w:before="100" w:beforeAutospacing="1" w:after="100" w:afterAutospacing="1"/>
    </w:pPr>
    <w:rPr>
      <w:rFonts w:ascii="新細明體" w:hAnsi="新細明體" w:cs="新細明體"/>
      <w:kern w:val="0"/>
      <w:sz w:val="24"/>
    </w:rPr>
  </w:style>
  <w:style w:type="character" w:customStyle="1" w:styleId="usercontent">
    <w:name w:val="usercontent"/>
    <w:uiPriority w:val="99"/>
    <w:rsid w:val="008E2E42"/>
  </w:style>
  <w:style w:type="paragraph" w:customStyle="1" w:styleId="2-6">
    <w:name w:val="表2-6"/>
    <w:basedOn w:val="a3"/>
    <w:link w:val="2-60"/>
    <w:uiPriority w:val="99"/>
    <w:rsid w:val="008E2E42"/>
    <w:pPr>
      <w:spacing w:line="360" w:lineRule="auto"/>
      <w:jc w:val="center"/>
    </w:pPr>
    <w:rPr>
      <w:rFonts w:ascii="新細明體" w:hAnsi="Calibri"/>
      <w:b/>
      <w:kern w:val="0"/>
      <w:sz w:val="22"/>
      <w:szCs w:val="20"/>
      <w:lang w:val="x-none" w:eastAsia="x-none"/>
    </w:rPr>
  </w:style>
  <w:style w:type="character" w:customStyle="1" w:styleId="2-60">
    <w:name w:val="表2-6 字元"/>
    <w:link w:val="2-6"/>
    <w:uiPriority w:val="99"/>
    <w:locked/>
    <w:rsid w:val="008E2E42"/>
    <w:rPr>
      <w:rFonts w:ascii="新細明體" w:hAnsi="Calibri"/>
      <w:b/>
      <w:sz w:val="22"/>
      <w:lang w:val="x-none" w:eastAsia="x-none"/>
    </w:rPr>
  </w:style>
  <w:style w:type="character" w:customStyle="1" w:styleId="titlename1">
    <w:name w:val="titlename1"/>
    <w:rsid w:val="008E2E42"/>
    <w:rPr>
      <w:b/>
      <w:bCs/>
      <w:color w:val="000000"/>
      <w:sz w:val="23"/>
      <w:szCs w:val="23"/>
    </w:rPr>
  </w:style>
  <w:style w:type="table" w:styleId="1fff3">
    <w:name w:val="Grid Table 1 Light"/>
    <w:basedOn w:val="a5"/>
    <w:uiPriority w:val="46"/>
    <w:rsid w:val="008E2E4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2e">
    <w:name w:val="標號2"/>
    <w:basedOn w:val="a3"/>
    <w:rsid w:val="0049577B"/>
    <w:pPr>
      <w:widowControl/>
      <w:spacing w:line="288" w:lineRule="auto"/>
    </w:pPr>
    <w:rPr>
      <w:rFonts w:ascii="新細明體" w:hAnsi="新細明體" w:cs="新細明體"/>
      <w:color w:val="000000"/>
      <w:kern w:val="0"/>
      <w:szCs w:val="20"/>
      <w:lang w:bidi="bn-IN"/>
    </w:rPr>
  </w:style>
  <w:style w:type="paragraph" w:customStyle="1" w:styleId="affffffffffffa">
    <w:name w:val="章目錄"/>
    <w:basedOn w:val="11"/>
    <w:rsid w:val="0049577B"/>
    <w:pPr>
      <w:adjustRightInd/>
      <w:snapToGrid/>
      <w:spacing w:beforeLines="100" w:before="360" w:afterLines="0" w:after="0"/>
      <w:jc w:val="center"/>
    </w:pPr>
    <w:rPr>
      <w:rFonts w:ascii="Times New Roman" w:hAnsi="新細明體"/>
      <w:color w:val="auto"/>
      <w:sz w:val="36"/>
      <w:szCs w:val="32"/>
    </w:rPr>
  </w:style>
  <w:style w:type="paragraph" w:customStyle="1" w:styleId="affffffffffffb">
    <w:name w:val="主旨"/>
    <w:basedOn w:val="a3"/>
    <w:rsid w:val="0049577B"/>
    <w:pPr>
      <w:snapToGrid w:val="0"/>
    </w:pPr>
    <w:rPr>
      <w:sz w:val="36"/>
      <w:szCs w:val="20"/>
    </w:rPr>
  </w:style>
  <w:style w:type="character" w:customStyle="1" w:styleId="vg-sm">
    <w:name w:val="vg-sm"/>
    <w:basedOn w:val="a4"/>
    <w:rsid w:val="0049577B"/>
  </w:style>
  <w:style w:type="character" w:customStyle="1" w:styleId="sn">
    <w:name w:val="sn"/>
    <w:basedOn w:val="a4"/>
    <w:rsid w:val="0049577B"/>
  </w:style>
  <w:style w:type="character" w:customStyle="1" w:styleId="dt">
    <w:name w:val="dt"/>
    <w:basedOn w:val="a4"/>
    <w:rsid w:val="0049577B"/>
  </w:style>
  <w:style w:type="character" w:customStyle="1" w:styleId="sl">
    <w:name w:val="sl"/>
    <w:basedOn w:val="a4"/>
    <w:rsid w:val="0049577B"/>
  </w:style>
  <w:style w:type="character" w:customStyle="1" w:styleId="fontred151">
    <w:name w:val="font_red_151"/>
    <w:basedOn w:val="a4"/>
    <w:rsid w:val="0049577B"/>
    <w:rPr>
      <w:rFonts w:ascii="Verdana" w:hAnsi="Verdana" w:hint="default"/>
      <w:b/>
      <w:bCs/>
      <w:color w:val="660066"/>
      <w:sz w:val="23"/>
      <w:szCs w:val="23"/>
    </w:rPr>
  </w:style>
  <w:style w:type="character" w:customStyle="1" w:styleId="c-gray011">
    <w:name w:val="c-gray011"/>
    <w:basedOn w:val="a4"/>
    <w:rsid w:val="0049577B"/>
    <w:rPr>
      <w:rFonts w:ascii="Verdana" w:hAnsi="Verdana" w:hint="default"/>
      <w:color w:val="333333"/>
      <w:sz w:val="20"/>
      <w:szCs w:val="20"/>
    </w:rPr>
  </w:style>
  <w:style w:type="paragraph" w:customStyle="1" w:styleId="unnamed1">
    <w:name w:val="unnamed1"/>
    <w:basedOn w:val="a3"/>
    <w:rsid w:val="0049577B"/>
    <w:pPr>
      <w:widowControl/>
      <w:spacing w:before="100" w:beforeAutospacing="1" w:after="100" w:afterAutospacing="1"/>
    </w:pPr>
    <w:rPr>
      <w:rFonts w:ascii="新細明體" w:hAnsi="新細明體" w:cs="新細明體"/>
      <w:kern w:val="0"/>
      <w:sz w:val="24"/>
    </w:rPr>
  </w:style>
  <w:style w:type="paragraph" w:customStyle="1" w:styleId="123">
    <w:name w:val="樣式12"/>
    <w:basedOn w:val="3"/>
    <w:link w:val="120"/>
    <w:qFormat/>
    <w:rsid w:val="002F19DE"/>
  </w:style>
  <w:style w:type="character" w:customStyle="1" w:styleId="120">
    <w:name w:val="樣式12 字元"/>
    <w:basedOn w:val="30"/>
    <w:link w:val="123"/>
    <w:rsid w:val="002F19DE"/>
    <w:rPr>
      <w:rFonts w:ascii="標楷體" w:eastAsia="標楷體" w:hAnsi="標楷體" w:cs="Arial Unicode MS"/>
      <w:bCs/>
      <w:iCs/>
      <w:color w:val="990000"/>
      <w:sz w:val="26"/>
      <w:szCs w:val="26"/>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03954">
      <w:bodyDiv w:val="1"/>
      <w:marLeft w:val="0"/>
      <w:marRight w:val="0"/>
      <w:marTop w:val="0"/>
      <w:marBottom w:val="0"/>
      <w:divBdr>
        <w:top w:val="none" w:sz="0" w:space="0" w:color="auto"/>
        <w:left w:val="none" w:sz="0" w:space="0" w:color="auto"/>
        <w:bottom w:val="none" w:sz="0" w:space="0" w:color="auto"/>
        <w:right w:val="none" w:sz="0" w:space="0" w:color="auto"/>
      </w:divBdr>
    </w:div>
    <w:div w:id="1056899159">
      <w:bodyDiv w:val="1"/>
      <w:marLeft w:val="0"/>
      <w:marRight w:val="0"/>
      <w:marTop w:val="0"/>
      <w:marBottom w:val="0"/>
      <w:divBdr>
        <w:top w:val="none" w:sz="0" w:space="0" w:color="auto"/>
        <w:left w:val="none" w:sz="0" w:space="0" w:color="auto"/>
        <w:bottom w:val="none" w:sz="0" w:space="0" w:color="auto"/>
        <w:right w:val="none" w:sz="0" w:space="0" w:color="auto"/>
      </w:divBdr>
    </w:div>
    <w:div w:id="133244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6laws.net/6law/law\&#21009;&#20107;&#35380;&#35359;&#27861;.htm" TargetMode="External"/><Relationship Id="rId671" Type="http://schemas.openxmlformats.org/officeDocument/2006/relationships/hyperlink" Target="https://www.6laws.net/6law/law\&#38598;&#26371;&#36938;&#34892;&#27861;.htm" TargetMode="External"/><Relationship Id="rId769" Type="http://schemas.openxmlformats.org/officeDocument/2006/relationships/hyperlink" Target="https://www.6laws.net/" TargetMode="External"/><Relationship Id="rId21" Type="http://schemas.openxmlformats.org/officeDocument/2006/relationships/hyperlink" Target="https://www.6laws.net/6law/law\&#22806;&#22283;&#23560;&#26989;&#20154;&#25165;&#24310;&#25900;&#21450;&#20721;&#29992;&#27861;.htm" TargetMode="External"/><Relationship Id="rId324" Type="http://schemas.openxmlformats.org/officeDocument/2006/relationships/hyperlink" Target="https://www.6laws.net/6law/law\&#22806;&#22283;&#23560;&#26989;&#20154;&#25165;&#24310;&#25900;&#21450;&#20721;&#29992;&#27861;.htm" TargetMode="External"/><Relationship Id="rId531" Type="http://schemas.openxmlformats.org/officeDocument/2006/relationships/hyperlink" Target="https://www.6laws.net/6law/law\&#22823;&#27861;&#23448;&#35299;&#37323;92-n&#24180;.htm" TargetMode="External"/><Relationship Id="rId629" Type="http://schemas.openxmlformats.org/officeDocument/2006/relationships/hyperlink" Target="https://www.6laws.net/6law/law\&#22823;&#27861;&#23448;&#35299;&#37323;92-n&#24180;.htm" TargetMode="External"/><Relationship Id="rId170" Type="http://schemas.openxmlformats.org/officeDocument/2006/relationships/hyperlink" Target="https://www.6laws.net/6law/law\&#21830;&#27161;&#27861;.htm" TargetMode="External"/><Relationship Id="rId836" Type="http://schemas.openxmlformats.org/officeDocument/2006/relationships/hyperlink" Target="https://en.wikipedia.org/wiki/Elections_in_%20Norway" TargetMode="External"/><Relationship Id="rId268" Type="http://schemas.openxmlformats.org/officeDocument/2006/relationships/hyperlink" Target="https://www.6laws.net/6law/law\&#25010;&#27861;.htm" TargetMode="External"/><Relationship Id="rId475" Type="http://schemas.openxmlformats.org/officeDocument/2006/relationships/hyperlink" Target="https://www.6laws.net/6law/law\&#22823;&#27861;&#23448;&#35299;&#37323;92-n&#24180;.htm" TargetMode="External"/><Relationship Id="rId682" Type="http://schemas.openxmlformats.org/officeDocument/2006/relationships/hyperlink" Target="https://www.6laws.net/6law/law\&#22283;&#23478;&#23433;&#20840;&#27861;.htm" TargetMode="External"/><Relationship Id="rId32" Type="http://schemas.openxmlformats.org/officeDocument/2006/relationships/hyperlink" Target="https://www.6laws.net/6law/law\&#22806;&#22283;&#23560;&#26989;&#20154;&#25165;&#24310;&#25900;&#21450;&#20721;&#29992;&#27861;.htm" TargetMode="External"/><Relationship Id="rId128" Type="http://schemas.openxmlformats.org/officeDocument/2006/relationships/hyperlink" Target="https://www.6laws.net/6law/law\&#22823;&#27861;&#23448;&#35299;&#37323;79-86&#24180;.htm" TargetMode="External"/><Relationship Id="rId335" Type="http://schemas.openxmlformats.org/officeDocument/2006/relationships/hyperlink" Target="https://www.6laws.net/6law/law\&#22806;&#22283;&#23560;&#26989;&#20154;&#25165;&#24310;&#25900;&#21450;&#20721;&#29992;&#27861;.htm" TargetMode="External"/><Relationship Id="rId542" Type="http://schemas.openxmlformats.org/officeDocument/2006/relationships/hyperlink" Target="https://www.6laws.net/6law/law\&#22823;&#27861;&#23448;&#35299;&#37323;92-n&#24180;.htm" TargetMode="External"/><Relationship Id="rId181" Type="http://schemas.openxmlformats.org/officeDocument/2006/relationships/hyperlink" Target="https://www.6laws.net/6law/law\&#23569;&#24180;&#20107;&#20214;&#34389;&#29702;&#27861;.htm" TargetMode="External"/><Relationship Id="rId402" Type="http://schemas.openxmlformats.org/officeDocument/2006/relationships/hyperlink" Target="https://www.6laws.net/6law/law\&#22283;&#31821;&#27861;.htm" TargetMode="External"/><Relationship Id="rId279" Type="http://schemas.openxmlformats.org/officeDocument/2006/relationships/hyperlink" Target="http://www.cic.gc.ca/" TargetMode="External"/><Relationship Id="rId486" Type="http://schemas.openxmlformats.org/officeDocument/2006/relationships/hyperlink" Target="https://www.6laws.net/6law/law\&#22823;&#27861;&#23448;&#35299;&#37323;92-n&#24180;.htm" TargetMode="External"/><Relationship Id="rId693" Type="http://schemas.openxmlformats.org/officeDocument/2006/relationships/hyperlink" Target="https://www.6laws.net/6law/law\&#25010;&#27861;.htm" TargetMode="External"/><Relationship Id="rId707" Type="http://schemas.openxmlformats.org/officeDocument/2006/relationships/hyperlink" Target="https://www.6laws.net/6law/law3\&#36328;&#22283;&#20225;&#26989;&#20839;&#37096;&#35519;&#21205;&#20043;&#22823;&#38520;&#22320;&#21312;&#20154;&#27665;&#30003;&#35531;&#20358;&#33274;&#26381;&#21209;&#35377;&#21487;&#36774;&#27861;.htm" TargetMode="External"/><Relationship Id="rId43" Type="http://schemas.openxmlformats.org/officeDocument/2006/relationships/hyperlink" Target="https://www.6laws.net/6law/law\&#20837;&#20986;&#22283;&#21450;&#31227;&#27665;&#27861;.htm" TargetMode="External"/><Relationship Id="rId139" Type="http://schemas.openxmlformats.org/officeDocument/2006/relationships/hyperlink" Target="https://www.6laws.net/6law/law\&#36949;&#35686;&#32624;&#27861;.htm" TargetMode="External"/><Relationship Id="rId346" Type="http://schemas.openxmlformats.org/officeDocument/2006/relationships/hyperlink" Target="https://www.6laws.net/6law/law\&#20837;&#20986;&#22283;&#21450;&#31227;&#27665;&#27861;.htm" TargetMode="External"/><Relationship Id="rId553" Type="http://schemas.openxmlformats.org/officeDocument/2006/relationships/hyperlink" Target="https://www.6laws.net/6law/law\&#22823;&#27861;&#23448;&#35299;&#37323;92-n&#24180;.htm" TargetMode="External"/><Relationship Id="rId760" Type="http://schemas.openxmlformats.org/officeDocument/2006/relationships/hyperlink" Target="https://www.6laws.net/" TargetMode="External"/><Relationship Id="rId192" Type="http://schemas.openxmlformats.org/officeDocument/2006/relationships/hyperlink" Target="https://www.6laws.net/6law/law\&#22823;&#27861;&#23448;&#35299;&#37323;92-n&#24180;.htm" TargetMode="External"/><Relationship Id="rId206" Type="http://schemas.openxmlformats.org/officeDocument/2006/relationships/hyperlink" Target="https://www.6laws.net/6law/law\&#20837;&#20986;&#22283;&#21450;&#31227;&#27665;&#27861;.htm" TargetMode="External"/><Relationship Id="rId413" Type="http://schemas.openxmlformats.org/officeDocument/2006/relationships/hyperlink" Target="https://www.6laws.net/6law/law\&#20837;&#20986;&#22283;&#21450;&#31227;&#27665;&#27861;.htm" TargetMode="External"/><Relationship Id="rId497" Type="http://schemas.openxmlformats.org/officeDocument/2006/relationships/hyperlink" Target="https://www.6laws.net/6law/law\&#25010;&#27861;.htm" TargetMode="External"/><Relationship Id="rId620" Type="http://schemas.openxmlformats.org/officeDocument/2006/relationships/hyperlink" Target="https://www.6laws.net/6law/law\&#25010;&#27861;.htm" TargetMode="External"/><Relationship Id="rId718" Type="http://schemas.openxmlformats.org/officeDocument/2006/relationships/hyperlink" Target="https://www.6laws.net/6law/law\&#20154;&#21475;&#36009;&#36939;&#38450;&#21046;&#27861;.htm" TargetMode="External"/><Relationship Id="rId357" Type="http://schemas.openxmlformats.org/officeDocument/2006/relationships/hyperlink" Target="https://www.6laws.net/6law/law\&#22806;&#22283;&#23560;&#26989;&#20154;&#25165;&#24310;&#25900;&#21450;&#20721;&#29992;&#27861;.htm" TargetMode="External"/><Relationship Id="rId54" Type="http://schemas.openxmlformats.org/officeDocument/2006/relationships/hyperlink" Target="https://www.6laws.net/6law/law\&#22806;&#22283;&#23560;&#26989;&#20154;&#25165;&#24310;&#25900;&#21450;&#20721;&#29992;&#27861;.htm" TargetMode="External"/><Relationship Id="rId217" Type="http://schemas.openxmlformats.org/officeDocument/2006/relationships/hyperlink" Target="https://www.6laws.net/6law/law\&#20837;&#20986;&#22283;&#21450;&#31227;&#27665;&#27861;.htm" TargetMode="External"/><Relationship Id="rId564" Type="http://schemas.openxmlformats.org/officeDocument/2006/relationships/hyperlink" Target="https://www.6laws.net/6law/law\&#25010;&#27861;.htm" TargetMode="External"/><Relationship Id="rId771" Type="http://schemas.openxmlformats.org/officeDocument/2006/relationships/hyperlink" Target="https://www.6laws.net/" TargetMode="External"/><Relationship Id="rId424" Type="http://schemas.openxmlformats.org/officeDocument/2006/relationships/hyperlink" Target="https://www.6laws.net/6law/law\&#20837;&#20986;&#22283;&#21450;&#31227;&#27665;&#27861;.htm" TargetMode="External"/><Relationship Id="rId631" Type="http://schemas.openxmlformats.org/officeDocument/2006/relationships/hyperlink" Target="https://www.6laws.net/6law/law\&#22823;&#27861;&#23448;&#35299;&#37323;92-n&#24180;.htm" TargetMode="External"/><Relationship Id="rId729" Type="http://schemas.openxmlformats.org/officeDocument/2006/relationships/hyperlink" Target="https://www.6laws.net/6law/law\&#20837;&#20986;&#22283;&#21450;&#31227;&#27665;&#27861;.htm" TargetMode="External"/><Relationship Id="rId270" Type="http://schemas.openxmlformats.org/officeDocument/2006/relationships/hyperlink" Target="https://www.6laws.net/6law/law\&#25010;&#27861;.htm" TargetMode="External"/><Relationship Id="rId65" Type="http://schemas.openxmlformats.org/officeDocument/2006/relationships/hyperlink" Target="https://www.6laws.net/6law/law\&#28040;&#38500;&#23565;&#23142;&#22899;&#19968;&#20999;&#24418;&#24335;&#27495;&#35222;&#20844;&#32004;&#26045;&#34892;&#27861;.htm" TargetMode="External"/><Relationship Id="rId130" Type="http://schemas.openxmlformats.org/officeDocument/2006/relationships/hyperlink" Target="https://www.6laws.net/6law/law\&#25010;&#27861;.htm" TargetMode="External"/><Relationship Id="rId368" Type="http://schemas.openxmlformats.org/officeDocument/2006/relationships/hyperlink" Target="https://www.6laws.net/6law/law\&#23601;&#26989;&#26381;&#21209;&#27861;.htm" TargetMode="External"/><Relationship Id="rId575" Type="http://schemas.openxmlformats.org/officeDocument/2006/relationships/hyperlink" Target="https://www.6laws.net/6law/law\&#22823;&#27861;&#23448;&#35299;&#37323;92-n&#24180;.htm" TargetMode="External"/><Relationship Id="rId782" Type="http://schemas.openxmlformats.org/officeDocument/2006/relationships/hyperlink" Target="http://www.immigration.gov.tw/lp.asp?ctNode=29699&amp;CtUnit=16434&amp;BaseDSD=7&amp;mp=1" TargetMode="External"/><Relationship Id="rId228" Type="http://schemas.openxmlformats.org/officeDocument/2006/relationships/hyperlink" Target="https://www.6laws.net/6law/law\&#25010;&#27861;.htm" TargetMode="External"/><Relationship Id="rId435" Type="http://schemas.openxmlformats.org/officeDocument/2006/relationships/hyperlink" Target="https://www.6laws.net/6law/law\&#20837;&#20986;&#22283;&#21450;&#31227;&#27665;&#27861;.htm" TargetMode="External"/><Relationship Id="rId642" Type="http://schemas.openxmlformats.org/officeDocument/2006/relationships/hyperlink" Target="https://www.6laws.net/6law/law\&#33274;&#28771;&#22320;&#21312;&#33287;&#22823;&#38520;&#22320;&#21312;&#20154;&#27665;&#38364;&#20418;&#26781;&#20363;.htm" TargetMode="External"/><Relationship Id="rId281" Type="http://schemas.openxmlformats.org/officeDocument/2006/relationships/hyperlink" Target="http://www.immi.gov.au/" TargetMode="External"/><Relationship Id="rId502" Type="http://schemas.openxmlformats.org/officeDocument/2006/relationships/hyperlink" Target="https://www.6laws.net/6law/law\&#25010;&#27861;.htm" TargetMode="External"/><Relationship Id="rId76" Type="http://schemas.openxmlformats.org/officeDocument/2006/relationships/hyperlink" Target="https://www.6laws.net/6law/law\&#25010;&#27861;.htm" TargetMode="External"/><Relationship Id="rId141" Type="http://schemas.openxmlformats.org/officeDocument/2006/relationships/hyperlink" Target="https://www.6laws.net/6law/law\&#36949;&#35686;&#32624;&#27861;.htm" TargetMode="External"/><Relationship Id="rId379" Type="http://schemas.openxmlformats.org/officeDocument/2006/relationships/hyperlink" Target="https://www.6laws.net/6law/law\&#23601;&#26989;&#26381;&#21209;&#27861;.htm" TargetMode="External"/><Relationship Id="rId586" Type="http://schemas.openxmlformats.org/officeDocument/2006/relationships/hyperlink" Target="https://www.6laws.net/6law/law\&#22823;&#27861;&#23448;&#35299;&#37323;92-n&#24180;.htm" TargetMode="External"/><Relationship Id="rId793" Type="http://schemas.openxmlformats.org/officeDocument/2006/relationships/hyperlink" Target="https://udn.com/news/story/11311/3005404" TargetMode="External"/><Relationship Id="rId807" Type="http://schemas.openxmlformats.org/officeDocument/2006/relationships/hyperlink" Target="http://www.ey.gov.tw/DL.ashx?u=%2FUpload%2FRelFile%2F19%2F731448%2F90%205193dc-0983-470f-9a68-442ab7fb2ddd.pptx" TargetMode="External"/><Relationship Id="rId7" Type="http://schemas.openxmlformats.org/officeDocument/2006/relationships/endnotes" Target="endnotes.xml"/><Relationship Id="rId239" Type="http://schemas.openxmlformats.org/officeDocument/2006/relationships/hyperlink" Target="https://www.6laws.net/6law/law\&#22823;&#27861;&#23448;&#35299;&#37323;92-n&#24180;.htm" TargetMode="External"/><Relationship Id="rId446" Type="http://schemas.openxmlformats.org/officeDocument/2006/relationships/hyperlink" Target="https://www.6laws.net/6law/law3\&#22823;&#38520;&#22320;&#21312;&#20154;&#27665;&#36914;&#20837;&#33274;&#28771;&#22320;&#21312;&#35377;&#21487;&#36774;&#27861;.htm" TargetMode="External"/><Relationship Id="rId653" Type="http://schemas.openxmlformats.org/officeDocument/2006/relationships/hyperlink" Target="https://www.6laws.net/6law/law\&#20844;&#27665;&#33287;&#25919;&#27835;&#27402;&#21033;&#22283;&#38555;&#20844;&#32004;&#21450;&#32147;&#28639;&#31038;&#26371;&#25991;&#21270;&#27402;&#21033;&#22283;&#38555;&#20844;&#32004;&#26045;&#34892;&#27861;.htm" TargetMode="External"/><Relationship Id="rId292" Type="http://schemas.openxmlformats.org/officeDocument/2006/relationships/hyperlink" Target="https://www.6laws.net/6law/law\&#20837;&#20986;&#22283;&#21450;&#31227;&#27665;&#27861;.htm" TargetMode="External"/><Relationship Id="rId306" Type="http://schemas.openxmlformats.org/officeDocument/2006/relationships/hyperlink" Target="https://www.6laws.net/6law/law3\&#22806;&#22283;&#20154;&#30003;&#35531;&#27704;&#20037;&#23621;&#30041;&#26696;&#20214;&#23529;&#26597;&#22522;&#28310;.htm" TargetMode="External"/><Relationship Id="rId87" Type="http://schemas.openxmlformats.org/officeDocument/2006/relationships/hyperlink" Target="https://www.6laws.net/6law/law\&#25010;&#27861;.htm" TargetMode="External"/><Relationship Id="rId513" Type="http://schemas.openxmlformats.org/officeDocument/2006/relationships/hyperlink" Target="https://www.6laws.net/6law/law\&#22823;&#27861;&#23448;&#35299;&#37323;92-n&#24180;.htm" TargetMode="External"/><Relationship Id="rId597" Type="http://schemas.openxmlformats.org/officeDocument/2006/relationships/hyperlink" Target="https://www.6laws.net/6law/law\&#22823;&#27861;&#23448;&#35299;&#37323;92-n&#24180;.htm" TargetMode="External"/><Relationship Id="rId720" Type="http://schemas.openxmlformats.org/officeDocument/2006/relationships/hyperlink" Target="https://www.6laws.net/6law/law\&#20154;&#21475;&#36009;&#36939;&#38450;&#21046;&#27861;.htm" TargetMode="External"/><Relationship Id="rId818" Type="http://schemas.openxmlformats.org/officeDocument/2006/relationships/hyperlink" Target="from%20:http:\www.dgpa.gov.tw\public\Data\681517211471.pdf" TargetMode="External"/><Relationship Id="rId152" Type="http://schemas.openxmlformats.org/officeDocument/2006/relationships/hyperlink" Target="https://www.6laws.net/6law/law\&#22823;&#27861;&#23448;&#35299;&#37323;87-91&#24180;.htm" TargetMode="External"/><Relationship Id="rId457" Type="http://schemas.openxmlformats.org/officeDocument/2006/relationships/hyperlink" Target="https://www.6laws.net/6law/law2\&#20844;&#27665;&#33287;&#25919;&#27835;&#27402;&#21033;&#22283;&#38555;&#20844;&#32004;.htm" TargetMode="External"/><Relationship Id="rId664" Type="http://schemas.openxmlformats.org/officeDocument/2006/relationships/hyperlink" Target="https://www.6laws.net/6law/law\&#25010;&#27861;.htm" TargetMode="External"/><Relationship Id="rId14" Type="http://schemas.openxmlformats.org/officeDocument/2006/relationships/image" Target="media/image6.jpeg"/><Relationship Id="rId317" Type="http://schemas.openxmlformats.org/officeDocument/2006/relationships/hyperlink" Target="https://www.6laws.net/6law/law\&#22806;&#22283;&#23560;&#26989;&#20154;&#25165;&#24310;&#25900;&#21450;&#20721;&#29992;&#27861;.htm" TargetMode="External"/><Relationship Id="rId524" Type="http://schemas.openxmlformats.org/officeDocument/2006/relationships/hyperlink" Target="https://www.6laws.net/6law/law\&#22823;&#27861;&#23448;&#35299;&#37323;92-n&#24180;.htm" TargetMode="External"/><Relationship Id="rId731" Type="http://schemas.openxmlformats.org/officeDocument/2006/relationships/hyperlink" Target="https://www.6laws.net/6law/law\&#36523;&#24515;&#38556;&#31001;&#32773;&#27402;&#21033;&#20844;&#32004;&#26045;&#34892;&#27861;.htm" TargetMode="External"/><Relationship Id="rId98" Type="http://schemas.openxmlformats.org/officeDocument/2006/relationships/hyperlink" Target="https://www.6laws.net/6law/law\&#25010;&#27861;.htm" TargetMode="External"/><Relationship Id="rId163" Type="http://schemas.openxmlformats.org/officeDocument/2006/relationships/hyperlink" Target="https://www.6laws.net/6law/law\&#22823;&#27861;&#23448;&#35299;&#37323;92-n&#24180;.htm" TargetMode="External"/><Relationship Id="rId370" Type="http://schemas.openxmlformats.org/officeDocument/2006/relationships/hyperlink" Target="https://www.6laws.net/6law/law\&#23601;&#26989;&#26381;&#21209;&#27861;.htm" TargetMode="External"/><Relationship Id="rId829" Type="http://schemas.openxmlformats.org/officeDocument/2006/relationships/hyperlink" Target="http://eudo-citizenship.eu" TargetMode="External"/><Relationship Id="rId230" Type="http://schemas.openxmlformats.org/officeDocument/2006/relationships/hyperlink" Target="https://www.6laws.net/6law/law\&#22823;&#27861;&#23448;&#35299;&#37323;92-n&#24180;.htm" TargetMode="External"/><Relationship Id="rId468" Type="http://schemas.openxmlformats.org/officeDocument/2006/relationships/hyperlink" Target="https://www.6laws.net/6law/law2\&#20844;&#27665;&#33287;&#25919;&#27835;&#27402;&#21033;&#22283;&#38555;&#20844;&#32004;.htm" TargetMode="External"/><Relationship Id="rId675" Type="http://schemas.openxmlformats.org/officeDocument/2006/relationships/hyperlink" Target="https://www.6laws.net/6law/law\&#20154;&#27665;&#22296;&#39636;&#27861;.htm" TargetMode="External"/><Relationship Id="rId25" Type="http://schemas.openxmlformats.org/officeDocument/2006/relationships/hyperlink" Target="https://www.6laws.net/6law/law\&#22283;&#31821;&#27861;.htm" TargetMode="External"/><Relationship Id="rId328" Type="http://schemas.openxmlformats.org/officeDocument/2006/relationships/hyperlink" Target="https://www.6laws.net/6law/law\&#22806;&#22283;&#23560;&#26989;&#20154;&#25165;&#24310;&#25900;&#21450;&#20721;&#29992;&#27861;.htm" TargetMode="External"/><Relationship Id="rId535" Type="http://schemas.openxmlformats.org/officeDocument/2006/relationships/hyperlink" Target="https://www.6laws.net/6law/law\&#25152;&#24471;&#31237;&#27861;.htm" TargetMode="External"/><Relationship Id="rId742" Type="http://schemas.openxmlformats.org/officeDocument/2006/relationships/hyperlink" Target="https://www.6laws.net/6law/law\&#22823;&#27861;&#23448;&#35299;&#37323;92-n&#24180;.htm" TargetMode="External"/><Relationship Id="rId174" Type="http://schemas.openxmlformats.org/officeDocument/2006/relationships/hyperlink" Target="https://www.6laws.net/6law/law\&#21009;&#20107;&#35380;&#35359;&#27861;.htm" TargetMode="External"/><Relationship Id="rId381" Type="http://schemas.openxmlformats.org/officeDocument/2006/relationships/hyperlink" Target="https://www.6laws.net/6law/law3\&#22806;&#22283;&#20154;&#30003;&#35531;&#27704;&#20037;&#23621;&#30041;&#26696;&#20214;&#23529;&#26597;&#22522;&#28310;.htm" TargetMode="External"/><Relationship Id="rId602" Type="http://schemas.openxmlformats.org/officeDocument/2006/relationships/hyperlink" Target="https://www.6laws.net/6law/law\&#25010;&#27861;.htm" TargetMode="External"/><Relationship Id="rId241" Type="http://schemas.openxmlformats.org/officeDocument/2006/relationships/hyperlink" Target="https://www.6laws.net/6law/law\&#20837;&#20986;&#22283;&#21450;&#31227;&#27665;&#27861;.htm" TargetMode="External"/><Relationship Id="rId479" Type="http://schemas.openxmlformats.org/officeDocument/2006/relationships/hyperlink" Target="https://www.6laws.net/6law/law\&#22823;&#27861;&#23448;&#35299;&#37323;92-n&#24180;.htm" TargetMode="External"/><Relationship Id="rId686" Type="http://schemas.openxmlformats.org/officeDocument/2006/relationships/hyperlink" Target="https://www.6laws.net/6law/law\&#25010;&#27861;.htm" TargetMode="External"/><Relationship Id="rId36" Type="http://schemas.openxmlformats.org/officeDocument/2006/relationships/hyperlink" Target="https://www.6laws.net/6law/law\&#22806;&#22283;&#23560;&#26989;&#20154;&#25165;&#24310;&#25900;&#21450;&#20721;&#29992;&#27861;.htm" TargetMode="External"/><Relationship Id="rId339" Type="http://schemas.openxmlformats.org/officeDocument/2006/relationships/image" Target="media/image10.emf"/><Relationship Id="rId546" Type="http://schemas.openxmlformats.org/officeDocument/2006/relationships/hyperlink" Target="https://www.6laws.net/6law/law3\&#29518;&#21237;&#22303;&#22320;&#25152;&#26377;&#27402;&#20154;&#36774;&#29702;&#24066;&#22320;&#37325;&#21123;&#36774;&#27861;.htm" TargetMode="External"/><Relationship Id="rId753" Type="http://schemas.openxmlformats.org/officeDocument/2006/relationships/hyperlink" Target="https://www.6laws.net/6law/law2\&#28040;&#38500;&#19968;&#20999;&#24418;&#24335;&#31278;&#26063;&#27495;&#35222;&#22283;&#38555;&#20844;&#32004;.htm" TargetMode="External"/><Relationship Id="rId101" Type="http://schemas.openxmlformats.org/officeDocument/2006/relationships/hyperlink" Target="https://www.6laws.net/6law/law\&#25010;&#27861;.htm" TargetMode="External"/><Relationship Id="rId185" Type="http://schemas.openxmlformats.org/officeDocument/2006/relationships/hyperlink" Target="https://www.6laws.net/6law/law\&#22823;&#27861;&#23448;&#35299;&#37323;92-n&#24180;.htm" TargetMode="External"/><Relationship Id="rId406" Type="http://schemas.openxmlformats.org/officeDocument/2006/relationships/hyperlink" Target="https://www.6laws.net/6law/law3\&#27512;&#21270;&#22283;&#31821;&#20043;&#39640;&#32026;&#23560;&#26989;&#20154;&#25165;&#35469;&#23450;&#27161;&#28310;.htm" TargetMode="External"/><Relationship Id="rId392" Type="http://schemas.openxmlformats.org/officeDocument/2006/relationships/hyperlink" Target="https://www.6laws.net/6law/law3\&#27512;&#21270;&#22283;&#31821;&#20043;&#39640;&#32026;&#23560;&#26989;&#20154;&#25165;&#35469;&#23450;&#27161;&#28310;.htm" TargetMode="External"/><Relationship Id="rId613" Type="http://schemas.openxmlformats.org/officeDocument/2006/relationships/hyperlink" Target="https://www.6laws.net/6law/law\&#22823;&#27861;&#23448;&#35299;&#37323;92-n&#24180;.htm" TargetMode="External"/><Relationship Id="rId697" Type="http://schemas.openxmlformats.org/officeDocument/2006/relationships/hyperlink" Target="https://www.6laws.net/6law/law\&#33274;&#28771;&#22320;&#21312;&#33287;&#22823;&#38520;&#22320;&#21312;&#20154;&#27665;&#38364;&#20418;&#26781;&#20363;.htm" TargetMode="External"/><Relationship Id="rId820" Type="http://schemas.openxmlformats.org/officeDocument/2006/relationships/hyperlink" Target="http://www.chinatimes.com/newspapers/20170705000777-260301" TargetMode="External"/><Relationship Id="rId252" Type="http://schemas.openxmlformats.org/officeDocument/2006/relationships/hyperlink" Target="https://www.6laws.net/6law/law\&#25010;&#27861;.htm" TargetMode="External"/><Relationship Id="rId47" Type="http://schemas.openxmlformats.org/officeDocument/2006/relationships/hyperlink" Target="https://www.6laws.net/6law/law\&#23601;&#26989;&#26381;&#21209;&#27861;.htm" TargetMode="External"/><Relationship Id="rId112" Type="http://schemas.openxmlformats.org/officeDocument/2006/relationships/hyperlink" Target="https://www.6laws.net/6law/law\&#22823;&#27861;&#23448;&#35299;&#37323;79-86&#24180;.htm" TargetMode="External"/><Relationship Id="rId557" Type="http://schemas.openxmlformats.org/officeDocument/2006/relationships/hyperlink" Target="https://www.6laws.net/6law/law\&#22823;&#27861;&#23448;&#35299;&#37323;92-n&#24180;.htm" TargetMode="External"/><Relationship Id="rId764" Type="http://schemas.openxmlformats.org/officeDocument/2006/relationships/hyperlink" Target="https://www.6laws.net/" TargetMode="External"/><Relationship Id="rId196" Type="http://schemas.openxmlformats.org/officeDocument/2006/relationships/hyperlink" Target="https://www.6laws.net/6law/law\&#22823;&#27861;&#23448;&#35299;&#37323;92-n&#24180;.htm" TargetMode="External"/><Relationship Id="rId417" Type="http://schemas.openxmlformats.org/officeDocument/2006/relationships/hyperlink" Target="https://www.6laws.net/6law/law\&#20837;&#20986;&#22283;&#21450;&#31227;&#27665;&#27861;.htm" TargetMode="External"/><Relationship Id="rId624" Type="http://schemas.openxmlformats.org/officeDocument/2006/relationships/hyperlink" Target="https://www.6laws.net/6law/law\&#25010;&#27861;.htm" TargetMode="External"/><Relationship Id="rId831" Type="http://schemas.openxmlformats.org/officeDocument/2006/relationships/hyperlink" Target="http://www.mipex.eu/" TargetMode="External"/><Relationship Id="rId263" Type="http://schemas.openxmlformats.org/officeDocument/2006/relationships/hyperlink" Target="https://www.6laws.net/6law/law\&#21009;&#27861;.htm" TargetMode="External"/><Relationship Id="rId470" Type="http://schemas.openxmlformats.org/officeDocument/2006/relationships/hyperlink" Target="https://www.6laws.net/6law/law2\&#20844;&#27665;&#33287;&#25919;&#27835;&#27402;&#21033;&#22283;&#38555;&#20844;&#32004;.htm" TargetMode="External"/><Relationship Id="rId58" Type="http://schemas.openxmlformats.org/officeDocument/2006/relationships/hyperlink" Target="https://www.6laws.net/6law/law\&#23601;&#26989;&#26381;&#21209;&#27861;.htm" TargetMode="External"/><Relationship Id="rId123" Type="http://schemas.openxmlformats.org/officeDocument/2006/relationships/hyperlink" Target="https://www.6laws.net/6law/law\&#22823;&#27861;&#23448;&#35299;&#37323;79-86&#24180;.htm" TargetMode="External"/><Relationship Id="rId330" Type="http://schemas.openxmlformats.org/officeDocument/2006/relationships/hyperlink" Target="https://www.6laws.net/6law/law\&#22806;&#22283;&#23560;&#26989;&#20154;&#25165;&#24310;&#25900;&#21450;&#20721;&#29992;&#27861;.htm" TargetMode="External"/><Relationship Id="rId568" Type="http://schemas.openxmlformats.org/officeDocument/2006/relationships/hyperlink" Target="https://www.6laws.net/6law/law\&#25010;&#27861;.htm" TargetMode="External"/><Relationship Id="rId775" Type="http://schemas.openxmlformats.org/officeDocument/2006/relationships/hyperlink" Target="https://www.6laws.net/" TargetMode="External"/><Relationship Id="rId428" Type="http://schemas.openxmlformats.org/officeDocument/2006/relationships/hyperlink" Target="https://www.6laws.net/6law/law\&#20837;&#20986;&#22283;&#21450;&#31227;&#27665;&#27861;.htm" TargetMode="External"/><Relationship Id="rId635" Type="http://schemas.openxmlformats.org/officeDocument/2006/relationships/hyperlink" Target="https://www.6laws.net/6law/law\&#22823;&#27861;&#23448;&#35299;&#37323;92-n&#24180;.htm" TargetMode="External"/><Relationship Id="rId842" Type="http://schemas.openxmlformats.org/officeDocument/2006/relationships/theme" Target="theme/theme1.xml"/><Relationship Id="rId274" Type="http://schemas.openxmlformats.org/officeDocument/2006/relationships/hyperlink" Target="https://www.6laws.net/6law/law\&#25010;&#27861;.htm" TargetMode="External"/><Relationship Id="rId481" Type="http://schemas.openxmlformats.org/officeDocument/2006/relationships/hyperlink" Target="https://www.6laws.net/6law/law\&#22823;&#27861;&#23448;&#35299;&#37323;92-n&#24180;.htm" TargetMode="External"/><Relationship Id="rId702" Type="http://schemas.openxmlformats.org/officeDocument/2006/relationships/hyperlink" Target="https://www.6laws.net/6law/law3\&#22823;&#38520;&#22320;&#21312;&#20154;&#27665;&#36914;&#20837;&#33274;&#28771;&#22320;&#21312;&#35377;&#21487;&#36774;&#27861;.htm" TargetMode="External"/><Relationship Id="rId69" Type="http://schemas.openxmlformats.org/officeDocument/2006/relationships/hyperlink" Target="https://www.6laws.net/6law/law\&#25010;&#27861;.htm" TargetMode="External"/><Relationship Id="rId134" Type="http://schemas.openxmlformats.org/officeDocument/2006/relationships/hyperlink" Target="https://www.6laws.net/6law/law\&#25010;&#27861;.htm" TargetMode="External"/><Relationship Id="rId579" Type="http://schemas.openxmlformats.org/officeDocument/2006/relationships/hyperlink" Target="https://www.6laws.net/6law/law\&#22823;&#27861;&#23448;&#35299;&#37323;92-n&#24180;.htm" TargetMode="External"/><Relationship Id="rId786" Type="http://schemas.openxmlformats.org/officeDocument/2006/relationships/hyperlink" Target="http://news.ltn.com.tw/news/focus/paper/1157338" TargetMode="External"/><Relationship Id="rId341" Type="http://schemas.openxmlformats.org/officeDocument/2006/relationships/image" Target="media/image11.emf"/><Relationship Id="rId439" Type="http://schemas.openxmlformats.org/officeDocument/2006/relationships/hyperlink" Target="https://www.6laws.net/6law/law\&#33274;&#28771;&#22320;&#21312;&#33287;&#22823;&#38520;&#22320;&#21312;&#20154;&#27665;&#38364;&#20418;&#26781;&#20363;.htm" TargetMode="External"/><Relationship Id="rId646" Type="http://schemas.openxmlformats.org/officeDocument/2006/relationships/hyperlink" Target="https://www.6laws.net/6law/law\&#25010;&#27861;.htm" TargetMode="External"/><Relationship Id="rId201" Type="http://schemas.openxmlformats.org/officeDocument/2006/relationships/hyperlink" Target="http://jirs.judicial.gov.tw/Index.htm" TargetMode="External"/><Relationship Id="rId285" Type="http://schemas.openxmlformats.org/officeDocument/2006/relationships/hyperlink" Target="https://www.6laws.net/6law/law3\&#22806;&#22283;&#20154;&#30003;&#35531;&#27704;&#20037;&#23621;&#30041;&#26696;&#20214;&#23529;&#26597;&#22522;&#28310;.htm" TargetMode="External"/><Relationship Id="rId506" Type="http://schemas.openxmlformats.org/officeDocument/2006/relationships/hyperlink" Target="https://www.6laws.net/6law/law\&#33274;&#28771;&#22320;&#21312;&#33287;&#22823;&#38520;&#22320;&#21312;&#20154;&#27665;&#38364;&#20418;&#26781;&#20363;.htm" TargetMode="External"/><Relationship Id="rId492" Type="http://schemas.openxmlformats.org/officeDocument/2006/relationships/hyperlink" Target="https://www.6laws.net/6law/law\&#22823;&#27861;&#23448;&#35299;&#37323;92-n&#24180;.htm" TargetMode="External"/><Relationship Id="rId713" Type="http://schemas.openxmlformats.org/officeDocument/2006/relationships/hyperlink" Target="https://www.6laws.net/6law/law3\&#22823;&#38520;&#22320;&#21312;&#20154;&#27665;&#20358;&#33274;&#24478;&#20107;&#21830;&#21209;&#27963;&#21205;&#35377;&#21487;&#36774;&#27861;.htm" TargetMode="External"/><Relationship Id="rId797" Type="http://schemas.openxmlformats.org/officeDocument/2006/relationships/hyperlink" Target="http://ora.nsysu.edu.tw/files/11-1049-4512-1.php?Lang=zh-tw" TargetMode="External"/><Relationship Id="rId145" Type="http://schemas.openxmlformats.org/officeDocument/2006/relationships/hyperlink" Target="https://www.6laws.net/6law/law\&#27298;&#32901;&#27969;&#27667;&#26781;&#20363;.htm" TargetMode="External"/><Relationship Id="rId352" Type="http://schemas.openxmlformats.org/officeDocument/2006/relationships/hyperlink" Target="https://www.6laws.net/6law/law\&#20837;&#20986;&#22283;&#21450;&#31227;&#27665;&#27861;.htm" TargetMode="External"/><Relationship Id="rId212" Type="http://schemas.openxmlformats.org/officeDocument/2006/relationships/hyperlink" Target="https://www.6laws.net/6law/law\&#20837;&#20986;&#22283;&#21450;&#31227;&#27665;&#27861;.htm" TargetMode="External"/><Relationship Id="rId657" Type="http://schemas.openxmlformats.org/officeDocument/2006/relationships/hyperlink" Target="https://www.6laws.net/6law/law\&#20837;&#20986;&#22283;&#21450;&#31227;&#27665;&#27861;.htm" TargetMode="External"/><Relationship Id="rId296" Type="http://schemas.openxmlformats.org/officeDocument/2006/relationships/hyperlink" Target="https://www.6laws.net/6law/law\&#22283;&#31821;&#27861;.htm" TargetMode="External"/><Relationship Id="rId517" Type="http://schemas.openxmlformats.org/officeDocument/2006/relationships/hyperlink" Target="https://www.6laws.net/6law/law\&#22823;&#27861;&#23448;&#35299;&#37323;92-n&#24180;.htm" TargetMode="External"/><Relationship Id="rId724" Type="http://schemas.openxmlformats.org/officeDocument/2006/relationships/hyperlink" Target="https://www.6laws.net/6law/law2\&#32173;&#20063;&#32013;&#38936;&#20107;&#38364;&#20418;&#20844;&#32004;.htm" TargetMode="External"/><Relationship Id="rId60" Type="http://schemas.openxmlformats.org/officeDocument/2006/relationships/hyperlink" Target="https://www.6laws.net/6law/law\&#21214;&#24037;&#36864;&#20241;&#37329;&#26781;&#20363;.htm" TargetMode="External"/><Relationship Id="rId156" Type="http://schemas.openxmlformats.org/officeDocument/2006/relationships/hyperlink" Target="https://www.6laws.net/6law/law\&#22823;&#27861;&#23448;&#35299;&#37323;87-91&#24180;.htm" TargetMode="External"/><Relationship Id="rId363" Type="http://schemas.openxmlformats.org/officeDocument/2006/relationships/hyperlink" Target="https://www.6laws.net/6law/law\&#20837;&#20986;&#22283;&#21450;&#31227;&#27665;&#27861;.htm" TargetMode="External"/><Relationship Id="rId570" Type="http://schemas.openxmlformats.org/officeDocument/2006/relationships/hyperlink" Target="https://www.6laws.net/6law/law\&#22823;&#27861;&#23448;&#35299;&#37323;92-n&#24180;.htm" TargetMode="External"/><Relationship Id="rId223" Type="http://schemas.openxmlformats.org/officeDocument/2006/relationships/hyperlink" Target="https://www.6laws.net/6law/law\&#22823;&#27861;&#23448;&#35299;&#37323;92-n&#24180;.htm" TargetMode="External"/><Relationship Id="rId430" Type="http://schemas.openxmlformats.org/officeDocument/2006/relationships/hyperlink" Target="https://www.6laws.net/6law/law\&#20837;&#20986;&#22283;&#21450;&#31227;&#27665;&#27861;.htm" TargetMode="External"/><Relationship Id="rId668" Type="http://schemas.openxmlformats.org/officeDocument/2006/relationships/hyperlink" Target="https://www.6laws.net/6law/law2\&#20844;&#27665;&#33287;&#25919;&#27835;&#27402;&#21033;&#22283;&#38555;&#20844;&#32004;.htm" TargetMode="External"/><Relationship Id="rId18" Type="http://schemas.openxmlformats.org/officeDocument/2006/relationships/hyperlink" Target="https://www.6laws.net/6law/law\&#22806;&#22283;&#23560;&#26989;&#20154;&#25165;&#24310;&#25900;&#21450;&#20721;&#29992;&#27861;.htm" TargetMode="External"/><Relationship Id="rId528" Type="http://schemas.openxmlformats.org/officeDocument/2006/relationships/hyperlink" Target="https://www.6laws.net/6law/law\&#25152;&#24471;&#31237;&#27861;.htm" TargetMode="External"/><Relationship Id="rId735" Type="http://schemas.openxmlformats.org/officeDocument/2006/relationships/hyperlink" Target="https://www.6laws.net/6law/law\&#25010;&#27861;.htm" TargetMode="External"/><Relationship Id="rId167" Type="http://schemas.openxmlformats.org/officeDocument/2006/relationships/hyperlink" Target="https://www.6laws.net/6law/law\&#22823;&#27861;&#23448;&#35299;&#37323;92-n&#24180;.htm" TargetMode="External"/><Relationship Id="rId374" Type="http://schemas.openxmlformats.org/officeDocument/2006/relationships/hyperlink" Target="https://www.6laws.net/6law/law3\&#22806;&#22283;&#20154;&#24478;&#20107;&#23601;&#26989;&#26381;&#21209;&#27861;&#31532;&#22235;&#21313;&#20845;&#26781;&#31532;&#19968;&#38917;&#31532;&#19968;&#27454;&#33267;&#31532;&#20845;&#27454;&#24037;&#20316;&#36039;&#26684;&#21450;&#23529;&#26597;&#27161;&#28310;.htm" TargetMode="External"/><Relationship Id="rId581" Type="http://schemas.openxmlformats.org/officeDocument/2006/relationships/hyperlink" Target="https://www.6laws.net/6law/law\&#25010;&#27861;.htm" TargetMode="External"/><Relationship Id="rId71" Type="http://schemas.openxmlformats.org/officeDocument/2006/relationships/hyperlink" Target="https://www.6laws.net/6law/law\&#25010;&#27861;.htm" TargetMode="External"/><Relationship Id="rId234" Type="http://schemas.openxmlformats.org/officeDocument/2006/relationships/hyperlink" Target="https://www.6laws.net/6law/law\&#22823;&#27861;&#23448;&#35299;&#37323;92-n&#24180;.htm" TargetMode="External"/><Relationship Id="rId679" Type="http://schemas.openxmlformats.org/officeDocument/2006/relationships/hyperlink" Target="https://www.6laws.net/6law/law\&#22823;&#27861;&#23448;&#35299;&#37323;92-n&#24180;.htm" TargetMode="External"/><Relationship Id="rId802" Type="http://schemas.openxmlformats.org/officeDocument/2006/relationships/hyperlink" Target="https://www.ndc.gov.tw/Content_List.aspx?n=E61E31EE6FB10140&amp;upn=0A078649EEC83462" TargetMode="External"/><Relationship Id="rId2" Type="http://schemas.openxmlformats.org/officeDocument/2006/relationships/numbering" Target="numbering.xml"/><Relationship Id="rId29" Type="http://schemas.openxmlformats.org/officeDocument/2006/relationships/hyperlink" Target="https://www.6laws.net/6law/law\&#22806;&#22283;&#23560;&#26989;&#20154;&#25165;&#24310;&#25900;&#21450;&#20721;&#29992;&#27861;.htm" TargetMode="External"/><Relationship Id="rId441" Type="http://schemas.openxmlformats.org/officeDocument/2006/relationships/hyperlink" Target="https://www.6laws.net/6law/law\&#25010;&#27861;.htm" TargetMode="External"/><Relationship Id="rId539" Type="http://schemas.openxmlformats.org/officeDocument/2006/relationships/hyperlink" Target="https://www.6laws.net/6law/law\&#22823;&#27861;&#23448;&#35299;&#37323;92-n&#24180;.htm" TargetMode="External"/><Relationship Id="rId746" Type="http://schemas.openxmlformats.org/officeDocument/2006/relationships/hyperlink" Target="https://www.6laws.net/6law/law\&#25010;&#27861;.htm" TargetMode="External"/><Relationship Id="rId178" Type="http://schemas.openxmlformats.org/officeDocument/2006/relationships/hyperlink" Target="https://www.6laws.net/6law/law\&#22823;&#27861;&#23448;&#35299;&#37323;92-n&#24180;.htm" TargetMode="External"/><Relationship Id="rId301" Type="http://schemas.openxmlformats.org/officeDocument/2006/relationships/hyperlink" Target="https://www.6laws.net/6law/law\&#20837;&#20986;&#22283;&#21450;&#31227;&#27665;&#27861;.htm" TargetMode="External"/><Relationship Id="rId82" Type="http://schemas.openxmlformats.org/officeDocument/2006/relationships/hyperlink" Target="https://www.6laws.net/6law/law\&#22823;&#27861;&#23448;&#35299;&#37323;92-n&#24180;.htm" TargetMode="External"/><Relationship Id="rId385" Type="http://schemas.openxmlformats.org/officeDocument/2006/relationships/hyperlink" Target="https://www.6laws.net/6law/law\&#35686;&#23519;&#21009;&#20107;&#32000;&#37636;&#35657;&#26126;&#26680;&#30332;&#26781;&#20363;.htm" TargetMode="External"/><Relationship Id="rId592" Type="http://schemas.openxmlformats.org/officeDocument/2006/relationships/hyperlink" Target="http://jirs.judicial.gov.tw/Index.htm" TargetMode="External"/><Relationship Id="rId606" Type="http://schemas.openxmlformats.org/officeDocument/2006/relationships/hyperlink" Target="https://www.6laws.net/6law/law\&#25010;&#27861;.htm" TargetMode="External"/><Relationship Id="rId813" Type="http://schemas.openxmlformats.org/officeDocument/2006/relationships/hyperlink" Target="http://www.storm.mg/article/360138" TargetMode="External"/><Relationship Id="rId245" Type="http://schemas.openxmlformats.org/officeDocument/2006/relationships/hyperlink" Target="https://www.6laws.net/6law/law\&#25010;&#27861;.htm" TargetMode="External"/><Relationship Id="rId452" Type="http://schemas.openxmlformats.org/officeDocument/2006/relationships/hyperlink" Target="https://www.6laws.net/6law/law\&#33274;&#28771;&#22320;&#21312;&#33287;&#22823;&#38520;&#22320;&#21312;&#20154;&#27665;&#38364;&#20418;&#26781;&#20363;.htm" TargetMode="External"/><Relationship Id="rId105" Type="http://schemas.openxmlformats.org/officeDocument/2006/relationships/hyperlink" Target="https://www.6laws.net/6law/law\&#36949;&#35686;&#32624;&#27861;.htm" TargetMode="External"/><Relationship Id="rId312" Type="http://schemas.openxmlformats.org/officeDocument/2006/relationships/hyperlink" Target="https://www.6laws.net/6law/law3\&#22806;&#22283;&#20154;&#20572;&#30041;&#23621;&#30041;&#21450;&#27704;&#20037;&#23621;&#30041;&#36774;&#27861;.htm" TargetMode="External"/><Relationship Id="rId757" Type="http://schemas.openxmlformats.org/officeDocument/2006/relationships/hyperlink" Target="https://www.6laws.net/6law/law\&#20837;&#20986;&#22283;&#21450;&#31227;&#27665;&#27861;.htm" TargetMode="External"/><Relationship Id="rId93" Type="http://schemas.openxmlformats.org/officeDocument/2006/relationships/hyperlink" Target="https://www.6laws.net/6law/law2\&#20844;&#27665;&#33287;&#25919;&#27835;&#27402;&#21033;&#22283;&#38555;&#20844;&#32004;.htm" TargetMode="External"/><Relationship Id="rId189" Type="http://schemas.openxmlformats.org/officeDocument/2006/relationships/hyperlink" Target="https://www.6laws.net/6law/law\&#22823;&#27861;&#23448;&#35299;&#37323;92-n&#24180;.htm" TargetMode="External"/><Relationship Id="rId396" Type="http://schemas.openxmlformats.org/officeDocument/2006/relationships/hyperlink" Target="https://www.6laws.net/6law/law\&#22283;&#31821;&#27861;.htm" TargetMode="External"/><Relationship Id="rId617" Type="http://schemas.openxmlformats.org/officeDocument/2006/relationships/hyperlink" Target="https://www.6laws.net/6law/law\&#25010;&#27861;.htm" TargetMode="External"/><Relationship Id="rId824" Type="http://schemas.openxmlformats.org/officeDocument/2006/relationships/hyperlink" Target="https://www.canadavisa.com" TargetMode="External"/><Relationship Id="rId256" Type="http://schemas.openxmlformats.org/officeDocument/2006/relationships/hyperlink" Target="https://www.6laws.net/6law/law\&#25010;&#27861;.htm" TargetMode="External"/><Relationship Id="rId463" Type="http://schemas.openxmlformats.org/officeDocument/2006/relationships/hyperlink" Target="https://www.6laws.net/6law/law2\&#20844;&#27665;&#33287;&#25919;&#27835;&#27402;&#21033;&#22283;&#38555;&#20844;&#32004;.htm" TargetMode="External"/><Relationship Id="rId670" Type="http://schemas.openxmlformats.org/officeDocument/2006/relationships/hyperlink" Target="https://www.6laws.net/6law/law2\&#20844;&#27665;&#33287;&#25919;&#27835;&#27402;&#21033;&#22283;&#38555;&#20844;&#32004;.htm" TargetMode="External"/><Relationship Id="rId116" Type="http://schemas.openxmlformats.org/officeDocument/2006/relationships/hyperlink" Target="https://www.6laws.net/6law/law\&#21009;&#20107;&#35380;&#35359;&#27861;.htm" TargetMode="External"/><Relationship Id="rId323" Type="http://schemas.openxmlformats.org/officeDocument/2006/relationships/hyperlink" Target="https://www.6laws.net/6law/law\&#22806;&#22283;&#23560;&#26989;&#20154;&#25165;&#24310;&#25900;&#21450;&#20721;&#29992;&#27861;.htm" TargetMode="External"/><Relationship Id="rId530" Type="http://schemas.openxmlformats.org/officeDocument/2006/relationships/hyperlink" Target="https://www.6laws.net/6law/law\&#36008;&#29289;&#31237;&#26781;&#20363;.htm" TargetMode="External"/><Relationship Id="rId768" Type="http://schemas.openxmlformats.org/officeDocument/2006/relationships/hyperlink" Target="https://www.6laws.net/" TargetMode="External"/><Relationship Id="rId20" Type="http://schemas.openxmlformats.org/officeDocument/2006/relationships/hyperlink" Target="https://www.6laws.net/6law/law\&#22806;&#22283;&#23560;&#26989;&#20154;&#25165;&#24310;&#25900;&#21450;&#20721;&#29992;&#27861;.htm" TargetMode="External"/><Relationship Id="rId628" Type="http://schemas.openxmlformats.org/officeDocument/2006/relationships/hyperlink" Target="https://www.6laws.net/6law/law\&#25010;&#27861;.htm" TargetMode="External"/><Relationship Id="rId835" Type="http://schemas.openxmlformats.org/officeDocument/2006/relationships/hyperlink" Target="http://www.finlex.fi/en/laki/kaannokset/%201999/en19990731.pdf" TargetMode="External"/><Relationship Id="rId267" Type="http://schemas.openxmlformats.org/officeDocument/2006/relationships/hyperlink" Target="https://www.6laws.net/6law/law\&#25010;&#27861;.htm" TargetMode="External"/><Relationship Id="rId474" Type="http://schemas.openxmlformats.org/officeDocument/2006/relationships/hyperlink" Target="https://www.6laws.net/6law/law\&#22823;&#27861;&#23448;&#35299;&#37323;92-n&#24180;.htm" TargetMode="External"/><Relationship Id="rId127" Type="http://schemas.openxmlformats.org/officeDocument/2006/relationships/hyperlink" Target="https://www.6laws.net/6law/law\&#25010;&#27861;.htm" TargetMode="External"/><Relationship Id="rId681" Type="http://schemas.openxmlformats.org/officeDocument/2006/relationships/hyperlink" Target="https://www.6laws.net/6law/law\&#22823;&#27861;&#23448;&#35299;&#37323;92-n&#24180;.htm" TargetMode="External"/><Relationship Id="rId779" Type="http://schemas.openxmlformats.org/officeDocument/2006/relationships/hyperlink" Target="http://www.ris.gov.tw/346" TargetMode="External"/><Relationship Id="rId31" Type="http://schemas.openxmlformats.org/officeDocument/2006/relationships/hyperlink" Target="https://www.6laws.net/6law/law\&#22806;&#22283;&#23560;&#26989;&#20154;&#25165;&#24310;&#25900;&#21450;&#20721;&#29992;&#27861;.htm" TargetMode="External"/><Relationship Id="rId334" Type="http://schemas.openxmlformats.org/officeDocument/2006/relationships/hyperlink" Target="https://www.6laws.net/6law/law\&#22806;&#22283;&#23560;&#26989;&#20154;&#25165;&#24310;&#25900;&#21450;&#20721;&#29992;&#27861;.htm" TargetMode="External"/><Relationship Id="rId541" Type="http://schemas.openxmlformats.org/officeDocument/2006/relationships/hyperlink" Target="https://www.6laws.net/6law/law\&#22823;&#27861;&#23448;&#35299;&#37323;92-n&#24180;.htm" TargetMode="External"/><Relationship Id="rId639" Type="http://schemas.openxmlformats.org/officeDocument/2006/relationships/hyperlink" Target="https://www.6laws.net/6law/law\&#25010;&#27861;.htm" TargetMode="External"/><Relationship Id="rId180" Type="http://schemas.openxmlformats.org/officeDocument/2006/relationships/hyperlink" Target="https://www.6laws.net/6law/law\&#22823;&#27861;&#23448;&#35299;&#37323;92-n&#24180;.htm" TargetMode="External"/><Relationship Id="rId278" Type="http://schemas.openxmlformats.org/officeDocument/2006/relationships/hyperlink" Target="http://www.cic.gc.ca/" TargetMode="External"/><Relationship Id="rId401" Type="http://schemas.openxmlformats.org/officeDocument/2006/relationships/hyperlink" Target="https://www.6laws.net/6law/law\&#22283;&#31821;&#27861;.htm" TargetMode="External"/><Relationship Id="rId485" Type="http://schemas.openxmlformats.org/officeDocument/2006/relationships/hyperlink" Target="https://www.6laws.net/6law/law\&#22823;&#27861;&#23448;&#35299;&#37323;92-n&#24180;.htm" TargetMode="External"/><Relationship Id="rId692" Type="http://schemas.openxmlformats.org/officeDocument/2006/relationships/hyperlink" Target="https://www.6laws.net/6law/law\&#22823;&#27861;&#23448;&#35299;&#37323;87-91&#24180;.htm" TargetMode="External"/><Relationship Id="rId706" Type="http://schemas.openxmlformats.org/officeDocument/2006/relationships/hyperlink" Target="https://www.6laws.net/6law/law3\&#22823;&#38520;&#22320;&#21312;&#20154;&#27665;&#36914;&#20837;&#33274;&#28771;&#22320;&#21312;&#35377;&#21487;&#36774;&#27861;.htm" TargetMode="External"/><Relationship Id="rId42" Type="http://schemas.openxmlformats.org/officeDocument/2006/relationships/hyperlink" Target="https://www.6laws.net/6law/law\&#23601;&#26989;&#26381;&#21209;&#27861;.htm" TargetMode="External"/><Relationship Id="rId138" Type="http://schemas.openxmlformats.org/officeDocument/2006/relationships/hyperlink" Target="https://www.6laws.net/6law/law\&#22823;&#27861;&#23448;&#35299;&#37323;61-78&#24180;.htm" TargetMode="External"/><Relationship Id="rId345" Type="http://schemas.openxmlformats.org/officeDocument/2006/relationships/image" Target="media/image15.emf"/><Relationship Id="rId552" Type="http://schemas.openxmlformats.org/officeDocument/2006/relationships/hyperlink" Target="https://www.6laws.net/6law/law\&#22823;&#27861;&#23448;&#35299;&#37323;92-n&#24180;.htm" TargetMode="External"/><Relationship Id="rId191" Type="http://schemas.openxmlformats.org/officeDocument/2006/relationships/hyperlink" Target="https://www.6laws.net/6law/law\&#20659;&#26579;&#30149;&#38450;&#27835;&#27861;.htm" TargetMode="External"/><Relationship Id="rId205" Type="http://schemas.openxmlformats.org/officeDocument/2006/relationships/hyperlink" Target="https://www.6laws.net/6law/law\&#25010;&#27861;.htm" TargetMode="External"/><Relationship Id="rId412" Type="http://schemas.openxmlformats.org/officeDocument/2006/relationships/hyperlink" Target="https://www.6laws.net/6law/law\&#20837;&#20986;&#22283;&#21450;&#31227;&#27665;&#27861;.htm" TargetMode="External"/><Relationship Id="rId289" Type="http://schemas.openxmlformats.org/officeDocument/2006/relationships/hyperlink" Target="https://www.6laws.net/6law/law3\&#22806;&#22283;&#20154;&#20572;&#30041;&#23621;&#30041;&#21450;&#27704;&#20037;&#23621;&#30041;&#36774;&#27861;.htm" TargetMode="External"/><Relationship Id="rId496" Type="http://schemas.openxmlformats.org/officeDocument/2006/relationships/hyperlink" Target="https://www.6laws.net/6law/law\&#22823;&#27861;&#23448;&#35299;&#37323;92-n&#24180;.htm" TargetMode="External"/><Relationship Id="rId717" Type="http://schemas.openxmlformats.org/officeDocument/2006/relationships/hyperlink" Target="https://www.6laws.net/6law/law3\&#22823;&#38520;&#22320;&#21312;&#20154;&#27665;&#36914;&#20837;&#33274;&#28771;&#22320;&#21312;&#35377;&#21487;&#36774;&#27861;.htm" TargetMode="External"/><Relationship Id="rId53" Type="http://schemas.openxmlformats.org/officeDocument/2006/relationships/hyperlink" Target="https://www.6laws.net/6law/law\&#20840;&#27665;&#20581;&#24247;&#20445;&#38570;&#27861;.htm" TargetMode="External"/><Relationship Id="rId149" Type="http://schemas.openxmlformats.org/officeDocument/2006/relationships/hyperlink" Target="https://www.6laws.net/6law/law\&#27085;&#30770;&#24392;&#34277;&#20992;&#26800;&#31649;&#21046;&#26781;&#20363;.htm" TargetMode="External"/><Relationship Id="rId356" Type="http://schemas.openxmlformats.org/officeDocument/2006/relationships/hyperlink" Target="https://www.6laws.net/6law/law3\&#22806;&#22283;&#20154;&#24478;&#20107;&#23601;&#26989;&#26381;&#21209;&#27861;&#31532;&#22235;&#21313;&#20845;&#26781;&#31532;&#19968;&#38917;&#31532;&#19968;&#27454;&#33267;&#31532;&#20845;&#27454;&#24037;&#20316;&#36039;&#26684;&#21450;&#23529;&#26597;&#27161;&#28310;.htm" TargetMode="External"/><Relationship Id="rId563" Type="http://schemas.openxmlformats.org/officeDocument/2006/relationships/hyperlink" Target="https://www.6laws.net/6law/law\&#25010;&#27861;.htm" TargetMode="External"/><Relationship Id="rId770" Type="http://schemas.openxmlformats.org/officeDocument/2006/relationships/hyperlink" Target="https://www.6laws.net/" TargetMode="External"/><Relationship Id="rId216" Type="http://schemas.openxmlformats.org/officeDocument/2006/relationships/hyperlink" Target="https://www.6laws.net/6law/law\&#20837;&#20986;&#22283;&#21450;&#31227;&#27665;&#27861;.htm" TargetMode="External"/><Relationship Id="rId423" Type="http://schemas.openxmlformats.org/officeDocument/2006/relationships/hyperlink" Target="https://www.6laws.net/6law/law\&#22283;&#31821;&#27861;.htm" TargetMode="External"/><Relationship Id="rId630" Type="http://schemas.openxmlformats.org/officeDocument/2006/relationships/hyperlink" Target="https://www.6laws.net/6law/law\&#22823;&#27861;&#23448;&#35299;&#37323;92-n&#24180;.htm" TargetMode="External"/><Relationship Id="rId728" Type="http://schemas.openxmlformats.org/officeDocument/2006/relationships/image" Target="media/image19.emf"/><Relationship Id="rId64" Type="http://schemas.openxmlformats.org/officeDocument/2006/relationships/hyperlink" Target="https://www.6laws.net/6law/law\&#36523;&#24515;&#38556;&#31001;&#32773;&#27402;&#21033;&#20844;&#32004;&#26045;&#34892;&#27861;.htm" TargetMode="External"/><Relationship Id="rId367" Type="http://schemas.openxmlformats.org/officeDocument/2006/relationships/hyperlink" Target="https://www.6laws.net/6law/law\&#23601;&#26989;&#26381;&#21209;&#27861;.htm" TargetMode="External"/><Relationship Id="rId574" Type="http://schemas.openxmlformats.org/officeDocument/2006/relationships/hyperlink" Target="https://www.6laws.net/6law/law\&#22823;&#27861;&#23448;&#35299;&#37323;92-n&#24180;.htm" TargetMode="External"/><Relationship Id="rId227" Type="http://schemas.openxmlformats.org/officeDocument/2006/relationships/hyperlink" Target="https://www.6laws.net/6law/law\&#25010;&#27861;.htm" TargetMode="External"/><Relationship Id="rId781" Type="http://schemas.openxmlformats.org/officeDocument/2006/relationships/hyperlink" Target="http://www.moi.gov.tw/chi/chi_faq/faq_detail.aspx?t=2&amp;n=4646&amp;p=42&amp;f=63" TargetMode="External"/><Relationship Id="rId434" Type="http://schemas.openxmlformats.org/officeDocument/2006/relationships/hyperlink" Target="https://www.6laws.net/6law/law\&#33274;&#28771;&#22320;&#21312;&#33287;&#22823;&#38520;&#22320;&#21312;&#20154;&#27665;&#38364;&#20418;&#26781;&#20363;.htm" TargetMode="External"/><Relationship Id="rId641" Type="http://schemas.openxmlformats.org/officeDocument/2006/relationships/hyperlink" Target="https://www.6laws.net/6law/law\&#22823;&#27861;&#23448;&#35299;&#37323;92-n&#24180;.htm" TargetMode="External"/><Relationship Id="rId739" Type="http://schemas.openxmlformats.org/officeDocument/2006/relationships/hyperlink" Target="https://www.6laws.net/6law/law\&#22823;&#27861;&#23448;&#35299;&#37323;92-n&#24180;.htm" TargetMode="External"/><Relationship Id="rId280" Type="http://schemas.openxmlformats.org/officeDocument/2006/relationships/hyperlink" Target="http://www.immigration.govt.nz/" TargetMode="External"/><Relationship Id="rId501" Type="http://schemas.openxmlformats.org/officeDocument/2006/relationships/hyperlink" Target="https://www.6laws.net/6law/law\&#25010;&#27861;.htm" TargetMode="External"/><Relationship Id="rId75" Type="http://schemas.openxmlformats.org/officeDocument/2006/relationships/hyperlink" Target="https://www.6laws.net/6law/law\&#25010;&#27861;.htm" TargetMode="External"/><Relationship Id="rId140" Type="http://schemas.openxmlformats.org/officeDocument/2006/relationships/hyperlink" Target="https://www.6laws.net/6law/law\&#22823;&#27861;&#23448;&#35299;&#37323;79-86&#24180;.htm" TargetMode="External"/><Relationship Id="rId378" Type="http://schemas.openxmlformats.org/officeDocument/2006/relationships/hyperlink" Target="https://www.6laws.net/6law/law\&#22283;&#31821;&#27861;.htm" TargetMode="External"/><Relationship Id="rId585" Type="http://schemas.openxmlformats.org/officeDocument/2006/relationships/hyperlink" Target="https://www.6laws.net/6law/law\&#22823;&#27861;&#23448;&#35299;&#37323;92-n&#24180;.htm" TargetMode="External"/><Relationship Id="rId792" Type="http://schemas.openxmlformats.org/officeDocument/2006/relationships/hyperlink" Target="https://udn.com/news/story/7314/2608930" TargetMode="External"/><Relationship Id="rId806" Type="http://schemas.openxmlformats.org/officeDocument/2006/relationships/hyperlink" Target="http://www.taiwanncf.org.tw/ttforum/09/09-01.pdf" TargetMode="External"/><Relationship Id="rId6" Type="http://schemas.openxmlformats.org/officeDocument/2006/relationships/footnotes" Target="footnotes.xml"/><Relationship Id="rId238" Type="http://schemas.openxmlformats.org/officeDocument/2006/relationships/hyperlink" Target="https://www.6laws.net/6law/law\&#25010;&#27861;.htm" TargetMode="External"/><Relationship Id="rId445" Type="http://schemas.openxmlformats.org/officeDocument/2006/relationships/hyperlink" Target="https://www.6laws.net/6law/law\&#22283;&#31821;&#27861;.htm" TargetMode="External"/><Relationship Id="rId652" Type="http://schemas.openxmlformats.org/officeDocument/2006/relationships/hyperlink" Target="https://www.6laws.net/6law/law\&#25010;&#27861;.htm" TargetMode="External"/><Relationship Id="rId291" Type="http://schemas.openxmlformats.org/officeDocument/2006/relationships/hyperlink" Target="https://www.6laws.net/6law/law\&#20837;&#20986;&#22283;&#21450;&#31227;&#27665;&#27861;.htm" TargetMode="External"/><Relationship Id="rId305" Type="http://schemas.openxmlformats.org/officeDocument/2006/relationships/hyperlink" Target="https://www.6laws.net/6law/law\&#33274;&#28771;&#22320;&#21312;&#33287;&#22823;&#38520;&#22320;&#21312;&#20154;&#27665;&#38364;&#20418;&#26781;&#20363;.htm" TargetMode="External"/><Relationship Id="rId512" Type="http://schemas.openxmlformats.org/officeDocument/2006/relationships/hyperlink" Target="https://www.6laws.net/6law/law\&#21009;&#20107;&#35380;&#35359;&#27861;.htm" TargetMode="External"/><Relationship Id="rId86" Type="http://schemas.openxmlformats.org/officeDocument/2006/relationships/hyperlink" Target="https://www.6laws.net/6law/law\&#25010;&#27861;.htm" TargetMode="External"/><Relationship Id="rId151" Type="http://schemas.openxmlformats.org/officeDocument/2006/relationships/hyperlink" Target="https://www.6laws.net/6law/law\&#25106;&#22196;&#26178;&#26399;&#20154;&#27665;&#21463;&#25613;&#27402;&#21033;&#22238;&#24489;&#26781;&#20363;.htm" TargetMode="External"/><Relationship Id="rId389" Type="http://schemas.openxmlformats.org/officeDocument/2006/relationships/hyperlink" Target="https://www.6laws.net/6law/law\&#22283;&#31821;&#27861;.htm" TargetMode="External"/><Relationship Id="rId596" Type="http://schemas.openxmlformats.org/officeDocument/2006/relationships/hyperlink" Target="https://www.6laws.net/6law/law\&#22823;&#27861;&#23448;&#35299;&#37323;92-n&#24180;.htm" TargetMode="External"/><Relationship Id="rId817" Type="http://schemas.openxmlformats.org/officeDocument/2006/relationships/hyperlink" Target="https://www.sunnyswa.org.tw/%207829/%E3%80%8C%E9%A7%90%E5%8F%B0%E5%A4%96%E4%BA%A4%E5%AE%98%E5%90%8C%E5%BF%97%E4%BC%B4%E4%BE%B6%EF%BC%8C%E6%88%91%E7%99%BC%E5%AE%B6%E5%B1%AC%E7%B0%BD%E8%AD%89%E3%80%8D" TargetMode="External"/><Relationship Id="rId249" Type="http://schemas.openxmlformats.org/officeDocument/2006/relationships/hyperlink" Target="https://www.6laws.net/6law/law\&#25010;&#27861;.htm" TargetMode="External"/><Relationship Id="rId456" Type="http://schemas.openxmlformats.org/officeDocument/2006/relationships/hyperlink" Target="https://www.6laws.net/6law/law2\&#19990;&#30028;&#20154;&#27402;&#23459;&#35328;.htm" TargetMode="External"/><Relationship Id="rId663" Type="http://schemas.openxmlformats.org/officeDocument/2006/relationships/hyperlink" Target="https://www.6laws.net/6law/law\&#39321;&#28207;&#28595;&#38272;&#38364;&#20418;&#26781;&#20363;.htm" TargetMode="External"/><Relationship Id="rId13" Type="http://schemas.openxmlformats.org/officeDocument/2006/relationships/image" Target="media/image5.jpeg"/><Relationship Id="rId109" Type="http://schemas.openxmlformats.org/officeDocument/2006/relationships/hyperlink" Target="https://www.6laws.net/6law/law\&#25010;&#27861;.htm" TargetMode="External"/><Relationship Id="rId316" Type="http://schemas.openxmlformats.org/officeDocument/2006/relationships/hyperlink" Target="https://www.6laws.net/6law/law\&#22806;&#22283;&#23560;&#26989;&#20154;&#25165;&#24310;&#25900;&#21450;&#20721;&#29992;&#27861;.htm" TargetMode="External"/><Relationship Id="rId523" Type="http://schemas.openxmlformats.org/officeDocument/2006/relationships/hyperlink" Target="https://www.6laws.net/6law/law\&#22823;&#27861;&#23448;&#35299;&#37323;92-n&#24180;.htm" TargetMode="External"/><Relationship Id="rId97" Type="http://schemas.openxmlformats.org/officeDocument/2006/relationships/hyperlink" Target="https://www.6laws.net/6law/law\&#22806;&#22283;&#23560;&#26989;&#20154;&#25165;&#24310;&#25900;&#21450;&#20721;&#29992;&#27861;.htm" TargetMode="External"/><Relationship Id="rId730" Type="http://schemas.openxmlformats.org/officeDocument/2006/relationships/hyperlink" Target="https://www.6laws.net/6law/law\&#20844;&#27665;&#33287;&#25919;&#27835;&#27402;&#21033;&#22283;&#38555;&#20844;&#32004;&#21450;&#32147;&#28639;&#31038;&#26371;&#25991;&#21270;&#27402;&#21033;&#22283;&#38555;&#20844;&#32004;&#26045;&#34892;&#27861;.htm" TargetMode="External"/><Relationship Id="rId828" Type="http://schemas.openxmlformats.org/officeDocument/2006/relationships/hyperlink" Target="http://www.ivotenyc.org/?page_id=1189" TargetMode="External"/><Relationship Id="rId162" Type="http://schemas.openxmlformats.org/officeDocument/2006/relationships/hyperlink" Target="https://www.6laws.net/6law/law\&#27602;&#21697;&#21361;&#23475;&#38450;&#21046;&#26781;&#20363;.htm" TargetMode="External"/><Relationship Id="rId467" Type="http://schemas.openxmlformats.org/officeDocument/2006/relationships/hyperlink" Target="https://www.6laws.net/6law/law2\&#20844;&#27665;&#33287;&#25919;&#27835;&#27402;&#21033;&#22283;&#38555;&#20844;&#32004;.htm" TargetMode="External"/><Relationship Id="rId271" Type="http://schemas.openxmlformats.org/officeDocument/2006/relationships/hyperlink" Target="https://www.6laws.net/6law/law\&#25010;&#27861;.htm" TargetMode="External"/><Relationship Id="rId674" Type="http://schemas.openxmlformats.org/officeDocument/2006/relationships/hyperlink" Target="https://www.6laws.net/6law/law\&#33274;&#28771;&#22320;&#21312;&#33287;&#22823;&#38520;&#22320;&#21312;&#20154;&#27665;&#38364;&#20418;&#26781;&#20363;.htm" TargetMode="External"/><Relationship Id="rId24" Type="http://schemas.openxmlformats.org/officeDocument/2006/relationships/hyperlink" Target="https://www.6laws.net/6law/law\&#22283;&#31821;&#27861;.htm" TargetMode="External"/><Relationship Id="rId66" Type="http://schemas.openxmlformats.org/officeDocument/2006/relationships/hyperlink" Target="https://www.6laws.net/6law/law\&#20818;&#31461;&#27402;&#21033;&#20844;&#32004;&#26045;&#34892;&#27861;.htm" TargetMode="External"/><Relationship Id="rId131" Type="http://schemas.openxmlformats.org/officeDocument/2006/relationships/hyperlink" Target="https://www.6laws.net/6law/law\&#25010;&#27861;.htm" TargetMode="External"/><Relationship Id="rId327" Type="http://schemas.openxmlformats.org/officeDocument/2006/relationships/hyperlink" Target="https://www.6laws.net/6law/law/&#20837;&#20986;&#22283;&#21450;&#31227;&#27665;&#27861;.htm" TargetMode="External"/><Relationship Id="rId369" Type="http://schemas.openxmlformats.org/officeDocument/2006/relationships/hyperlink" Target="https://www.6laws.net/6law/law\&#22806;&#22283;&#23560;&#26989;&#20154;&#25165;&#24310;&#25900;&#21450;&#20721;&#29992;&#27861;.htm" TargetMode="External"/><Relationship Id="rId534" Type="http://schemas.openxmlformats.org/officeDocument/2006/relationships/hyperlink" Target="https://www.6laws.net/6law/law\&#22823;&#27861;&#23448;&#35299;&#37323;92-n&#24180;.htm" TargetMode="External"/><Relationship Id="rId576" Type="http://schemas.openxmlformats.org/officeDocument/2006/relationships/hyperlink" Target="https://www.6laws.net/6law/law\&#22823;&#27861;&#23448;&#35299;&#37323;92-n&#24180;.htm" TargetMode="External"/><Relationship Id="rId741" Type="http://schemas.openxmlformats.org/officeDocument/2006/relationships/hyperlink" Target="https://www.6laws.net/6law/law\&#22823;&#27861;&#23448;&#35299;&#37323;92-n&#24180;.htm" TargetMode="External"/><Relationship Id="rId783" Type="http://schemas.openxmlformats.org/officeDocument/2006/relationships/hyperlink" Target="http://www.immigration.gov.tw/lp.asp?ctNode=29699&amp;CtUnit=16434&amp;BaseDSD=7&amp;mp=1" TargetMode="External"/><Relationship Id="rId839" Type="http://schemas.openxmlformats.org/officeDocument/2006/relationships/footer" Target="footer1.xml"/><Relationship Id="rId173" Type="http://schemas.openxmlformats.org/officeDocument/2006/relationships/hyperlink" Target="https://www.6laws.net/6law/law\&#22823;&#27861;&#23448;&#35299;&#37323;92-n&#24180;.htm" TargetMode="External"/><Relationship Id="rId229" Type="http://schemas.openxmlformats.org/officeDocument/2006/relationships/hyperlink" Target="https://www.6laws.net/6law/law\&#22823;&#27861;&#23448;&#35299;&#37323;92-n&#24180;.htm" TargetMode="External"/><Relationship Id="rId380" Type="http://schemas.openxmlformats.org/officeDocument/2006/relationships/hyperlink" Target="https://www.6laws.net/6law/law\&#22283;&#31821;&#27861;.htm" TargetMode="External"/><Relationship Id="rId436" Type="http://schemas.openxmlformats.org/officeDocument/2006/relationships/hyperlink" Target="https://www.6laws.net/6law/law\&#22283;&#31821;&#27861;.htm" TargetMode="External"/><Relationship Id="rId601" Type="http://schemas.openxmlformats.org/officeDocument/2006/relationships/hyperlink" Target="https://www.6laws.net/6law/law\&#25010;&#27861;.htm" TargetMode="External"/><Relationship Id="rId643" Type="http://schemas.openxmlformats.org/officeDocument/2006/relationships/hyperlink" Target="https://www.6laws.net/6law/law\&#22823;&#27861;&#23448;&#35299;&#37323;92-n&#24180;.htm" TargetMode="External"/><Relationship Id="rId240" Type="http://schemas.openxmlformats.org/officeDocument/2006/relationships/hyperlink" Target="https://www.6laws.net/6law/law\&#20837;&#20986;&#22283;&#21450;&#31227;&#27665;&#27861;.htm" TargetMode="External"/><Relationship Id="rId478" Type="http://schemas.openxmlformats.org/officeDocument/2006/relationships/hyperlink" Target="https://www.6laws.net/6law/law\&#22823;&#27861;&#23448;&#35299;&#37323;92-n&#24180;.htm" TargetMode="External"/><Relationship Id="rId685" Type="http://schemas.openxmlformats.org/officeDocument/2006/relationships/hyperlink" Target="https://www.6laws.net/6law/law\&#21496;&#27861;&#38498;&#22823;&#27861;&#23448;&#23529;&#29702;&#26696;&#20214;&#27861;.htm" TargetMode="External"/><Relationship Id="rId35" Type="http://schemas.openxmlformats.org/officeDocument/2006/relationships/hyperlink" Target="https://www.6laws.net/6law/law3\&#22823;&#38520;&#22320;&#21312;&#20154;&#27665;&#36914;&#20837;&#33274;&#28771;&#22320;&#21312;&#35377;&#21487;&#36774;&#27861;.htm" TargetMode="External"/><Relationship Id="rId77" Type="http://schemas.openxmlformats.org/officeDocument/2006/relationships/hyperlink" Target="https://www.6laws.net/6law/law\&#25010;&#27861;.htm" TargetMode="External"/><Relationship Id="rId100" Type="http://schemas.openxmlformats.org/officeDocument/2006/relationships/hyperlink" Target="https://www.6laws.net/6law/law\&#25010;&#27861;.htm" TargetMode="External"/><Relationship Id="rId282" Type="http://schemas.openxmlformats.org/officeDocument/2006/relationships/hyperlink" Target="https://www.6laws.net/6law/law3\&#22806;&#22283;&#20154;&#20572;&#30041;&#23621;&#30041;&#21450;&#27704;&#20037;&#23621;&#30041;&#36774;&#27861;.htm" TargetMode="External"/><Relationship Id="rId338" Type="http://schemas.openxmlformats.org/officeDocument/2006/relationships/hyperlink" Target="https://www.6laws.net/6law/law\&#35036;&#32722;&#21450;&#36914;&#20462;&#25945;&#32946;&#27861;.htm" TargetMode="External"/><Relationship Id="rId503" Type="http://schemas.openxmlformats.org/officeDocument/2006/relationships/hyperlink" Target="https://www.6laws.net/6law/law\&#25010;&#27861;.htm" TargetMode="External"/><Relationship Id="rId545" Type="http://schemas.openxmlformats.org/officeDocument/2006/relationships/hyperlink" Target="https://www.6laws.net/6law/law\&#22823;&#27861;&#23448;&#35299;&#37323;92-n&#24180;.htm" TargetMode="External"/><Relationship Id="rId587" Type="http://schemas.openxmlformats.org/officeDocument/2006/relationships/hyperlink" Target="https://www.6laws.net/6law/law\&#22823;&#27861;&#23448;&#35299;&#37323;92-n&#24180;.htm" TargetMode="External"/><Relationship Id="rId710" Type="http://schemas.openxmlformats.org/officeDocument/2006/relationships/hyperlink" Target="https://www.6laws.net/6law/law3\&#22823;&#38520;&#22320;&#21312;&#20154;&#27665;&#22312;&#33274;&#28771;&#22320;&#21312;&#20381;&#35242;&#23621;&#30041;&#38263;&#26399;&#23621;&#30041;&#25110;&#23450;&#23621;&#35377;&#21487;&#36774;&#27861;.htm" TargetMode="External"/><Relationship Id="rId752" Type="http://schemas.openxmlformats.org/officeDocument/2006/relationships/hyperlink" Target="https://www.6laws.net/6law/law2\&#20844;&#27665;&#33287;&#25919;&#27835;&#27402;&#21033;&#22283;&#38555;&#20844;&#32004;.htm" TargetMode="External"/><Relationship Id="rId808" Type="http://schemas.openxmlformats.org/officeDocument/2006/relationships/hyperlink" Target="https://www.npf.org.tw/printfriendly/18196" TargetMode="External"/><Relationship Id="rId8" Type="http://schemas.openxmlformats.org/officeDocument/2006/relationships/hyperlink" Target="https://www.koko.url.tw/" TargetMode="External"/><Relationship Id="rId142" Type="http://schemas.openxmlformats.org/officeDocument/2006/relationships/hyperlink" Target="https://www.6laws.net/6law/law\&#22823;&#27861;&#23448;&#35299;&#37323;79-86&#24180;.htm" TargetMode="External"/><Relationship Id="rId184" Type="http://schemas.openxmlformats.org/officeDocument/2006/relationships/hyperlink" Target="https://www.6laws.net/6law/law\&#27085;&#30770;&#24392;&#34277;&#20992;&#26800;&#31649;&#21046;&#26781;&#20363;.htm" TargetMode="External"/><Relationship Id="rId391" Type="http://schemas.openxmlformats.org/officeDocument/2006/relationships/hyperlink" Target="https://www.6laws.net/6law/law\&#22283;&#31821;&#27861;.htm" TargetMode="External"/><Relationship Id="rId405" Type="http://schemas.openxmlformats.org/officeDocument/2006/relationships/hyperlink" Target="https://www.6laws.net/6law/law\&#22283;&#31821;&#27861;.htm" TargetMode="External"/><Relationship Id="rId447" Type="http://schemas.openxmlformats.org/officeDocument/2006/relationships/hyperlink" Target="https://www.6laws.net/6law/law3\&#22823;&#38520;&#22320;&#21312;&#20154;&#27665;&#22312;&#33274;&#28771;&#22320;&#21312;&#20381;&#35242;&#23621;&#30041;&#38263;&#26399;&#23621;&#30041;&#25110;&#23450;&#23621;&#35377;&#21487;&#36774;&#27861;.htm" TargetMode="External"/><Relationship Id="rId612" Type="http://schemas.openxmlformats.org/officeDocument/2006/relationships/hyperlink" Target="https://www.6laws.net/6law/law\&#25010;&#27861;.htm" TargetMode="External"/><Relationship Id="rId794" Type="http://schemas.openxmlformats.org/officeDocument/2006/relationships/hyperlink" Target="http://www.chinatimes.com/newspapers/20171210000284-260108" TargetMode="External"/><Relationship Id="rId251" Type="http://schemas.openxmlformats.org/officeDocument/2006/relationships/hyperlink" Target="https://www.6laws.net/6law/law\&#22823;&#27861;&#23448;&#35299;&#37323;92-n&#24180;.htm" TargetMode="External"/><Relationship Id="rId489" Type="http://schemas.openxmlformats.org/officeDocument/2006/relationships/hyperlink" Target="https://www.6laws.net/6law/law\&#22823;&#27861;&#23448;&#35299;&#37323;92-n&#24180;.htm" TargetMode="External"/><Relationship Id="rId654" Type="http://schemas.openxmlformats.org/officeDocument/2006/relationships/hyperlink" Target="https://www.6laws.net/6law/law\&#34892;&#25919;&#31243;&#24207;&#27861;.htm" TargetMode="External"/><Relationship Id="rId696" Type="http://schemas.openxmlformats.org/officeDocument/2006/relationships/hyperlink" Target="https://www.6laws.net/6law/law\&#20013;&#33775;&#27665;&#22283;&#25010;&#27861;&#22686;&#20462;&#26781;&#25991;.htm" TargetMode="External"/><Relationship Id="rId46" Type="http://schemas.openxmlformats.org/officeDocument/2006/relationships/hyperlink" Target="https://www.6laws.net/6law/law\&#23601;&#26989;&#26381;&#21209;&#27861;.htm" TargetMode="External"/><Relationship Id="rId293" Type="http://schemas.openxmlformats.org/officeDocument/2006/relationships/hyperlink" Target="https://www.6laws.net/6law/law\&#20837;&#20986;&#22283;&#21450;&#31227;&#27665;&#27861;.htm" TargetMode="External"/><Relationship Id="rId307" Type="http://schemas.openxmlformats.org/officeDocument/2006/relationships/hyperlink" Target="https://www.6laws.net/6law/law3/&#20837;&#20986;&#22283;&#21450;&#31227;&#27665;&#26696;&#20214;&#23529;&#26597;&#26371;&#35373;&#32622;&#35201;&#40670;.htm" TargetMode="External"/><Relationship Id="rId349" Type="http://schemas.openxmlformats.org/officeDocument/2006/relationships/hyperlink" Target="https://www.6laws.net/6law/law\&#20840;&#27665;&#20581;&#24247;&#20445;&#38570;&#27861;.htm" TargetMode="External"/><Relationship Id="rId514" Type="http://schemas.openxmlformats.org/officeDocument/2006/relationships/hyperlink" Target="https://www.6laws.net/6law/law\&#36986;&#29986;&#21450;&#36104;&#33287;&#31237;&#27861;.htm" TargetMode="External"/><Relationship Id="rId556" Type="http://schemas.openxmlformats.org/officeDocument/2006/relationships/hyperlink" Target="https://www.6laws.net/6law/law\&#25010;&#27861;.htm" TargetMode="External"/><Relationship Id="rId721" Type="http://schemas.openxmlformats.org/officeDocument/2006/relationships/hyperlink" Target="https://www.6laws.net/6law/law\&#33274;&#28771;&#22320;&#21312;&#33287;&#22823;&#38520;&#22320;&#21312;&#20154;&#27665;&#38364;&#20418;&#26781;&#20363;.htm" TargetMode="External"/><Relationship Id="rId763" Type="http://schemas.openxmlformats.org/officeDocument/2006/relationships/hyperlink" Target="https://www.6laws.net/" TargetMode="External"/><Relationship Id="rId88" Type="http://schemas.openxmlformats.org/officeDocument/2006/relationships/hyperlink" Target="https://www.6laws.net/6law/law\&#25010;&#27861;.htm" TargetMode="External"/><Relationship Id="rId111" Type="http://schemas.openxmlformats.org/officeDocument/2006/relationships/hyperlink" Target="https://www.6laws.net/6law/law\&#25010;&#27861;.htm" TargetMode="External"/><Relationship Id="rId153" Type="http://schemas.openxmlformats.org/officeDocument/2006/relationships/hyperlink" Target="https://www.6laws.net/6law/law\&#20900;&#29508;&#36064;&#20767;&#27861;.htm" TargetMode="External"/><Relationship Id="rId195" Type="http://schemas.openxmlformats.org/officeDocument/2006/relationships/hyperlink" Target="https://www.6laws.net/6law/law\&#22823;&#27861;&#23448;&#35299;&#37323;92-n&#24180;.htm" TargetMode="External"/><Relationship Id="rId209" Type="http://schemas.openxmlformats.org/officeDocument/2006/relationships/hyperlink" Target="https://www.6laws.net/6law/law\&#20837;&#20986;&#22283;&#21450;&#31227;&#27665;&#27861;.htm" TargetMode="External"/><Relationship Id="rId360" Type="http://schemas.openxmlformats.org/officeDocument/2006/relationships/hyperlink" Target="https://www.6laws.net/6law/law\&#20837;&#20986;&#22283;&#21450;&#31227;&#27665;&#27861;.htm" TargetMode="External"/><Relationship Id="rId416" Type="http://schemas.openxmlformats.org/officeDocument/2006/relationships/hyperlink" Target="https://www.6laws.net/6law/law\&#20837;&#20986;&#22283;&#21450;&#31227;&#27665;&#27861;.htm" TargetMode="External"/><Relationship Id="rId598" Type="http://schemas.openxmlformats.org/officeDocument/2006/relationships/hyperlink" Target="https://www.6laws.net/6law/law\&#25010;&#27861;.htm" TargetMode="External"/><Relationship Id="rId819" Type="http://schemas.openxmlformats.org/officeDocument/2006/relationships/hyperlink" Target="https://udn.com/news/story/11316/2830062" TargetMode="External"/><Relationship Id="rId220" Type="http://schemas.openxmlformats.org/officeDocument/2006/relationships/hyperlink" Target="https://www.6laws.net/6law/law\&#22823;&#27861;&#23448;&#35299;&#37323;92-n&#24180;.htm" TargetMode="External"/><Relationship Id="rId458" Type="http://schemas.openxmlformats.org/officeDocument/2006/relationships/hyperlink" Target="https://www.6laws.net/6law/law2\&#20844;&#27665;&#33287;&#25919;&#27835;&#27402;&#21033;&#22283;&#38555;&#20844;&#32004;.htm" TargetMode="External"/><Relationship Id="rId623" Type="http://schemas.openxmlformats.org/officeDocument/2006/relationships/hyperlink" Target="https://www.6laws.net/6law/law\&#22823;&#27861;&#23448;&#35299;&#37323;92-n&#24180;.htm" TargetMode="External"/><Relationship Id="rId665" Type="http://schemas.openxmlformats.org/officeDocument/2006/relationships/hyperlink" Target="https://www.6laws.net/6law/law\&#22823;&#27861;&#23448;&#35299;&#37323;92-n&#24180;.htm" TargetMode="External"/><Relationship Id="rId830" Type="http://schemas.openxmlformats.org/officeDocument/2006/relationships/hyperlink" Target="http://www.government.se/contentassets/b055a941e7a247348f1acf6ade2fd876/swedish-integration-policy-fact-sheet-in-english" TargetMode="External"/><Relationship Id="rId15" Type="http://schemas.openxmlformats.org/officeDocument/2006/relationships/image" Target="media/image7.jpeg"/><Relationship Id="rId57" Type="http://schemas.openxmlformats.org/officeDocument/2006/relationships/hyperlink" Target="https://www.6laws.net/6law/law\&#39321;&#28207;&#28595;&#38272;&#38364;&#20418;&#26781;&#20363;.htm" TargetMode="External"/><Relationship Id="rId262" Type="http://schemas.openxmlformats.org/officeDocument/2006/relationships/hyperlink" Target="https://www.6laws.net/6law/law\&#31038;&#26371;&#31209;&#24207;&#32173;&#35703;&#27861;.htm" TargetMode="External"/><Relationship Id="rId318" Type="http://schemas.openxmlformats.org/officeDocument/2006/relationships/hyperlink" Target="https://www.6laws.net/6law/law\&#22806;&#22283;&#23560;&#26989;&#20154;&#25165;&#24310;&#25900;&#21450;&#20721;&#29992;&#27861;.htm" TargetMode="External"/><Relationship Id="rId525" Type="http://schemas.openxmlformats.org/officeDocument/2006/relationships/hyperlink" Target="https://www.6laws.net/6law/law\&#22823;&#27861;&#23448;&#35299;&#37323;92-n&#24180;.htm" TargetMode="External"/><Relationship Id="rId567" Type="http://schemas.openxmlformats.org/officeDocument/2006/relationships/hyperlink" Target="https://www.6laws.net/6law/law\&#22823;&#27861;&#23448;&#35299;&#37323;92-n&#24180;.htm" TargetMode="External"/><Relationship Id="rId732" Type="http://schemas.openxmlformats.org/officeDocument/2006/relationships/hyperlink" Target="https://www.6laws.net/6law/law\&#28040;&#38500;&#23565;&#23142;&#22899;&#19968;&#20999;&#24418;&#24335;&#27495;&#35222;&#20844;&#32004;&#26045;&#34892;&#27861;.htm" TargetMode="External"/><Relationship Id="rId99" Type="http://schemas.openxmlformats.org/officeDocument/2006/relationships/hyperlink" Target="https://www.6laws.net/6law/law\&#25010;&#27861;.htm" TargetMode="External"/><Relationship Id="rId122" Type="http://schemas.openxmlformats.org/officeDocument/2006/relationships/hyperlink" Target="https://www.6laws.net/6law/law\&#25010;&#27861;.htm" TargetMode="External"/><Relationship Id="rId164" Type="http://schemas.openxmlformats.org/officeDocument/2006/relationships/hyperlink" Target="https://www.6laws.net/6law/law\&#23478;&#24237;&#26292;&#21147;&#38450;&#27835;&#27861;.htm" TargetMode="External"/><Relationship Id="rId371" Type="http://schemas.openxmlformats.org/officeDocument/2006/relationships/hyperlink" Target="https://www.6laws.net/6law/law\&#23601;&#26989;&#26381;&#21209;&#27861;.htm" TargetMode="External"/><Relationship Id="rId774" Type="http://schemas.openxmlformats.org/officeDocument/2006/relationships/hyperlink" Target="https://www.6laws.net/" TargetMode="External"/><Relationship Id="rId427" Type="http://schemas.openxmlformats.org/officeDocument/2006/relationships/hyperlink" Target="https://www.6laws.net/6law/law3\&#22806;&#22283;&#20154;&#24478;&#20107;&#23601;&#26989;&#26381;&#21209;&#27861;&#31532;&#22235;&#21313;&#20845;&#26781;&#31532;&#19968;&#38917;&#31532;&#19968;&#27454;&#33267;&#31532;&#20845;&#27454;&#24037;&#20316;&#36039;&#26684;&#21450;&#23529;&#26597;&#27161;&#28310;.htm" TargetMode="External"/><Relationship Id="rId469" Type="http://schemas.openxmlformats.org/officeDocument/2006/relationships/hyperlink" Target="https://www.6laws.net/6law/law2\&#20844;&#27665;&#33287;&#25919;&#27835;&#27402;&#21033;&#22283;&#38555;&#20844;&#32004;.htm" TargetMode="External"/><Relationship Id="rId634" Type="http://schemas.openxmlformats.org/officeDocument/2006/relationships/hyperlink" Target="https://www.6laws.net/6law/law\&#22823;&#27861;&#23448;&#35299;&#37323;92-n&#24180;.htm" TargetMode="External"/><Relationship Id="rId676" Type="http://schemas.openxmlformats.org/officeDocument/2006/relationships/hyperlink" Target="https://www.6laws.net/6law/law\&#25919;&#40680;&#27861;.htm" TargetMode="External"/><Relationship Id="rId841" Type="http://schemas.openxmlformats.org/officeDocument/2006/relationships/fontTable" Target="fontTable.xml"/><Relationship Id="rId26" Type="http://schemas.openxmlformats.org/officeDocument/2006/relationships/hyperlink" Target="https://www.6laws.net/6law/law\&#22806;&#22283;&#23560;&#26989;&#20154;&#25165;&#24310;&#25900;&#21450;&#20721;&#29992;&#27861;.htm" TargetMode="External"/><Relationship Id="rId231" Type="http://schemas.openxmlformats.org/officeDocument/2006/relationships/hyperlink" Target="https://www.6laws.net/6law/law\&#22823;&#27861;&#23448;&#35299;&#37323;92-n&#24180;.htm" TargetMode="External"/><Relationship Id="rId273" Type="http://schemas.openxmlformats.org/officeDocument/2006/relationships/hyperlink" Target="https://www.6laws.net/6law/law\&#25010;&#27861;.htm" TargetMode="External"/><Relationship Id="rId329" Type="http://schemas.openxmlformats.org/officeDocument/2006/relationships/hyperlink" Target="https://www.6laws.net/6law/law\&#23601;&#26989;&#26381;&#21209;&#27861;.htm" TargetMode="External"/><Relationship Id="rId480" Type="http://schemas.openxmlformats.org/officeDocument/2006/relationships/hyperlink" Target="https://www.6laws.net/6law/law\&#22823;&#27861;&#23448;&#35299;&#37323;92-n&#24180;.htm" TargetMode="External"/><Relationship Id="rId536" Type="http://schemas.openxmlformats.org/officeDocument/2006/relationships/hyperlink" Target="https://www.6laws.net/6law/law\&#22823;&#27861;&#23448;&#35299;&#37323;92-n&#24180;.htm" TargetMode="External"/><Relationship Id="rId701" Type="http://schemas.openxmlformats.org/officeDocument/2006/relationships/hyperlink" Target="https://www.6laws.net/6law/law\&#33274;&#28771;&#22320;&#21312;&#33287;&#22823;&#38520;&#22320;&#21312;&#20154;&#27665;&#38364;&#20418;&#26781;&#20363;.htm" TargetMode="External"/><Relationship Id="rId68" Type="http://schemas.openxmlformats.org/officeDocument/2006/relationships/hyperlink" Target="https://www.6laws.net/6law/law\&#25010;&#27861;.htm" TargetMode="External"/><Relationship Id="rId133" Type="http://schemas.openxmlformats.org/officeDocument/2006/relationships/hyperlink" Target="https://www.6laws.net/6law/law\&#25010;&#27861;.htm" TargetMode="External"/><Relationship Id="rId175" Type="http://schemas.openxmlformats.org/officeDocument/2006/relationships/hyperlink" Target="https://www.6laws.net/6law/law\&#21009;&#20107;&#35380;&#35359;&#27861;.htm" TargetMode="External"/><Relationship Id="rId340" Type="http://schemas.openxmlformats.org/officeDocument/2006/relationships/hyperlink" Target="https://www.6laws.net/6law/law\&#22806;&#22283;&#23560;&#26989;&#20154;&#25165;&#24310;&#25900;&#21450;&#20721;&#29992;&#27861;.htm" TargetMode="External"/><Relationship Id="rId578" Type="http://schemas.openxmlformats.org/officeDocument/2006/relationships/hyperlink" Target="https://www.6laws.net/6law/law\&#25010;&#27861;.htm" TargetMode="External"/><Relationship Id="rId743" Type="http://schemas.openxmlformats.org/officeDocument/2006/relationships/hyperlink" Target="https://www.6laws.net/6law/law\&#22823;&#27861;&#23448;&#35299;&#37323;92-n&#24180;.htm" TargetMode="External"/><Relationship Id="rId785" Type="http://schemas.openxmlformats.org/officeDocument/2006/relationships/hyperlink" Target="http://www.fgu.edu.tw/~wclrc/drafts/China/fang-wei-bao/%20fang-wei-bao_02.htm" TargetMode="External"/><Relationship Id="rId200" Type="http://schemas.openxmlformats.org/officeDocument/2006/relationships/hyperlink" Target="https://www.6laws.net/6law/law\&#21009;&#20107;&#35380;&#35359;&#27861;.htm" TargetMode="External"/><Relationship Id="rId382" Type="http://schemas.openxmlformats.org/officeDocument/2006/relationships/hyperlink" Target="https://www.6laws.net/6law/law\&#20837;&#20986;&#22283;&#21450;&#31227;&#27665;&#27861;.htm" TargetMode="External"/><Relationship Id="rId438" Type="http://schemas.openxmlformats.org/officeDocument/2006/relationships/hyperlink" Target="https://www.6laws.net/6law/law\&#20837;&#20986;&#22283;&#21450;&#31227;&#27665;&#27861;.htm" TargetMode="External"/><Relationship Id="rId603" Type="http://schemas.openxmlformats.org/officeDocument/2006/relationships/hyperlink" Target="https://www.6laws.net/6law/law\&#25010;&#27861;.htm" TargetMode="External"/><Relationship Id="rId645" Type="http://schemas.openxmlformats.org/officeDocument/2006/relationships/hyperlink" Target="https://www.6laws.net/6law/law\&#25010;&#27861;.htm" TargetMode="External"/><Relationship Id="rId687" Type="http://schemas.openxmlformats.org/officeDocument/2006/relationships/hyperlink" Target="https://www.6laws.net/6law/law-gb\&#21453;&#20998;&#35010;&#22283;&#23478;&#27861;.htm" TargetMode="External"/><Relationship Id="rId810" Type="http://schemas.openxmlformats.org/officeDocument/2006/relationships/hyperlink" Target="https://www.cw.com.tw/article/article.action?id=5083320" TargetMode="External"/><Relationship Id="rId242" Type="http://schemas.openxmlformats.org/officeDocument/2006/relationships/hyperlink" Target="https://www.6laws.net/6law/law\&#20837;&#20986;&#22283;&#21450;&#31227;&#27665;&#27861;.htm" TargetMode="External"/><Relationship Id="rId284" Type="http://schemas.openxmlformats.org/officeDocument/2006/relationships/hyperlink" Target="https://www.6laws.net/6law/law3/&#20837;&#20986;&#22283;&#21450;&#31227;&#27665;&#26696;&#20214;&#23529;&#26597;&#26371;&#35373;&#32622;&#35201;&#40670;.htm" TargetMode="External"/><Relationship Id="rId491" Type="http://schemas.openxmlformats.org/officeDocument/2006/relationships/hyperlink" Target="https://www.6laws.net/6law/law\&#25010;&#27861;.htm" TargetMode="External"/><Relationship Id="rId505" Type="http://schemas.openxmlformats.org/officeDocument/2006/relationships/hyperlink" Target="https://www.6laws.net/6law/law\&#33274;&#28771;&#22320;&#21312;&#33287;&#22823;&#38520;&#22320;&#21312;&#20154;&#27665;&#38364;&#20418;&#26781;&#20363;.htm" TargetMode="External"/><Relationship Id="rId712" Type="http://schemas.openxmlformats.org/officeDocument/2006/relationships/hyperlink" Target="https://www.6laws.net/6law/law3\&#22823;&#38520;&#22320;&#21312;&#23560;&#26989;&#20154;&#22763;&#20358;&#33274;&#24478;&#20107;&#23560;&#26989;&#27963;&#21205;&#35377;&#21487;&#36774;&#27861;.htm" TargetMode="External"/><Relationship Id="rId37" Type="http://schemas.openxmlformats.org/officeDocument/2006/relationships/hyperlink" Target="https://www.6laws.net/6law/law\&#22806;&#22283;&#23560;&#26989;&#20154;&#25165;&#24310;&#25900;&#21450;&#20721;&#29992;&#27861;.htm" TargetMode="External"/><Relationship Id="rId79" Type="http://schemas.openxmlformats.org/officeDocument/2006/relationships/hyperlink" Target="https://www.6laws.net/6law/law\&#22823;&#27861;&#23448;&#35299;&#37323;92-n&#24180;.htm" TargetMode="External"/><Relationship Id="rId102" Type="http://schemas.openxmlformats.org/officeDocument/2006/relationships/hyperlink" Target="https://www.6laws.net/6law/law\&#25010;&#27861;.htm" TargetMode="External"/><Relationship Id="rId144" Type="http://schemas.openxmlformats.org/officeDocument/2006/relationships/hyperlink" Target="https://www.6laws.net/6law/law\&#22823;&#27861;&#23448;&#35299;&#37323;79-86&#24180;.htm" TargetMode="External"/><Relationship Id="rId547" Type="http://schemas.openxmlformats.org/officeDocument/2006/relationships/hyperlink" Target="https://www.6laws.net/6law/law3\&#29518;&#21237;&#22303;&#22320;&#25152;&#26377;&#27402;&#20154;&#36774;&#29702;&#24066;&#22320;&#37325;&#21123;&#36774;&#27861;.htm" TargetMode="External"/><Relationship Id="rId589" Type="http://schemas.openxmlformats.org/officeDocument/2006/relationships/hyperlink" Target="https://www.6laws.net/6law/law\&#22823;&#27861;&#23448;&#35299;&#37323;92-n&#24180;.htm" TargetMode="External"/><Relationship Id="rId754" Type="http://schemas.openxmlformats.org/officeDocument/2006/relationships/hyperlink" Target="https://www.6laws.net/6law/law2\&#28040;&#38500;&#23565;&#23142;&#22899;&#19968;&#20999;&#24418;&#24335;&#27495;&#35222;&#20844;&#32004;.htm" TargetMode="External"/><Relationship Id="rId796" Type="http://schemas.openxmlformats.org/officeDocument/2006/relationships/hyperlink" Target="http://www.tagg.org.tw/DOWN/%E9%9B%9C%E8%AA%8C/5-3-%E5%85%A8%E6%96%87/5-3-1%E7%B6%9C%E8%AB%96-%E8%8C%83%E5%85%89%E4%B8%AD-p149-168.pdf" TargetMode="External"/><Relationship Id="rId90" Type="http://schemas.openxmlformats.org/officeDocument/2006/relationships/hyperlink" Target="https://www.6laws.net/6law/law\&#25010;&#27861;.htm" TargetMode="External"/><Relationship Id="rId186" Type="http://schemas.openxmlformats.org/officeDocument/2006/relationships/hyperlink" Target="https://www.6laws.net/6law/law\&#20900;&#29508;&#36064;&#20767;&#27861;.htm" TargetMode="External"/><Relationship Id="rId351" Type="http://schemas.openxmlformats.org/officeDocument/2006/relationships/hyperlink" Target="https://www.6laws.net/6law/law\&#21214;&#24037;&#20445;&#38570;&#26781;&#20363;.htm" TargetMode="External"/><Relationship Id="rId393" Type="http://schemas.openxmlformats.org/officeDocument/2006/relationships/hyperlink" Target="https://www.6laws.net/6law/law\&#22283;&#31821;&#27861;.htm" TargetMode="External"/><Relationship Id="rId407" Type="http://schemas.openxmlformats.org/officeDocument/2006/relationships/hyperlink" Target="https://www.6laws.net/6law/law\&#22283;&#31821;&#27861;.htm" TargetMode="External"/><Relationship Id="rId449" Type="http://schemas.openxmlformats.org/officeDocument/2006/relationships/hyperlink" Target="https://www.6laws.net/6law/law\&#33274;&#28771;&#22320;&#21312;&#33287;&#22823;&#38520;&#22320;&#21312;&#20154;&#27665;&#38364;&#20418;&#26781;&#20363;.htm" TargetMode="External"/><Relationship Id="rId614" Type="http://schemas.openxmlformats.org/officeDocument/2006/relationships/hyperlink" Target="https://www.6laws.net/6law/law\&#22823;&#27861;&#23448;&#35299;&#37323;92-n&#24180;.htm" TargetMode="External"/><Relationship Id="rId656" Type="http://schemas.openxmlformats.org/officeDocument/2006/relationships/hyperlink" Target="https://www.6laws.net/6law/law\&#25010;&#27861;.htm" TargetMode="External"/><Relationship Id="rId821" Type="http://schemas.openxmlformats.org/officeDocument/2006/relationships/hyperlink" Target="https://www.border.gov.au/Trav/Visa-1/189-" TargetMode="External"/><Relationship Id="rId211" Type="http://schemas.openxmlformats.org/officeDocument/2006/relationships/hyperlink" Target="https://www.6laws.net/6law/law\&#20837;&#20986;&#22283;&#21450;&#31227;&#27665;&#27861;.htm" TargetMode="External"/><Relationship Id="rId253" Type="http://schemas.openxmlformats.org/officeDocument/2006/relationships/hyperlink" Target="https://www.6laws.net/6law/law\&#25010;&#27861;.htm" TargetMode="External"/><Relationship Id="rId295" Type="http://schemas.openxmlformats.org/officeDocument/2006/relationships/hyperlink" Target="https://www.6laws.net/6law/law\&#20837;&#20986;&#22283;&#21450;&#31227;&#27665;&#27861;.htm" TargetMode="External"/><Relationship Id="rId309" Type="http://schemas.openxmlformats.org/officeDocument/2006/relationships/hyperlink" Target="https://www.6laws.net/6law/law\&#20837;&#20986;&#22283;&#21450;&#31227;&#27665;&#27861;.htm" TargetMode="External"/><Relationship Id="rId460" Type="http://schemas.openxmlformats.org/officeDocument/2006/relationships/hyperlink" Target="https://www.6laws.net/6law/law2\&#20844;&#27665;&#33287;&#25919;&#27835;&#27402;&#21033;&#22283;&#38555;&#20844;&#32004;.htm" TargetMode="External"/><Relationship Id="rId516" Type="http://schemas.openxmlformats.org/officeDocument/2006/relationships/hyperlink" Target="https://www.6laws.net/6law/law3\&#36914;&#20986;&#21475;&#36008;&#29289;&#26597;&#39511;&#28310;&#21063;.htm" TargetMode="External"/><Relationship Id="rId698" Type="http://schemas.openxmlformats.org/officeDocument/2006/relationships/hyperlink" Target="https://www.6laws.net/6law/law\&#22823;&#27861;&#23448;&#35299;&#37323;79-86&#24180;.htm" TargetMode="External"/><Relationship Id="rId48" Type="http://schemas.openxmlformats.org/officeDocument/2006/relationships/hyperlink" Target="https://www.6laws.net/6law/law\&#22806;&#22283;&#23560;&#26989;&#20154;&#25165;&#24310;&#25900;&#21450;&#20721;&#29992;&#27861;.htm" TargetMode="External"/><Relationship Id="rId113" Type="http://schemas.openxmlformats.org/officeDocument/2006/relationships/hyperlink" Target="https://www.6laws.net/6law/law\&#25010;&#27861;.htm" TargetMode="External"/><Relationship Id="rId320" Type="http://schemas.openxmlformats.org/officeDocument/2006/relationships/hyperlink" Target="https://www.6laws.net/6law/law/&#22806;&#22283;&#23560;&#26989;&#20154;&#25165;&#24310;&#25900;&#21450;&#20721;&#29992;&#27861;.htm" TargetMode="External"/><Relationship Id="rId558" Type="http://schemas.openxmlformats.org/officeDocument/2006/relationships/hyperlink" Target="https://www.6laws.net/6law/law\&#22823;&#27861;&#23448;&#35299;&#37323;92-n&#24180;.htm" TargetMode="External"/><Relationship Id="rId723" Type="http://schemas.openxmlformats.org/officeDocument/2006/relationships/hyperlink" Target="https://www.6laws.net/6law/law2\&#32173;&#20063;&#32013;&#38936;&#20107;&#38364;&#20418;&#20844;&#32004;.htm" TargetMode="External"/><Relationship Id="rId765" Type="http://schemas.openxmlformats.org/officeDocument/2006/relationships/hyperlink" Target="https://www.6laws.net/" TargetMode="External"/><Relationship Id="rId155" Type="http://schemas.openxmlformats.org/officeDocument/2006/relationships/hyperlink" Target="https://www.6laws.net/6law/law\&#27298;&#32901;&#27969;&#27667;&#26781;&#20363;.htm" TargetMode="External"/><Relationship Id="rId197" Type="http://schemas.openxmlformats.org/officeDocument/2006/relationships/hyperlink" Target="https://www.6laws.net/6law/law\&#32648;&#25276;&#27861;.htm" TargetMode="External"/><Relationship Id="rId362" Type="http://schemas.openxmlformats.org/officeDocument/2006/relationships/hyperlink" Target="https://www.6laws.net/6law/law\&#20837;&#20986;&#22283;&#21450;&#31227;&#27665;&#27861;.htm" TargetMode="External"/><Relationship Id="rId418" Type="http://schemas.openxmlformats.org/officeDocument/2006/relationships/hyperlink" Target="https://www.6laws.net/6law/law\&#20837;&#20986;&#22283;&#21450;&#31227;&#27665;&#27861;.htm" TargetMode="External"/><Relationship Id="rId625" Type="http://schemas.openxmlformats.org/officeDocument/2006/relationships/hyperlink" Target="https://www.6laws.net/6law/law\&#25010;&#27861;.htm" TargetMode="External"/><Relationship Id="rId832" Type="http://schemas.openxmlformats.org/officeDocument/2006/relationships/hyperlink" Target="https://nfap.com/wp-content/uploads/2017/10/Immigrants-and-Nobel-Prizes-1901-to-2017.NFAP-Policy-Brief.October-20171.pdf" TargetMode="External"/><Relationship Id="rId222" Type="http://schemas.openxmlformats.org/officeDocument/2006/relationships/hyperlink" Target="https://www.6laws.net/6law/law\&#22823;&#27861;&#23448;&#35299;&#37323;92-n&#24180;.htm" TargetMode="External"/><Relationship Id="rId264" Type="http://schemas.openxmlformats.org/officeDocument/2006/relationships/hyperlink" Target="https://www.6laws.net/6law/law\&#21009;&#27861;.htm" TargetMode="External"/><Relationship Id="rId471" Type="http://schemas.openxmlformats.org/officeDocument/2006/relationships/hyperlink" Target="https://www.6laws.net/6law/law\&#22823;&#27861;&#23448;&#35299;&#37323;92-n&#24180;.htm" TargetMode="External"/><Relationship Id="rId667" Type="http://schemas.openxmlformats.org/officeDocument/2006/relationships/hyperlink" Target="https://www.6laws.net/6law/law2\&#20844;&#27665;&#33287;&#25919;&#27835;&#27402;&#21033;&#22283;&#38555;&#20844;&#32004;.htm" TargetMode="External"/><Relationship Id="rId17" Type="http://schemas.openxmlformats.org/officeDocument/2006/relationships/hyperlink" Target="https://www.6laws.net/6law/law\&#22806;&#22283;&#23560;&#26989;&#20154;&#25165;&#24310;&#25900;&#21450;&#20721;&#29992;&#27861;.htm" TargetMode="External"/><Relationship Id="rId59" Type="http://schemas.openxmlformats.org/officeDocument/2006/relationships/hyperlink" Target="https://www.6laws.net/6law/law\&#23601;&#26989;&#26381;&#21209;&#27861;.htm" TargetMode="External"/><Relationship Id="rId124" Type="http://schemas.openxmlformats.org/officeDocument/2006/relationships/hyperlink" Target="https://www.6laws.net/6law/law\&#25010;&#27861;.htm" TargetMode="External"/><Relationship Id="rId527" Type="http://schemas.openxmlformats.org/officeDocument/2006/relationships/hyperlink" Target="https://www.6laws.net/6law/law\&#22823;&#27861;&#23448;&#35299;&#37323;92-n&#24180;.htm" TargetMode="External"/><Relationship Id="rId569" Type="http://schemas.openxmlformats.org/officeDocument/2006/relationships/hyperlink" Target="https://www.6laws.net/6law/law\&#25010;&#27861;.htm" TargetMode="External"/><Relationship Id="rId734" Type="http://schemas.openxmlformats.org/officeDocument/2006/relationships/hyperlink" Target="https://www.6laws.net/6law/law\&#25010;&#27861;.htm" TargetMode="External"/><Relationship Id="rId776" Type="http://schemas.openxmlformats.org/officeDocument/2006/relationships/hyperlink" Target="http://www.chinatimes.com/newspapers/20171122000891-260202" TargetMode="External"/><Relationship Id="rId70" Type="http://schemas.openxmlformats.org/officeDocument/2006/relationships/hyperlink" Target="https://www.6laws.net/6law/law\&#25010;&#27861;.htm" TargetMode="External"/><Relationship Id="rId166" Type="http://schemas.openxmlformats.org/officeDocument/2006/relationships/hyperlink" Target="https://www.6laws.net/6law/law\&#22823;&#27861;&#23448;&#35299;&#37323;92-n&#24180;.htm" TargetMode="External"/><Relationship Id="rId331" Type="http://schemas.openxmlformats.org/officeDocument/2006/relationships/hyperlink" Target="https://www.6laws.net/6law/law\&#22806;&#22283;&#23560;&#26989;&#20154;&#25165;&#24310;&#25900;&#21450;&#20721;&#29992;&#27861;.htm" TargetMode="External"/><Relationship Id="rId373" Type="http://schemas.openxmlformats.org/officeDocument/2006/relationships/hyperlink" Target="https://www.6laws.net/6law/law3\&#22806;&#22283;&#20154;&#24478;&#20107;&#23601;&#26989;&#26381;&#21209;&#27861;&#31532;&#22235;&#21313;&#20845;&#26781;&#31532;&#19968;&#38917;&#31532;&#19968;&#27454;&#33267;&#31532;&#20845;&#27454;&#24037;&#20316;&#36039;&#26684;&#21450;&#23529;&#26597;&#27161;&#28310;.htm" TargetMode="External"/><Relationship Id="rId429" Type="http://schemas.openxmlformats.org/officeDocument/2006/relationships/hyperlink" Target="https://www.6laws.net/6law/law\&#25010;&#27861;.htm" TargetMode="External"/><Relationship Id="rId580" Type="http://schemas.openxmlformats.org/officeDocument/2006/relationships/hyperlink" Target="https://www.6laws.net/6law/law\&#35686;&#23519;&#20154;&#21729;&#20154;&#20107;&#26781;&#20363;.htm" TargetMode="External"/><Relationship Id="rId636" Type="http://schemas.openxmlformats.org/officeDocument/2006/relationships/hyperlink" Target="https://www.6laws.net/6law/law\&#25010;&#27861;.htm" TargetMode="External"/><Relationship Id="rId801" Type="http://schemas.openxmlformats.org/officeDocument/2006/relationships/hyperlink" Target="https://foreigntalentact.ndc.gov.tw/Content_List.aspx?n=AA24EC33DACC5CB7" TargetMode="External"/><Relationship Id="rId1" Type="http://schemas.openxmlformats.org/officeDocument/2006/relationships/customXml" Target="../customXml/item1.xml"/><Relationship Id="rId233" Type="http://schemas.openxmlformats.org/officeDocument/2006/relationships/hyperlink" Target="https://www.6laws.net/6law/law\&#22823;&#27861;&#23448;&#35299;&#37323;92-n&#24180;.htm" TargetMode="External"/><Relationship Id="rId440" Type="http://schemas.openxmlformats.org/officeDocument/2006/relationships/hyperlink" Target="https://www.6laws.net/6law/law\&#39321;&#28207;&#28595;&#38272;&#38364;&#20418;&#26781;&#20363;.htm" TargetMode="External"/><Relationship Id="rId678" Type="http://schemas.openxmlformats.org/officeDocument/2006/relationships/hyperlink" Target="https://www.6laws.net/6law/law\&#25919;&#40680;&#27861;.htm" TargetMode="External"/><Relationship Id="rId28" Type="http://schemas.openxmlformats.org/officeDocument/2006/relationships/hyperlink" Target="https://www.6laws.net/6law/law\&#22806;&#22283;&#23560;&#26989;&#20154;&#25165;&#24310;&#25900;&#21450;&#20721;&#29992;&#27861;.htm" TargetMode="External"/><Relationship Id="rId275" Type="http://schemas.openxmlformats.org/officeDocument/2006/relationships/hyperlink" Target="https://www.6laws.net/6law/law\&#25010;&#27861;.htm" TargetMode="External"/><Relationship Id="rId300" Type="http://schemas.openxmlformats.org/officeDocument/2006/relationships/hyperlink" Target="https://www.6laws.net/6law/law\&#23601;&#26989;&#26381;&#21209;&#27861;.htm" TargetMode="External"/><Relationship Id="rId482" Type="http://schemas.openxmlformats.org/officeDocument/2006/relationships/hyperlink" Target="https://www.6laws.net/6law/law\&#22823;&#27861;&#23448;&#35299;&#37323;92-n&#24180;.htm" TargetMode="External"/><Relationship Id="rId538" Type="http://schemas.openxmlformats.org/officeDocument/2006/relationships/hyperlink" Target="https://www.6laws.net/6law/law\&#22823;&#27861;&#23448;&#35299;&#37323;92-n&#24180;.htm" TargetMode="External"/><Relationship Id="rId703" Type="http://schemas.openxmlformats.org/officeDocument/2006/relationships/hyperlink" Target="https://www.6laws.net/6law/law3\&#22823;&#38520;&#22320;&#21312;&#20154;&#27665;&#22312;&#33274;&#28771;&#22320;&#21312;&#23450;&#23621;&#25110;&#23621;&#30041;&#35377;&#21487;&#36774;&#27861;.htm" TargetMode="External"/><Relationship Id="rId745" Type="http://schemas.openxmlformats.org/officeDocument/2006/relationships/hyperlink" Target="https://www.6laws.net/6law/law\&#22823;&#27861;&#23448;&#35299;&#37323;92-n&#24180;.htm" TargetMode="External"/><Relationship Id="rId81" Type="http://schemas.openxmlformats.org/officeDocument/2006/relationships/hyperlink" Target="https://www.6laws.net/6law/law\&#22823;&#27861;&#23448;&#35299;&#37323;92-n&#24180;.htm" TargetMode="External"/><Relationship Id="rId135" Type="http://schemas.openxmlformats.org/officeDocument/2006/relationships/hyperlink" Target="https://www.6laws.net/6law/law\&#25010;&#27861;.htm" TargetMode="External"/><Relationship Id="rId177" Type="http://schemas.openxmlformats.org/officeDocument/2006/relationships/hyperlink" Target="https://www.6laws.net/6law/law\&#38651;&#23376;&#36938;&#25138;&#22580;&#26989;&#31649;&#29702;&#26781;&#20363;.htm" TargetMode="External"/><Relationship Id="rId342" Type="http://schemas.openxmlformats.org/officeDocument/2006/relationships/image" Target="media/image12.emf"/><Relationship Id="rId384" Type="http://schemas.openxmlformats.org/officeDocument/2006/relationships/hyperlink" Target="https://www.6laws.net/6law/law\&#22283;&#31821;&#27861;.htm" TargetMode="External"/><Relationship Id="rId591" Type="http://schemas.openxmlformats.org/officeDocument/2006/relationships/hyperlink" Target="https://www.6laws.net/6law/law\&#25010;&#27861;.htm" TargetMode="External"/><Relationship Id="rId605" Type="http://schemas.openxmlformats.org/officeDocument/2006/relationships/hyperlink" Target="https://www.6laws.net/6law/law\&#22823;&#27861;&#23448;&#35299;&#37323;92-n&#24180;.htm" TargetMode="External"/><Relationship Id="rId787" Type="http://schemas.openxmlformats.org/officeDocument/2006/relationships/hyperlink" Target="https://www.chengte.org.tw/01/Introduction3.aspx" TargetMode="External"/><Relationship Id="rId812" Type="http://schemas.openxmlformats.org/officeDocument/2006/relationships/hyperlink" Target="https://www.cw.com.tw/article/article.action?id=5059155" TargetMode="External"/><Relationship Id="rId202" Type="http://schemas.openxmlformats.org/officeDocument/2006/relationships/hyperlink" Target="https://www.6laws.net/6law/law\&#25010;&#27861;.htm" TargetMode="External"/><Relationship Id="rId244" Type="http://schemas.openxmlformats.org/officeDocument/2006/relationships/hyperlink" Target="https://www.6laws.net/6law/law\&#25010;&#27861;.htm" TargetMode="External"/><Relationship Id="rId647" Type="http://schemas.openxmlformats.org/officeDocument/2006/relationships/hyperlink" Target="https://www.6laws.net/6law/law\&#25010;&#27861;.htm" TargetMode="External"/><Relationship Id="rId689" Type="http://schemas.openxmlformats.org/officeDocument/2006/relationships/hyperlink" Target="https://www.6laws.net/6law/law-gb\&#21453;&#20998;&#35010;&#22283;&#23478;&#27861;.htm" TargetMode="External"/><Relationship Id="rId39" Type="http://schemas.openxmlformats.org/officeDocument/2006/relationships/hyperlink" Target="https://www.6laws.net/6law/law\&#22806;&#22283;&#23560;&#26989;&#20154;&#25165;&#24310;&#25900;&#21450;&#20721;&#29992;&#27861;.htm" TargetMode="External"/><Relationship Id="rId286" Type="http://schemas.openxmlformats.org/officeDocument/2006/relationships/hyperlink" Target="https://www.6laws.net/6law/law\&#20837;&#20986;&#22283;&#21450;&#31227;&#27665;&#27861;.htm" TargetMode="External"/><Relationship Id="rId451" Type="http://schemas.openxmlformats.org/officeDocument/2006/relationships/hyperlink" Target="https://www.6laws.net/6law/law3\&#22823;&#38520;&#22320;&#21312;&#20154;&#27665;&#22312;&#33274;&#28771;&#22320;&#21312;&#23450;&#23621;&#25110;&#23621;&#30041;&#35377;&#21487;&#36774;&#27861;.htm" TargetMode="External"/><Relationship Id="rId493" Type="http://schemas.openxmlformats.org/officeDocument/2006/relationships/hyperlink" Target="https://www.6laws.net/6law/law/&#36008;&#29289;&#31237;&#26781;&#20363;.htm" TargetMode="External"/><Relationship Id="rId507" Type="http://schemas.openxmlformats.org/officeDocument/2006/relationships/hyperlink" Target="https://www.6laws.net/6law/law\&#22823;&#27861;&#23448;&#35299;&#37323;92-n&#24180;.htm" TargetMode="External"/><Relationship Id="rId549" Type="http://schemas.openxmlformats.org/officeDocument/2006/relationships/hyperlink" Target=".law3\&#29518;&#21237;&#22303;&#22320;&#25152;&#26377;&#27402;&#20154;&#36774;&#29702;&#24066;&#22320;&#37325;&#21123;&#36774;&#27861;.htm" TargetMode="External"/><Relationship Id="rId714" Type="http://schemas.openxmlformats.org/officeDocument/2006/relationships/hyperlink" Target="https://www.6laws.net/6law/law3\&#36328;&#22283;&#20225;&#26989;&#20839;&#37096;&#35519;&#21205;&#20043;&#22823;&#38520;&#22320;&#21312;&#20154;&#27665;&#30003;&#35531;&#20358;&#33274;&#26381;&#21209;&#35377;&#21487;&#36774;&#27861;.htm" TargetMode="External"/><Relationship Id="rId756" Type="http://schemas.openxmlformats.org/officeDocument/2006/relationships/hyperlink" Target="https://www.6laws.net/6law/law\&#20837;&#20986;&#22283;&#21450;&#31227;&#27665;&#27861;.htm" TargetMode="External"/><Relationship Id="rId50" Type="http://schemas.openxmlformats.org/officeDocument/2006/relationships/hyperlink" Target="https://www.6laws.net/6law/law\&#21214;&#21205;&#22522;&#28310;&#27861;docx" TargetMode="External"/><Relationship Id="rId104" Type="http://schemas.openxmlformats.org/officeDocument/2006/relationships/hyperlink" Target="https://www.6laws.net/6law/law\&#22823;&#27861;&#23448;&#35299;&#37323;61-78&#24180;.htm" TargetMode="External"/><Relationship Id="rId146" Type="http://schemas.openxmlformats.org/officeDocument/2006/relationships/hyperlink" Target="https://www.6laws.net/6law/law\&#22823;&#27861;&#23448;&#35299;&#37323;79-86&#24180;.htm" TargetMode="External"/><Relationship Id="rId188" Type="http://schemas.openxmlformats.org/officeDocument/2006/relationships/hyperlink" Target="https://www.6laws.net/6law/law\&#30435;&#29508;&#34892;&#21009;&#27861;.htm" TargetMode="External"/><Relationship Id="rId311" Type="http://schemas.openxmlformats.org/officeDocument/2006/relationships/hyperlink" Target="https://www.6laws.net/6law/law\&#20837;&#20986;&#22283;&#21450;&#31227;&#27665;&#27861;.htm" TargetMode="External"/><Relationship Id="rId353" Type="http://schemas.openxmlformats.org/officeDocument/2006/relationships/hyperlink" Target="https://www.6laws.net/6law/law3\&#22806;&#22283;&#20154;&#20572;&#30041;&#23621;&#30041;&#21450;&#27704;&#20037;&#23621;&#30041;&#36774;&#27861;.htm" TargetMode="External"/><Relationship Id="rId395" Type="http://schemas.openxmlformats.org/officeDocument/2006/relationships/hyperlink" Target="https://www.6laws.net/6law/law\&#22283;&#31821;&#27861;.htm" TargetMode="External"/><Relationship Id="rId409" Type="http://schemas.openxmlformats.org/officeDocument/2006/relationships/hyperlink" Target="https://www.6laws.net/6law/law\&#20491;&#20154;&#36039;&#26009;&#20445;&#35703;&#27861;.htm" TargetMode="External"/><Relationship Id="rId560" Type="http://schemas.openxmlformats.org/officeDocument/2006/relationships/hyperlink" Target="https://www.6laws.net/6law/law\&#25010;&#27861;.htm" TargetMode="External"/><Relationship Id="rId798" Type="http://schemas.openxmlformats.org/officeDocument/2006/relationships/hyperlink" Target="https://www.ndc.gov.tw/News_Content.aspx?n=114AAE178CD95D4C&amp;sms=DF717169EA26F1A3&amp;s=5E5A4ED7DF4A900F&amp;Create=1" TargetMode="External"/><Relationship Id="rId92" Type="http://schemas.openxmlformats.org/officeDocument/2006/relationships/hyperlink" Target="https://www.6laws.net/6law/law2\&#32147;&#28639;&#31038;&#26371;&#25991;&#21270;&#27402;&#21033;&#22283;&#38555;&#20844;&#32004;.htm" TargetMode="External"/><Relationship Id="rId213" Type="http://schemas.openxmlformats.org/officeDocument/2006/relationships/hyperlink" Target="https://www.6laws.net/6law/law\&#20837;&#20986;&#22283;&#21450;&#31227;&#27665;&#27861;.htm" TargetMode="External"/><Relationship Id="rId420" Type="http://schemas.openxmlformats.org/officeDocument/2006/relationships/hyperlink" Target="https://www.6laws.net/6law/law\&#20837;&#20986;&#22283;&#21450;&#31227;&#27665;&#27861;.htm" TargetMode="External"/><Relationship Id="rId616" Type="http://schemas.openxmlformats.org/officeDocument/2006/relationships/hyperlink" Target="https://www.6laws.net/6law/law\&#25010;&#27861;.htm" TargetMode="External"/><Relationship Id="rId658" Type="http://schemas.openxmlformats.org/officeDocument/2006/relationships/hyperlink" Target="https://www.6laws.net/6law/law\&#20154;&#27665;&#22296;&#39636;&#27861;.htm" TargetMode="External"/><Relationship Id="rId823" Type="http://schemas.openxmlformats.org/officeDocument/2006/relationships/hyperlink" Target="http://www.cities-localgovernments.org/committees/fccd/Upload/" TargetMode="External"/><Relationship Id="rId255" Type="http://schemas.openxmlformats.org/officeDocument/2006/relationships/hyperlink" Target="https://www.6laws.net/6law/law\&#25010;&#27861;.htm" TargetMode="External"/><Relationship Id="rId297" Type="http://schemas.openxmlformats.org/officeDocument/2006/relationships/hyperlink" Target="https://www.6laws.net/6law/law\&#20837;&#20986;&#22283;&#21450;&#31227;&#27665;&#27861;.htm" TargetMode="External"/><Relationship Id="rId462" Type="http://schemas.openxmlformats.org/officeDocument/2006/relationships/hyperlink" Target="https://www.6laws.net/6law/law2\&#20844;&#27665;&#33287;&#25919;&#27835;&#27402;&#21033;&#22283;&#38555;&#20844;&#32004;.htm" TargetMode="External"/><Relationship Id="rId518" Type="http://schemas.openxmlformats.org/officeDocument/2006/relationships/hyperlink" Target="https://www.6laws.net/6law/law\&#36523;&#24515;&#38556;&#31001;&#32773;&#20445;&#35703;&#27861;.htm" TargetMode="External"/><Relationship Id="rId725" Type="http://schemas.openxmlformats.org/officeDocument/2006/relationships/hyperlink" Target="https://www.6laws.net/6law/law2\&#32173;&#20063;&#32013;&#38936;&#20107;&#38364;&#20418;&#20844;&#32004;.htm" TargetMode="External"/><Relationship Id="rId115" Type="http://schemas.openxmlformats.org/officeDocument/2006/relationships/hyperlink" Target="https://www.6laws.net/6law/law\&#21009;&#20107;&#35380;&#35359;&#27861;.htm" TargetMode="External"/><Relationship Id="rId157" Type="http://schemas.openxmlformats.org/officeDocument/2006/relationships/hyperlink" Target="https://www.6laws.net/6law/law\&#35686;&#23519;&#21220;&#21209;&#26781;&#20363;.htm" TargetMode="External"/><Relationship Id="rId322" Type="http://schemas.openxmlformats.org/officeDocument/2006/relationships/hyperlink" Target="https://www.6laws.net/6law/law\&#22806;&#22283;&#23560;&#26989;&#20154;&#25165;&#24310;&#25900;&#21450;&#20721;&#29992;&#27861;.htm" TargetMode="External"/><Relationship Id="rId364" Type="http://schemas.openxmlformats.org/officeDocument/2006/relationships/hyperlink" Target="https://www.6laws.net/6law/law\&#20837;&#20986;&#22283;&#21450;&#31227;&#27665;&#27861;.htm" TargetMode="External"/><Relationship Id="rId767" Type="http://schemas.openxmlformats.org/officeDocument/2006/relationships/hyperlink" Target="https://www.6laws.net/" TargetMode="External"/><Relationship Id="rId61" Type="http://schemas.openxmlformats.org/officeDocument/2006/relationships/hyperlink" Target="https://www.6laws.net/6law/law\&#22806;&#22283;&#23560;&#26989;&#20154;&#25165;&#24310;&#25900;&#21450;&#20721;&#29992;&#27861;.htm" TargetMode="External"/><Relationship Id="rId199" Type="http://schemas.openxmlformats.org/officeDocument/2006/relationships/hyperlink" Target="https://www.6laws.net/6law/law\&#21009;&#20107;&#35380;&#35359;&#27861;.htm" TargetMode="External"/><Relationship Id="rId571" Type="http://schemas.openxmlformats.org/officeDocument/2006/relationships/hyperlink" Target="https://www.6laws.net/6law/law\&#22823;&#27861;&#23448;&#35299;&#37323;92-n&#24180;.htm" TargetMode="External"/><Relationship Id="rId627" Type="http://schemas.openxmlformats.org/officeDocument/2006/relationships/hyperlink" Target="https://www.6laws.net/6law/law\&#25010;&#27861;.htm" TargetMode="External"/><Relationship Id="rId669" Type="http://schemas.openxmlformats.org/officeDocument/2006/relationships/hyperlink" Target="https://www.6laws.net/6law/law2\&#20844;&#27665;&#33287;&#25919;&#27835;&#27402;&#21033;&#22283;&#38555;&#20844;&#32004;.htm" TargetMode="External"/><Relationship Id="rId834" Type="http://schemas.openxmlformats.org/officeDocument/2006/relationships/hyperlink" Target="https://startup.sme.gov.tw/" TargetMode="External"/><Relationship Id="rId19" Type="http://schemas.openxmlformats.org/officeDocument/2006/relationships/hyperlink" Target="https://www.6laws.net/6law/law\&#22806;&#22283;&#23560;&#26989;&#20154;&#25165;&#24310;&#25900;&#21450;&#20721;&#29992;&#27861;.htm" TargetMode="External"/><Relationship Id="rId224" Type="http://schemas.openxmlformats.org/officeDocument/2006/relationships/hyperlink" Target="https://www.6laws.net/6law/law\&#25010;&#27861;.htm" TargetMode="External"/><Relationship Id="rId266" Type="http://schemas.openxmlformats.org/officeDocument/2006/relationships/hyperlink" Target="https://www.6laws.net/6law/law\&#21009;&#27861;.htm" TargetMode="External"/><Relationship Id="rId431" Type="http://schemas.openxmlformats.org/officeDocument/2006/relationships/hyperlink" Target="http://www.ris.gov.tw/346" TargetMode="External"/><Relationship Id="rId473" Type="http://schemas.openxmlformats.org/officeDocument/2006/relationships/hyperlink" Target="https://www.6laws.net/6law/law\&#22823;&#27861;&#23448;&#35299;&#37323;92-n&#24180;.htm" TargetMode="External"/><Relationship Id="rId529" Type="http://schemas.openxmlformats.org/officeDocument/2006/relationships/hyperlink" Target="https://www.6laws.net/6law/law\&#22823;&#27861;&#23448;&#35299;&#37323;92-n&#24180;.htm" TargetMode="External"/><Relationship Id="rId680" Type="http://schemas.openxmlformats.org/officeDocument/2006/relationships/hyperlink" Target="https://www.6laws.net/6law/law\&#25010;&#27861;.htm" TargetMode="External"/><Relationship Id="rId736" Type="http://schemas.openxmlformats.org/officeDocument/2006/relationships/hyperlink" Target="https://www.6laws.net/6law/law\&#25010;&#27861;.htm" TargetMode="External"/><Relationship Id="rId30" Type="http://schemas.openxmlformats.org/officeDocument/2006/relationships/hyperlink" Target="https://www.6laws.net/6law/law\&#22806;&#22283;&#23560;&#26989;&#20154;&#25165;&#24310;&#25900;&#21450;&#20721;&#29992;&#27861;.htm" TargetMode="External"/><Relationship Id="rId126" Type="http://schemas.openxmlformats.org/officeDocument/2006/relationships/hyperlink" Target="https://www.6laws.net/6law/law\&#25010;&#27861;.htm" TargetMode="External"/><Relationship Id="rId168" Type="http://schemas.openxmlformats.org/officeDocument/2006/relationships/hyperlink" Target="https://www.6laws.net/6law/law\&#34892;&#25919;&#22519;&#34892;&#27861;.htm" TargetMode="External"/><Relationship Id="rId333" Type="http://schemas.openxmlformats.org/officeDocument/2006/relationships/hyperlink" Target="https://www.6laws.net/6law/law\&#22806;&#22283;&#23560;&#26989;&#20154;&#25165;&#24310;&#25900;&#21450;&#20721;&#29992;&#27861;.htm" TargetMode="External"/><Relationship Id="rId540" Type="http://schemas.openxmlformats.org/officeDocument/2006/relationships/hyperlink" Target="https://www.6laws.net/6law/law3\&#22519;&#34892;&#26989;&#21209;&#25152;&#24471;&#26597;&#26680;&#36774;&#27861;.htm" TargetMode="External"/><Relationship Id="rId778" Type="http://schemas.openxmlformats.org/officeDocument/2006/relationships/hyperlink" Target="http://www.ris.gov.tw/346" TargetMode="External"/><Relationship Id="rId72" Type="http://schemas.openxmlformats.org/officeDocument/2006/relationships/hyperlink" Target="https://www.6laws.net/6law/law\&#25010;&#27861;.htm" TargetMode="External"/><Relationship Id="rId375" Type="http://schemas.openxmlformats.org/officeDocument/2006/relationships/image" Target="media/image16.emf"/><Relationship Id="rId582" Type="http://schemas.openxmlformats.org/officeDocument/2006/relationships/hyperlink" Target="https://www.6laws.net/6law/law\&#22823;&#27861;&#23448;&#35299;&#37323;92-n&#24180;.htm" TargetMode="External"/><Relationship Id="rId638" Type="http://schemas.openxmlformats.org/officeDocument/2006/relationships/hyperlink" Target="https://www.6laws.net/6law/law\&#22823;&#27861;&#23448;&#35299;&#37323;92-n&#24180;.htm" TargetMode="External"/><Relationship Id="rId803" Type="http://schemas.openxmlformats.org/officeDocument/2006/relationships/hyperlink" Target="https://udn.com/news/story/7238/2097397" TargetMode="External"/><Relationship Id="rId3" Type="http://schemas.openxmlformats.org/officeDocument/2006/relationships/styles" Target="styles.xml"/><Relationship Id="rId235" Type="http://schemas.openxmlformats.org/officeDocument/2006/relationships/hyperlink" Target="https://www.6laws.net/6law/law\&#22823;&#27861;&#23448;&#35299;&#37323;92-n&#24180;.htm" TargetMode="External"/><Relationship Id="rId277" Type="http://schemas.openxmlformats.org/officeDocument/2006/relationships/hyperlink" Target="http://www.cic.gc.ca/" TargetMode="External"/><Relationship Id="rId400" Type="http://schemas.openxmlformats.org/officeDocument/2006/relationships/hyperlink" Target="https://www.6laws.net/6law/law\&#22283;&#31821;&#27861;.htm" TargetMode="External"/><Relationship Id="rId442" Type="http://schemas.openxmlformats.org/officeDocument/2006/relationships/hyperlink" Target="https://www.6laws.net/6law/law\&#20837;&#20986;&#22283;&#21450;&#31227;&#27665;&#27861;.htm" TargetMode="External"/><Relationship Id="rId484" Type="http://schemas.openxmlformats.org/officeDocument/2006/relationships/hyperlink" Target="https://www.6laws.net/6law/law\&#22823;&#27861;&#23448;&#35299;&#37323;92-n&#24180;.htm" TargetMode="External"/><Relationship Id="rId705" Type="http://schemas.openxmlformats.org/officeDocument/2006/relationships/hyperlink" Target="https://www.6laws.net/6law/law\&#25010;&#27861;.htm" TargetMode="External"/><Relationship Id="rId137" Type="http://schemas.openxmlformats.org/officeDocument/2006/relationships/hyperlink" Target="https://www.6laws.net/6law/law\&#25010;&#27861;.htm" TargetMode="External"/><Relationship Id="rId302" Type="http://schemas.openxmlformats.org/officeDocument/2006/relationships/hyperlink" Target="https://www.6laws.net/6law/law3\&#20837;&#20986;&#22283;&#21450;&#31227;&#27665;&#27861;&#26045;&#34892;&#32048;&#21063;.htm" TargetMode="External"/><Relationship Id="rId344" Type="http://schemas.openxmlformats.org/officeDocument/2006/relationships/image" Target="media/image14.emf"/><Relationship Id="rId691" Type="http://schemas.openxmlformats.org/officeDocument/2006/relationships/hyperlink" Target="https://www.6laws.net/6law/law\&#22823;&#27861;&#23448;&#35299;&#37323;87-91&#24180;.htm" TargetMode="External"/><Relationship Id="rId747" Type="http://schemas.openxmlformats.org/officeDocument/2006/relationships/hyperlink" Target="https://www.6laws.net/6law/law\&#25010;&#27861;.htm" TargetMode="External"/><Relationship Id="rId789" Type="http://schemas.openxmlformats.org/officeDocument/2006/relationships/hyperlink" Target="https://www.ndc.gov.tw/Content_List.aspx?n=9A220CB77D7F4178&amp;upn=044D10B93AFA1714" TargetMode="External"/><Relationship Id="rId41" Type="http://schemas.openxmlformats.org/officeDocument/2006/relationships/hyperlink" Target="https://www.6laws.net/6law/law\&#22806;&#22283;&#23560;&#26989;&#20154;&#25165;&#24310;&#25900;&#21450;&#20721;&#29992;&#27861;.htm" TargetMode="External"/><Relationship Id="rId83" Type="http://schemas.openxmlformats.org/officeDocument/2006/relationships/hyperlink" Target="https://www.6laws.net/6law/law\&#22823;&#27861;&#23448;&#35299;&#37323;92-n&#24180;.htm" TargetMode="External"/><Relationship Id="rId179" Type="http://schemas.openxmlformats.org/officeDocument/2006/relationships/hyperlink" Target="https://www.6laws.net/6law/law\&#32648;&#25276;&#27861;.htm" TargetMode="External"/><Relationship Id="rId386" Type="http://schemas.openxmlformats.org/officeDocument/2006/relationships/hyperlink" Target="https://www.6laws.net/6law/law\&#22283;&#31821;&#27861;.htm" TargetMode="External"/><Relationship Id="rId551" Type="http://schemas.openxmlformats.org/officeDocument/2006/relationships/hyperlink" Target="https://www.6laws.net/6law/law\&#24179;&#22343;&#22320;&#27402;&#26781;&#20363;.htm" TargetMode="External"/><Relationship Id="rId593" Type="http://schemas.openxmlformats.org/officeDocument/2006/relationships/hyperlink" Target="https://www.judicial.gov.tw/constitutionalcourt/p03.asp" TargetMode="External"/><Relationship Id="rId607" Type="http://schemas.openxmlformats.org/officeDocument/2006/relationships/hyperlink" Target="https://www.6laws.net/6law/law\&#25010;&#27861;.htm" TargetMode="External"/><Relationship Id="rId649" Type="http://schemas.openxmlformats.org/officeDocument/2006/relationships/hyperlink" Target="https://www.6laws.net/6law/law\&#25010;&#27861;.htm" TargetMode="External"/><Relationship Id="rId814" Type="http://schemas.openxmlformats.org/officeDocument/2006/relationships/hyperlink" Target="http://www.ntdtv.com.tw/b5/20171121/video/209951.html?%E5%8F%B0%E7%81%A3%E4%BA%BA%E6%89%8D%E6%B5%81%E5%A4%B1%E6%88%90%E9%9A%B1%E6%86%82%20%E5%AD%B8%E8%80%85%EF%BC%9A%E4%BD%8E%E8%96%AA%E7%82%BA%E4%B8%BB%E5%9B%A0" TargetMode="External"/><Relationship Id="rId190" Type="http://schemas.openxmlformats.org/officeDocument/2006/relationships/hyperlink" Target="https://www.6laws.net/6law/law\&#22823;&#27861;&#23448;&#35299;&#37323;92-n&#24180;.htm" TargetMode="External"/><Relationship Id="rId204" Type="http://schemas.openxmlformats.org/officeDocument/2006/relationships/hyperlink" Target="https://www.6laws.net/6law/law\&#25010;&#27861;.htm" TargetMode="External"/><Relationship Id="rId246" Type="http://schemas.openxmlformats.org/officeDocument/2006/relationships/hyperlink" Target="https://www.6laws.net/6law/law\&#25010;&#27861;.htm" TargetMode="External"/><Relationship Id="rId288" Type="http://schemas.openxmlformats.org/officeDocument/2006/relationships/hyperlink" Target="https://www.6laws.net/6law/law3\&#22806;&#22283;&#20154;&#20572;&#30041;&#23621;&#30041;&#21450;&#27704;&#20037;&#23621;&#30041;&#36774;&#27861;.htm" TargetMode="External"/><Relationship Id="rId411" Type="http://schemas.openxmlformats.org/officeDocument/2006/relationships/hyperlink" Target="https://www.6laws.net/6law/law\&#20491;&#20154;&#36039;&#26009;&#20445;&#35703;&#27861;.htm" TargetMode="External"/><Relationship Id="rId453" Type="http://schemas.openxmlformats.org/officeDocument/2006/relationships/hyperlink" Target="https://www.6laws.net/6law/law\&#33274;&#28771;&#22320;&#21312;&#33287;&#22823;&#38520;&#22320;&#21312;&#20154;&#27665;&#38364;&#20418;&#26781;&#20363;.htm" TargetMode="External"/><Relationship Id="rId509" Type="http://schemas.openxmlformats.org/officeDocument/2006/relationships/hyperlink" Target="https://www.6laws.net/6law/law\&#22823;&#27861;&#23448;&#35299;&#37323;92-n&#24180;.htm" TargetMode="External"/><Relationship Id="rId660" Type="http://schemas.openxmlformats.org/officeDocument/2006/relationships/hyperlink" Target="https://www.6laws.net/6law/law\&#20837;&#20986;&#22283;&#21450;&#31227;&#27665;&#27861;.htm" TargetMode="External"/><Relationship Id="rId106" Type="http://schemas.openxmlformats.org/officeDocument/2006/relationships/hyperlink" Target="https://www.6laws.net/6law/law\&#22823;&#27861;&#23448;&#35299;&#37323;61-78&#24180;.htm" TargetMode="External"/><Relationship Id="rId313" Type="http://schemas.openxmlformats.org/officeDocument/2006/relationships/hyperlink" Target="https://www.6laws.net/6law/law\&#20837;&#20986;&#22283;&#21450;&#31227;&#27665;&#27861;.htm" TargetMode="External"/><Relationship Id="rId495" Type="http://schemas.openxmlformats.org/officeDocument/2006/relationships/hyperlink" Target="https://www.6laws.net/6law/law\&#22823;&#27861;&#23448;&#35299;&#37323;92-n&#24180;.htm" TargetMode="External"/><Relationship Id="rId716" Type="http://schemas.openxmlformats.org/officeDocument/2006/relationships/hyperlink" Target="https://www.6laws.net/6law/law3\&#22823;&#38520;&#22320;&#21312;&#20154;&#27665;&#20358;&#33274;&#24478;&#20107;&#35264;&#20809;&#27963;&#21205;&#35377;&#21487;&#36774;&#27861;.htm" TargetMode="External"/><Relationship Id="rId758" Type="http://schemas.openxmlformats.org/officeDocument/2006/relationships/hyperlink" Target="http://technews.tw/2016/08/26/charles-kau-dram/" TargetMode="External"/><Relationship Id="rId10" Type="http://schemas.openxmlformats.org/officeDocument/2006/relationships/image" Target="media/image2.jpeg"/><Relationship Id="rId52" Type="http://schemas.openxmlformats.org/officeDocument/2006/relationships/hyperlink" Target="https://www.6laws.net/6law/law\&#22806;&#22283;&#23560;&#26989;&#20154;&#25165;&#24310;&#25900;&#21450;&#20721;&#29992;&#27861;.htm" TargetMode="External"/><Relationship Id="rId94" Type="http://schemas.openxmlformats.org/officeDocument/2006/relationships/hyperlink" Target="https://www.6laws.net/6law/law2\&#28040;&#38500;&#19968;&#20999;&#24418;&#24335;&#31278;&#26063;&#27495;&#35222;&#22283;&#38555;&#20844;&#32004;.htm" TargetMode="External"/><Relationship Id="rId148" Type="http://schemas.openxmlformats.org/officeDocument/2006/relationships/hyperlink" Target="https://www.6laws.net/6law/law\&#22823;&#27861;&#23448;&#35299;&#37323;87-91&#24180;.htm" TargetMode="External"/><Relationship Id="rId355" Type="http://schemas.openxmlformats.org/officeDocument/2006/relationships/hyperlink" Target="https://www.6laws.net/6law/law\&#22806;&#22283;&#23560;&#26989;&#20154;&#25165;&#24310;&#25900;&#21450;&#20721;&#29992;&#27861;.htm" TargetMode="External"/><Relationship Id="rId397" Type="http://schemas.openxmlformats.org/officeDocument/2006/relationships/hyperlink" Target="https://www.6laws.net/6law/law\&#31038;&#26371;&#31209;&#24207;&#32173;&#35703;&#27861;.htm" TargetMode="External"/><Relationship Id="rId520" Type="http://schemas.openxmlformats.org/officeDocument/2006/relationships/hyperlink" Target="https://www.6laws.net/6law/law\&#31038;&#26371;&#31209;&#24207;&#32173;&#35703;&#27861;.htm" TargetMode="External"/><Relationship Id="rId562" Type="http://schemas.openxmlformats.org/officeDocument/2006/relationships/hyperlink" Target="https://www.6laws.net/6law/law\&#25010;&#27861;.htm" TargetMode="External"/><Relationship Id="rId618" Type="http://schemas.openxmlformats.org/officeDocument/2006/relationships/hyperlink" Target="https://www.6laws.net/6law/law\&#25010;&#27861;.htm" TargetMode="External"/><Relationship Id="rId825" Type="http://schemas.openxmlformats.org/officeDocument/2006/relationships/hyperlink" Target="http://eudo-citizenship.eu" TargetMode="External"/><Relationship Id="rId215" Type="http://schemas.openxmlformats.org/officeDocument/2006/relationships/hyperlink" Target="https://www.6laws.net/6law/law\&#20837;&#20986;&#22283;&#21450;&#31227;&#27665;&#27861;.htm" TargetMode="External"/><Relationship Id="rId257" Type="http://schemas.openxmlformats.org/officeDocument/2006/relationships/hyperlink" Target="https://www.6laws.net/6law/law\&#21009;&#27861;.htm" TargetMode="External"/><Relationship Id="rId422" Type="http://schemas.openxmlformats.org/officeDocument/2006/relationships/hyperlink" Target="https://www.6laws.net/6law/law\&#20491;&#20154;&#36039;&#26009;&#20445;&#35703;&#27861;.htm" TargetMode="External"/><Relationship Id="rId464" Type="http://schemas.openxmlformats.org/officeDocument/2006/relationships/hyperlink" Target="https://www.6laws.net/6law/law2\&#20844;&#27665;&#33287;&#25919;&#27835;&#27402;&#21033;&#22283;&#38555;&#20844;&#32004;.htm" TargetMode="External"/><Relationship Id="rId299" Type="http://schemas.openxmlformats.org/officeDocument/2006/relationships/hyperlink" Target="https://www.6laws.net/6law/law\&#20837;&#20986;&#22283;&#21450;&#31227;&#27665;&#27861;.htm" TargetMode="External"/><Relationship Id="rId727" Type="http://schemas.openxmlformats.org/officeDocument/2006/relationships/image" Target="media/image18.emf"/><Relationship Id="rId63" Type="http://schemas.openxmlformats.org/officeDocument/2006/relationships/hyperlink" Target="https://www.6laws.net/6law/law\&#20844;&#27665;&#33287;&#25919;&#27835;&#27402;&#21033;&#22283;&#38555;&#20844;&#32004;&#21450;&#32147;&#28639;&#31038;&#26371;&#25991;&#21270;&#27402;&#21033;&#22283;&#38555;&#20844;&#32004;&#26045;&#34892;&#27861;.htm" TargetMode="External"/><Relationship Id="rId159" Type="http://schemas.openxmlformats.org/officeDocument/2006/relationships/hyperlink" Target="https://www.6laws.net/6law/law\&#40635;&#37257;&#34277;&#21697;&#31649;&#29702;&#26781;&#20363;.htm" TargetMode="External"/><Relationship Id="rId366" Type="http://schemas.openxmlformats.org/officeDocument/2006/relationships/hyperlink" Target="https://www.6laws.net/6law/law\&#20837;&#20986;&#22283;&#21450;&#31227;&#27665;&#27861;.htm" TargetMode="External"/><Relationship Id="rId573" Type="http://schemas.openxmlformats.org/officeDocument/2006/relationships/hyperlink" Target="https://www.6laws.net/6law/law\&#22823;&#27861;&#23448;&#35299;&#37323;92-n&#24180;.htm" TargetMode="External"/><Relationship Id="rId780" Type="http://schemas.openxmlformats.org/officeDocument/2006/relationships/hyperlink" Target="http://www.moi.gov.tw/files/Act_file/%E8%A1%8C%E6%94%BF%E9%99%A2%E5%9C%8B%E7%B1%8D%E6%B3%95%E9%83%A8%E5%88%86%E6%A2%9D%E6%96%87%E4%BF%AE%E6%AD%A3%E8%8D%89%E6%A1%88_1.pdf" TargetMode="External"/><Relationship Id="rId226" Type="http://schemas.openxmlformats.org/officeDocument/2006/relationships/hyperlink" Target="https://www.6laws.net/6law/law\&#22823;&#27861;&#23448;&#35299;&#37323;92-n&#24180;.htm" TargetMode="External"/><Relationship Id="rId433" Type="http://schemas.openxmlformats.org/officeDocument/2006/relationships/hyperlink" Target="https://www.6laws.net/6law/law\&#23601;&#26989;&#26381;&#21209;&#27861;.htm" TargetMode="External"/><Relationship Id="rId640" Type="http://schemas.openxmlformats.org/officeDocument/2006/relationships/hyperlink" Target="https://www.6laws.net/6law/law\&#33274;&#28771;&#22320;&#21312;&#33287;&#22823;&#38520;&#22320;&#21312;&#20154;&#27665;&#38364;&#20418;&#26781;&#20363;.htm" TargetMode="External"/><Relationship Id="rId738" Type="http://schemas.openxmlformats.org/officeDocument/2006/relationships/hyperlink" Target="https://www.6laws.net/6law/law\&#25010;&#27861;.htm" TargetMode="External"/><Relationship Id="rId74" Type="http://schemas.openxmlformats.org/officeDocument/2006/relationships/hyperlink" Target="https://www.6laws.net/6law/law\&#25010;&#27861;.htm" TargetMode="External"/><Relationship Id="rId377" Type="http://schemas.openxmlformats.org/officeDocument/2006/relationships/hyperlink" Target="https://www.6laws.net/6law/law\&#20837;&#20986;&#22283;&#21450;&#31227;&#27665;&#27861;.htm" TargetMode="External"/><Relationship Id="rId500" Type="http://schemas.openxmlformats.org/officeDocument/2006/relationships/hyperlink" Target="https://www.6laws.net/6law/law\&#22823;&#27861;&#23448;&#35299;&#37323;92-n&#24180;.htm" TargetMode="External"/><Relationship Id="rId584" Type="http://schemas.openxmlformats.org/officeDocument/2006/relationships/hyperlink" Target="https://www.6laws.net/6law/law\&#25010;&#27861;.htm" TargetMode="External"/><Relationship Id="rId805" Type="http://schemas.openxmlformats.org/officeDocument/2006/relationships/hyperlink" Target="http://itriexpress.blogspot.tw/2016/01/blog-post_42.html" TargetMode="External"/><Relationship Id="rId5" Type="http://schemas.openxmlformats.org/officeDocument/2006/relationships/webSettings" Target="webSettings.xml"/><Relationship Id="rId237" Type="http://schemas.openxmlformats.org/officeDocument/2006/relationships/hyperlink" Target="https://www.6laws.net/6law/law\&#25010;&#27861;.htm" TargetMode="External"/><Relationship Id="rId791" Type="http://schemas.openxmlformats.org/officeDocument/2006/relationships/hyperlink" Target="http://www.ndc.gov.tw/News_Content.aspx?n=E4F9C91CF6EA4EC%204&amp;sms=4506D295372B40FB&amp;s=543AACAD0993B1F5" TargetMode="External"/><Relationship Id="rId444" Type="http://schemas.openxmlformats.org/officeDocument/2006/relationships/hyperlink" Target="https://www.6laws.net/6law/law\&#20837;&#20986;&#22283;&#21450;&#31227;&#27665;&#27861;.htm" TargetMode="External"/><Relationship Id="rId651" Type="http://schemas.openxmlformats.org/officeDocument/2006/relationships/hyperlink" Target="https://www.6laws.net/6law/law\&#25010;&#27861;.htm" TargetMode="External"/><Relationship Id="rId749" Type="http://schemas.openxmlformats.org/officeDocument/2006/relationships/hyperlink" Target="https://www.6laws.net/6law/law\&#21214;&#21205;&#22522;&#28310;&#27861;docx" TargetMode="External"/><Relationship Id="rId290" Type="http://schemas.openxmlformats.org/officeDocument/2006/relationships/hyperlink" Target="https://www.6laws.net/6law/law\&#20837;&#20986;&#22283;&#21450;&#31227;&#27665;&#27861;.htm" TargetMode="External"/><Relationship Id="rId304" Type="http://schemas.openxmlformats.org/officeDocument/2006/relationships/hyperlink" Target="https://www.6laws.net/6law/law3\&#22806;&#22283;&#20154;&#30003;&#35531;&#27704;&#20037;&#23621;&#30041;&#26696;&#20214;&#23529;&#26597;&#22522;&#28310;.htm" TargetMode="External"/><Relationship Id="rId388" Type="http://schemas.openxmlformats.org/officeDocument/2006/relationships/hyperlink" Target="https://www.6laws.net/6law/law\&#22283;&#31821;&#27861;.htm" TargetMode="External"/><Relationship Id="rId511" Type="http://schemas.openxmlformats.org/officeDocument/2006/relationships/hyperlink" Target="https://www.6laws.net/6law/law\&#21009;&#20107;&#35380;&#35359;&#27861;.htm" TargetMode="External"/><Relationship Id="rId609" Type="http://schemas.openxmlformats.org/officeDocument/2006/relationships/hyperlink" Target="https://www.6laws.net/6law/law\&#25010;&#27861;.htm" TargetMode="External"/><Relationship Id="rId85" Type="http://schemas.openxmlformats.org/officeDocument/2006/relationships/hyperlink" Target="https://www.6laws.net/6law/law\&#22823;&#27861;&#23448;&#35299;&#37323;92-n&#24180;.htm" TargetMode="External"/><Relationship Id="rId150" Type="http://schemas.openxmlformats.org/officeDocument/2006/relationships/hyperlink" Target="https://www.6laws.net/6law/law\&#22823;&#27861;&#23448;&#35299;&#37323;87-91&#24180;.htm" TargetMode="External"/><Relationship Id="rId595" Type="http://schemas.openxmlformats.org/officeDocument/2006/relationships/hyperlink" Target="https://www.6laws.net/6law/law\&#25010;&#27861;.htm" TargetMode="External"/><Relationship Id="rId816" Type="http://schemas.openxmlformats.org/officeDocument/2006/relationships/hyperlink" Target="https://money.udn.com/money/story/5648/2832422" TargetMode="External"/><Relationship Id="rId248" Type="http://schemas.openxmlformats.org/officeDocument/2006/relationships/hyperlink" Target="https://www.6laws.net/6law/law\&#25010;&#27861;.htm" TargetMode="External"/><Relationship Id="rId455" Type="http://schemas.openxmlformats.org/officeDocument/2006/relationships/hyperlink" Target="https://www.6laws.net/6law/law2\&#20844;&#27665;&#33287;&#25919;&#27835;&#27402;&#21033;&#22283;&#38555;&#20844;&#32004;.htm" TargetMode="External"/><Relationship Id="rId662" Type="http://schemas.openxmlformats.org/officeDocument/2006/relationships/hyperlink" Target="https://www.6laws.net/6law/law\&#33274;&#28771;&#22320;&#21312;&#33287;&#22823;&#38520;&#22320;&#21312;&#20154;&#27665;&#38364;&#20418;&#26781;&#20363;.htm" TargetMode="External"/><Relationship Id="rId12" Type="http://schemas.openxmlformats.org/officeDocument/2006/relationships/image" Target="media/image4.jpeg"/><Relationship Id="rId108" Type="http://schemas.openxmlformats.org/officeDocument/2006/relationships/hyperlink" Target="https://www.6laws.net/6law/law\&#36949;&#35686;&#32624;&#27861;.htm" TargetMode="External"/><Relationship Id="rId315" Type="http://schemas.openxmlformats.org/officeDocument/2006/relationships/hyperlink" Target="https://www.6laws.net/6law/law3\&#22806;&#22283;&#20154;&#24478;&#20107;&#23601;&#26989;&#26381;&#21209;&#27861;&#31532;&#22235;&#21313;&#20845;&#26781;&#31532;&#19968;&#38917;&#31532;&#19968;&#27454;&#33267;&#31532;&#20845;&#27454;&#24037;&#20316;&#36039;&#26684;&#21450;&#23529;&#26597;&#27161;&#28310;.htm" TargetMode="External"/><Relationship Id="rId522" Type="http://schemas.openxmlformats.org/officeDocument/2006/relationships/hyperlink" Target="https://www.6laws.net/6law/law\&#20900;&#29508;&#36064;&#20767;&#27861;.htm" TargetMode="External"/><Relationship Id="rId96" Type="http://schemas.openxmlformats.org/officeDocument/2006/relationships/hyperlink" Target="https://www.6laws.net/6law/law2\&#20818;&#31461;&#27402;&#21033;&#20844;&#32004;.htm" TargetMode="External"/><Relationship Id="rId161" Type="http://schemas.openxmlformats.org/officeDocument/2006/relationships/hyperlink" Target="https://www.6laws.net/6law/law\&#22823;&#27861;&#23448;&#35299;&#37323;87-91&#24180;.htm" TargetMode="External"/><Relationship Id="rId399" Type="http://schemas.openxmlformats.org/officeDocument/2006/relationships/hyperlink" Target="https://www.6laws.net/6law/law\&#31038;&#26371;&#31209;&#24207;&#32173;&#35703;&#27861;.htm" TargetMode="External"/><Relationship Id="rId827" Type="http://schemas.openxmlformats.org/officeDocument/2006/relationships/hyperlink" Target="http://www.iom.int/jahia/webdav/shared/shared/mainsite/activities/facilitating/mi_%20compendium_ver_feb2010.pdf" TargetMode="External"/><Relationship Id="rId259" Type="http://schemas.openxmlformats.org/officeDocument/2006/relationships/hyperlink" Target="https://www.6laws.net/6law/law\&#21009;&#27861;.htm" TargetMode="External"/><Relationship Id="rId466" Type="http://schemas.openxmlformats.org/officeDocument/2006/relationships/hyperlink" Target="https://www.6laws.net/6law/law2\&#20844;&#27665;&#33287;&#25919;&#27835;&#27402;&#21033;&#22283;&#38555;&#20844;&#32004;.htm" TargetMode="External"/><Relationship Id="rId673" Type="http://schemas.openxmlformats.org/officeDocument/2006/relationships/hyperlink" Target="https://www.6laws.net/6law/law\&#31038;&#26371;&#31209;&#24207;&#32173;&#35703;&#27861;.htm" TargetMode="External"/><Relationship Id="rId23" Type="http://schemas.openxmlformats.org/officeDocument/2006/relationships/hyperlink" Target="https://www.6laws.net/6law/law\&#22283;&#31821;&#27861;.htm" TargetMode="External"/><Relationship Id="rId119" Type="http://schemas.openxmlformats.org/officeDocument/2006/relationships/hyperlink" Target="https://www.6laws.net/6law/law\&#21009;&#20107;&#35380;&#35359;&#27861;.htm" TargetMode="External"/><Relationship Id="rId326" Type="http://schemas.openxmlformats.org/officeDocument/2006/relationships/hyperlink" Target="https://www.6laws.net/6law/law\&#22806;&#22283;&#23560;&#26989;&#20154;&#25165;&#24310;&#25900;&#21450;&#20721;&#29992;&#27861;.htm" TargetMode="External"/><Relationship Id="rId533" Type="http://schemas.openxmlformats.org/officeDocument/2006/relationships/hyperlink" Target="https://www.6laws.net/6law/law\&#22823;&#27861;&#23448;&#35299;&#37323;92-n&#24180;.htm" TargetMode="External"/><Relationship Id="rId740" Type="http://schemas.openxmlformats.org/officeDocument/2006/relationships/hyperlink" Target="https://www.6laws.net/6law/law\&#22823;&#27861;&#23448;&#35299;&#37323;92-n&#24180;.htm" TargetMode="External"/><Relationship Id="rId838" Type="http://schemas.openxmlformats.org/officeDocument/2006/relationships/hyperlink" Target="https://www.koko.url.tw/" TargetMode="External"/><Relationship Id="rId172" Type="http://schemas.openxmlformats.org/officeDocument/2006/relationships/hyperlink" Target="https://www.6laws.net/6law/law\&#27298;&#32901;&#27969;&#27667;&#26781;&#20363;.htm" TargetMode="External"/><Relationship Id="rId477" Type="http://schemas.openxmlformats.org/officeDocument/2006/relationships/hyperlink" Target="https://www.6laws.net/6law/law\&#22823;&#27861;&#23448;&#35299;&#37323;87-91&#24180;.htm" TargetMode="External"/><Relationship Id="rId600" Type="http://schemas.openxmlformats.org/officeDocument/2006/relationships/hyperlink" Target="https://www.6laws.net/6law/law\&#25010;&#27861;.htm" TargetMode="External"/><Relationship Id="rId684" Type="http://schemas.openxmlformats.org/officeDocument/2006/relationships/hyperlink" Target="https://www.6laws.net/6law/law\&#25919;&#40680;&#27861;.htm" TargetMode="External"/><Relationship Id="rId337" Type="http://schemas.openxmlformats.org/officeDocument/2006/relationships/hyperlink" Target="https://www.6laws.net/6law/law\&#23601;&#26989;&#26381;&#21209;&#27861;.htm" TargetMode="External"/><Relationship Id="rId34" Type="http://schemas.openxmlformats.org/officeDocument/2006/relationships/hyperlink" Target="https://www.6laws.net/6law/law\&#22806;&#22283;&#23560;&#26989;&#20154;&#25165;&#24310;&#25900;&#21450;&#20721;&#29992;&#27861;.htm" TargetMode="External"/><Relationship Id="rId544" Type="http://schemas.openxmlformats.org/officeDocument/2006/relationships/hyperlink" Target="https://www.6laws.net/6law/law\&#31085;&#31040;&#20844;&#26989;&#26781;&#20363;.htm" TargetMode="External"/><Relationship Id="rId751" Type="http://schemas.openxmlformats.org/officeDocument/2006/relationships/hyperlink" Target="https://www.6laws.net/6law/law2\&#32147;&#28639;&#31038;&#26371;&#25991;&#21270;&#27402;&#21033;&#22283;&#38555;&#20844;&#32004;.htm" TargetMode="External"/><Relationship Id="rId183" Type="http://schemas.openxmlformats.org/officeDocument/2006/relationships/hyperlink" Target="https://www.6laws.net/6law/law\&#22823;&#27861;&#23448;&#35299;&#37323;92-n&#24180;.htm" TargetMode="External"/><Relationship Id="rId390" Type="http://schemas.openxmlformats.org/officeDocument/2006/relationships/hyperlink" Target="https://www.6laws.net/6law/law\&#22283;&#31821;&#27861;.htm" TargetMode="External"/><Relationship Id="rId404" Type="http://schemas.openxmlformats.org/officeDocument/2006/relationships/hyperlink" Target="https://www.6laws.net/6law/law\&#22283;&#31821;&#27861;.htm" TargetMode="External"/><Relationship Id="rId611" Type="http://schemas.openxmlformats.org/officeDocument/2006/relationships/hyperlink" Target="https://www.6laws.net/6law/law\&#25010;&#27861;.htm" TargetMode="External"/><Relationship Id="rId250" Type="http://schemas.openxmlformats.org/officeDocument/2006/relationships/hyperlink" Target="https://www.6laws.net/6law/law\&#22823;&#27861;&#23448;&#35299;&#37323;92-n&#24180;.htm" TargetMode="External"/><Relationship Id="rId488" Type="http://schemas.openxmlformats.org/officeDocument/2006/relationships/hyperlink" Target="https://www.6laws.net/6law/law\&#22823;&#27861;&#23448;&#35299;&#37323;92-n&#24180;.htm" TargetMode="External"/><Relationship Id="rId695" Type="http://schemas.openxmlformats.org/officeDocument/2006/relationships/hyperlink" Target="https://www.6laws.net/6law/law\&#20013;&#33775;&#27665;&#22283;&#25010;&#27861;&#22686;&#20462;&#26781;&#25991;.htm" TargetMode="External"/><Relationship Id="rId709" Type="http://schemas.openxmlformats.org/officeDocument/2006/relationships/hyperlink" Target="https://www.6laws.net/6law/law3\&#22823;&#38520;&#22320;&#21312;&#20154;&#27665;&#20358;&#33274;&#24478;&#20107;&#21830;&#21209;&#27963;&#21205;&#35377;&#21487;&#36774;&#27861;.htm" TargetMode="External"/><Relationship Id="rId45" Type="http://schemas.openxmlformats.org/officeDocument/2006/relationships/hyperlink" Target="https://www.6laws.net/6law/law\&#22806;&#22283;&#23560;&#26989;&#20154;&#25165;&#24310;&#25900;&#21450;&#20721;&#29992;&#27861;.htm" TargetMode="External"/><Relationship Id="rId110" Type="http://schemas.openxmlformats.org/officeDocument/2006/relationships/hyperlink" Target="https://www.6laws.net/6law/law\&#22823;&#27861;&#23448;&#35299;&#37323;79-86&#24180;.htm" TargetMode="External"/><Relationship Id="rId348" Type="http://schemas.openxmlformats.org/officeDocument/2006/relationships/hyperlink" Target="https://www.6laws.net/6law/law\&#23601;&#26989;&#26381;&#21209;&#27861;.htm" TargetMode="External"/><Relationship Id="rId555" Type="http://schemas.openxmlformats.org/officeDocument/2006/relationships/hyperlink" Target="https://www.6laws.net/6law/law\&#25010;&#27861;.htm" TargetMode="External"/><Relationship Id="rId762" Type="http://schemas.openxmlformats.org/officeDocument/2006/relationships/hyperlink" Target="https://www.6laws.net/" TargetMode="External"/><Relationship Id="rId194" Type="http://schemas.openxmlformats.org/officeDocument/2006/relationships/hyperlink" Target="https://www.6laws.net/6law/law\&#22823;&#27861;&#23448;&#35299;&#37323;92-n&#24180;.htm" TargetMode="External"/><Relationship Id="rId208" Type="http://schemas.openxmlformats.org/officeDocument/2006/relationships/hyperlink" Target="https://www.6laws.net/6law/law\&#20837;&#20986;&#22283;&#21450;&#31227;&#27665;&#27861;.htm" TargetMode="External"/><Relationship Id="rId415" Type="http://schemas.openxmlformats.org/officeDocument/2006/relationships/hyperlink" Target="https://www.6laws.net/6law/law\&#20837;&#20986;&#22283;&#21450;&#31227;&#27665;&#27861;.htm" TargetMode="External"/><Relationship Id="rId622" Type="http://schemas.openxmlformats.org/officeDocument/2006/relationships/hyperlink" Target="https://www.6laws.net/6law/law\&#25010;&#27861;.htm" TargetMode="External"/><Relationship Id="rId261" Type="http://schemas.openxmlformats.org/officeDocument/2006/relationships/hyperlink" Target="https://www.6laws.net/6law/law\&#21009;&#27861;.htm" TargetMode="External"/><Relationship Id="rId499" Type="http://schemas.openxmlformats.org/officeDocument/2006/relationships/hyperlink" Target="https://www.6laws.net/6law/law\&#25010;&#27861;.htm" TargetMode="External"/><Relationship Id="rId56" Type="http://schemas.openxmlformats.org/officeDocument/2006/relationships/hyperlink" Target="https://www.6laws.net/6law/law\&#22806;&#22283;&#23560;&#26989;&#20154;&#25165;&#24310;&#25900;&#21450;&#20721;&#29992;&#27861;.htm" TargetMode="External"/><Relationship Id="rId359" Type="http://schemas.openxmlformats.org/officeDocument/2006/relationships/hyperlink" Target="https://www.6laws.net/6law/law\&#23601;&#26989;&#26381;&#21209;&#27861;.htm" TargetMode="External"/><Relationship Id="rId566" Type="http://schemas.openxmlformats.org/officeDocument/2006/relationships/hyperlink" Target="https://www.6laws.net/6law/law\&#25010;&#27861;.htm" TargetMode="External"/><Relationship Id="rId773" Type="http://schemas.openxmlformats.org/officeDocument/2006/relationships/hyperlink" Target="https://www.6laws.net/" TargetMode="External"/><Relationship Id="rId121" Type="http://schemas.openxmlformats.org/officeDocument/2006/relationships/hyperlink" Target="https://www.6laws.net/6law/law\&#21009;&#20107;&#35380;&#35359;&#27861;.htm" TargetMode="External"/><Relationship Id="rId219" Type="http://schemas.openxmlformats.org/officeDocument/2006/relationships/hyperlink" Target="https://www.6laws.net/6law/law\&#25010;&#27861;.htm" TargetMode="External"/><Relationship Id="rId426" Type="http://schemas.openxmlformats.org/officeDocument/2006/relationships/hyperlink" Target="https://www.6laws.net/6law/law\&#20837;&#20986;&#22283;&#21450;&#31227;&#27665;&#27861;.htm" TargetMode="External"/><Relationship Id="rId633" Type="http://schemas.openxmlformats.org/officeDocument/2006/relationships/hyperlink" Target="https://www.6laws.net/6law/law\&#22823;&#27861;&#23448;&#35299;&#37323;92-n&#24180;.htm" TargetMode="External"/><Relationship Id="rId840" Type="http://schemas.openxmlformats.org/officeDocument/2006/relationships/footer" Target="footer2.xml"/><Relationship Id="rId67" Type="http://schemas.openxmlformats.org/officeDocument/2006/relationships/hyperlink" Target="https://www.6laws.net/6law/law\&#25010;&#27861;.htm" TargetMode="External"/><Relationship Id="rId272" Type="http://schemas.openxmlformats.org/officeDocument/2006/relationships/hyperlink" Target="https://www.6laws.net/6law/law\&#25010;&#27861;.htm" TargetMode="External"/><Relationship Id="rId577" Type="http://schemas.openxmlformats.org/officeDocument/2006/relationships/hyperlink" Target="https://www.6laws.net/6law/law\&#25010;&#27861;.htm" TargetMode="External"/><Relationship Id="rId700" Type="http://schemas.openxmlformats.org/officeDocument/2006/relationships/hyperlink" Target="https://www.6laws.net/6law/law\&#33274;&#28771;&#22320;&#21312;&#33287;&#22823;&#38520;&#22320;&#21312;&#20154;&#27665;&#38364;&#20418;&#26781;&#20363;.htm" TargetMode="External"/><Relationship Id="rId132" Type="http://schemas.openxmlformats.org/officeDocument/2006/relationships/hyperlink" Target="https://www.6laws.net/6law/law\&#22823;&#27861;&#23448;&#35299;&#37323;92-n&#24180;.htm" TargetMode="External"/><Relationship Id="rId784" Type="http://schemas.openxmlformats.org/officeDocument/2006/relationships/hyperlink" Target="https://www.immigration.gov.tw/ct.asp?%20xItem=1311448&amp;CtNode=36470&amp;mp=1" TargetMode="External"/><Relationship Id="rId437" Type="http://schemas.openxmlformats.org/officeDocument/2006/relationships/hyperlink" Target="https://www.6laws.net/6law/law\&#20837;&#20986;&#22283;&#21450;&#31227;&#27665;&#27861;.htm" TargetMode="External"/><Relationship Id="rId644" Type="http://schemas.openxmlformats.org/officeDocument/2006/relationships/hyperlink" Target="https://www.6laws.net/6law/law\&#33274;&#28771;&#22320;&#21312;&#33287;&#22823;&#38520;&#22320;&#21312;&#20154;&#27665;&#38364;&#20418;&#26781;&#20363;.htm" TargetMode="External"/><Relationship Id="rId283" Type="http://schemas.openxmlformats.org/officeDocument/2006/relationships/hyperlink" Target="https://www.6laws.net/6law/law/&#20837;&#20986;&#22283;&#21450;&#31227;&#27665;&#27861;.htm" TargetMode="External"/><Relationship Id="rId490" Type="http://schemas.openxmlformats.org/officeDocument/2006/relationships/hyperlink" Target="https://www.6laws.net/6law/law/&#36008;&#29289;&#31237;&#26781;&#20363;.htm" TargetMode="External"/><Relationship Id="rId504" Type="http://schemas.openxmlformats.org/officeDocument/2006/relationships/hyperlink" Target="https://www.6laws.net/6law/law\&#22823;&#27861;&#23448;&#35299;&#37323;92-n&#24180;.htm" TargetMode="External"/><Relationship Id="rId711" Type="http://schemas.openxmlformats.org/officeDocument/2006/relationships/hyperlink" Target="https://www.6laws.net/6law/law3\&#22823;&#38520;&#22320;&#21312;&#20154;&#27665;&#20358;&#33274;&#24478;&#20107;&#35264;&#20809;&#27963;&#21205;&#35377;&#21487;&#36774;&#27861;.htm" TargetMode="External"/><Relationship Id="rId78" Type="http://schemas.openxmlformats.org/officeDocument/2006/relationships/hyperlink" Target="https://www.6laws.net/6law/law\&#25010;&#27861;.htm" TargetMode="External"/><Relationship Id="rId143" Type="http://schemas.openxmlformats.org/officeDocument/2006/relationships/hyperlink" Target="https://www.6laws.net/6law/law\&#30772;&#29986;&#27861;.htm" TargetMode="External"/><Relationship Id="rId350" Type="http://schemas.openxmlformats.org/officeDocument/2006/relationships/hyperlink" Target="https://www.6laws.net/6law/law\&#20840;&#27665;&#20581;&#24247;&#20445;&#38570;&#27861;.htm" TargetMode="External"/><Relationship Id="rId588" Type="http://schemas.openxmlformats.org/officeDocument/2006/relationships/hyperlink" Target="https://www.6laws.net/6law/law\&#25010;&#27861;.htm" TargetMode="External"/><Relationship Id="rId795" Type="http://schemas.openxmlformats.org/officeDocument/2006/relationships/hyperlink" Target="http://www.ims.sdu.edu.cn/cms/attachment/130521080100.pdf" TargetMode="External"/><Relationship Id="rId809" Type="http://schemas.openxmlformats.org/officeDocument/2006/relationships/hyperlink" Target="http://blog.udn.com/geshela/18353520" TargetMode="External"/><Relationship Id="rId9" Type="http://schemas.openxmlformats.org/officeDocument/2006/relationships/image" Target="media/image1.jpg"/><Relationship Id="rId210" Type="http://schemas.openxmlformats.org/officeDocument/2006/relationships/hyperlink" Target="https://www.6laws.net/6law/law\&#20837;&#20986;&#22283;&#21450;&#31227;&#27665;&#27861;.htm" TargetMode="External"/><Relationship Id="rId448" Type="http://schemas.openxmlformats.org/officeDocument/2006/relationships/hyperlink" Target="https://www.6laws.net/6law/law\&#33274;&#28771;&#22320;&#21312;&#33287;&#22823;&#38520;&#22320;&#21312;&#20154;&#27665;&#38364;&#20418;&#26781;&#20363;.htm" TargetMode="External"/><Relationship Id="rId655" Type="http://schemas.openxmlformats.org/officeDocument/2006/relationships/hyperlink" Target="https://www.6laws.net/6law/law\&#25010;&#27861;.htm" TargetMode="External"/><Relationship Id="rId294" Type="http://schemas.openxmlformats.org/officeDocument/2006/relationships/hyperlink" Target="https://www.6laws.net/6law/law\&#22283;&#31821;&#27861;.htm" TargetMode="External"/><Relationship Id="rId308" Type="http://schemas.openxmlformats.org/officeDocument/2006/relationships/hyperlink" Target="https://www.6laws.net/6law/law3/&#20837;&#20986;&#22283;&#21450;&#31227;&#27665;&#26696;&#20214;&#23529;&#26597;&#26371;&#35373;&#32622;&#35201;&#40670;.htm" TargetMode="External"/><Relationship Id="rId515" Type="http://schemas.openxmlformats.org/officeDocument/2006/relationships/hyperlink" Target="https://www.6laws.net/6law/law\&#22823;&#27861;&#23448;&#35299;&#37323;92-n&#24180;.htm" TargetMode="External"/><Relationship Id="rId722" Type="http://schemas.openxmlformats.org/officeDocument/2006/relationships/hyperlink" Target="https://www.6laws.net/6law/law2\&#32173;&#20063;&#32013;&#38936;&#20107;&#38364;&#20418;&#20844;&#32004;.htm" TargetMode="External"/><Relationship Id="rId89" Type="http://schemas.openxmlformats.org/officeDocument/2006/relationships/hyperlink" Target="https://www.6laws.net/6law/law\&#21214;&#21205;&#22522;&#28310;&#27861;docx" TargetMode="External"/><Relationship Id="rId154" Type="http://schemas.openxmlformats.org/officeDocument/2006/relationships/hyperlink" Target="https://www.6laws.net/6law/law\&#22823;&#27861;&#23448;&#35299;&#37323;87-91&#24180;.htm" TargetMode="External"/><Relationship Id="rId361" Type="http://schemas.openxmlformats.org/officeDocument/2006/relationships/hyperlink" Target="https://www.6laws.net/6law/law3\&#22806;&#22283;&#20154;&#24478;&#20107;&#23601;&#26989;&#26381;&#21209;&#27861;&#31532;&#22235;&#21313;&#20845;&#26781;&#31532;&#19968;&#38917;&#31532;&#19968;&#27454;&#33267;&#31532;&#20845;&#27454;&#24037;&#20316;&#36039;&#26684;&#21450;&#23529;&#26597;&#27161;&#28310;.htm" TargetMode="External"/><Relationship Id="rId599" Type="http://schemas.openxmlformats.org/officeDocument/2006/relationships/hyperlink" Target="https://www.6laws.net/6law/law\&#25010;&#27861;.htm" TargetMode="External"/><Relationship Id="rId459" Type="http://schemas.openxmlformats.org/officeDocument/2006/relationships/hyperlink" Target="https://www.6laws.net/6law/law2\&#20844;&#27665;&#33287;&#25919;&#27835;&#27402;&#21033;&#22283;&#38555;&#20844;&#32004;.htm" TargetMode="External"/><Relationship Id="rId666" Type="http://schemas.openxmlformats.org/officeDocument/2006/relationships/hyperlink" Target="https://www.6laws.net/6law/law2\&#20844;&#27665;&#33287;&#25919;&#27835;&#27402;&#21033;&#22283;&#38555;&#20844;&#32004;.htm" TargetMode="External"/><Relationship Id="rId16" Type="http://schemas.openxmlformats.org/officeDocument/2006/relationships/image" Target="media/image8.emf"/><Relationship Id="rId221" Type="http://schemas.openxmlformats.org/officeDocument/2006/relationships/hyperlink" Target="https://www.6laws.net/6law/law\&#22823;&#27861;&#23448;&#35299;&#37323;92-n&#24180;.htm" TargetMode="External"/><Relationship Id="rId319" Type="http://schemas.openxmlformats.org/officeDocument/2006/relationships/hyperlink" Target="https://www.6laws.net/6law/law\&#22806;&#22283;&#23560;&#26989;&#20154;&#25165;&#24310;&#25900;&#21450;&#20721;&#29992;&#27861;.htm" TargetMode="External"/><Relationship Id="rId526" Type="http://schemas.openxmlformats.org/officeDocument/2006/relationships/hyperlink" Target="https://www.6laws.net/6law/law\&#22823;&#27861;&#23448;&#35299;&#37323;92-n&#24180;.htm" TargetMode="External"/><Relationship Id="rId733" Type="http://schemas.openxmlformats.org/officeDocument/2006/relationships/hyperlink" Target="https://www.6laws.net/6law/law\&#20818;&#31461;&#27402;&#21033;&#20844;&#32004;&#26045;&#34892;&#27861;.htm" TargetMode="External"/><Relationship Id="rId165" Type="http://schemas.openxmlformats.org/officeDocument/2006/relationships/hyperlink" Target="https://www.6laws.net/6law/law\&#22823;&#27861;&#23448;&#35299;&#37323;92-n&#24180;.htm" TargetMode="External"/><Relationship Id="rId372" Type="http://schemas.openxmlformats.org/officeDocument/2006/relationships/hyperlink" Target="https://www.6laws.net/6law/law\&#23601;&#26989;&#26381;&#21209;&#27861;.htm" TargetMode="External"/><Relationship Id="rId677" Type="http://schemas.openxmlformats.org/officeDocument/2006/relationships/hyperlink" Target="https://www.6laws.net/6law/law\&#33274;&#28771;&#22320;&#21312;&#33287;&#22823;&#38520;&#22320;&#21312;&#20154;&#27665;&#38364;&#20418;&#26781;&#20363;.htm" TargetMode="External"/><Relationship Id="rId800" Type="http://schemas.openxmlformats.org/officeDocument/2006/relationships/hyperlink" Target="https://join.gov.tw/policies/detail/877b8764-4623-4c2a-9fc4-%20124d2f6e3f2c" TargetMode="External"/><Relationship Id="rId232" Type="http://schemas.openxmlformats.org/officeDocument/2006/relationships/hyperlink" Target="https://www.6laws.net/6law/law\&#22823;&#27861;&#23448;&#35299;&#37323;92-n&#24180;.htm" TargetMode="External"/><Relationship Id="rId27" Type="http://schemas.openxmlformats.org/officeDocument/2006/relationships/hyperlink" Target="https://www.6laws.net/6law/law\&#22806;&#22283;&#23560;&#26989;&#20154;&#25165;&#24310;&#25900;&#21450;&#20721;&#29992;&#27861;.htm" TargetMode="External"/><Relationship Id="rId537" Type="http://schemas.openxmlformats.org/officeDocument/2006/relationships/hyperlink" Target="https://www.6laws.net/6law/law\&#34277;&#24107;&#27861;.htm" TargetMode="External"/><Relationship Id="rId744" Type="http://schemas.openxmlformats.org/officeDocument/2006/relationships/hyperlink" Target="https://www.6laws.net/6law/law\&#22823;&#27861;&#23448;&#35299;&#37323;92-n&#24180;.htm" TargetMode="External"/><Relationship Id="rId80" Type="http://schemas.openxmlformats.org/officeDocument/2006/relationships/hyperlink" Target="https://www.6laws.net/6law/law\&#22823;&#27861;&#23448;&#35299;&#37323;92-n&#24180;.htm" TargetMode="External"/><Relationship Id="rId176" Type="http://schemas.openxmlformats.org/officeDocument/2006/relationships/hyperlink" Target="https://www.6laws.net/6law/law\&#22823;&#27861;&#23448;&#35299;&#37323;92-n&#24180;.htm" TargetMode="External"/><Relationship Id="rId383" Type="http://schemas.openxmlformats.org/officeDocument/2006/relationships/hyperlink" Target="https://www.6laws.net/6law/law\&#22283;&#31821;&#27861;.htm" TargetMode="External"/><Relationship Id="rId590" Type="http://schemas.openxmlformats.org/officeDocument/2006/relationships/hyperlink" Target="https://www.6laws.net/6law/law\&#20844;&#29151;&#20107;&#26989;&#31227;&#36681;&#27665;&#29151;&#26781;&#20363;.htm" TargetMode="External"/><Relationship Id="rId604" Type="http://schemas.openxmlformats.org/officeDocument/2006/relationships/hyperlink" Target="https://www.6laws.net/6law/law\&#22823;&#27861;&#23448;&#35299;&#37323;92-n&#24180;.htm" TargetMode="External"/><Relationship Id="rId811" Type="http://schemas.openxmlformats.org/officeDocument/2006/relationships/hyperlink" Target="https://udn.com/news/story/6868/2442079" TargetMode="External"/><Relationship Id="rId243" Type="http://schemas.openxmlformats.org/officeDocument/2006/relationships/hyperlink" Target="https://www.6laws.net/6law/law\&#20837;&#20986;&#22283;&#21450;&#31227;&#27665;&#27861;.htm" TargetMode="External"/><Relationship Id="rId450" Type="http://schemas.openxmlformats.org/officeDocument/2006/relationships/hyperlink" Target="https://www.6laws.net/6law/law\&#33274;&#28771;&#22320;&#21312;&#33287;&#22823;&#38520;&#22320;&#21312;&#20154;&#27665;&#38364;&#20418;&#26781;&#20363;.htm" TargetMode="External"/><Relationship Id="rId688" Type="http://schemas.openxmlformats.org/officeDocument/2006/relationships/hyperlink" Target="https://www.6laws.net/6law/law-gb\&#21453;&#20998;&#35010;&#22283;&#23478;&#27861;.htm" TargetMode="External"/><Relationship Id="rId38" Type="http://schemas.openxmlformats.org/officeDocument/2006/relationships/hyperlink" Target="https://www.6laws.net/6law/law\&#22806;&#22283;&#23560;&#26989;&#20154;&#25165;&#24310;&#25900;&#21450;&#20721;&#29992;&#27861;.htm" TargetMode="External"/><Relationship Id="rId103" Type="http://schemas.openxmlformats.org/officeDocument/2006/relationships/hyperlink" Target="https://www.6laws.net/6law/law\&#25010;&#27861;.htm" TargetMode="External"/><Relationship Id="rId310" Type="http://schemas.openxmlformats.org/officeDocument/2006/relationships/hyperlink" Target="https://www.6laws.net/6law/law\&#20837;&#20986;&#22283;&#21450;&#31227;&#27665;&#27861;.htm" TargetMode="External"/><Relationship Id="rId548" Type="http://schemas.openxmlformats.org/officeDocument/2006/relationships/hyperlink" Target="https://www.6laws.net/6law/law3\&#29518;&#21237;&#22303;&#22320;&#25152;&#26377;&#27402;&#20154;&#36774;&#29702;&#24066;&#22320;&#37325;&#21123;&#36774;&#27861;.htm" TargetMode="External"/><Relationship Id="rId755" Type="http://schemas.openxmlformats.org/officeDocument/2006/relationships/hyperlink" Target="https://www.6laws.net/6law/law2\&#20818;&#31461;&#27402;&#21033;&#20844;&#32004;.htm" TargetMode="External"/><Relationship Id="rId91" Type="http://schemas.openxmlformats.org/officeDocument/2006/relationships/hyperlink" Target="https://www.6laws.net/6law/law2\&#19990;&#30028;&#20154;&#27402;&#23459;&#35328;.htm" TargetMode="External"/><Relationship Id="rId187" Type="http://schemas.openxmlformats.org/officeDocument/2006/relationships/hyperlink" Target="https://www.6laws.net/6law/law\&#22823;&#27861;&#23448;&#35299;&#37323;92-n&#24180;.htm" TargetMode="External"/><Relationship Id="rId394" Type="http://schemas.openxmlformats.org/officeDocument/2006/relationships/hyperlink" Target="https://www.6laws.net/6law/law\&#22283;&#31821;&#27861;.htm" TargetMode="External"/><Relationship Id="rId408" Type="http://schemas.openxmlformats.org/officeDocument/2006/relationships/hyperlink" Target="https://www.6laws.net/6law/law\&#22283;&#31821;&#27861;.htm" TargetMode="External"/><Relationship Id="rId615" Type="http://schemas.openxmlformats.org/officeDocument/2006/relationships/hyperlink" Target="https://www.6laws.net/6law/law\&#22823;&#27861;&#23448;&#35299;&#37323;92-n&#24180;.htm" TargetMode="External"/><Relationship Id="rId822" Type="http://schemas.openxmlformats.org/officeDocument/2006/relationships/hyperlink" Target="http://eudo-citizenship.eu" TargetMode="External"/><Relationship Id="rId254" Type="http://schemas.openxmlformats.org/officeDocument/2006/relationships/hyperlink" Target="https://www.6laws.net/6law/law\&#25010;&#27861;.htm" TargetMode="External"/><Relationship Id="rId699" Type="http://schemas.openxmlformats.org/officeDocument/2006/relationships/hyperlink" Target="https://www.6laws.net/6law/law\&#33274;&#28771;&#22320;&#21312;&#33287;&#22823;&#38520;&#22320;&#21312;&#20154;&#27665;&#38364;&#20418;&#26781;&#20363;.htm" TargetMode="External"/><Relationship Id="rId49" Type="http://schemas.openxmlformats.org/officeDocument/2006/relationships/hyperlink" Target="https://www.6laws.net/6law/law\&#22806;&#22283;&#23560;&#26989;&#20154;&#25165;&#24310;&#25900;&#21450;&#20721;&#29992;&#27861;.htm" TargetMode="External"/><Relationship Id="rId114" Type="http://schemas.openxmlformats.org/officeDocument/2006/relationships/hyperlink" Target="https://www.6laws.net/6law/law\&#25010;&#27861;.htm" TargetMode="External"/><Relationship Id="rId461" Type="http://schemas.openxmlformats.org/officeDocument/2006/relationships/hyperlink" Target="https://www.6laws.net/6law/law2\&#19990;&#30028;&#20154;&#27402;&#23459;&#35328;.htm" TargetMode="External"/><Relationship Id="rId559" Type="http://schemas.openxmlformats.org/officeDocument/2006/relationships/hyperlink" Target="https://www.6laws.net/6law/law\&#25010;&#27861;.htm" TargetMode="External"/><Relationship Id="rId766" Type="http://schemas.openxmlformats.org/officeDocument/2006/relationships/hyperlink" Target="https://www.6laws.net/" TargetMode="External"/><Relationship Id="rId198" Type="http://schemas.openxmlformats.org/officeDocument/2006/relationships/hyperlink" Target="https://www.6laws.net/6law/law\&#22823;&#27861;&#23448;&#35299;&#37323;92-n&#24180;.htm" TargetMode="External"/><Relationship Id="rId321" Type="http://schemas.openxmlformats.org/officeDocument/2006/relationships/hyperlink" Target="https://www.6laws.net/6law/law\&#22806;&#22283;&#23560;&#26989;&#20154;&#25165;&#24310;&#25900;&#21450;&#20721;&#29992;&#27861;.htm" TargetMode="External"/><Relationship Id="rId419" Type="http://schemas.openxmlformats.org/officeDocument/2006/relationships/hyperlink" Target="https://www.6laws.net/6law/law\&#20837;&#20986;&#22283;&#21450;&#31227;&#27665;&#27861;.htm" TargetMode="External"/><Relationship Id="rId626" Type="http://schemas.openxmlformats.org/officeDocument/2006/relationships/hyperlink" Target="https://www.6laws.net/6law/law\&#25010;&#27861;.htm" TargetMode="External"/><Relationship Id="rId833" Type="http://schemas.openxmlformats.org/officeDocument/2006/relationships/hyperlink" Target="http://eudo-citizenship.eu" TargetMode="External"/><Relationship Id="rId265" Type="http://schemas.openxmlformats.org/officeDocument/2006/relationships/hyperlink" Target="https://www.6laws.net/6law/law\&#21009;&#27861;.htm" TargetMode="External"/><Relationship Id="rId472" Type="http://schemas.openxmlformats.org/officeDocument/2006/relationships/hyperlink" Target="https://www.6laws.net/6law/law\&#25010;&#27861;.htm" TargetMode="External"/><Relationship Id="rId125" Type="http://schemas.openxmlformats.org/officeDocument/2006/relationships/hyperlink" Target="https://www.6laws.net/6law/law\&#22823;&#27861;&#23448;&#35299;&#37323;92-n&#24180;.htm" TargetMode="External"/><Relationship Id="rId332" Type="http://schemas.openxmlformats.org/officeDocument/2006/relationships/hyperlink" Target="https://www.6laws.net/6law/law\&#22806;&#22283;&#23560;&#26989;&#20154;&#25165;&#24310;&#25900;&#21450;&#20721;&#29992;&#27861;.htm" TargetMode="External"/><Relationship Id="rId777" Type="http://schemas.openxmlformats.org/officeDocument/2006/relationships/hyperlink" Target="http://www.chinatimes.com/newspapers/20180226000518-260114" TargetMode="External"/><Relationship Id="rId637" Type="http://schemas.openxmlformats.org/officeDocument/2006/relationships/hyperlink" Target="https://www.6laws.net/6law/law\&#22823;&#27861;&#23448;&#35299;&#37323;92-n&#24180;.htm" TargetMode="External"/><Relationship Id="rId276" Type="http://schemas.openxmlformats.org/officeDocument/2006/relationships/hyperlink" Target="https://www.6laws.net/6law/law\&#25010;&#27861;.htm" TargetMode="External"/><Relationship Id="rId483" Type="http://schemas.openxmlformats.org/officeDocument/2006/relationships/hyperlink" Target="https://www.6laws.net/6law/law\&#22823;&#27861;&#23448;&#35299;&#37323;92-n&#24180;.htm" TargetMode="External"/><Relationship Id="rId690" Type="http://schemas.openxmlformats.org/officeDocument/2006/relationships/hyperlink" Target="https://www.6laws.net/6law/law-gb\&#21453;&#20998;&#35010;&#22283;&#23478;&#27861;.htm" TargetMode="External"/><Relationship Id="rId704" Type="http://schemas.openxmlformats.org/officeDocument/2006/relationships/hyperlink" Target="https://www.6laws.net/6law/law\&#20013;&#33775;&#27665;&#22283;&#25010;&#27861;&#22686;&#20462;&#26781;&#25991;.htm" TargetMode="External"/><Relationship Id="rId40" Type="http://schemas.openxmlformats.org/officeDocument/2006/relationships/hyperlink" Target="https://www.6laws.net/6law/law\&#22806;&#22283;&#23560;&#26989;&#20154;&#25165;&#24310;&#25900;&#21450;&#20721;&#29992;&#27861;.htm" TargetMode="External"/><Relationship Id="rId136" Type="http://schemas.openxmlformats.org/officeDocument/2006/relationships/hyperlink" Target="https://www.6laws.net/6law/law\&#25010;&#27861;.htm" TargetMode="External"/><Relationship Id="rId343" Type="http://schemas.openxmlformats.org/officeDocument/2006/relationships/image" Target="media/image13.emf"/><Relationship Id="rId550" Type="http://schemas.openxmlformats.org/officeDocument/2006/relationships/hyperlink" Target="https://www.6laws.net/6law/law3\&#29518;&#21237;&#22303;&#22320;&#25152;&#26377;&#27402;&#20154;&#36774;&#29702;&#24066;&#22320;&#37325;&#21123;&#36774;&#27861;.htm" TargetMode="External"/><Relationship Id="rId788" Type="http://schemas.openxmlformats.org/officeDocument/2006/relationships/hyperlink" Target="https://www.dgbas.gov.tw/ct.asp?xItem=41034&amp;ctNode=5624" TargetMode="External"/><Relationship Id="rId203" Type="http://schemas.openxmlformats.org/officeDocument/2006/relationships/hyperlink" Target="https://www.6laws.net/6law/law\&#25010;&#27861;.htm" TargetMode="External"/><Relationship Id="rId648" Type="http://schemas.openxmlformats.org/officeDocument/2006/relationships/hyperlink" Target="https://www.6laws.net/6law/law\&#25010;&#27861;.htm" TargetMode="External"/><Relationship Id="rId287" Type="http://schemas.openxmlformats.org/officeDocument/2006/relationships/hyperlink" Target="https://www.6laws.net/6law/law\&#20837;&#20986;&#22283;&#21450;&#31227;&#27665;&#27861;.htm" TargetMode="External"/><Relationship Id="rId410" Type="http://schemas.openxmlformats.org/officeDocument/2006/relationships/hyperlink" Target="https://www.6laws.net/6law/law\&#20491;&#20154;&#36039;&#26009;&#20445;&#35703;&#27861;.htm" TargetMode="External"/><Relationship Id="rId494" Type="http://schemas.openxmlformats.org/officeDocument/2006/relationships/hyperlink" Target="https://www.6laws.net/6law/law\&#22823;&#27861;&#23448;&#35299;&#37323;92-n&#24180;.htm" TargetMode="External"/><Relationship Id="rId508" Type="http://schemas.openxmlformats.org/officeDocument/2006/relationships/hyperlink" Target="https://www.6laws.net/6law/law\&#22823;&#27861;&#23448;&#35299;&#37323;92-n&#24180;.htm" TargetMode="External"/><Relationship Id="rId715" Type="http://schemas.openxmlformats.org/officeDocument/2006/relationships/hyperlink" Target="https://www.6laws.net/6law/law3\&#36328;&#22283;&#20225;&#26989;&#20839;&#37096;&#35519;&#21205;&#20043;&#22823;&#38520;&#22320;&#21312;&#20154;&#27665;&#30003;&#35531;&#20358;&#33274;&#26381;&#21209;&#35377;&#21487;&#36774;&#27861;.htm" TargetMode="External"/><Relationship Id="rId147" Type="http://schemas.openxmlformats.org/officeDocument/2006/relationships/hyperlink" Target="https://www.6laws.net/6law/law\&#21009;&#20107;&#35380;&#35359;&#27861;.htm" TargetMode="External"/><Relationship Id="rId354" Type="http://schemas.openxmlformats.org/officeDocument/2006/relationships/hyperlink" Target="https://www.6laws.net/6law/law\&#20837;&#20986;&#22283;&#21450;&#31227;&#27665;&#27861;.htm" TargetMode="External"/><Relationship Id="rId799" Type="http://schemas.openxmlformats.org/officeDocument/2006/relationships/hyperlink" Target="https://www.ndc.gov.tw/cp.aspx?n=43E064AE4DB3FD96&amp;upn=83E8E2C85878BB68" TargetMode="External"/><Relationship Id="rId51" Type="http://schemas.openxmlformats.org/officeDocument/2006/relationships/hyperlink" Target="https://www.6laws.net/6law/law\&#22806;&#22283;&#23560;&#26989;&#20154;&#25165;&#24310;&#25900;&#21450;&#20721;&#29992;&#27861;.htm" TargetMode="External"/><Relationship Id="rId561" Type="http://schemas.openxmlformats.org/officeDocument/2006/relationships/hyperlink" Target="https://www.6laws.net/6law/law\&#22823;&#27861;&#23448;&#35299;&#37323;92-n&#24180;.htm" TargetMode="External"/><Relationship Id="rId659" Type="http://schemas.openxmlformats.org/officeDocument/2006/relationships/hyperlink" Target="https://www.6laws.net/6law/law\&#22823;&#27861;&#23448;&#35299;&#37323;92-n&#24180;.htm" TargetMode="External"/><Relationship Id="rId214" Type="http://schemas.openxmlformats.org/officeDocument/2006/relationships/hyperlink" Target="https://www.6laws.net/6law/law\&#20837;&#20986;&#22283;&#21450;&#31227;&#27665;&#27861;.htm" TargetMode="External"/><Relationship Id="rId298" Type="http://schemas.openxmlformats.org/officeDocument/2006/relationships/hyperlink" Target="https://www.6laws.net/6law/law3\&#22806;&#22283;&#20154;&#30003;&#35531;&#27704;&#20037;&#23621;&#30041;&#26696;&#20214;&#23529;&#26597;&#22522;&#28310;.htm" TargetMode="External"/><Relationship Id="rId421" Type="http://schemas.openxmlformats.org/officeDocument/2006/relationships/hyperlink" Target="https://www.6laws.net/6law/law3\&#22806;&#22283;&#20154;&#24478;&#20107;&#23601;&#26989;&#26381;&#21209;&#27861;&#31532;&#22235;&#21313;&#20845;&#26781;&#31532;&#19968;&#38917;&#31532;&#19968;&#27454;&#33267;&#31532;&#20845;&#27454;&#24037;&#20316;&#36039;&#26684;&#21450;&#23529;&#26597;&#27161;&#28310;.htm" TargetMode="External"/><Relationship Id="rId519" Type="http://schemas.openxmlformats.org/officeDocument/2006/relationships/hyperlink" Target="https://www.6laws.net/6law/law\&#22823;&#27861;&#23448;&#35299;&#37323;92-n&#24180;.htm" TargetMode="External"/><Relationship Id="rId158" Type="http://schemas.openxmlformats.org/officeDocument/2006/relationships/hyperlink" Target="https://www.6laws.net/6law/law\&#22823;&#27861;&#23448;&#35299;&#37323;87-91&#24180;.htm" TargetMode="External"/><Relationship Id="rId726" Type="http://schemas.openxmlformats.org/officeDocument/2006/relationships/image" Target="media/image17.emf"/><Relationship Id="rId62" Type="http://schemas.openxmlformats.org/officeDocument/2006/relationships/hyperlink" Target="https://www.6laws.net/6law/law\&#22806;&#22283;&#23560;&#26989;&#20154;&#25165;&#24310;&#25900;&#21450;&#20721;&#29992;&#27861;.htm" TargetMode="External"/><Relationship Id="rId365" Type="http://schemas.openxmlformats.org/officeDocument/2006/relationships/hyperlink" Target="https://www.6laws.net/6law/law\&#20837;&#20986;&#22283;&#21450;&#31227;&#27665;&#27861;.htm" TargetMode="External"/><Relationship Id="rId572" Type="http://schemas.openxmlformats.org/officeDocument/2006/relationships/hyperlink" Target="https://www.6laws.net/6law/law\&#22823;&#27861;&#23448;&#35299;&#37323;92-n&#24180;.htm" TargetMode="External"/><Relationship Id="rId225" Type="http://schemas.openxmlformats.org/officeDocument/2006/relationships/hyperlink" Target="https://www.6laws.net/6law/law\&#22823;&#27861;&#23448;&#35299;&#37323;92-n&#24180;.htm" TargetMode="External"/><Relationship Id="rId432" Type="http://schemas.openxmlformats.org/officeDocument/2006/relationships/hyperlink" Target="http://www.immigration.gov.tw/%20lp.asp?ctNode=29699&amp;CtUnit=16434&amp;BaseDSD=7&amp;mp=1" TargetMode="External"/><Relationship Id="rId737" Type="http://schemas.openxmlformats.org/officeDocument/2006/relationships/hyperlink" Target="https://www.6laws.net/6law/law\&#25010;&#27861;.htm" TargetMode="External"/><Relationship Id="rId73" Type="http://schemas.openxmlformats.org/officeDocument/2006/relationships/hyperlink" Target="https://www.6laws.net/6law/law\&#25010;&#27861;.htm" TargetMode="External"/><Relationship Id="rId169" Type="http://schemas.openxmlformats.org/officeDocument/2006/relationships/hyperlink" Target="https://www.6laws.net/6law/law\&#22823;&#27861;&#23448;&#35299;&#37323;92-n&#24180;.htm" TargetMode="External"/><Relationship Id="rId376" Type="http://schemas.openxmlformats.org/officeDocument/2006/relationships/hyperlink" Target="https://www.6laws.net/6law/law\&#23601;&#26989;&#26381;&#21209;&#27861;.htm" TargetMode="External"/><Relationship Id="rId583" Type="http://schemas.openxmlformats.org/officeDocument/2006/relationships/hyperlink" Target="https://www.6laws.net/6law/law\&#25010;&#27861;.htm" TargetMode="External"/><Relationship Id="rId790" Type="http://schemas.openxmlformats.org/officeDocument/2006/relationships/hyperlink" Target="https://www.ndc.gov.tw/News7.aspx?n=5F5662157BC98A7D" TargetMode="External"/><Relationship Id="rId804" Type="http://schemas.openxmlformats.org/officeDocument/2006/relationships/hyperlink" Target="https://www.immigration.gov.tw/lp.asp?ctNode=29699&amp;CtUnit=16434&amp;BaseDSD=7&amp;mp=1" TargetMode="External"/><Relationship Id="rId4" Type="http://schemas.openxmlformats.org/officeDocument/2006/relationships/settings" Target="settings.xml"/><Relationship Id="rId236" Type="http://schemas.openxmlformats.org/officeDocument/2006/relationships/hyperlink" Target="https://www.6laws.net/6law/law\&#22823;&#27861;&#23448;&#35299;&#37323;92-n&#24180;.htm" TargetMode="External"/><Relationship Id="rId443" Type="http://schemas.openxmlformats.org/officeDocument/2006/relationships/hyperlink" Target="https://www.6laws.net/6law/law\&#20837;&#20986;&#22283;&#21450;&#31227;&#27665;&#27861;.htm" TargetMode="External"/><Relationship Id="rId650" Type="http://schemas.openxmlformats.org/officeDocument/2006/relationships/hyperlink" Target="https://www.6laws.net/6law/law\&#25010;&#27861;.htm" TargetMode="External"/><Relationship Id="rId303" Type="http://schemas.openxmlformats.org/officeDocument/2006/relationships/hyperlink" Target="https://www.6laws.net/6law/law3\&#22806;&#22283;&#20154;&#20572;&#30041;&#23621;&#30041;&#21450;&#27704;&#20037;&#23621;&#30041;&#36774;&#27861;.htm" TargetMode="External"/><Relationship Id="rId748" Type="http://schemas.openxmlformats.org/officeDocument/2006/relationships/hyperlink" Target="https://www.6laws.net/6law/law\&#25010;&#27861;.htm" TargetMode="External"/><Relationship Id="rId84" Type="http://schemas.openxmlformats.org/officeDocument/2006/relationships/hyperlink" Target="https://www.6laws.net/6law/law\&#22823;&#27861;&#23448;&#35299;&#37323;92-n&#24180;.htm" TargetMode="External"/><Relationship Id="rId387" Type="http://schemas.openxmlformats.org/officeDocument/2006/relationships/hyperlink" Target="https://www.6laws.net/6law/law\&#22283;&#31821;&#27861;.htm" TargetMode="External"/><Relationship Id="rId510" Type="http://schemas.openxmlformats.org/officeDocument/2006/relationships/hyperlink" Target="https://www.6laws.net/6law/law\&#22823;&#27861;&#23448;&#35299;&#37323;92-n&#24180;.htm" TargetMode="External"/><Relationship Id="rId594" Type="http://schemas.openxmlformats.org/officeDocument/2006/relationships/hyperlink" Target="https://www.6laws.net/6law/law\&#25010;&#27861;.htm" TargetMode="External"/><Relationship Id="rId608" Type="http://schemas.openxmlformats.org/officeDocument/2006/relationships/hyperlink" Target="https://www.6laws.net/6law/law\&#25010;&#27861;.htm" TargetMode="External"/><Relationship Id="rId815" Type="http://schemas.openxmlformats.org/officeDocument/2006/relationships/hyperlink" Target="https://zh.wikipedia.org/zh-tw/%E5%8F%B0%E7%81%A3%E7%B6%93%E6%BF%9F%E5%8F%B2" TargetMode="External"/><Relationship Id="rId247" Type="http://schemas.openxmlformats.org/officeDocument/2006/relationships/hyperlink" Target="https://www.6laws.net/6law/law\&#25010;&#27861;.htm" TargetMode="External"/><Relationship Id="rId107" Type="http://schemas.openxmlformats.org/officeDocument/2006/relationships/hyperlink" Target="https://www.6laws.net/6law/law\&#22823;&#27861;&#23448;&#35299;&#37323;79-86&#24180;.htm" TargetMode="External"/><Relationship Id="rId454" Type="http://schemas.openxmlformats.org/officeDocument/2006/relationships/hyperlink" Target="https://www.6laws.net/6law/law\&#33274;&#28771;&#22320;&#21312;&#33287;&#22823;&#38520;&#22320;&#21312;&#20154;&#27665;&#38364;&#20418;&#26781;&#20363;.htm" TargetMode="External"/><Relationship Id="rId661" Type="http://schemas.openxmlformats.org/officeDocument/2006/relationships/hyperlink" Target="https://www.6laws.net/6law/law\&#22283;&#31821;&#27861;.htm" TargetMode="External"/><Relationship Id="rId759" Type="http://schemas.openxmlformats.org/officeDocument/2006/relationships/hyperlink" Target="http://www.setn.com/News.aspx?NewsID=353284" TargetMode="External"/><Relationship Id="rId11" Type="http://schemas.openxmlformats.org/officeDocument/2006/relationships/image" Target="media/image3.jpeg"/><Relationship Id="rId314" Type="http://schemas.openxmlformats.org/officeDocument/2006/relationships/hyperlink" Target="https://www.6laws.net/6law/law3\&#22806;&#22283;&#20154;&#24478;&#20107;&#23601;&#26989;&#26381;&#21209;&#27861;&#31532;&#22235;&#21313;&#20845;&#26781;&#31532;&#19968;&#38917;&#31532;&#19968;&#27454;&#33267;&#31532;&#20845;&#27454;&#24037;&#20316;&#36039;&#26684;&#21450;&#23529;&#26597;&#27161;&#28310;.htm" TargetMode="External"/><Relationship Id="rId398" Type="http://schemas.openxmlformats.org/officeDocument/2006/relationships/hyperlink" Target="https://www.6laws.net/6law/law\&#31038;&#26371;&#31209;&#24207;&#32173;&#35703;&#27861;.htm" TargetMode="External"/><Relationship Id="rId521" Type="http://schemas.openxmlformats.org/officeDocument/2006/relationships/hyperlink" Target="https://www.6laws.net/6law/law\&#22823;&#27861;&#23448;&#35299;&#37323;92-n&#24180;.htm" TargetMode="External"/><Relationship Id="rId619" Type="http://schemas.openxmlformats.org/officeDocument/2006/relationships/hyperlink" Target="https://www.6laws.net/6law/law\&#22823;&#27861;&#23448;&#35299;&#37323;92-n&#24180;.htm" TargetMode="External"/><Relationship Id="rId95" Type="http://schemas.openxmlformats.org/officeDocument/2006/relationships/hyperlink" Target="https://www.6laws.net/6law/law2\&#28040;&#38500;&#23565;&#23142;&#22899;&#19968;&#20999;&#24418;&#24335;&#27495;&#35222;&#20844;&#32004;.htm" TargetMode="External"/><Relationship Id="rId160" Type="http://schemas.openxmlformats.org/officeDocument/2006/relationships/hyperlink" Target="https://www.6laws.net/6law/law\&#32901;&#28165;&#29017;&#27602;&#26781;&#20363;.htm" TargetMode="External"/><Relationship Id="rId826" Type="http://schemas.openxmlformats.org/officeDocument/2006/relationships/hyperlink" Target="http://www.immigration.go.kr/HP/%20COM/bbs_03/ShowData.do" TargetMode="External"/><Relationship Id="rId258" Type="http://schemas.openxmlformats.org/officeDocument/2006/relationships/hyperlink" Target="https://www.6laws.net/6law/law\&#21009;&#27861;.htm" TargetMode="External"/><Relationship Id="rId465" Type="http://schemas.openxmlformats.org/officeDocument/2006/relationships/hyperlink" Target="https://www.6laws.net/6law/law2\&#20844;&#27665;&#33287;&#25919;&#27835;&#27402;&#21033;&#22283;&#38555;&#20844;&#32004;.htm" TargetMode="External"/><Relationship Id="rId672" Type="http://schemas.openxmlformats.org/officeDocument/2006/relationships/hyperlink" Target="https://www.6laws.net/6law/law\&#21009;&#27861;.htm" TargetMode="External"/><Relationship Id="rId22" Type="http://schemas.openxmlformats.org/officeDocument/2006/relationships/hyperlink" Target="https://www.6laws.net/6law/law3\&#27512;&#21270;&#22283;&#31821;&#20043;&#39640;&#32026;&#23560;&#26989;&#20154;&#25165;&#35469;&#23450;&#27161;&#28310;.htm" TargetMode="External"/><Relationship Id="rId118" Type="http://schemas.openxmlformats.org/officeDocument/2006/relationships/hyperlink" Target="https://www.6laws.net/6law/law\&#21009;&#20107;&#35380;&#35359;&#27861;.htm" TargetMode="External"/><Relationship Id="rId325" Type="http://schemas.openxmlformats.org/officeDocument/2006/relationships/hyperlink" Target="https://www.6laws.net/6law/law\&#22806;&#22283;&#23560;&#26989;&#20154;&#25165;&#24310;&#25900;&#21450;&#20721;&#29992;&#27861;.htm" TargetMode="External"/><Relationship Id="rId532" Type="http://schemas.openxmlformats.org/officeDocument/2006/relationships/hyperlink" Target="https://www.6laws.net/6law/law\&#36008;&#29289;&#31237;&#26781;&#20363;.htm" TargetMode="External"/><Relationship Id="rId171" Type="http://schemas.openxmlformats.org/officeDocument/2006/relationships/hyperlink" Target="https://www.6laws.net/6law/law\&#22823;&#27861;&#23448;&#35299;&#37323;92-n&#24180;.htm" TargetMode="External"/><Relationship Id="rId837" Type="http://schemas.openxmlformats.org/officeDocument/2006/relationships/hyperlink" Target="http://en.m.wikipedia.org/wiki/Elections_%20in_Sweden" TargetMode="External"/><Relationship Id="rId269" Type="http://schemas.openxmlformats.org/officeDocument/2006/relationships/hyperlink" Target="https://www.6laws.net/6law/law\&#25010;&#27861;.htm" TargetMode="External"/><Relationship Id="rId476" Type="http://schemas.openxmlformats.org/officeDocument/2006/relationships/hyperlink" Target="https://www.6laws.net/6law/law\&#25010;&#27861;.htm" TargetMode="External"/><Relationship Id="rId683" Type="http://schemas.openxmlformats.org/officeDocument/2006/relationships/hyperlink" Target="https://www.6laws.net/6law/law\&#21496;&#27861;&#38498;&#22823;&#27861;&#23448;&#23529;&#29702;&#26696;&#20214;&#27861;.htm" TargetMode="External"/><Relationship Id="rId33" Type="http://schemas.openxmlformats.org/officeDocument/2006/relationships/image" Target="media/image9.png"/><Relationship Id="rId129" Type="http://schemas.openxmlformats.org/officeDocument/2006/relationships/hyperlink" Target="https://www.6laws.net/6law/law\&#25010;&#27861;.htm" TargetMode="External"/><Relationship Id="rId336" Type="http://schemas.openxmlformats.org/officeDocument/2006/relationships/hyperlink" Target="https://www.6laws.net/6law/law\&#22806;&#22283;&#23560;&#26989;&#20154;&#25165;&#24310;&#25900;&#21450;&#20721;&#29992;&#27861;.htm" TargetMode="External"/><Relationship Id="rId543" Type="http://schemas.openxmlformats.org/officeDocument/2006/relationships/hyperlink" Target="https://www.6laws.net/6law/law\&#22823;&#27861;&#23448;&#35299;&#37323;92-n&#24180;.htm" TargetMode="External"/><Relationship Id="rId182" Type="http://schemas.openxmlformats.org/officeDocument/2006/relationships/hyperlink" Target="https://www.6laws.net/6law/law\&#22823;&#27861;&#23448;&#35299;&#37323;92-n&#24180;.htm" TargetMode="External"/><Relationship Id="rId403" Type="http://schemas.openxmlformats.org/officeDocument/2006/relationships/hyperlink" Target="https://www.6laws.net/6law/law\&#22283;&#31821;&#27861;.htm" TargetMode="External"/><Relationship Id="rId750" Type="http://schemas.openxmlformats.org/officeDocument/2006/relationships/hyperlink" Target="https://www.6laws.net/6law/law2\&#19990;&#30028;&#20154;&#27402;&#23459;&#35328;.htm" TargetMode="External"/><Relationship Id="rId487" Type="http://schemas.openxmlformats.org/officeDocument/2006/relationships/hyperlink" Target="https://www.6laws.net/6law/law\&#22823;&#27861;&#23448;&#35299;&#37323;92-n&#24180;.htm" TargetMode="External"/><Relationship Id="rId610" Type="http://schemas.openxmlformats.org/officeDocument/2006/relationships/hyperlink" Target="https://www.6laws.net/6law/law\&#25010;&#27861;.htm" TargetMode="External"/><Relationship Id="rId694" Type="http://schemas.openxmlformats.org/officeDocument/2006/relationships/hyperlink" Target="https://www.6laws.net/6law/law\&#25010;&#27861;.htm" TargetMode="External"/><Relationship Id="rId708" Type="http://schemas.openxmlformats.org/officeDocument/2006/relationships/hyperlink" Target="https://www.6laws.net/6law/law3\&#22823;&#38520;&#22320;&#21312;&#23560;&#26989;&#20154;&#22763;&#20358;&#33274;&#24478;&#20107;&#23560;&#26989;&#27963;&#21205;&#35377;&#21487;&#36774;&#27861;.htm" TargetMode="External"/><Relationship Id="rId347" Type="http://schemas.openxmlformats.org/officeDocument/2006/relationships/hyperlink" Target="https://www.6laws.net/6law/law\&#20837;&#20986;&#22283;&#21450;&#31227;&#27665;&#27861;.htm" TargetMode="External"/><Relationship Id="rId44" Type="http://schemas.openxmlformats.org/officeDocument/2006/relationships/hyperlink" Target="https://www.6laws.net/6law/law\&#20837;&#20986;&#22283;&#21450;&#31227;&#27665;&#27861;.htm" TargetMode="External"/><Relationship Id="rId554" Type="http://schemas.openxmlformats.org/officeDocument/2006/relationships/hyperlink" Target="https://www.6laws.net/6law/law\&#25010;&#27861;.htm" TargetMode="External"/><Relationship Id="rId761" Type="http://schemas.openxmlformats.org/officeDocument/2006/relationships/hyperlink" Target="https://www.6laws.net/" TargetMode="External"/><Relationship Id="rId193" Type="http://schemas.openxmlformats.org/officeDocument/2006/relationships/hyperlink" Target="https://www.6laws.net/6law/law\&#22823;&#27861;&#23448;&#35299;&#37323;92-n&#24180;.htm" TargetMode="External"/><Relationship Id="rId207" Type="http://schemas.openxmlformats.org/officeDocument/2006/relationships/hyperlink" Target="https://www.6laws.net/6law/law\&#20837;&#20986;&#22283;&#21450;&#31227;&#27665;&#27861;.htm" TargetMode="External"/><Relationship Id="rId414" Type="http://schemas.openxmlformats.org/officeDocument/2006/relationships/hyperlink" Target="https://www.6laws.net/6law/law\&#20837;&#20986;&#22283;&#21450;&#31227;&#27665;&#27861;.htm" TargetMode="External"/><Relationship Id="rId498" Type="http://schemas.openxmlformats.org/officeDocument/2006/relationships/hyperlink" Target="https://www.6laws.net/6law/law\&#25010;&#27861;.htm" TargetMode="External"/><Relationship Id="rId621" Type="http://schemas.openxmlformats.org/officeDocument/2006/relationships/hyperlink" Target="https://www.6laws.net/6law/law\&#22823;&#27861;&#23448;&#35299;&#37323;92-n&#24180;.htm" TargetMode="External"/><Relationship Id="rId260" Type="http://schemas.openxmlformats.org/officeDocument/2006/relationships/hyperlink" Target="https://www.6laws.net/6law/law\&#21009;&#27861;.htm" TargetMode="External"/><Relationship Id="rId719" Type="http://schemas.openxmlformats.org/officeDocument/2006/relationships/hyperlink" Target="https://www.6laws.net/6law/law\&#20837;&#20986;&#22283;&#21450;&#31227;&#27665;&#27861;.htm" TargetMode="External"/><Relationship Id="rId55" Type="http://schemas.openxmlformats.org/officeDocument/2006/relationships/hyperlink" Target="https://www.6laws.net/6law/law\&#23601;&#26989;&#26381;&#21209;&#27861;.htm" TargetMode="External"/><Relationship Id="rId120" Type="http://schemas.openxmlformats.org/officeDocument/2006/relationships/hyperlink" Target="https://www.6laws.net/6law/law\&#21009;&#20107;&#35380;&#35359;&#27861;.htm" TargetMode="External"/><Relationship Id="rId358" Type="http://schemas.openxmlformats.org/officeDocument/2006/relationships/hyperlink" Target="https://www.6laws.net/6law/law\&#22806;&#22283;&#23560;&#26989;&#20154;&#25165;&#24310;&#25900;&#21450;&#20721;&#29992;&#27861;.htm" TargetMode="External"/><Relationship Id="rId565" Type="http://schemas.openxmlformats.org/officeDocument/2006/relationships/hyperlink" Target="https://www.6laws.net/6law/law\&#25010;&#27861;.htm" TargetMode="External"/><Relationship Id="rId772" Type="http://schemas.openxmlformats.org/officeDocument/2006/relationships/hyperlink" Target="https://www.6laws.net/" TargetMode="External"/><Relationship Id="rId218" Type="http://schemas.openxmlformats.org/officeDocument/2006/relationships/hyperlink" Target="https://www.6laws.net/6law/law\&#20837;&#20986;&#22283;&#21450;&#31227;&#27665;&#27861;.htm" TargetMode="External"/><Relationship Id="rId425" Type="http://schemas.openxmlformats.org/officeDocument/2006/relationships/hyperlink" Target="https://www.6laws.net/6law/law\&#20837;&#20986;&#22283;&#21450;&#31227;&#27665;&#27861;.htm" TargetMode="External"/><Relationship Id="rId632" Type="http://schemas.openxmlformats.org/officeDocument/2006/relationships/hyperlink" Target="https://www.6laws.net/6law/law\&#22823;&#27861;&#23448;&#35299;&#37323;92-n&#24180;.htm"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ey.gov.tw/Page/9277F759E41CCD91/a351bde1-50bc-47b7-bbe9-fdf5c4cbd4e9" TargetMode="External"/><Relationship Id="rId21" Type="http://schemas.openxmlformats.org/officeDocument/2006/relationships/hyperlink" Target="https://www.ndc.gov.tw/Content_List.aspx?n=E61E31EE6FB10140&amp;upn=0A078649EEC83462" TargetMode="External"/><Relationship Id="rId42" Type="http://schemas.openxmlformats.org/officeDocument/2006/relationships/hyperlink" Target="https://www.ndc.gov.tw/Content_List.aspx?n=9A220CB77D7F4178&amp;upn=044D10B93AFA1714" TargetMode="External"/><Relationship Id="rId63" Type="http://schemas.openxmlformats.org/officeDocument/2006/relationships/hyperlink" Target="http://terms.naer.edu.tw/detail/1310655/" TargetMode="External"/><Relationship Id="rId84" Type="http://schemas.openxmlformats.org/officeDocument/2006/relationships/hyperlink" Target="http://www.rjsd.moj.gov.tw/rjsdweb/" TargetMode="External"/><Relationship Id="rId138" Type="http://schemas.openxmlformats.org/officeDocument/2006/relationships/hyperlink" Target="http://news.ltn.com.tw/news/politics/breakingnews/2303145" TargetMode="External"/><Relationship Id="rId159" Type="http://schemas.openxmlformats.org/officeDocument/2006/relationships/hyperlink" Target="http://www.mps.gov.cn/n16/n84147/n84211/n84288/n398967/3942618.html" TargetMode="External"/><Relationship Id="rId170" Type="http://schemas.openxmlformats.org/officeDocument/2006/relationships/hyperlink" Target="http://www.CRNTT.com" TargetMode="External"/><Relationship Id="rId107" Type="http://schemas.openxmlformats.org/officeDocument/2006/relationships/hyperlink" Target="http://www.immi.gov.au/Search/Pages/Results.aspx?k=point%20system" TargetMode="External"/><Relationship Id="rId11" Type="http://schemas.openxmlformats.org/officeDocument/2006/relationships/hyperlink" Target="http://news.ltn.com.tw/news/focus/paper/1157338" TargetMode="External"/><Relationship Id="rId32" Type="http://schemas.openxmlformats.org/officeDocument/2006/relationships/hyperlink" Target="https://www.npf.org.tw/printfriendly/18196" TargetMode="External"/><Relationship Id="rId53" Type="http://schemas.openxmlformats.org/officeDocument/2006/relationships/hyperlink" Target="https://www.stat.gov.tw/mp.asp?mp=4" TargetMode="External"/><Relationship Id="rId74" Type="http://schemas.openxmlformats.org/officeDocument/2006/relationships/hyperlink" Target="https://www.stat.gov.tw/mp.asp?mp=4" TargetMode="External"/><Relationship Id="rId128" Type="http://schemas.openxmlformats.org/officeDocument/2006/relationships/hyperlink" Target="http://webcache.googleusercontent.com/search?q=cache:gwfUELdUzosJ:www.econ.sinica.edu.tw/webtools/thumbnail/download//%3Ffd%3D2013092817171360825_PDoc%26Pname%3D%25E7%25B6%2593%25E6%25BF%259F%25E5%25B9%25B4%25E9%2591%2591%25E5%25B0%2588%25E8%25AB%2596_sc.pdf+&amp;cd=5&amp;hl=zh-TW&amp;ct=clnk&amp;gl=tw" TargetMode="External"/><Relationship Id="rId149" Type="http://schemas.openxmlformats.org/officeDocument/2006/relationships/hyperlink" Target="http://www.mac.gov.tw/" TargetMode="External"/><Relationship Id="rId5" Type="http://schemas.openxmlformats.org/officeDocument/2006/relationships/hyperlink" Target="https://udn.com/news/story/11311/3005404" TargetMode="External"/><Relationship Id="rId95" Type="http://schemas.openxmlformats.org/officeDocument/2006/relationships/hyperlink" Target="http://www.cic.gc.ca/english/immigrate/skilled/language-testing.asp" TargetMode="External"/><Relationship Id="rId160" Type="http://schemas.openxmlformats.org/officeDocument/2006/relationships/hyperlink" Target="http://www.mps.gov.cn/n16/n84147/%20n84196/4009433.html" TargetMode="External"/><Relationship Id="rId22" Type="http://schemas.openxmlformats.org/officeDocument/2006/relationships/hyperlink" Target="http://www.chinatimes.com/realtimenews/20180227001898-260405" TargetMode="External"/><Relationship Id="rId43" Type="http://schemas.openxmlformats.org/officeDocument/2006/relationships/hyperlink" Target="https://udn.com/news/story/11316/2830062" TargetMode="External"/><Relationship Id="rId64" Type="http://schemas.openxmlformats.org/officeDocument/2006/relationships/hyperlink" Target="http://terms.naer.edu.tw/search/?q=au:%22&#29579;&#20445;&#36914;%22" TargetMode="External"/><Relationship Id="rId118" Type="http://schemas.openxmlformats.org/officeDocument/2006/relationships/hyperlink" Target="https://www.slideshare.net/OpenMic1/20180515" TargetMode="External"/><Relationship Id="rId139" Type="http://schemas.openxmlformats.org/officeDocument/2006/relationships/hyperlink" Target="https://tw.news.yahoo.com/%E6%9E%97%E8%90%AC%E5%84%84-%E9%95%B7%E7%85%A72-0%E8%A6%81%E9%99%8D%E6%A9%9F%E6%A7%8B%E6%AF%94%E7%8E%87-131328223.html" TargetMode="External"/><Relationship Id="rId85" Type="http://schemas.openxmlformats.org/officeDocument/2006/relationships/hyperlink" Target="https://www.tahr.org.tw/" TargetMode="External"/><Relationship Id="rId150" Type="http://schemas.openxmlformats.org/officeDocument/2006/relationships/hyperlink" Target="http://www.immigration.gov.tw/np.asp?ctNode=29698&amp;mp=1" TargetMode="External"/><Relationship Id="rId12" Type="http://schemas.openxmlformats.org/officeDocument/2006/relationships/hyperlink" Target="http://www.chinatimes.com/newspapers/20171122000891-260202" TargetMode="External"/><Relationship Id="rId33" Type="http://schemas.openxmlformats.org/officeDocument/2006/relationships/hyperlink" Target="https://www.ndc.gov.tw/News7.aspx?n=5F5662157BC98A7D" TargetMode="External"/><Relationship Id="rId108" Type="http://schemas.openxmlformats.org/officeDocument/2006/relationships/hyperlink" Target="http://webcache.googleusercontent.com/search?q=cache:HMEJpzj08uAJ:www.moi.gov.tw/chi/chi_faq/faq_detail.aspx%3Ft%3D2%26n%3D4646%26p%3D4%26f%3D10+&amp;cd=9&amp;hl=zh-TW&amp;ct=clnk&amp;gl=tw" TargetMode="External"/><Relationship Id="rId129" Type="http://schemas.openxmlformats.org/officeDocument/2006/relationships/hyperlink" Target="http://www.taiwanncf.org.tw/ttforum/44/44-05.pdf" TargetMode="External"/><Relationship Id="rId54" Type="http://schemas.openxmlformats.org/officeDocument/2006/relationships/hyperlink" Target="https://www.stat.gov.tw/mp.asp?mp=4" TargetMode="External"/><Relationship Id="rId70" Type="http://schemas.openxmlformats.org/officeDocument/2006/relationships/hyperlink" Target="https://www.stat.gov.tw/mp.asp?mp=4" TargetMode="External"/><Relationship Id="rId75" Type="http://schemas.openxmlformats.org/officeDocument/2006/relationships/hyperlink" Target="https://www.stat.gov.tw/mp.asp?mp=4" TargetMode="External"/><Relationship Id="rId91" Type="http://schemas.openxmlformats.org/officeDocument/2006/relationships/hyperlink" Target="http://163.17.79.102/ebintra/concise/content.aspx?id=16861&amp;hash=ghXA6%2bJRJuNP1RbwbR8D%2bA%3d%3d&amp;t=3" TargetMode="External"/><Relationship Id="rId96" Type="http://schemas.openxmlformats.org/officeDocument/2006/relationships/hyperlink" Target="http://www.cic.gc.ca/english/immigrate/trades/apply-who.asp" TargetMode="External"/><Relationship Id="rId140" Type="http://schemas.openxmlformats.org/officeDocument/2006/relationships/hyperlink" Target="http://tw.news.yahoo.com/%E5%AD%B8%E6%AD%B7%E8%AA%8D%E8%AD%89%E9%98%BB%E7%A4%99-%E6%96%B0%E7%A7%BB%E6%B0%91%E6%B1%82%E5%AD%B8%E8%89%B1%E8%BE%9B-143437991.html" TargetMode="External"/><Relationship Id="rId145" Type="http://schemas.openxmlformats.org/officeDocument/2006/relationships/hyperlink" Target="http://www.mod.go.jp/j/publication/wp/wp2013/pc/2013/index.html" TargetMode="External"/><Relationship Id="rId161" Type="http://schemas.openxmlformats.org/officeDocument/2006/relationships/hyperlink" Target="http://www.ntdtv.com.tw/b5/20171121/video/209951.html?%E5%8F%B0%E7%81%A3%E4%BA%BA%E6%89%8D%E6%B5%81%E5%A4%B1%E6%88%90%E9%9A%B1%E6%86%82%20%E5%AD%B8%E8%80%85%EF%BC%9A%E4%BD%8E%E8%96%AA%E7%82%BA%E4%B8%BB%E5%9B%A0" TargetMode="External"/><Relationship Id="rId166" Type="http://schemas.openxmlformats.org/officeDocument/2006/relationships/hyperlink" Target="http://www.CRNTT.com" TargetMode="External"/><Relationship Id="rId1" Type="http://schemas.openxmlformats.org/officeDocument/2006/relationships/hyperlink" Target="https://nfap.com/wp-content/uploads/2017/10/Immigrants-and-Nobel-Prizes-1901-to-2017.NFAP-Policy-Brief.October-20171.pdf" TargetMode="External"/><Relationship Id="rId6" Type="http://schemas.openxmlformats.org/officeDocument/2006/relationships/hyperlink" Target="https://www.ndc.gov.tw/Content_List.aspx?n=E61E31EE6FB10140&amp;upn=0A078649EEC83462" TargetMode="External"/><Relationship Id="rId23" Type="http://schemas.openxmlformats.org/officeDocument/2006/relationships/hyperlink" Target="http://www.setn.com/News.aspx?NewsID=353284" TargetMode="External"/><Relationship Id="rId28" Type="http://schemas.openxmlformats.org/officeDocument/2006/relationships/hyperlink" Target="https://www.ndc.gov.tw/cp.aspx?n=43E064AE4DB3FD96&amp;upn=83E8E2C85878BB68" TargetMode="External"/><Relationship Id="rId49" Type="http://schemas.openxmlformats.org/officeDocument/2006/relationships/hyperlink" Target="https://www.stat.gov.tw/mp.asp?mp=4" TargetMode="External"/><Relationship Id="rId114" Type="http://schemas.openxmlformats.org/officeDocument/2006/relationships/hyperlink" Target="https://foreigntalentact.ndc.gov.tw" TargetMode="External"/><Relationship Id="rId119" Type="http://schemas.openxmlformats.org/officeDocument/2006/relationships/hyperlink" Target="https://www.slideshare.net/OpenMic1/20180515" TargetMode="External"/><Relationship Id="rId44" Type="http://schemas.openxmlformats.org/officeDocument/2006/relationships/hyperlink" Target="http://blog.udn.com/geshela/18353520" TargetMode="External"/><Relationship Id="rId60" Type="http://schemas.openxmlformats.org/officeDocument/2006/relationships/hyperlink" Target="http://www.rjsd.moj.gov.tw/rjsdweb/" TargetMode="External"/><Relationship Id="rId65" Type="http://schemas.openxmlformats.org/officeDocument/2006/relationships/hyperlink" Target="http://terms.naer.edu.tw/detail/1310655/" TargetMode="External"/><Relationship Id="rId81" Type="http://schemas.openxmlformats.org/officeDocument/2006/relationships/hyperlink" Target="http://www.rjsd.moj.gov.tw/rjsdweb/" TargetMode="External"/><Relationship Id="rId86" Type="http://schemas.openxmlformats.org/officeDocument/2006/relationships/hyperlink" Target="http://blog.pulipuli.info/2017/06/spss-interpreting-multiple-regression.html" TargetMode="External"/><Relationship Id="rId130" Type="http://schemas.openxmlformats.org/officeDocument/2006/relationships/hyperlink" Target="http://www.thenewslens.com/post/104036/" TargetMode="External"/><Relationship Id="rId135" Type="http://schemas.openxmlformats.org/officeDocument/2006/relationships/hyperlink" Target="http://www.fgu.edu.tw/~wclrc/drafts/China/fang-wei-bao/%20fang-wei-bao_02.htm" TargetMode="External"/><Relationship Id="rId151" Type="http://schemas.openxmlformats.org/officeDocument/2006/relationships/hyperlink" Target="http://n.yam.com/liontravel/travel/20130828/20130828713950.html" TargetMode="External"/><Relationship Id="rId156" Type="http://schemas.openxmlformats.org/officeDocument/2006/relationships/hyperlink" Target="http://news.rti.org.tw/index_newsContent.aspx?nid=471644" TargetMode="External"/><Relationship Id="rId13" Type="http://schemas.openxmlformats.org/officeDocument/2006/relationships/hyperlink" Target="https://www.canadavisa.com" TargetMode="External"/><Relationship Id="rId18" Type="http://schemas.openxmlformats.org/officeDocument/2006/relationships/hyperlink" Target="https://startup.sme.gov.tw/" TargetMode="External"/><Relationship Id="rId39" Type="http://schemas.openxmlformats.org/officeDocument/2006/relationships/hyperlink" Target="https://www.ndc.gov.tw/News7.aspx?n=5F5662157BC98A7D" TargetMode="External"/><Relationship Id="rId109" Type="http://schemas.openxmlformats.org/officeDocument/2006/relationships/hyperlink" Target="http://www.wda.gov.tw/home.jsp?pageno=201310280115&amp;acttype=view&amp;dataserno=201407030002" TargetMode="External"/><Relationship Id="rId34" Type="http://schemas.openxmlformats.org/officeDocument/2006/relationships/hyperlink" Target="https://www.ndc.gov.tw/News7.aspx?n=5F5662157BC98A7D" TargetMode="External"/><Relationship Id="rId50" Type="http://schemas.openxmlformats.org/officeDocument/2006/relationships/hyperlink" Target="https://www.stat.gov.tw/mp.asp?mp=4" TargetMode="External"/><Relationship Id="rId55" Type="http://schemas.openxmlformats.org/officeDocument/2006/relationships/hyperlink" Target="http://www.rjsd.moj.gov.tw/rjsdweb/" TargetMode="External"/><Relationship Id="rId76" Type="http://schemas.openxmlformats.org/officeDocument/2006/relationships/hyperlink" Target="https://www.stat.gov.tw/mp.asp?mp=4" TargetMode="External"/><Relationship Id="rId97" Type="http://schemas.openxmlformats.org/officeDocument/2006/relationships/hyperlink" Target="http://www.cic.gc.ca/english/immigrate/cec/apply-who.asp" TargetMode="External"/><Relationship Id="rId104" Type="http://schemas.openxmlformats.org/officeDocument/2006/relationships/hyperlink" Target="https://www.immi.gov.au/Visas/Pages/189.aspx" TargetMode="External"/><Relationship Id="rId120" Type="http://schemas.openxmlformats.org/officeDocument/2006/relationships/hyperlink" Target="https://www.slideshare.net/OpenMic1/20180515" TargetMode="External"/><Relationship Id="rId125" Type="http://schemas.openxmlformats.org/officeDocument/2006/relationships/hyperlink" Target="http://udn.com/news/story/9095/1461048-%E7%9C%8B%E6%94%BF%E6%B2%BB%E9%A2%A8%E5%90%91%EF%BC%9F%E5%A4%96%E7%B1%8D%E7%99%BD%E9%A0%98%E3%80%81%E5%83%91%E5%A4%96%E7%94%9F%E7%95%99%E5%8F%B0%E9%AC%86%E7%B6%81-%E7%B7%A9%E8%AD%B0" TargetMode="External"/><Relationship Id="rId141" Type="http://schemas.openxmlformats.org/officeDocument/2006/relationships/hyperlink" Target="http://tw.news.yahoo.com/%E7%A4%BE%E8%A9%95-%E7%9B%A1%E9%80%9F%E5%B1%95%E9%96%8B%E5%85%A9%E5%B2%B8%E7%B6%93%E6%BF%9F%E6%88%B0%E7%95%A5%E5%B0%8D%E8%A9%B1-213000680.html" TargetMode="External"/><Relationship Id="rId146" Type="http://schemas.openxmlformats.org/officeDocument/2006/relationships/hyperlink" Target="http://www.mod.go.jp/j/publication/wp/wp2013/pc/2013/index.html" TargetMode="External"/><Relationship Id="rId167" Type="http://schemas.openxmlformats.org/officeDocument/2006/relationships/hyperlink" Target="http://www.CRNTT.com" TargetMode="External"/><Relationship Id="rId7" Type="http://schemas.openxmlformats.org/officeDocument/2006/relationships/hyperlink" Target="https://www.dgbas.gov.tw/public/Attachment/74610132VTN8T5VB.pdf" TargetMode="External"/><Relationship Id="rId71" Type="http://schemas.openxmlformats.org/officeDocument/2006/relationships/hyperlink" Target="https://www.stat.gov.tw/mp.asp?mp=4" TargetMode="External"/><Relationship Id="rId92" Type="http://schemas.openxmlformats.org/officeDocument/2006/relationships/hyperlink" Target="http://www.cic.gc.ca/english/immigrate/skilled/apply-who.asp%23fn1" TargetMode="External"/><Relationship Id="rId162" Type="http://schemas.openxmlformats.org/officeDocument/2006/relationships/hyperlink" Target="http://www.ntdtv.com.tw/b5/20171121/video/209951.html?%E5%8F%B0%E7%81%A3%E4%BA%BA%E6%89%8D%E6%B5%81%E5%A4%B1%E6%88%90%E9%9A%B1%E6%86%82%20%E5%AD%B8%E8%80%85%EF%BC%9A%E4%BD%8E%E8%96%AA%E7%82%BA%E4%B8%BB%E5%9B%A0" TargetMode="External"/><Relationship Id="rId2" Type="http://schemas.openxmlformats.org/officeDocument/2006/relationships/hyperlink" Target="https://nfap.com/wp-content/uploads/2017/10/Immigrants-and-Nobel-Prizes-1901-to-2017.NFAP-Policy-Brief.October-20171.pdf" TargetMode="External"/><Relationship Id="rId29" Type="http://schemas.openxmlformats.org/officeDocument/2006/relationships/hyperlink" Target="https://www.cw.com.tw/article/article.action?id=5083320" TargetMode="External"/><Relationship Id="rId24" Type="http://schemas.openxmlformats.org/officeDocument/2006/relationships/hyperlink" Target="http://www.chinatimes.com/newspapers/20180226000518-260114" TargetMode="External"/><Relationship Id="rId40" Type="http://schemas.openxmlformats.org/officeDocument/2006/relationships/hyperlink" Target="https://www.ndc.gov.tw/News7.aspx?n=5F5662157BC98A7D" TargetMode="External"/><Relationship Id="rId45" Type="http://schemas.openxmlformats.org/officeDocument/2006/relationships/hyperlink" Target="http://pnn.pts.org.tw/main/2013/08/28/" TargetMode="External"/><Relationship Id="rId66" Type="http://schemas.openxmlformats.org/officeDocument/2006/relationships/hyperlink" Target="http://terms.naer.edu.tw/search/?q=au:%22&#29579;&#20445;&#36914;%22" TargetMode="External"/><Relationship Id="rId87" Type="http://schemas.openxmlformats.org/officeDocument/2006/relationships/hyperlink" Target="https://www.chengte.org.tw/01/Introduction3.aspx" TargetMode="External"/><Relationship Id="rId110" Type="http://schemas.openxmlformats.org/officeDocument/2006/relationships/hyperlink" Target="https://statdb.mol.gov.tw/evta/jspProxy.aspx?sys=100&amp;kind=10&amp;type=1&amp;funid=wqrymenu2&amp;cparm1=wq06&amp;rdm=jjKrnap9" TargetMode="External"/><Relationship Id="rId115" Type="http://schemas.openxmlformats.org/officeDocument/2006/relationships/hyperlink" Target="https://foreigntalentact.ndc.gov.tw" TargetMode="External"/><Relationship Id="rId131" Type="http://schemas.openxmlformats.org/officeDocument/2006/relationships/hyperlink" Target="http://www.chinatimes.com/newspapers/%2020150808000507-260109" TargetMode="External"/><Relationship Id="rId136" Type="http://schemas.openxmlformats.org/officeDocument/2006/relationships/hyperlink" Target="http://www.immigration.gov.tw/ct.asp?xItem=1324434&amp;ctNode=29699&amp;mp=1" TargetMode="External"/><Relationship Id="rId157" Type="http://schemas.openxmlformats.org/officeDocument/2006/relationships/hyperlink" Target="http://www.mps.gov.cn/n16/n84147/n84165/1291517.html" TargetMode="External"/><Relationship Id="rId61" Type="http://schemas.openxmlformats.org/officeDocument/2006/relationships/hyperlink" Target="https://www.tahr.org.tw/" TargetMode="External"/><Relationship Id="rId82" Type="http://schemas.openxmlformats.org/officeDocument/2006/relationships/hyperlink" Target="http://www.rjsd.moj.gov.tw/rjsdweb/" TargetMode="External"/><Relationship Id="rId152" Type="http://schemas.openxmlformats.org/officeDocument/2006/relationships/hyperlink" Target="http://n.yam.com/liontravel/travel/20130828/20130828713950.html" TargetMode="External"/><Relationship Id="rId19" Type="http://schemas.openxmlformats.org/officeDocument/2006/relationships/hyperlink" Target="https://foreigntalentact.ndc.gov.tw/Content_List.aspx?n=AA24EC33DACC5CB7" TargetMode="External"/><Relationship Id="rId14" Type="http://schemas.openxmlformats.org/officeDocument/2006/relationships/hyperlink" Target="https://startup.sme.gov.tw/" TargetMode="External"/><Relationship Id="rId30" Type="http://schemas.openxmlformats.org/officeDocument/2006/relationships/hyperlink" Target="https://zh.wikipedia.org/zh-tw/%E5%8F%B0%E7%81%A3%E7%B6%93%E6%BF%9F%E5%8F%B2" TargetMode="External"/><Relationship Id="rId35" Type="http://schemas.openxmlformats.org/officeDocument/2006/relationships/hyperlink" Target="https://www.ndc.gov.tw/News7.aspx?n=5F5662157BC98A7D" TargetMode="External"/><Relationship Id="rId56" Type="http://schemas.openxmlformats.org/officeDocument/2006/relationships/hyperlink" Target="http://www.rjsd.moj.gov.tw/rjsdweb/" TargetMode="External"/><Relationship Id="rId77" Type="http://schemas.openxmlformats.org/officeDocument/2006/relationships/hyperlink" Target="https://www.stat.gov.tw/mp.asp?mp=4" TargetMode="External"/><Relationship Id="rId100" Type="http://schemas.openxmlformats.org/officeDocument/2006/relationships/hyperlink" Target="http://formshelp.immigration.govt.nz/SkilledMigrant/ExpressionOfInterest/HistoryOfSelectionPoints/default.htm" TargetMode="External"/><Relationship Id="rId105" Type="http://schemas.openxmlformats.org/officeDocument/2006/relationships/hyperlink" Target="http://www.bbc.com/%20news/uk-politics-29594642" TargetMode="External"/><Relationship Id="rId126" Type="http://schemas.openxmlformats.org/officeDocument/2006/relationships/hyperlink" Target="https://tw.money.yahoo.com/%E5%A4%A7%E9%99%B8%E5%9C%8B%E5%8F%B0%E8%BE%A631%E6%A2%9D%E6%83%A0%E5%8F%B0%E6%8E%AA%E6%96%BD%E5%85%A8%E6%96%87030333400.html?guccounter=1" TargetMode="External"/><Relationship Id="rId147" Type="http://schemas.openxmlformats.org/officeDocument/2006/relationships/hyperlink" Target="http://webcache.googleusercontent.com/search?q=cache:etYl8Dw70OYJ:http://news.ltn.com.tw/news/politics/paper/1081639%2B%E5%A4%A7%E9%99%B8%E5%B0%8E%E5%BD%88++%E5%8F%B0%E7%81%A3&amp;hl=zh-TW&amp;gbv=2&amp;ct=clnk" TargetMode="External"/><Relationship Id="rId168" Type="http://schemas.openxmlformats.org/officeDocument/2006/relationships/hyperlink" Target="http://www.CRNTT.com" TargetMode="External"/><Relationship Id="rId8" Type="http://schemas.openxmlformats.org/officeDocument/2006/relationships/hyperlink" Target="https://www.dgbas.gov.tw/ct.asp?xItem=41034&amp;ctNode=5624" TargetMode="External"/><Relationship Id="rId51" Type="http://schemas.openxmlformats.org/officeDocument/2006/relationships/hyperlink" Target="https://www.stat.gov.tw/mp.asp?mp=4" TargetMode="External"/><Relationship Id="rId72" Type="http://schemas.openxmlformats.org/officeDocument/2006/relationships/hyperlink" Target="https://www.stat.gov.tw/mp.asp?mp=4" TargetMode="External"/><Relationship Id="rId93" Type="http://schemas.openxmlformats.org/officeDocument/2006/relationships/hyperlink" Target="http://www.cic.gc.ca/english/immigrate/skilled/language-testing.asp" TargetMode="External"/><Relationship Id="rId98" Type="http://schemas.openxmlformats.org/officeDocument/2006/relationships/hyperlink" Target="http://www.cic.gc.ca/english/department/mi/index.asp?expand=mi-pr-express%23mi-pr-express" TargetMode="External"/><Relationship Id="rId121" Type="http://schemas.openxmlformats.org/officeDocument/2006/relationships/hyperlink" Target="https://www.slideshare.net/OpenMic1/20180515" TargetMode="External"/><Relationship Id="rId142" Type="http://schemas.openxmlformats.org/officeDocument/2006/relationships/hyperlink" Target="http://tw.news.yahoo.com/%E8%8B%97%E6%A0%97%E8%AE%8A%E5%A4%A7%E9%96%98%E8%9F%B9%E9%87%8D%E9%8E%AE-%E9%9D%A0%E4%B8%AD%E5%9C%8B%E8%AE%93%E5%88%A9-134407155.html" TargetMode="External"/><Relationship Id="rId163" Type="http://schemas.openxmlformats.org/officeDocument/2006/relationships/hyperlink" Target="http://www.chinatimes.com/newspapers/20171210000284-260108" TargetMode="External"/><Relationship Id="rId3" Type="http://schemas.openxmlformats.org/officeDocument/2006/relationships/hyperlink" Target="http://www.storm.mg/article/360138" TargetMode="External"/><Relationship Id="rId25" Type="http://schemas.openxmlformats.org/officeDocument/2006/relationships/hyperlink" Target="http://technews.tw/2016/08/26/charles-kau-dram/" TargetMode="External"/><Relationship Id="rId46" Type="http://schemas.openxmlformats.org/officeDocument/2006/relationships/hyperlink" Target="https://www.stat.gov.tw/mp.asp?mp=4" TargetMode="External"/><Relationship Id="rId67" Type="http://schemas.openxmlformats.org/officeDocument/2006/relationships/hyperlink" Target="http://terms.naer.edu.tw/detail/1310655/" TargetMode="External"/><Relationship Id="rId116" Type="http://schemas.openxmlformats.org/officeDocument/2006/relationships/hyperlink" Target="https://www.slideshare.net/OpenMic1/20180515" TargetMode="External"/><Relationship Id="rId137" Type="http://schemas.openxmlformats.org/officeDocument/2006/relationships/hyperlink" Target="http://n.yam.com/taiwanhot/place/20161212/20161212011745.html" TargetMode="External"/><Relationship Id="rId158" Type="http://schemas.openxmlformats.org/officeDocument/2006/relationships/hyperlink" Target="http://www.mps.gov.cn/n16/n84147/n84165/1291532.html" TargetMode="External"/><Relationship Id="rId20" Type="http://schemas.openxmlformats.org/officeDocument/2006/relationships/hyperlink" Target="https://www.ndc.gov.tw/News_Content.aspx?n=114AAE178CD95D4C&amp;sms=DF717169EA26F1A3&amp;s=5E5A4ED7DF4A900F&amp;Create=1" TargetMode="External"/><Relationship Id="rId41" Type="http://schemas.openxmlformats.org/officeDocument/2006/relationships/hyperlink" Target="https://www.ndc.gov.tw/News7.aspx?n=5F5662157BC98A7D" TargetMode="External"/><Relationship Id="rId62" Type="http://schemas.openxmlformats.org/officeDocument/2006/relationships/hyperlink" Target="http://terms.naer.edu.tw/search/?q=au:%22&#29579;&#20445;&#36914;%22" TargetMode="External"/><Relationship Id="rId83" Type="http://schemas.openxmlformats.org/officeDocument/2006/relationships/hyperlink" Target="http://www.rjsd.moj.gov.tw/rjsdweb/" TargetMode="External"/><Relationship Id="rId88" Type="http://schemas.openxmlformats.org/officeDocument/2006/relationships/hyperlink" Target="http://www.cic.gc.ca/english/immigrate/skilled/apply-factors.asp" TargetMode="External"/><Relationship Id="rId111" Type="http://schemas.openxmlformats.org/officeDocument/2006/relationships/hyperlink" Target="https://foreigntalentact.ndc.gov.tw" TargetMode="External"/><Relationship Id="rId132" Type="http://schemas.openxmlformats.org/officeDocument/2006/relationships/hyperlink" Target="http://udn.com/news/story/7314/1020724-%E5%8D%97%E5%90%91%E6%94%BF%E7%AD%96%E6%95%B4%E5%90%88-%E6%96%B0%E4%BD%8F%E6%B0%91%E4%BA%8B%E5%8B%99%E5%8D%94%E8%AA%BF%E6%9C%83%E5%A0%B1%E6%88%90%E8%BB%8D" TargetMode="External"/><Relationship Id="rId153" Type="http://schemas.openxmlformats.org/officeDocument/2006/relationships/hyperlink" Target="https://www.ait.org.tw/zh/trafficking-in-persons-report.html" TargetMode="External"/><Relationship Id="rId15" Type="http://schemas.openxmlformats.org/officeDocument/2006/relationships/hyperlink" Target="https://www.canadavisa.com./" TargetMode="External"/><Relationship Id="rId36" Type="http://schemas.openxmlformats.org/officeDocument/2006/relationships/hyperlink" Target="https://www.ndc.gov.tw/News7.aspx?n=5F5662157BC98A7D" TargetMode="External"/><Relationship Id="rId57" Type="http://schemas.openxmlformats.org/officeDocument/2006/relationships/hyperlink" Target="http://www.rjsd.moj.gov.tw/rjsdweb/" TargetMode="External"/><Relationship Id="rId106" Type="http://schemas.openxmlformats.org/officeDocument/2006/relationships/hyperlink" Target="http://www.immi.gov.au/Work/Pages/SkillSelect/SkillSelect.aspx" TargetMode="External"/><Relationship Id="rId127" Type="http://schemas.openxmlformats.org/officeDocument/2006/relationships/hyperlink" Target="http://www.stat.gov.tw/ct.asp?xItem=37889&amp;ctNode=527&amp;mp=4" TargetMode="External"/><Relationship Id="rId10" Type="http://schemas.openxmlformats.org/officeDocument/2006/relationships/hyperlink" Target="https://www.cw.com.tw/article/article.action?id=5059155" TargetMode="External"/><Relationship Id="rId31" Type="http://schemas.openxmlformats.org/officeDocument/2006/relationships/hyperlink" Target="http://www.taiwanncf.org.tw/ttforum/09/09-01.pdf" TargetMode="External"/><Relationship Id="rId52" Type="http://schemas.openxmlformats.org/officeDocument/2006/relationships/hyperlink" Target="https://www.stat.gov.tw/mp.asp?mp=4" TargetMode="External"/><Relationship Id="rId73" Type="http://schemas.openxmlformats.org/officeDocument/2006/relationships/hyperlink" Target="https://www.stat.gov.tw/mp.asp?mp=4" TargetMode="External"/><Relationship Id="rId78" Type="http://schemas.openxmlformats.org/officeDocument/2006/relationships/hyperlink" Target="https://www.stat.gov.tw/mp.asp?mp=4" TargetMode="External"/><Relationship Id="rId94" Type="http://schemas.openxmlformats.org/officeDocument/2006/relationships/hyperlink" Target="http://www.cic.gc.ca/english/immigrate/skilled/apply-factors.asp" TargetMode="External"/><Relationship Id="rId99" Type="http://schemas.openxmlformats.org/officeDocument/2006/relationships/hyperlink" Target="http://www.cic.gc.ca/english/express-entry/grid-crs.asp" TargetMode="External"/><Relationship Id="rId101" Type="http://schemas.openxmlformats.org/officeDocument/2006/relationships/hyperlink" Target="http://www.immigration.govt.nz/migrant/stream/work/skilledmigrant/LinkAdministration/MoreInformationLinks/eoiselection.htm?level=1" TargetMode="External"/><Relationship Id="rId122" Type="http://schemas.openxmlformats.org/officeDocument/2006/relationships/hyperlink" Target="https://www.slideshare.net/OpenMic1/20180515" TargetMode="External"/><Relationship Id="rId143" Type="http://schemas.openxmlformats.org/officeDocument/2006/relationships/hyperlink" Target="ttp://udn.com/NEWS/OPINION/OPI1/8069424.shtml" TargetMode="External"/><Relationship Id="rId148" Type="http://schemas.openxmlformats.org/officeDocument/2006/relationships/hyperlink" Target="https://tw.appledaily.com/headline/daily/20170321/37590059" TargetMode="External"/><Relationship Id="rId164" Type="http://schemas.openxmlformats.org/officeDocument/2006/relationships/hyperlink" Target="http://www.chinatimes.com/newspapers/20171210000284-260108" TargetMode="External"/><Relationship Id="rId169" Type="http://schemas.openxmlformats.org/officeDocument/2006/relationships/hyperlink" Target="http://www.CRNTT.com" TargetMode="External"/><Relationship Id="rId4" Type="http://schemas.openxmlformats.org/officeDocument/2006/relationships/hyperlink" Target="https://money.udn.com/money/story/5648/2832422" TargetMode="External"/><Relationship Id="rId9" Type="http://schemas.openxmlformats.org/officeDocument/2006/relationships/hyperlink" Target="https://udn.com/news/story/6868/2442079" TargetMode="External"/><Relationship Id="rId26" Type="http://schemas.openxmlformats.org/officeDocument/2006/relationships/hyperlink" Target="http://www.tagg.org.tw/DOWN/%E9%9B%9C%E8%AA%8C/5-3-%E5%85%A8%E6%96%87/5-3-1%E7%B6%9C%E8%AB%96-%E8%8C%83%E5%85%89%E4%B8%AD-p149-168.pdf" TargetMode="External"/><Relationship Id="rId47" Type="http://schemas.openxmlformats.org/officeDocument/2006/relationships/hyperlink" Target="https://www.stat.gov.tw/mp.asp?mp=4" TargetMode="External"/><Relationship Id="rId68" Type="http://schemas.openxmlformats.org/officeDocument/2006/relationships/hyperlink" Target="http://terms.naer.edu.tw/search/?q=au:%22&#29579;&#20445;&#36914;%22" TargetMode="External"/><Relationship Id="rId89" Type="http://schemas.openxmlformats.org/officeDocument/2006/relationships/hyperlink" Target="http://www.immigration.govt.nz/migrant/stream/work/skilledmigrant/caniapply/points/" TargetMode="External"/><Relationship Id="rId112" Type="http://schemas.openxmlformats.org/officeDocument/2006/relationships/hyperlink" Target="https://foreigntalentact.ndc.gov.tw" TargetMode="External"/><Relationship Id="rId133" Type="http://schemas.openxmlformats.org/officeDocument/2006/relationships/hyperlink" Target="http://www.ris.gov.tw/346" TargetMode="External"/><Relationship Id="rId154" Type="http://schemas.openxmlformats.org/officeDocument/2006/relationships/hyperlink" Target="http://www.pra.cpu.edu.tw/paper/3/8/pdf" TargetMode="External"/><Relationship Id="rId16" Type="http://schemas.openxmlformats.org/officeDocument/2006/relationships/hyperlink" Target="https://startup.sme.gov.tw/" TargetMode="External"/><Relationship Id="rId37" Type="http://schemas.openxmlformats.org/officeDocument/2006/relationships/hyperlink" Target="https://www.ndc.gov.tw/News7.aspx?n=5F5662157BC98A7D" TargetMode="External"/><Relationship Id="rId58" Type="http://schemas.openxmlformats.org/officeDocument/2006/relationships/hyperlink" Target="http://www.rjsd.moj.gov.tw/rjsdweb/" TargetMode="External"/><Relationship Id="rId79" Type="http://schemas.openxmlformats.org/officeDocument/2006/relationships/hyperlink" Target="http://www.rjsd.moj.gov.tw/rjsdweb/" TargetMode="External"/><Relationship Id="rId102" Type="http://schemas.openxmlformats.org/officeDocument/2006/relationships/hyperlink" Target="http://www.immigration.govt.nz/migrant/stream/work/skilledmigrant/caniapply/english/" TargetMode="External"/><Relationship Id="rId123" Type="http://schemas.openxmlformats.org/officeDocument/2006/relationships/hyperlink" Target="https://www.slideshare.net/OpenMic1/20180515" TargetMode="External"/><Relationship Id="rId144" Type="http://schemas.openxmlformats.org/officeDocument/2006/relationships/hyperlink" Target="http://zh.wikipedia.org/wiki/2013%E5%B9%B4%E5%8F%B0%E7%81%A3%E6%AF%92%E6%BE%B1%E7%B2%89%E4%BA%8B%E4%BB%B6" TargetMode="External"/><Relationship Id="rId90" Type="http://schemas.openxmlformats.org/officeDocument/2006/relationships/hyperlink" Target="http://www.immi.gov.au/FAQs/Pages/what-is-the-points-test.aspx" TargetMode="External"/><Relationship Id="rId165" Type="http://schemas.openxmlformats.org/officeDocument/2006/relationships/hyperlink" Target="http://www.chinatimes.com/newspapers/20171210000284-260108" TargetMode="External"/><Relationship Id="rId27" Type="http://schemas.openxmlformats.org/officeDocument/2006/relationships/hyperlink" Target="http://www.chinatimes.com/newspapers/20170705000777-260301" TargetMode="External"/><Relationship Id="rId48" Type="http://schemas.openxmlformats.org/officeDocument/2006/relationships/hyperlink" Target="https://www.stat.gov.tw/mp.asp?mp=4" TargetMode="External"/><Relationship Id="rId69" Type="http://schemas.openxmlformats.org/officeDocument/2006/relationships/hyperlink" Target="http://terms.naer.edu.tw/detail/1310655/" TargetMode="External"/><Relationship Id="rId113" Type="http://schemas.openxmlformats.org/officeDocument/2006/relationships/hyperlink" Target="https://foreigntalentact.ndc.gov.tw" TargetMode="External"/><Relationship Id="rId134" Type="http://schemas.openxmlformats.org/officeDocument/2006/relationships/hyperlink" Target="http://www.immigration.gov.tw/%20lp.asp?ctNode=29699&amp;CtUnit=16434&amp;BaseDSD=7&amp;mp=1" TargetMode="External"/><Relationship Id="rId80" Type="http://schemas.openxmlformats.org/officeDocument/2006/relationships/hyperlink" Target="http://www.rjsd.moj.gov.tw/rjsdweb/" TargetMode="External"/><Relationship Id="rId155" Type="http://schemas.openxmlformats.org/officeDocument/2006/relationships/hyperlink" Target="http://www.immigration.gov.tw/ct.asp?xItem=1241011&amp;ctNode=34815&amp;mp=mobmp1" TargetMode="External"/><Relationship Id="rId17" Type="http://schemas.openxmlformats.org/officeDocument/2006/relationships/hyperlink" Target="https://www.canadavisa.com" TargetMode="External"/><Relationship Id="rId38" Type="http://schemas.openxmlformats.org/officeDocument/2006/relationships/hyperlink" Target="https://www.ndc.gov.tw/News7.aspx?n=5F5662157BC98A7D" TargetMode="External"/><Relationship Id="rId59" Type="http://schemas.openxmlformats.org/officeDocument/2006/relationships/hyperlink" Target="http://www.rjsd.moj.gov.tw/rjsdweb/" TargetMode="External"/><Relationship Id="rId103" Type="http://schemas.openxmlformats.org/officeDocument/2006/relationships/hyperlink" Target="http://www.immigration.govt.nz/migrant/stream/work/skilledmigrant/caniapply/points/default.htm" TargetMode="External"/><Relationship Id="rId124" Type="http://schemas.openxmlformats.org/officeDocument/2006/relationships/hyperlink" Target="http://udn.com/news/story/9095/1461048-%E7%9C%8B%E6%94%BF%E6%B2%BB%E9%A2%A8%E5%90%91%EF%BC%9F%E5%A4%96%E7%B1%8D%E7%99%BD%E9%A0%98%E3%80%81%E5%83%91%E5%A4%96%E7%94%9F%E7%95%99%E5%8F%B0%E9%AC%86%E7%B6%81-%E7%B7%A9%E8%AD%B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39340-4286-4DDA-98A6-3EF5C241A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4834</TotalTime>
  <Pages>42</Pages>
  <Words>104969</Words>
  <Characters>598328</Characters>
  <Application>Microsoft Office Word</Application>
  <DocSecurity>0</DocSecurity>
  <Lines>4986</Lines>
  <Paragraphs>1403</Paragraphs>
  <ScaleCrop>false</ScaleCrop>
  <Company/>
  <LinksUpToDate>false</LinksUpToDate>
  <CharactersWithSpaces>701894</CharactersWithSpaces>
  <SharedDoc>false</SharedDoc>
  <HLinks>
    <vt:vector size="108" baseType="variant">
      <vt:variant>
        <vt:i4>2949124</vt:i4>
      </vt:variant>
      <vt:variant>
        <vt:i4>51</vt:i4>
      </vt:variant>
      <vt:variant>
        <vt:i4>0</vt:i4>
      </vt:variant>
      <vt:variant>
        <vt:i4>5</vt:i4>
      </vt:variant>
      <vt:variant>
        <vt:lpwstr>mailto:anita399646@hotmail.com</vt:lpwstr>
      </vt:variant>
      <vt:variant>
        <vt:lpwstr/>
      </vt:variant>
      <vt:variant>
        <vt:i4>8192049</vt:i4>
      </vt:variant>
      <vt:variant>
        <vt:i4>48</vt:i4>
      </vt:variant>
      <vt:variant>
        <vt:i4>0</vt:i4>
      </vt:variant>
      <vt:variant>
        <vt:i4>5</vt:i4>
      </vt:variant>
      <vt:variant>
        <vt:lpwstr>http://law.moj.gov.tw/</vt:lpwstr>
      </vt:variant>
      <vt:variant>
        <vt:lpwstr/>
      </vt:variant>
      <vt:variant>
        <vt:i4>6225996</vt:i4>
      </vt:variant>
      <vt:variant>
        <vt:i4>45</vt:i4>
      </vt:variant>
      <vt:variant>
        <vt:i4>0</vt:i4>
      </vt:variant>
      <vt:variant>
        <vt:i4>5</vt:i4>
      </vt:variant>
      <vt:variant>
        <vt:lpwstr>http://www.ly.gov.tw/</vt:lpwstr>
      </vt:variant>
      <vt:variant>
        <vt:lpwstr/>
      </vt:variant>
      <vt:variant>
        <vt:i4>786499</vt:i4>
      </vt:variant>
      <vt:variant>
        <vt:i4>42</vt:i4>
      </vt:variant>
      <vt:variant>
        <vt:i4>0</vt:i4>
      </vt:variant>
      <vt:variant>
        <vt:i4>5</vt:i4>
      </vt:variant>
      <vt:variant>
        <vt:lpwstr>http://www.president.gov.tw/</vt:lpwstr>
      </vt:variant>
      <vt:variant>
        <vt:lpwstr/>
      </vt:variant>
      <vt:variant>
        <vt:i4>7274612</vt:i4>
      </vt:variant>
      <vt:variant>
        <vt:i4>38</vt:i4>
      </vt:variant>
      <vt:variant>
        <vt:i4>0</vt:i4>
      </vt:variant>
      <vt:variant>
        <vt:i4>5</vt:i4>
      </vt:variant>
      <vt:variant>
        <vt:lpwstr/>
      </vt:variant>
      <vt:variant>
        <vt:lpwstr>top</vt:lpwstr>
      </vt:variant>
      <vt:variant>
        <vt:i4>7274612</vt:i4>
      </vt:variant>
      <vt:variant>
        <vt:i4>36</vt:i4>
      </vt:variant>
      <vt:variant>
        <vt:i4>0</vt:i4>
      </vt:variant>
      <vt:variant>
        <vt:i4>5</vt:i4>
      </vt:variant>
      <vt:variant>
        <vt:lpwstr/>
      </vt:variant>
      <vt:variant>
        <vt:lpwstr>top</vt:lpwstr>
      </vt:variant>
      <vt:variant>
        <vt:i4>-1593185076</vt:i4>
      </vt:variant>
      <vt:variant>
        <vt:i4>33</vt:i4>
      </vt:variant>
      <vt:variant>
        <vt:i4>0</vt:i4>
      </vt:variant>
      <vt:variant>
        <vt:i4>5</vt:i4>
      </vt:variant>
      <vt:variant>
        <vt:lpwstr>..\law\國民體育法.doc</vt:lpwstr>
      </vt:variant>
      <vt:variant>
        <vt:lpwstr>a16</vt:lpwstr>
      </vt:variant>
      <vt:variant>
        <vt:i4>-1593185076</vt:i4>
      </vt:variant>
      <vt:variant>
        <vt:i4>30</vt:i4>
      </vt:variant>
      <vt:variant>
        <vt:i4>0</vt:i4>
      </vt:variant>
      <vt:variant>
        <vt:i4>5</vt:i4>
      </vt:variant>
      <vt:variant>
        <vt:lpwstr>..\law\國民體育法.doc</vt:lpwstr>
      </vt:variant>
      <vt:variant>
        <vt:lpwstr>a18</vt:lpwstr>
      </vt:variant>
      <vt:variant>
        <vt:i4>-1593185076</vt:i4>
      </vt:variant>
      <vt:variant>
        <vt:i4>27</vt:i4>
      </vt:variant>
      <vt:variant>
        <vt:i4>0</vt:i4>
      </vt:variant>
      <vt:variant>
        <vt:i4>5</vt:i4>
      </vt:variant>
      <vt:variant>
        <vt:lpwstr>..\law\國民體育法.doc</vt:lpwstr>
      </vt:variant>
      <vt:variant>
        <vt:lpwstr>a11</vt:lpwstr>
      </vt:variant>
      <vt:variant>
        <vt:i4>-1593185076</vt:i4>
      </vt:variant>
      <vt:variant>
        <vt:i4>24</vt:i4>
      </vt:variant>
      <vt:variant>
        <vt:i4>0</vt:i4>
      </vt:variant>
      <vt:variant>
        <vt:i4>5</vt:i4>
      </vt:variant>
      <vt:variant>
        <vt:lpwstr>..\law\國民體育法.doc</vt:lpwstr>
      </vt:variant>
      <vt:variant>
        <vt:lpwstr>a10</vt:lpwstr>
      </vt:variant>
      <vt:variant>
        <vt:i4>-1593774900</vt:i4>
      </vt:variant>
      <vt:variant>
        <vt:i4>21</vt:i4>
      </vt:variant>
      <vt:variant>
        <vt:i4>0</vt:i4>
      </vt:variant>
      <vt:variant>
        <vt:i4>5</vt:i4>
      </vt:variant>
      <vt:variant>
        <vt:lpwstr>..\law\國民體育法.doc</vt:lpwstr>
      </vt:variant>
      <vt:variant>
        <vt:lpwstr>a8</vt:lpwstr>
      </vt:variant>
      <vt:variant>
        <vt:i4>-1593054004</vt:i4>
      </vt:variant>
      <vt:variant>
        <vt:i4>18</vt:i4>
      </vt:variant>
      <vt:variant>
        <vt:i4>0</vt:i4>
      </vt:variant>
      <vt:variant>
        <vt:i4>5</vt:i4>
      </vt:variant>
      <vt:variant>
        <vt:lpwstr>..\law\國民體育法.doc</vt:lpwstr>
      </vt:variant>
      <vt:variant>
        <vt:lpwstr>a3</vt:lpwstr>
      </vt:variant>
      <vt:variant>
        <vt:i4>-1593119540</vt:i4>
      </vt:variant>
      <vt:variant>
        <vt:i4>15</vt:i4>
      </vt:variant>
      <vt:variant>
        <vt:i4>0</vt:i4>
      </vt:variant>
      <vt:variant>
        <vt:i4>5</vt:i4>
      </vt:variant>
      <vt:variant>
        <vt:lpwstr>..\law\國民體育法.doc</vt:lpwstr>
      </vt:variant>
      <vt:variant>
        <vt:lpwstr>a21</vt:lpwstr>
      </vt:variant>
      <vt:variant>
        <vt:i4>2067919956</vt:i4>
      </vt:variant>
      <vt:variant>
        <vt:i4>12</vt:i4>
      </vt:variant>
      <vt:variant>
        <vt:i4>0</vt:i4>
      </vt:variant>
      <vt:variant>
        <vt:i4>5</vt:i4>
      </vt:variant>
      <vt:variant>
        <vt:lpwstr>http://www.6law.idv.tw/6law/law3/國民體育法施行細則.htm</vt:lpwstr>
      </vt:variant>
      <vt:variant>
        <vt:lpwstr/>
      </vt:variant>
      <vt:variant>
        <vt:i4>-421115192</vt:i4>
      </vt:variant>
      <vt:variant>
        <vt:i4>9</vt:i4>
      </vt:variant>
      <vt:variant>
        <vt:i4>0</vt:i4>
      </vt:variant>
      <vt:variant>
        <vt:i4>5</vt:i4>
      </vt:variant>
      <vt:variant>
        <vt:lpwstr>../S-link電子六法總索引.doc</vt:lpwstr>
      </vt:variant>
      <vt:variant>
        <vt:lpwstr/>
      </vt:variant>
      <vt:variant>
        <vt:i4>91</vt:i4>
      </vt:variant>
      <vt:variant>
        <vt:i4>6</vt:i4>
      </vt:variant>
      <vt:variant>
        <vt:i4>0</vt:i4>
      </vt:variant>
      <vt:variant>
        <vt:i4>5</vt:i4>
      </vt:variant>
      <vt:variant>
        <vt:lpwstr>http://www.facebook.com/anita6law</vt:lpwstr>
      </vt:variant>
      <vt:variant>
        <vt:lpwstr/>
      </vt:variant>
      <vt:variant>
        <vt:i4>5242899</vt:i4>
      </vt:variant>
      <vt:variant>
        <vt:i4>3</vt:i4>
      </vt:variant>
      <vt:variant>
        <vt:i4>0</vt:i4>
      </vt:variant>
      <vt:variant>
        <vt:i4>5</vt:i4>
      </vt:variant>
      <vt:variant>
        <vt:lpwstr>http://www.6law.idv.tw/update.htm</vt:lpwstr>
      </vt:variant>
      <vt:variant>
        <vt:lpwstr/>
      </vt:variant>
      <vt:variant>
        <vt:i4>7274528</vt:i4>
      </vt:variant>
      <vt:variant>
        <vt:i4>0</vt:i4>
      </vt:variant>
      <vt:variant>
        <vt:i4>0</vt:i4>
      </vt:variant>
      <vt:variant>
        <vt:i4>5</vt:i4>
      </vt:variant>
      <vt:variant>
        <vt:lpwstr>http://www.6law.idv.tw/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臺灣邁向世界強國與富國之捷徑：從建構優質之移民政策與法制出發</dc:title>
  <dc:subject/>
  <dc:creator>S-link 電子六法-黃婉玲</dc:creator>
  <cp:keywords/>
  <dc:description/>
  <cp:lastModifiedBy>黃婉玲 S-link電子六法</cp:lastModifiedBy>
  <cp:revision>47</cp:revision>
  <dcterms:created xsi:type="dcterms:W3CDTF">2018-08-25T05:40:00Z</dcterms:created>
  <dcterms:modified xsi:type="dcterms:W3CDTF">2019-02-05T17:28:00Z</dcterms:modified>
</cp:coreProperties>
</file>